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3C130" w14:textId="5D3A4A6B" w:rsidR="00832324" w:rsidRDefault="006532B9" w:rsidP="006532B9">
      <w:pPr>
        <w:pStyle w:val="Title"/>
      </w:pPr>
      <w:r>
        <w:t xml:space="preserve">Alemtuzumab for </w:t>
      </w:r>
      <w:r w:rsidR="00987BC5">
        <w:t>r</w:t>
      </w:r>
      <w:r w:rsidRPr="006532B9">
        <w:t>elapsing remitting multiple sclerosis</w:t>
      </w:r>
      <w:r w:rsidR="001C4016">
        <w:t>:</w:t>
      </w:r>
      <w:r>
        <w:t xml:space="preserve"> predicted versus actual</w:t>
      </w:r>
      <w:r w:rsidR="001C4016">
        <w:t xml:space="preserve"> </w:t>
      </w:r>
      <w:r w:rsidR="005B62A2">
        <w:t>analysis</w:t>
      </w:r>
    </w:p>
    <w:p w14:paraId="68F00614" w14:textId="799F8740" w:rsidR="00736041" w:rsidRDefault="009053D3" w:rsidP="00B66D5A">
      <w:pPr>
        <w:pStyle w:val="Title2"/>
        <w:jc w:val="both"/>
      </w:pPr>
      <w:r>
        <w:t>D</w:t>
      </w:r>
      <w:r w:rsidR="00832324" w:rsidRPr="0063631C">
        <w:t xml:space="preserve">rug utilisation sub-committee </w:t>
      </w:r>
      <w:r w:rsidR="00832324">
        <w:t>(DUSC)</w:t>
      </w:r>
    </w:p>
    <w:p w14:paraId="78148839" w14:textId="5D824846" w:rsidR="009053D3" w:rsidRPr="00F73113" w:rsidRDefault="006532B9" w:rsidP="009D0597">
      <w:pPr>
        <w:pStyle w:val="Heading3"/>
        <w:jc w:val="both"/>
      </w:pPr>
      <w:r>
        <w:t>February 2020</w:t>
      </w:r>
    </w:p>
    <w:p w14:paraId="1494B8AD" w14:textId="77777777" w:rsidR="005C6661" w:rsidRPr="00CF5E22" w:rsidRDefault="005C6661" w:rsidP="00B66D5A">
      <w:pPr>
        <w:pStyle w:val="Heading2"/>
        <w:jc w:val="both"/>
      </w:pPr>
      <w:r w:rsidRPr="00CF5E22">
        <w:t>Abstract</w:t>
      </w:r>
    </w:p>
    <w:p w14:paraId="287D7939" w14:textId="77777777" w:rsidR="005C6661" w:rsidRPr="00CF5E22" w:rsidRDefault="005C6661" w:rsidP="00B66D5A">
      <w:pPr>
        <w:pStyle w:val="Heading3"/>
        <w:jc w:val="both"/>
      </w:pPr>
      <w:r w:rsidRPr="00CF5E22">
        <w:t>Purpose</w:t>
      </w:r>
    </w:p>
    <w:p w14:paraId="6CB4770D" w14:textId="77777777" w:rsidR="001535B5" w:rsidRPr="009D0597" w:rsidRDefault="001535B5" w:rsidP="009D0597">
      <w:pPr>
        <w:jc w:val="both"/>
      </w:pPr>
      <w:r w:rsidRPr="009D0597">
        <w:t>To compare the predicted and actual utilisation of alemtuzumab for relapsing remitting multiple sclerosis (RRMS) since it was PBS listed for this indication.</w:t>
      </w:r>
    </w:p>
    <w:p w14:paraId="03538E7F" w14:textId="3E5C0EE7" w:rsidR="002D144A" w:rsidRDefault="002D144A" w:rsidP="00B66D5A">
      <w:pPr>
        <w:pStyle w:val="Heading3"/>
        <w:jc w:val="both"/>
      </w:pPr>
      <w:r>
        <w:t>Date of listing on the P</w:t>
      </w:r>
      <w:r w:rsidR="00A95FA5">
        <w:t xml:space="preserve">harmaceutical </w:t>
      </w:r>
      <w:r>
        <w:t>B</w:t>
      </w:r>
      <w:r w:rsidR="00A95FA5">
        <w:t xml:space="preserve">enefits </w:t>
      </w:r>
      <w:r>
        <w:t>S</w:t>
      </w:r>
      <w:r w:rsidR="00A95FA5">
        <w:t>cheme (PBS)</w:t>
      </w:r>
    </w:p>
    <w:p w14:paraId="378E50B7" w14:textId="0BBA4DF5" w:rsidR="002D144A" w:rsidRPr="002D144A" w:rsidRDefault="003A394C" w:rsidP="00B66D5A">
      <w:pPr>
        <w:jc w:val="both"/>
      </w:pPr>
      <w:r w:rsidRPr="003A394C">
        <w:t>Alemtuzumab was PBS listed for the treatment of RRMS on 1 April 2015.</w:t>
      </w:r>
    </w:p>
    <w:p w14:paraId="526743BB" w14:textId="77777777" w:rsidR="005C6661" w:rsidRDefault="005C6661" w:rsidP="00B66D5A">
      <w:pPr>
        <w:pStyle w:val="Heading3"/>
        <w:jc w:val="both"/>
      </w:pPr>
      <w:r>
        <w:t>Data Source / methodology</w:t>
      </w:r>
    </w:p>
    <w:p w14:paraId="52E222B6" w14:textId="700821CF" w:rsidR="003A394C" w:rsidRPr="009D0597" w:rsidRDefault="003A394C" w:rsidP="009D0597">
      <w:pPr>
        <w:jc w:val="both"/>
      </w:pPr>
      <w:r w:rsidRPr="009D0597">
        <w:t>The analysis used data from the Departme</w:t>
      </w:r>
      <w:r w:rsidR="0066335F" w:rsidRPr="009D0597">
        <w:t>nt of Human Services (DHS) Supplied P</w:t>
      </w:r>
      <w:r w:rsidRPr="009D0597">
        <w:t>rescriptions database.</w:t>
      </w:r>
    </w:p>
    <w:p w14:paraId="7599E7C1" w14:textId="1C17AA04" w:rsidR="005C6661" w:rsidRDefault="005C6661" w:rsidP="00B66D5A">
      <w:pPr>
        <w:pStyle w:val="Heading3"/>
        <w:jc w:val="both"/>
      </w:pPr>
      <w:r>
        <w:t>Key Findings</w:t>
      </w:r>
    </w:p>
    <w:p w14:paraId="00E2E6AF" w14:textId="3A2B57F2" w:rsidR="009D4AB7" w:rsidRDefault="00564E99" w:rsidP="00C2053D">
      <w:pPr>
        <w:pStyle w:val="ListParagraph"/>
        <w:numPr>
          <w:ilvl w:val="0"/>
          <w:numId w:val="13"/>
        </w:numPr>
      </w:pPr>
      <w:r w:rsidRPr="00564E99">
        <w:t>In 2018, 18</w:t>
      </w:r>
      <w:r>
        <w:t>,</w:t>
      </w:r>
      <w:r w:rsidRPr="00564E99">
        <w:t>7</w:t>
      </w:r>
      <w:r w:rsidR="0060781A">
        <w:t>15 patients were supplied a PBS-</w:t>
      </w:r>
      <w:r w:rsidRPr="00564E99">
        <w:t>listed medicine for RRMS and, of these, 459 (2.5%) patients were supplied alemtuzumab.</w:t>
      </w:r>
    </w:p>
    <w:p w14:paraId="528FD4FE" w14:textId="13A44188" w:rsidR="00564E99" w:rsidRDefault="00564E99" w:rsidP="00C2053D">
      <w:pPr>
        <w:pStyle w:val="ListParagraph"/>
        <w:numPr>
          <w:ilvl w:val="0"/>
          <w:numId w:val="13"/>
        </w:numPr>
      </w:pPr>
      <w:r w:rsidRPr="00564E99">
        <w:t>The addition of alemtuzumab in Apr</w:t>
      </w:r>
      <w:r w:rsidR="0060781A">
        <w:t>il 2015 ha</w:t>
      </w:r>
      <w:r w:rsidR="0037282C">
        <w:t>d</w:t>
      </w:r>
      <w:r w:rsidR="0060781A">
        <w:t xml:space="preserve"> minimal </w:t>
      </w:r>
      <w:r w:rsidR="0037282C">
        <w:t>e</w:t>
      </w:r>
      <w:r w:rsidR="0060781A">
        <w:t>ffect</w:t>
      </w:r>
      <w:r w:rsidRPr="00564E99">
        <w:t xml:space="preserve"> on the </w:t>
      </w:r>
      <w:r w:rsidR="0037282C">
        <w:t xml:space="preserve">RRMS </w:t>
      </w:r>
      <w:r w:rsidRPr="00564E99">
        <w:t>market.</w:t>
      </w:r>
    </w:p>
    <w:p w14:paraId="7E4A6277" w14:textId="72BC14EF" w:rsidR="00DB15E3" w:rsidRPr="0037282C" w:rsidRDefault="003F6DC3" w:rsidP="00C2053D">
      <w:pPr>
        <w:pStyle w:val="ListParagraph"/>
        <w:numPr>
          <w:ilvl w:val="0"/>
          <w:numId w:val="13"/>
        </w:numPr>
      </w:pPr>
      <w:r w:rsidRPr="0037282C">
        <w:t>84% of patients supplied alemtuzumab had a prior supply of another PBS listed RMMS medicine.</w:t>
      </w:r>
    </w:p>
    <w:p w14:paraId="41970D40" w14:textId="653A8A15" w:rsidR="00597647" w:rsidRPr="00C2053D" w:rsidRDefault="00147542" w:rsidP="00C2053D">
      <w:pPr>
        <w:pStyle w:val="ListParagraph"/>
        <w:numPr>
          <w:ilvl w:val="0"/>
          <w:numId w:val="13"/>
        </w:numPr>
        <w:rPr>
          <w:rFonts w:eastAsiaTheme="majorEastAsia" w:cstheme="majorBidi"/>
          <w:b/>
          <w:bCs/>
        </w:rPr>
      </w:pPr>
      <w:r w:rsidRPr="0037282C">
        <w:t>90%</w:t>
      </w:r>
      <w:r w:rsidR="00112934" w:rsidRPr="0037282C">
        <w:t xml:space="preserve"> of patients</w:t>
      </w:r>
      <w:r w:rsidR="00E604FA" w:rsidRPr="0037282C">
        <w:t xml:space="preserve"> treated with alemtuzumab </w:t>
      </w:r>
      <w:r w:rsidR="003F6DC3" w:rsidRPr="0037282C">
        <w:t>received two treatment courses (initial and continuing) of PBS subsidi</w:t>
      </w:r>
      <w:r w:rsidR="0060781A" w:rsidRPr="0037282C">
        <w:t>sed alemtuzumab.</w:t>
      </w:r>
    </w:p>
    <w:p w14:paraId="66D47BC6" w14:textId="01DBA050" w:rsidR="003F6DC3" w:rsidRPr="00C2053D" w:rsidRDefault="003F6DC3" w:rsidP="00C2053D">
      <w:pPr>
        <w:pStyle w:val="ListParagraph"/>
        <w:numPr>
          <w:ilvl w:val="0"/>
          <w:numId w:val="13"/>
        </w:numPr>
        <w:rPr>
          <w:rFonts w:eastAsiaTheme="majorEastAsia" w:cstheme="majorBidi"/>
          <w:b/>
          <w:bCs/>
        </w:rPr>
      </w:pPr>
      <w:r w:rsidRPr="0037282C">
        <w:t xml:space="preserve">The most common time to </w:t>
      </w:r>
      <w:r w:rsidR="00E604FA" w:rsidRPr="0037282C">
        <w:t xml:space="preserve">prescription </w:t>
      </w:r>
      <w:r w:rsidRPr="0037282C">
        <w:t xml:space="preserve">refill </w:t>
      </w:r>
      <w:r w:rsidR="00E604FA" w:rsidRPr="0037282C">
        <w:t xml:space="preserve">between the initial and continuing treatment course was </w:t>
      </w:r>
      <w:r w:rsidRPr="0037282C">
        <w:t>364 days.</w:t>
      </w:r>
    </w:p>
    <w:p w14:paraId="61A1C359" w14:textId="3A10A5C1" w:rsidR="00694F35" w:rsidRPr="00C2053D" w:rsidRDefault="00972C79" w:rsidP="00C2053D">
      <w:pPr>
        <w:pStyle w:val="ListParagraph"/>
        <w:numPr>
          <w:ilvl w:val="0"/>
          <w:numId w:val="13"/>
        </w:numPr>
        <w:rPr>
          <w:rFonts w:eastAsiaTheme="majorEastAsia" w:cstheme="majorBidi"/>
          <w:bCs/>
        </w:rPr>
      </w:pPr>
      <w:r w:rsidRPr="00C2053D">
        <w:rPr>
          <w:rFonts w:eastAsiaTheme="majorEastAsia" w:cstheme="majorBidi"/>
          <w:bCs/>
        </w:rPr>
        <w:t>6.7%</w:t>
      </w:r>
      <w:r w:rsidR="00AC47BA" w:rsidRPr="00C2053D">
        <w:rPr>
          <w:rFonts w:eastAsiaTheme="majorEastAsia" w:cstheme="majorBidi"/>
          <w:bCs/>
        </w:rPr>
        <w:t xml:space="preserve"> of alemtuzumab treated patients</w:t>
      </w:r>
      <w:r w:rsidR="00694F35" w:rsidRPr="00C2053D">
        <w:rPr>
          <w:rFonts w:eastAsiaTheme="majorEastAsia" w:cstheme="majorBidi"/>
          <w:bCs/>
        </w:rPr>
        <w:t xml:space="preserve"> were supplied another PBS-listed medicine for RRMS </w:t>
      </w:r>
      <w:r w:rsidR="00112934" w:rsidRPr="00C2053D">
        <w:rPr>
          <w:rFonts w:eastAsiaTheme="majorEastAsia" w:cstheme="majorBidi"/>
          <w:bCs/>
        </w:rPr>
        <w:t xml:space="preserve">within 2 years of </w:t>
      </w:r>
      <w:r w:rsidR="00694F35" w:rsidRPr="00C2053D">
        <w:rPr>
          <w:rFonts w:eastAsiaTheme="majorEastAsia" w:cstheme="majorBidi"/>
          <w:bCs/>
        </w:rPr>
        <w:t xml:space="preserve">the initial </w:t>
      </w:r>
      <w:r w:rsidR="00112934" w:rsidRPr="00C2053D">
        <w:rPr>
          <w:rFonts w:eastAsiaTheme="majorEastAsia" w:cstheme="majorBidi"/>
          <w:bCs/>
        </w:rPr>
        <w:t xml:space="preserve">supply </w:t>
      </w:r>
      <w:r w:rsidR="00694F35" w:rsidRPr="00C2053D">
        <w:rPr>
          <w:rFonts w:eastAsiaTheme="majorEastAsia" w:cstheme="majorBidi"/>
          <w:bCs/>
        </w:rPr>
        <w:t>of alemtuzumab</w:t>
      </w:r>
      <w:r w:rsidRPr="00C2053D">
        <w:rPr>
          <w:rFonts w:eastAsiaTheme="majorEastAsia" w:cstheme="majorBidi"/>
          <w:bCs/>
        </w:rPr>
        <w:t>.</w:t>
      </w:r>
    </w:p>
    <w:p w14:paraId="5F745038" w14:textId="05E01C72" w:rsidR="0060781A" w:rsidRPr="00C2053D" w:rsidRDefault="0060781A" w:rsidP="00C2053D">
      <w:pPr>
        <w:pStyle w:val="ListParagraph"/>
        <w:numPr>
          <w:ilvl w:val="0"/>
          <w:numId w:val="13"/>
        </w:numPr>
        <w:rPr>
          <w:rFonts w:eastAsiaTheme="majorEastAsia" w:cstheme="majorBidi"/>
          <w:b/>
          <w:bCs/>
        </w:rPr>
      </w:pPr>
      <w:r w:rsidRPr="0037282C">
        <w:t xml:space="preserve">Number of patients, prescriptions and the government expenditure </w:t>
      </w:r>
      <w:r w:rsidR="0037282C">
        <w:t xml:space="preserve">for alemtuzumab </w:t>
      </w:r>
      <w:r w:rsidRPr="0037282C">
        <w:t>was higher than predicted in Year 1 but was lower than predicted in Year 3 and Year</w:t>
      </w:r>
      <w:r w:rsidR="002713C4">
        <w:t> </w:t>
      </w:r>
      <w:r w:rsidRPr="0037282C">
        <w:t>4.</w:t>
      </w:r>
    </w:p>
    <w:p w14:paraId="5B262047" w14:textId="43F3892E" w:rsidR="00E677DD" w:rsidRDefault="00E677DD" w:rsidP="00B66D5A">
      <w:pPr>
        <w:pStyle w:val="Heading1"/>
        <w:jc w:val="both"/>
      </w:pPr>
      <w:r w:rsidRPr="00CF5E22">
        <w:lastRenderedPageBreak/>
        <w:t xml:space="preserve">Purpose of </w:t>
      </w:r>
      <w:r w:rsidR="00D151EB" w:rsidRPr="00CF5E22">
        <w:t>analysis</w:t>
      </w:r>
    </w:p>
    <w:p w14:paraId="70E27A68" w14:textId="0ECDC42A" w:rsidR="003768FC" w:rsidRPr="003768FC" w:rsidRDefault="003768FC" w:rsidP="00B66D5A">
      <w:pPr>
        <w:jc w:val="both"/>
      </w:pPr>
      <w:r w:rsidRPr="003768FC">
        <w:t>To compare the predicted and a</w:t>
      </w:r>
      <w:r>
        <w:t>ctual utilisation of alemtuzumab</w:t>
      </w:r>
      <w:r w:rsidRPr="003768FC">
        <w:t xml:space="preserve"> for relapsing remi</w:t>
      </w:r>
      <w:r>
        <w:t>tting multiple sclerosis (RRMS)</w:t>
      </w:r>
      <w:r w:rsidRPr="003768FC">
        <w:t xml:space="preserve"> since it was PBS listed for this indication.</w:t>
      </w:r>
    </w:p>
    <w:p w14:paraId="0A7F0B57" w14:textId="034D22D5" w:rsidR="006537D9" w:rsidRPr="005E22C2" w:rsidRDefault="00736041" w:rsidP="00B66D5A">
      <w:pPr>
        <w:pStyle w:val="Heading1"/>
        <w:jc w:val="both"/>
      </w:pPr>
      <w:r w:rsidRPr="005E22C2">
        <w:t>Background</w:t>
      </w:r>
    </w:p>
    <w:p w14:paraId="2C748275" w14:textId="347BBEBA" w:rsidR="00EE2BBB" w:rsidRDefault="00EE2BBB" w:rsidP="00B66D5A">
      <w:pPr>
        <w:pStyle w:val="Heading2"/>
        <w:jc w:val="both"/>
      </w:pPr>
      <w:r w:rsidRPr="007247B9">
        <w:t>Clinical situation</w:t>
      </w:r>
    </w:p>
    <w:p w14:paraId="0A50A975" w14:textId="0DD136F8" w:rsidR="00B055F6" w:rsidRPr="00B055F6" w:rsidRDefault="00E1544C" w:rsidP="00C2053D">
      <w:r>
        <w:t xml:space="preserve">Multiple sclerosis (MS) </w:t>
      </w:r>
      <w:r w:rsidRPr="00E1544C">
        <w:t>is an immune-mediated disorder of the central nervous system</w:t>
      </w:r>
      <w:r w:rsidR="00B055F6">
        <w:t>.</w:t>
      </w:r>
      <w:r w:rsidR="00EF2581">
        <w:rPr>
          <w:rStyle w:val="FootnoteReference"/>
        </w:rPr>
        <w:footnoteReference w:id="1"/>
      </w:r>
      <w:r w:rsidR="00B055F6" w:rsidRPr="00B055F6">
        <w:t xml:space="preserve"> </w:t>
      </w:r>
      <w:r w:rsidR="00B055F6">
        <w:t>MS affects</w:t>
      </w:r>
      <w:r w:rsidR="009912DB">
        <w:t xml:space="preserve"> over 25,600</w:t>
      </w:r>
      <w:r w:rsidR="005A17F5">
        <w:t xml:space="preserve"> people</w:t>
      </w:r>
      <w:r w:rsidR="009912DB">
        <w:t xml:space="preserve"> in Australia </w:t>
      </w:r>
      <w:r w:rsidR="00B055F6">
        <w:t>with more than two mi</w:t>
      </w:r>
      <w:r w:rsidR="009912DB">
        <w:t>llion diagnosed worldwide</w:t>
      </w:r>
      <w:r w:rsidR="00B055F6">
        <w:t xml:space="preserve">. Most people are diagnosed between the ages of 20-40, but it can </w:t>
      </w:r>
      <w:r>
        <w:t xml:space="preserve">also </w:t>
      </w:r>
      <w:r w:rsidR="00B055F6">
        <w:t>af</w:t>
      </w:r>
      <w:r>
        <w:t>fect younger and older people</w:t>
      </w:r>
      <w:r w:rsidR="000230E4">
        <w:t xml:space="preserve">. </w:t>
      </w:r>
      <w:r w:rsidR="006507FC">
        <w:t>Three quarters of</w:t>
      </w:r>
      <w:r>
        <w:t xml:space="preserve"> </w:t>
      </w:r>
      <w:r w:rsidR="006507FC">
        <w:t xml:space="preserve">all people with MS are women. </w:t>
      </w:r>
      <w:r w:rsidR="005F3D23">
        <w:t xml:space="preserve">RRMS is the most common </w:t>
      </w:r>
      <w:r w:rsidR="0037282C">
        <w:t xml:space="preserve">MS </w:t>
      </w:r>
      <w:r w:rsidR="005F3D23">
        <w:t>disease course</w:t>
      </w:r>
      <w:r w:rsidR="0037282C">
        <w:t>,</w:t>
      </w:r>
      <w:r w:rsidR="005F3D23">
        <w:t xml:space="preserve"> characterised by clearly defined attacks followed by periods of complete or partial recovery. RRMS can be characterised as either active or non-active disease activity</w:t>
      </w:r>
      <w:r w:rsidR="0037282C">
        <w:t>,</w:t>
      </w:r>
      <w:r w:rsidR="005F3D23">
        <w:t xml:space="preserve"> as well as worsening (a confirmed increase in disability over a specified period of time following a relapse) or non-worsening. Approximately 85% of people with MS ar</w:t>
      </w:r>
      <w:r w:rsidR="00A052EA">
        <w:t>e initially diagnosed with RRMS</w:t>
      </w:r>
      <w:r w:rsidR="00B055F6" w:rsidRPr="00B055F6">
        <w:t>.</w:t>
      </w:r>
      <w:bookmarkStart w:id="0" w:name="_Ref25841725"/>
      <w:r w:rsidR="005A17F5">
        <w:rPr>
          <w:rStyle w:val="FootnoteReference"/>
        </w:rPr>
        <w:footnoteReference w:id="2"/>
      </w:r>
      <w:bookmarkEnd w:id="0"/>
      <w:r w:rsidR="00DF78A2">
        <w:rPr>
          <w:vertAlign w:val="superscript"/>
        </w:rPr>
        <w:t>,</w:t>
      </w:r>
      <w:r w:rsidR="00DF78A2">
        <w:rPr>
          <w:rStyle w:val="FootnoteReference"/>
        </w:rPr>
        <w:footnoteReference w:id="3"/>
      </w:r>
    </w:p>
    <w:p w14:paraId="0183A567" w14:textId="413DF87B" w:rsidR="007247B9" w:rsidRDefault="007247B9" w:rsidP="00B66D5A">
      <w:pPr>
        <w:pStyle w:val="Heading2"/>
        <w:jc w:val="both"/>
      </w:pPr>
      <w:r>
        <w:t>Pharmacology</w:t>
      </w:r>
    </w:p>
    <w:p w14:paraId="0550C2B2" w14:textId="28D7B769" w:rsidR="001F2424" w:rsidRDefault="008D4E6F" w:rsidP="00C2053D">
      <w:r>
        <w:t>In MS, certain types of white blood cells called lymphocytes play a role in destroying myelin, the protective sheath that surrounds nerve fibres and helps with the efficient flow of nerve signals or messages to and from the brain and various parts of the body.</w:t>
      </w:r>
      <w:r w:rsidR="008F1709">
        <w:fldChar w:fldCharType="begin"/>
      </w:r>
      <w:r w:rsidR="008F1709">
        <w:instrText xml:space="preserve"> NOTEREF _Ref25841725 \f \h </w:instrText>
      </w:r>
      <w:r w:rsidR="00C2053D">
        <w:instrText xml:space="preserve"> \* MERGEFORMAT </w:instrText>
      </w:r>
      <w:r w:rsidR="008F1709">
        <w:fldChar w:fldCharType="separate"/>
      </w:r>
      <w:r w:rsidR="00006E56" w:rsidRPr="00006E56">
        <w:rPr>
          <w:rStyle w:val="FootnoteReference"/>
        </w:rPr>
        <w:t>2</w:t>
      </w:r>
      <w:r w:rsidR="008F1709">
        <w:fldChar w:fldCharType="end"/>
      </w:r>
      <w:r>
        <w:t xml:space="preserve"> </w:t>
      </w:r>
      <w:r w:rsidR="0017123C">
        <w:t>Alemtuzumab</w:t>
      </w:r>
      <w:r>
        <w:t xml:space="preserve"> is a monoclonal antibody that binds to CD52, a cell surface antigen present at high levels on T and B lymphocytes, and at lower levels on natural killer cells, monocytes, and macrophages. The mechanism by which alemtuzumab exerts its therapeutic ef</w:t>
      </w:r>
      <w:r w:rsidR="001F2424">
        <w:t xml:space="preserve">fect in MS is unknown, </w:t>
      </w:r>
      <w:r>
        <w:t xml:space="preserve">but </w:t>
      </w:r>
      <w:r w:rsidR="00CE365D">
        <w:t>may involve immunomodulation through the</w:t>
      </w:r>
      <w:r w:rsidR="001F2424">
        <w:t xml:space="preserve"> depletion and repopulation of lymphocytes so that it may reduce the impact of the disease on </w:t>
      </w:r>
      <w:r w:rsidR="0037282C">
        <w:t xml:space="preserve">the </w:t>
      </w:r>
      <w:r w:rsidR="001F2424">
        <w:t>nervous system.</w:t>
      </w:r>
      <w:bookmarkStart w:id="1" w:name="_Ref25842790"/>
      <w:r w:rsidR="008F1709">
        <w:fldChar w:fldCharType="begin"/>
      </w:r>
      <w:r w:rsidR="008F1709">
        <w:instrText xml:space="preserve"> NOTEREF _Ref25841725 \f \h </w:instrText>
      </w:r>
      <w:r w:rsidR="00C2053D">
        <w:instrText xml:space="preserve"> \* MERGEFORMAT </w:instrText>
      </w:r>
      <w:r w:rsidR="008F1709">
        <w:fldChar w:fldCharType="separate"/>
      </w:r>
      <w:r w:rsidR="00006E56" w:rsidRPr="00006E56">
        <w:rPr>
          <w:rStyle w:val="FootnoteReference"/>
        </w:rPr>
        <w:t>2</w:t>
      </w:r>
      <w:r w:rsidR="008F1709">
        <w:fldChar w:fldCharType="end"/>
      </w:r>
      <w:r w:rsidR="0028457E">
        <w:rPr>
          <w:vertAlign w:val="superscript"/>
        </w:rPr>
        <w:t>,</w:t>
      </w:r>
      <w:bookmarkStart w:id="2" w:name="_Ref26963470"/>
      <w:r w:rsidR="001F2424">
        <w:rPr>
          <w:rStyle w:val="FootnoteReference"/>
        </w:rPr>
        <w:footnoteReference w:id="4"/>
      </w:r>
      <w:bookmarkEnd w:id="1"/>
      <w:bookmarkEnd w:id="2"/>
      <w:r w:rsidR="006E0F3B">
        <w:rPr>
          <w:vertAlign w:val="superscript"/>
        </w:rPr>
        <w:t>,</w:t>
      </w:r>
      <w:r w:rsidR="006E0F3B">
        <w:rPr>
          <w:rStyle w:val="FootnoteReference"/>
        </w:rPr>
        <w:footnoteReference w:id="5"/>
      </w:r>
    </w:p>
    <w:p w14:paraId="15E919C1" w14:textId="4F51EB9A" w:rsidR="006B709B" w:rsidRPr="001F2424" w:rsidRDefault="006B709B" w:rsidP="003717A9">
      <w:pPr>
        <w:spacing w:before="240" w:line="276" w:lineRule="auto"/>
        <w:rPr>
          <w:b/>
          <w:sz w:val="28"/>
          <w:szCs w:val="28"/>
        </w:rPr>
      </w:pPr>
      <w:r w:rsidRPr="001F2424">
        <w:rPr>
          <w:b/>
          <w:sz w:val="28"/>
          <w:szCs w:val="28"/>
        </w:rPr>
        <w:t>Dosage and administration</w:t>
      </w:r>
    </w:p>
    <w:p w14:paraId="64F3C1C3" w14:textId="77777777" w:rsidR="00BA5B70" w:rsidRDefault="00BA5B70" w:rsidP="00C2053D">
      <w:r>
        <w:t>Alemtuzumab</w:t>
      </w:r>
      <w:r w:rsidR="001F2424">
        <w:t xml:space="preserve"> treatment should be initiated and supervised by a neurolo</w:t>
      </w:r>
      <w:r>
        <w:t xml:space="preserve">gist. Specialists and equipment </w:t>
      </w:r>
      <w:r w:rsidR="001F2424">
        <w:t xml:space="preserve">required for the timely diagnosis and management of serious </w:t>
      </w:r>
      <w:r>
        <w:t xml:space="preserve">adverse </w:t>
      </w:r>
      <w:r>
        <w:lastRenderedPageBreak/>
        <w:t xml:space="preserve">reactions, especially </w:t>
      </w:r>
      <w:r w:rsidR="001F2424">
        <w:t>autoimmune conditions and infections, should be available.</w:t>
      </w:r>
      <w:r>
        <w:t xml:space="preserve"> Facilities for the management of hypersensitivity and/or anaphylactic reactions should be available.</w:t>
      </w:r>
    </w:p>
    <w:p w14:paraId="01C009DD" w14:textId="0F92B0AD" w:rsidR="00BA5B70" w:rsidRDefault="00BA5B70" w:rsidP="00C2053D">
      <w:r w:rsidRPr="00BA5B70">
        <w:t xml:space="preserve">Patients treated with </w:t>
      </w:r>
      <w:r w:rsidR="00973517">
        <w:t>alemtuzumab</w:t>
      </w:r>
      <w:r w:rsidRPr="00BA5B70">
        <w:t xml:space="preserve"> must be given the Patient Wallet Card and Patient Guide and be</w:t>
      </w:r>
      <w:r>
        <w:t xml:space="preserve"> </w:t>
      </w:r>
      <w:r w:rsidRPr="00BA5B70">
        <w:t>infor</w:t>
      </w:r>
      <w:r>
        <w:t xml:space="preserve">med about the risks of </w:t>
      </w:r>
      <w:r w:rsidR="00973517">
        <w:t>alemtuzumab</w:t>
      </w:r>
      <w:r>
        <w:t xml:space="preserve">. </w:t>
      </w:r>
    </w:p>
    <w:p w14:paraId="4C83BBFD" w14:textId="6818E28B" w:rsidR="00BA5B70" w:rsidRPr="00BA5B70" w:rsidRDefault="00BA5B70" w:rsidP="00973517">
      <w:r>
        <w:t>T</w:t>
      </w:r>
      <w:r w:rsidRPr="00BA5B70">
        <w:t xml:space="preserve">he recommended dose of </w:t>
      </w:r>
      <w:r w:rsidR="00973517">
        <w:t>alemtuzumab</w:t>
      </w:r>
      <w:r w:rsidR="00973517" w:rsidRPr="00BA5B70">
        <w:t xml:space="preserve"> </w:t>
      </w:r>
      <w:r w:rsidRPr="00BA5B70">
        <w:t xml:space="preserve">is 12 mg/day administered by IV infusion for </w:t>
      </w:r>
      <w:r w:rsidR="002713C4">
        <w:t>two</w:t>
      </w:r>
      <w:r w:rsidRPr="00BA5B70">
        <w:t xml:space="preserve"> or more</w:t>
      </w:r>
      <w:r w:rsidR="00F00992">
        <w:t xml:space="preserve"> </w:t>
      </w:r>
      <w:r w:rsidRPr="00F00992">
        <w:t>treatment courses.</w:t>
      </w:r>
      <w:r w:rsidR="00D841B4">
        <w:fldChar w:fldCharType="begin"/>
      </w:r>
      <w:r w:rsidR="00D841B4">
        <w:instrText xml:space="preserve"> NOTEREF _Ref26963470 \f \h </w:instrText>
      </w:r>
      <w:r w:rsidR="00D841B4">
        <w:fldChar w:fldCharType="separate"/>
      </w:r>
      <w:r w:rsidR="00006E56" w:rsidRPr="00006E56">
        <w:rPr>
          <w:rStyle w:val="FootnoteReference"/>
        </w:rPr>
        <w:t>4</w:t>
      </w:r>
      <w:r w:rsidR="00D841B4">
        <w:fldChar w:fldCharType="end"/>
      </w:r>
    </w:p>
    <w:p w14:paraId="7D418D18" w14:textId="3C7FDFCE" w:rsidR="00BA5B70" w:rsidRPr="00BA5B70" w:rsidRDefault="00BA5B70" w:rsidP="00B66D5A">
      <w:pPr>
        <w:pStyle w:val="Heading2"/>
        <w:jc w:val="both"/>
        <w:rPr>
          <w:sz w:val="24"/>
        </w:rPr>
      </w:pPr>
      <w:r w:rsidRPr="00BA5B70">
        <w:rPr>
          <w:sz w:val="24"/>
        </w:rPr>
        <w:t>Initial treatment of two courses</w:t>
      </w:r>
    </w:p>
    <w:p w14:paraId="56CEC841" w14:textId="6476D278" w:rsidR="00BA5B70" w:rsidRPr="009D0597" w:rsidRDefault="00BA5B70" w:rsidP="009D0597">
      <w:pPr>
        <w:pStyle w:val="ListParagraph"/>
        <w:numPr>
          <w:ilvl w:val="0"/>
          <w:numId w:val="13"/>
        </w:numPr>
      </w:pPr>
      <w:r w:rsidRPr="009D0597">
        <w:t xml:space="preserve">First treatment course: 12 mg/day on </w:t>
      </w:r>
      <w:r w:rsidR="002713C4" w:rsidRPr="009D0597">
        <w:t>five</w:t>
      </w:r>
      <w:r w:rsidRPr="009D0597">
        <w:t xml:space="preserve"> consecutive days (60 mg total dose)</w:t>
      </w:r>
    </w:p>
    <w:p w14:paraId="35B131A6" w14:textId="7D257AAE" w:rsidR="00BA5B70" w:rsidRPr="009D0597" w:rsidRDefault="00BA5B70" w:rsidP="009D0597">
      <w:pPr>
        <w:pStyle w:val="ListParagraph"/>
        <w:numPr>
          <w:ilvl w:val="0"/>
          <w:numId w:val="13"/>
        </w:numPr>
      </w:pPr>
      <w:r w:rsidRPr="009D0597">
        <w:t xml:space="preserve">Second treatment course: 12 mg/day on </w:t>
      </w:r>
      <w:r w:rsidR="002713C4" w:rsidRPr="009D0597">
        <w:t>three</w:t>
      </w:r>
      <w:r w:rsidRPr="009D0597">
        <w:t xml:space="preserve"> consecutive days (36 mg total dose) administered 12 months after the first treatment course.</w:t>
      </w:r>
    </w:p>
    <w:p w14:paraId="64D41ED5" w14:textId="157E9F47" w:rsidR="00BA5B70" w:rsidRPr="00BA5B70" w:rsidRDefault="00BA5B70" w:rsidP="00B66D5A">
      <w:pPr>
        <w:pStyle w:val="Heading2"/>
        <w:jc w:val="both"/>
        <w:rPr>
          <w:sz w:val="24"/>
        </w:rPr>
      </w:pPr>
      <w:r w:rsidRPr="00BA5B70">
        <w:rPr>
          <w:sz w:val="24"/>
        </w:rPr>
        <w:t>Additional as-needed treatment course(s)</w:t>
      </w:r>
    </w:p>
    <w:p w14:paraId="491F944C" w14:textId="3743384D" w:rsidR="00BA5B70" w:rsidRPr="009D0597" w:rsidRDefault="00BA5B70" w:rsidP="009D0597">
      <w:pPr>
        <w:pStyle w:val="ListParagraph"/>
        <w:numPr>
          <w:ilvl w:val="0"/>
          <w:numId w:val="13"/>
        </w:numPr>
      </w:pPr>
      <w:r w:rsidRPr="009D0597">
        <w:t>Additional treatment with a third or fourth course: 12</w:t>
      </w:r>
      <w:r w:rsidR="002713C4" w:rsidRPr="009D0597">
        <w:t> </w:t>
      </w:r>
      <w:r w:rsidRPr="009D0597">
        <w:t xml:space="preserve">mg/day on </w:t>
      </w:r>
      <w:r w:rsidR="002713C4" w:rsidRPr="009D0597">
        <w:t>three</w:t>
      </w:r>
      <w:r w:rsidRPr="009D0597">
        <w:t xml:space="preserve"> consecutive days (36</w:t>
      </w:r>
      <w:r w:rsidR="0037282C" w:rsidRPr="009D0597">
        <w:t> </w:t>
      </w:r>
      <w:r w:rsidRPr="009D0597">
        <w:t>mg total dose) administrated at least 12 months after the prior treatment course</w:t>
      </w:r>
      <w:r w:rsidR="00024334" w:rsidRPr="009D0597">
        <w:t xml:space="preserve"> (not PBS subsidised)</w:t>
      </w:r>
      <w:r w:rsidR="00F640ED" w:rsidRPr="009D0597">
        <w:t>.</w:t>
      </w:r>
    </w:p>
    <w:p w14:paraId="30F296FF" w14:textId="77777777" w:rsidR="00BA5B70" w:rsidRPr="00BA5B70" w:rsidRDefault="00BA5B70" w:rsidP="00B66D5A">
      <w:pPr>
        <w:pStyle w:val="Heading2"/>
        <w:jc w:val="both"/>
        <w:rPr>
          <w:sz w:val="24"/>
        </w:rPr>
      </w:pPr>
      <w:r w:rsidRPr="00BA5B70">
        <w:rPr>
          <w:sz w:val="24"/>
        </w:rPr>
        <w:t>Follow-up of patients</w:t>
      </w:r>
    </w:p>
    <w:p w14:paraId="27B227CB" w14:textId="2FE92D44" w:rsidR="00BA5B70" w:rsidRDefault="00BA5B70" w:rsidP="00C2053D">
      <w:pPr>
        <w:rPr>
          <w:b/>
        </w:rPr>
      </w:pPr>
      <w:r w:rsidRPr="00BA5B70">
        <w:t xml:space="preserve">The therapy is recommended as an initial treatment of </w:t>
      </w:r>
      <w:r w:rsidR="002713C4">
        <w:t>two</w:t>
      </w:r>
      <w:r w:rsidRPr="00BA5B70">
        <w:t xml:space="preserve"> courses w</w:t>
      </w:r>
      <w:r>
        <w:t xml:space="preserve">ith safety follow-up of patients </w:t>
      </w:r>
      <w:r w:rsidRPr="00BA5B70">
        <w:t>from initiation of the first treatment course and</w:t>
      </w:r>
      <w:r>
        <w:t xml:space="preserve"> until 48 months after the last </w:t>
      </w:r>
      <w:r w:rsidRPr="00BA5B70">
        <w:t>infusion of the</w:t>
      </w:r>
      <w:r>
        <w:t xml:space="preserve"> </w:t>
      </w:r>
      <w:r w:rsidRPr="00BA5B70">
        <w:t>second treatment course. If an additional course is administered, continue</w:t>
      </w:r>
      <w:r w:rsidR="002713C4">
        <w:t>d</w:t>
      </w:r>
      <w:r w:rsidRPr="00BA5B70">
        <w:t xml:space="preserve"> safety follow-up</w:t>
      </w:r>
      <w:r w:rsidR="002713C4">
        <w:t xml:space="preserve"> is recommended</w:t>
      </w:r>
      <w:r w:rsidRPr="00BA5B70">
        <w:t xml:space="preserve"> until 48 months after the last infusion.</w:t>
      </w:r>
      <w:r w:rsidR="008F1709" w:rsidRPr="008F1709">
        <w:rPr>
          <w:b/>
          <w:vertAlign w:val="superscript"/>
        </w:rPr>
        <w:fldChar w:fldCharType="begin"/>
      </w:r>
      <w:r w:rsidR="008F1709" w:rsidRPr="008F1709">
        <w:rPr>
          <w:vertAlign w:val="superscript"/>
        </w:rPr>
        <w:instrText xml:space="preserve"> NOTEREF _Ref26963470 \f \h  \* MERGEFORMAT </w:instrText>
      </w:r>
      <w:r w:rsidR="008F1709" w:rsidRPr="008F1709">
        <w:rPr>
          <w:b/>
          <w:vertAlign w:val="superscript"/>
        </w:rPr>
      </w:r>
      <w:r w:rsidR="008F1709" w:rsidRPr="008F1709">
        <w:rPr>
          <w:b/>
          <w:vertAlign w:val="superscript"/>
        </w:rPr>
        <w:fldChar w:fldCharType="separate"/>
      </w:r>
      <w:r w:rsidR="00006E56" w:rsidRPr="00006E56">
        <w:rPr>
          <w:rStyle w:val="FootnoteReference"/>
        </w:rPr>
        <w:t>4</w:t>
      </w:r>
      <w:r w:rsidR="008F1709" w:rsidRPr="008F1709">
        <w:rPr>
          <w:b/>
          <w:vertAlign w:val="superscript"/>
        </w:rPr>
        <w:fldChar w:fldCharType="end"/>
      </w:r>
    </w:p>
    <w:p w14:paraId="1D6C5318" w14:textId="12DB5764" w:rsidR="00D0024D" w:rsidRPr="002D7B10" w:rsidRDefault="002D7B10" w:rsidP="00D0024D">
      <w:pPr>
        <w:rPr>
          <w:b/>
          <w:sz w:val="28"/>
          <w:szCs w:val="28"/>
        </w:rPr>
      </w:pPr>
      <w:r w:rsidRPr="002D7B10">
        <w:rPr>
          <w:b/>
          <w:sz w:val="28"/>
          <w:szCs w:val="28"/>
        </w:rPr>
        <w:t>Consideration by international regulatory bodies</w:t>
      </w:r>
    </w:p>
    <w:p w14:paraId="26A47294" w14:textId="7257CBD0" w:rsidR="00091235" w:rsidRPr="00091235" w:rsidRDefault="002D7B10" w:rsidP="00C2053D">
      <w:pPr>
        <w:rPr>
          <w:b/>
        </w:rPr>
      </w:pPr>
      <w:r w:rsidRPr="002D7B10">
        <w:t>In November 2018, the U.S. Food and Drug Administration (FDA) released a drug safety announcement warning that rare but serious cases of stroke and tears in the lining of arteries in the head and neck have occurred in patients with multiple sclerosis shortly after they received alemtuzumab. The FDA noted that these problems could lead to permanent disability and even death. As a result, the FDA included a new warning about these risks to the prescribing information in the drug label and to the patient Medication Guide. The FDA also added the risk of stroke to the existing Boxed Warning, FDA’s most prominent warning.</w:t>
      </w:r>
      <w:r w:rsidRPr="002D7B10">
        <w:rPr>
          <w:rStyle w:val="FootnoteReference"/>
        </w:rPr>
        <w:footnoteReference w:id="6"/>
      </w:r>
      <w:r w:rsidR="00787915">
        <w:t xml:space="preserve"> </w:t>
      </w:r>
      <w:r w:rsidR="00091235" w:rsidRPr="00091235">
        <w:t>The E</w:t>
      </w:r>
      <w:r w:rsidR="00091235">
        <w:t xml:space="preserve">uropean Medicines Agency (EMA) </w:t>
      </w:r>
      <w:r w:rsidRPr="002D7B10">
        <w:t xml:space="preserve">recommended that alemtuzumab should only be used to treat </w:t>
      </w:r>
      <w:r w:rsidR="00F36421">
        <w:t>RRMS</w:t>
      </w:r>
      <w:r w:rsidRPr="002D7B10">
        <w:t xml:space="preserve"> if the disease is highly active despite treatment with at least one disease-modifying therapy or if the disease is worsening rapidly. </w:t>
      </w:r>
      <w:r w:rsidR="00091235">
        <w:t>Alemtuzumab</w:t>
      </w:r>
      <w:r w:rsidRPr="002D7B10">
        <w:t xml:space="preserve"> must also no longer be used in patients with certain heart, circulation or bleeding disorders or in patients who have autoimmune disorders other than multiple sclerosis.</w:t>
      </w:r>
      <w:r w:rsidRPr="002D7B10">
        <w:rPr>
          <w:rStyle w:val="FootnoteReference"/>
        </w:rPr>
        <w:footnoteReference w:id="7"/>
      </w:r>
      <w:r w:rsidR="00FF01FF">
        <w:t xml:space="preserve"> </w:t>
      </w:r>
      <w:r w:rsidR="00B02F2E">
        <w:t>In</w:t>
      </w:r>
      <w:r w:rsidR="00C06D98">
        <w:t xml:space="preserve"> Australia, the</w:t>
      </w:r>
      <w:r w:rsidR="00C517EA">
        <w:t xml:space="preserve"> </w:t>
      </w:r>
      <w:r w:rsidR="00C517EA">
        <w:lastRenderedPageBreak/>
        <w:t xml:space="preserve">Sponsor circulated a </w:t>
      </w:r>
      <w:r w:rsidR="00C06D98">
        <w:t xml:space="preserve">letter </w:t>
      </w:r>
      <w:r w:rsidR="00FF01FF">
        <w:t xml:space="preserve">to health professionals </w:t>
      </w:r>
      <w:r w:rsidR="00C06D98">
        <w:t xml:space="preserve">in July 2019 </w:t>
      </w:r>
      <w:r w:rsidR="00C06D98" w:rsidRPr="00C06D98">
        <w:t>regarding the adverse events that lead to the restrictions in Europe.</w:t>
      </w:r>
      <w:r w:rsidR="00B02F2E">
        <w:rPr>
          <w:rStyle w:val="FootnoteReference"/>
        </w:rPr>
        <w:footnoteReference w:id="8"/>
      </w:r>
      <w:r w:rsidR="00C06D98" w:rsidRPr="00C06D98">
        <w:t xml:space="preserve"> </w:t>
      </w:r>
    </w:p>
    <w:p w14:paraId="46E2BB42" w14:textId="66B3767B" w:rsidR="00DF0B13" w:rsidRPr="00BA5B70" w:rsidRDefault="00BA5B70" w:rsidP="00BA5B70">
      <w:pPr>
        <w:pStyle w:val="Heading2"/>
        <w:rPr>
          <w:szCs w:val="28"/>
        </w:rPr>
      </w:pPr>
      <w:r w:rsidRPr="00BA5B70">
        <w:rPr>
          <w:szCs w:val="28"/>
        </w:rPr>
        <w:t xml:space="preserve">PBS </w:t>
      </w:r>
      <w:r w:rsidR="00DF0B13" w:rsidRPr="00BA5B70" w:rsidDel="00EE2BBB">
        <w:rPr>
          <w:szCs w:val="28"/>
        </w:rPr>
        <w:t>listing details</w:t>
      </w:r>
      <w:r w:rsidR="00D151EB" w:rsidRPr="00BA5B70" w:rsidDel="00EE2BBB">
        <w:rPr>
          <w:szCs w:val="28"/>
        </w:rPr>
        <w:t xml:space="preserve"> (</w:t>
      </w:r>
      <w:r>
        <w:rPr>
          <w:szCs w:val="28"/>
        </w:rPr>
        <w:t>Current as at November 2019</w:t>
      </w:r>
      <w:r w:rsidR="00D151EB" w:rsidRPr="00BA5B70" w:rsidDel="00EE2BBB">
        <w:rPr>
          <w:szCs w:val="28"/>
        </w:rPr>
        <w:t>)</w:t>
      </w:r>
    </w:p>
    <w:p w14:paraId="1D47784A" w14:textId="4B5348CC" w:rsidR="001420B3" w:rsidRPr="001420B3" w:rsidDel="00EE2BBB" w:rsidRDefault="001420B3" w:rsidP="00BA5B70">
      <w:pPr>
        <w:pStyle w:val="Tabletitle"/>
      </w:pPr>
      <w:r w:rsidRPr="001420B3" w:rsidDel="00EE2BBB">
        <w:t>T</w:t>
      </w:r>
      <w:r w:rsidR="00BA5B70">
        <w:t>able 1</w:t>
      </w:r>
      <w:r w:rsidRPr="001420B3" w:rsidDel="00EE2BBB">
        <w:t xml:space="preserve">: </w:t>
      </w:r>
      <w:r w:rsidR="009663B6" w:rsidDel="00EE2BBB">
        <w:t>PB</w:t>
      </w:r>
      <w:r w:rsidR="006B6281">
        <w:t xml:space="preserve">S listing of </w:t>
      </w:r>
      <w:r w:rsidR="006B6281" w:rsidRPr="006B6281">
        <w:t>alemtuzumab</w:t>
      </w:r>
    </w:p>
    <w:tbl>
      <w:tblPr>
        <w:tblStyle w:val="TableGrid"/>
        <w:tblW w:w="8835" w:type="dxa"/>
        <w:tblLayout w:type="fixed"/>
        <w:tblLook w:val="04A0" w:firstRow="1" w:lastRow="0" w:firstColumn="1" w:lastColumn="0" w:noHBand="0" w:noVBand="1"/>
        <w:tblCaption w:val="Table 1: PBS listing of alemtuzumab"/>
        <w:tblDescription w:val="Table 1: PBS listing of alemtuzumab"/>
      </w:tblPr>
      <w:tblGrid>
        <w:gridCol w:w="988"/>
        <w:gridCol w:w="2671"/>
        <w:gridCol w:w="859"/>
        <w:gridCol w:w="910"/>
        <w:gridCol w:w="605"/>
        <w:gridCol w:w="1163"/>
        <w:gridCol w:w="1639"/>
      </w:tblGrid>
      <w:tr w:rsidR="00572FE7" w:rsidRPr="00A35800" w:rsidDel="00EE2BBB" w14:paraId="6AA19A37" w14:textId="77B518AD" w:rsidTr="009D0597">
        <w:trPr>
          <w:trHeight w:val="672"/>
          <w:tblHeader/>
        </w:trPr>
        <w:tc>
          <w:tcPr>
            <w:tcW w:w="988" w:type="dxa"/>
            <w:shd w:val="clear" w:color="auto" w:fill="BFBFBF" w:themeFill="background1" w:themeFillShade="BF"/>
          </w:tcPr>
          <w:p w14:paraId="56A3DEA0" w14:textId="1A878237" w:rsidR="00572FE7" w:rsidRPr="00A35800" w:rsidDel="00EE2BBB" w:rsidRDefault="00572FE7" w:rsidP="00A35800">
            <w:pPr>
              <w:pStyle w:val="Tableheading"/>
              <w:rPr>
                <w:sz w:val="20"/>
                <w:szCs w:val="20"/>
              </w:rPr>
            </w:pPr>
            <w:r w:rsidRPr="00A35800" w:rsidDel="00EE2BBB">
              <w:rPr>
                <w:sz w:val="20"/>
                <w:szCs w:val="20"/>
              </w:rPr>
              <w:t>Item</w:t>
            </w:r>
          </w:p>
        </w:tc>
        <w:tc>
          <w:tcPr>
            <w:tcW w:w="2671" w:type="dxa"/>
            <w:shd w:val="clear" w:color="auto" w:fill="BFBFBF" w:themeFill="background1" w:themeFillShade="BF"/>
          </w:tcPr>
          <w:p w14:paraId="67A07252" w14:textId="6DE43662" w:rsidR="00572FE7" w:rsidRPr="00A35800" w:rsidDel="00EE2BBB" w:rsidRDefault="00572FE7" w:rsidP="00A35800">
            <w:pPr>
              <w:pStyle w:val="Tableheading"/>
              <w:rPr>
                <w:sz w:val="20"/>
                <w:szCs w:val="20"/>
              </w:rPr>
            </w:pPr>
            <w:r w:rsidRPr="00A35800" w:rsidDel="00EE2BBB">
              <w:rPr>
                <w:sz w:val="20"/>
                <w:szCs w:val="20"/>
              </w:rPr>
              <w:t>Name, form &amp; strength, pack size</w:t>
            </w:r>
          </w:p>
        </w:tc>
        <w:tc>
          <w:tcPr>
            <w:tcW w:w="859" w:type="dxa"/>
            <w:shd w:val="clear" w:color="auto" w:fill="BFBFBF" w:themeFill="background1" w:themeFillShade="BF"/>
          </w:tcPr>
          <w:p w14:paraId="114E9799" w14:textId="2C72F9D2" w:rsidR="00572FE7" w:rsidRPr="00A35800" w:rsidDel="00EE2BBB" w:rsidRDefault="00572FE7" w:rsidP="00A35800">
            <w:pPr>
              <w:pStyle w:val="Tableheading"/>
              <w:rPr>
                <w:sz w:val="20"/>
                <w:szCs w:val="20"/>
              </w:rPr>
            </w:pPr>
            <w:r w:rsidRPr="00A35800" w:rsidDel="00EE2BBB">
              <w:rPr>
                <w:sz w:val="20"/>
                <w:szCs w:val="20"/>
              </w:rPr>
              <w:t xml:space="preserve">Max. </w:t>
            </w:r>
            <w:r>
              <w:rPr>
                <w:sz w:val="20"/>
                <w:szCs w:val="20"/>
              </w:rPr>
              <w:t>qty packs</w:t>
            </w:r>
            <w:r w:rsidRPr="00A35800" w:rsidDel="00EE2BBB">
              <w:rPr>
                <w:sz w:val="20"/>
                <w:szCs w:val="20"/>
              </w:rPr>
              <w:t xml:space="preserve">. </w:t>
            </w:r>
          </w:p>
        </w:tc>
        <w:tc>
          <w:tcPr>
            <w:tcW w:w="910" w:type="dxa"/>
            <w:shd w:val="clear" w:color="auto" w:fill="BFBFBF" w:themeFill="background1" w:themeFillShade="BF"/>
          </w:tcPr>
          <w:p w14:paraId="588DCAFA" w14:textId="559243F3" w:rsidR="00572FE7" w:rsidRPr="00A35800" w:rsidDel="00EE2BBB" w:rsidRDefault="00572FE7" w:rsidP="00A35800">
            <w:pPr>
              <w:pStyle w:val="Tableheading"/>
              <w:rPr>
                <w:sz w:val="20"/>
                <w:szCs w:val="20"/>
              </w:rPr>
            </w:pPr>
            <w:r>
              <w:rPr>
                <w:sz w:val="20"/>
                <w:szCs w:val="20"/>
              </w:rPr>
              <w:t>Max. qty units</w:t>
            </w:r>
            <w:r w:rsidRPr="00572FE7">
              <w:rPr>
                <w:sz w:val="20"/>
                <w:szCs w:val="20"/>
              </w:rPr>
              <w:t>.</w:t>
            </w:r>
          </w:p>
        </w:tc>
        <w:tc>
          <w:tcPr>
            <w:tcW w:w="605" w:type="dxa"/>
            <w:shd w:val="clear" w:color="auto" w:fill="BFBFBF" w:themeFill="background1" w:themeFillShade="BF"/>
          </w:tcPr>
          <w:p w14:paraId="0F1A79F7" w14:textId="5EBB753F" w:rsidR="00572FE7" w:rsidRPr="00A35800" w:rsidDel="00EE2BBB" w:rsidRDefault="00572FE7" w:rsidP="00A35800">
            <w:pPr>
              <w:pStyle w:val="Tableheading"/>
              <w:rPr>
                <w:sz w:val="20"/>
                <w:szCs w:val="20"/>
              </w:rPr>
            </w:pPr>
            <w:r w:rsidRPr="00A35800" w:rsidDel="00EE2BBB">
              <w:rPr>
                <w:sz w:val="20"/>
                <w:szCs w:val="20"/>
              </w:rPr>
              <w:t xml:space="preserve">Rpts </w:t>
            </w:r>
          </w:p>
        </w:tc>
        <w:tc>
          <w:tcPr>
            <w:tcW w:w="1163" w:type="dxa"/>
            <w:shd w:val="clear" w:color="auto" w:fill="BFBFBF" w:themeFill="background1" w:themeFillShade="BF"/>
          </w:tcPr>
          <w:p w14:paraId="05C5A0BF" w14:textId="2CFF9AC9" w:rsidR="00572FE7" w:rsidRPr="00A35800" w:rsidDel="00EE2BBB" w:rsidRDefault="00572FE7" w:rsidP="00A35800">
            <w:pPr>
              <w:pStyle w:val="Tableheading"/>
              <w:rPr>
                <w:sz w:val="20"/>
                <w:szCs w:val="20"/>
              </w:rPr>
            </w:pPr>
            <w:r w:rsidRPr="00A35800" w:rsidDel="00EE2BBB">
              <w:rPr>
                <w:sz w:val="20"/>
                <w:szCs w:val="20"/>
              </w:rPr>
              <w:t>DPMQ</w:t>
            </w:r>
          </w:p>
        </w:tc>
        <w:tc>
          <w:tcPr>
            <w:tcW w:w="1639" w:type="dxa"/>
            <w:shd w:val="clear" w:color="auto" w:fill="BFBFBF" w:themeFill="background1" w:themeFillShade="BF"/>
          </w:tcPr>
          <w:p w14:paraId="09B472B7" w14:textId="479D46E2" w:rsidR="00572FE7" w:rsidRPr="00A35800" w:rsidDel="00EE2BBB" w:rsidRDefault="00572FE7" w:rsidP="00A35800">
            <w:pPr>
              <w:pStyle w:val="Tableheading"/>
              <w:rPr>
                <w:sz w:val="20"/>
                <w:szCs w:val="20"/>
              </w:rPr>
            </w:pPr>
            <w:r w:rsidRPr="00A35800" w:rsidDel="00EE2BBB">
              <w:rPr>
                <w:sz w:val="20"/>
                <w:szCs w:val="20"/>
              </w:rPr>
              <w:t>Brand name and manufacturer</w:t>
            </w:r>
          </w:p>
        </w:tc>
      </w:tr>
      <w:tr w:rsidR="00F00992" w:rsidRPr="00A35800" w:rsidDel="00EE2BBB" w14:paraId="2AF9D84B" w14:textId="0D323411" w:rsidTr="009D0597">
        <w:trPr>
          <w:trHeight w:val="535"/>
          <w:tblHeader/>
        </w:trPr>
        <w:tc>
          <w:tcPr>
            <w:tcW w:w="988" w:type="dxa"/>
            <w:shd w:val="clear" w:color="auto" w:fill="auto"/>
          </w:tcPr>
          <w:p w14:paraId="0A3E3442" w14:textId="154421A6" w:rsidR="00F00992" w:rsidRPr="00A35800" w:rsidDel="00EE2BBB" w:rsidRDefault="00F00992" w:rsidP="00F00992">
            <w:pPr>
              <w:pStyle w:val="Tablewriting"/>
            </w:pPr>
            <w:r>
              <w:t>10228H</w:t>
            </w:r>
          </w:p>
        </w:tc>
        <w:tc>
          <w:tcPr>
            <w:tcW w:w="2671" w:type="dxa"/>
            <w:shd w:val="clear" w:color="auto" w:fill="auto"/>
          </w:tcPr>
          <w:p w14:paraId="0F676F51" w14:textId="3CB153ED" w:rsidR="00F00992" w:rsidRPr="00A35800" w:rsidDel="00EE2BBB" w:rsidRDefault="00F00992" w:rsidP="00F00992">
            <w:pPr>
              <w:pStyle w:val="Tablewriting"/>
            </w:pPr>
            <w:r>
              <w:t>alemtuzumab 12 mg/1.2 mL injection, 1.2 mL vial</w:t>
            </w:r>
          </w:p>
        </w:tc>
        <w:tc>
          <w:tcPr>
            <w:tcW w:w="859" w:type="dxa"/>
            <w:shd w:val="clear" w:color="auto" w:fill="auto"/>
          </w:tcPr>
          <w:p w14:paraId="0E2637C4" w14:textId="6346FD44" w:rsidR="00F00992" w:rsidRPr="00A35800" w:rsidDel="00EE2BBB" w:rsidRDefault="00F00992" w:rsidP="00F00992">
            <w:pPr>
              <w:pStyle w:val="Tablewriting"/>
            </w:pPr>
            <w:r w:rsidRPr="006B6281">
              <w:t>5</w:t>
            </w:r>
          </w:p>
        </w:tc>
        <w:tc>
          <w:tcPr>
            <w:tcW w:w="910" w:type="dxa"/>
            <w:shd w:val="clear" w:color="auto" w:fill="auto"/>
          </w:tcPr>
          <w:p w14:paraId="5F97B101" w14:textId="256F4971" w:rsidR="00F00992" w:rsidRDefault="00F00992" w:rsidP="00F00992">
            <w:pPr>
              <w:pStyle w:val="Tablewriting"/>
            </w:pPr>
            <w:r w:rsidRPr="006B6281">
              <w:t>5</w:t>
            </w:r>
          </w:p>
        </w:tc>
        <w:tc>
          <w:tcPr>
            <w:tcW w:w="605" w:type="dxa"/>
            <w:shd w:val="clear" w:color="auto" w:fill="auto"/>
          </w:tcPr>
          <w:p w14:paraId="6B361CAA" w14:textId="52B0B189" w:rsidR="00F00992" w:rsidRPr="00A35800" w:rsidDel="00EE2BBB" w:rsidRDefault="00F00992" w:rsidP="00F00992">
            <w:pPr>
              <w:pStyle w:val="Tablewriting"/>
            </w:pPr>
            <w:r>
              <w:t>0</w:t>
            </w:r>
          </w:p>
        </w:tc>
        <w:tc>
          <w:tcPr>
            <w:tcW w:w="1163" w:type="dxa"/>
            <w:shd w:val="clear" w:color="auto" w:fill="auto"/>
          </w:tcPr>
          <w:p w14:paraId="15F68405" w14:textId="3FC7B502" w:rsidR="00F00992" w:rsidRPr="00A35800" w:rsidDel="00EE2BBB" w:rsidRDefault="00F00992" w:rsidP="00F00992">
            <w:pPr>
              <w:pStyle w:val="Tablewriting"/>
            </w:pPr>
            <w:r w:rsidRPr="006B6281">
              <w:t>$56970.00</w:t>
            </w:r>
          </w:p>
        </w:tc>
        <w:tc>
          <w:tcPr>
            <w:tcW w:w="1639" w:type="dxa"/>
            <w:shd w:val="clear" w:color="auto" w:fill="auto"/>
          </w:tcPr>
          <w:p w14:paraId="14E4B084" w14:textId="77777777" w:rsidR="00F00992" w:rsidRDefault="00F00992" w:rsidP="00F00992">
            <w:pPr>
              <w:pStyle w:val="Tablewriting"/>
            </w:pPr>
            <w:r w:rsidRPr="006B6281">
              <w:t>Lemtrada</w:t>
            </w:r>
            <w:r w:rsidRPr="00CC66FC">
              <w:t>®</w:t>
            </w:r>
            <w:r>
              <w:t xml:space="preserve"> </w:t>
            </w:r>
          </w:p>
          <w:p w14:paraId="2D337AC6" w14:textId="5DCCCD16" w:rsidR="00F00992" w:rsidRPr="00A35800" w:rsidDel="00EE2BBB" w:rsidRDefault="00F00992" w:rsidP="00F00992">
            <w:pPr>
              <w:pStyle w:val="Tablewriting"/>
            </w:pPr>
            <w:r w:rsidRPr="00F00992">
              <w:t>sanofi-aventis Australia Pty Ltd</w:t>
            </w:r>
          </w:p>
        </w:tc>
      </w:tr>
      <w:tr w:rsidR="00F00992" w:rsidRPr="00A35800" w:rsidDel="00EE2BBB" w14:paraId="5A26F6DA" w14:textId="5F9D4936" w:rsidTr="009D0597">
        <w:trPr>
          <w:trHeight w:val="529"/>
          <w:tblHeader/>
        </w:trPr>
        <w:tc>
          <w:tcPr>
            <w:tcW w:w="988" w:type="dxa"/>
            <w:shd w:val="clear" w:color="auto" w:fill="auto"/>
          </w:tcPr>
          <w:p w14:paraId="76F26606" w14:textId="336EA541" w:rsidR="00F00992" w:rsidRPr="00A35800" w:rsidDel="00EE2BBB" w:rsidRDefault="00F00992" w:rsidP="00F00992">
            <w:pPr>
              <w:pStyle w:val="Tablewriting"/>
            </w:pPr>
            <w:r w:rsidRPr="006B6281">
              <w:t>10232M</w:t>
            </w:r>
          </w:p>
        </w:tc>
        <w:tc>
          <w:tcPr>
            <w:tcW w:w="2671" w:type="dxa"/>
            <w:shd w:val="clear" w:color="auto" w:fill="auto"/>
          </w:tcPr>
          <w:p w14:paraId="4C40F7E7" w14:textId="4685CD8D" w:rsidR="00F00992" w:rsidRPr="00A35800" w:rsidDel="00EE2BBB" w:rsidRDefault="00F00992" w:rsidP="00F00992">
            <w:pPr>
              <w:pStyle w:val="Tablewriting"/>
            </w:pPr>
            <w:r w:rsidRPr="006B6281">
              <w:t>alemtuzumab 12 mg/1.2 mL injection, 1.2 mL vial</w:t>
            </w:r>
          </w:p>
        </w:tc>
        <w:tc>
          <w:tcPr>
            <w:tcW w:w="859" w:type="dxa"/>
            <w:shd w:val="clear" w:color="auto" w:fill="auto"/>
          </w:tcPr>
          <w:p w14:paraId="73733F58" w14:textId="6B4A061D" w:rsidR="00F00992" w:rsidRPr="00A35800" w:rsidDel="00EE2BBB" w:rsidRDefault="00F00992" w:rsidP="00F00992">
            <w:pPr>
              <w:pStyle w:val="Tablewriting"/>
            </w:pPr>
            <w:r>
              <w:t>3</w:t>
            </w:r>
          </w:p>
        </w:tc>
        <w:tc>
          <w:tcPr>
            <w:tcW w:w="910" w:type="dxa"/>
            <w:shd w:val="clear" w:color="auto" w:fill="auto"/>
          </w:tcPr>
          <w:p w14:paraId="7B070DDB" w14:textId="396133AA" w:rsidR="00F00992" w:rsidRDefault="00F00992" w:rsidP="00F00992">
            <w:pPr>
              <w:pStyle w:val="Tablewriting"/>
            </w:pPr>
            <w:r>
              <w:t>3</w:t>
            </w:r>
          </w:p>
        </w:tc>
        <w:tc>
          <w:tcPr>
            <w:tcW w:w="605" w:type="dxa"/>
            <w:shd w:val="clear" w:color="auto" w:fill="auto"/>
          </w:tcPr>
          <w:p w14:paraId="2751F86C" w14:textId="596E6434" w:rsidR="00F00992" w:rsidRPr="00A35800" w:rsidDel="00EE2BBB" w:rsidRDefault="00F00992" w:rsidP="00F00992">
            <w:pPr>
              <w:pStyle w:val="Tablewriting"/>
            </w:pPr>
            <w:r>
              <w:t>0</w:t>
            </w:r>
          </w:p>
        </w:tc>
        <w:tc>
          <w:tcPr>
            <w:tcW w:w="1163" w:type="dxa"/>
            <w:shd w:val="clear" w:color="auto" w:fill="auto"/>
          </w:tcPr>
          <w:p w14:paraId="0EB41EFB" w14:textId="5DE5FA25" w:rsidR="00F00992" w:rsidRPr="00A35800" w:rsidDel="00EE2BBB" w:rsidRDefault="00F00992" w:rsidP="00F00992">
            <w:pPr>
              <w:pStyle w:val="Tablewriting"/>
            </w:pPr>
            <w:r w:rsidRPr="006B6281">
              <w:t>$34182.00</w:t>
            </w:r>
          </w:p>
        </w:tc>
        <w:tc>
          <w:tcPr>
            <w:tcW w:w="1639" w:type="dxa"/>
            <w:shd w:val="clear" w:color="auto" w:fill="auto"/>
          </w:tcPr>
          <w:p w14:paraId="656051D7" w14:textId="77777777" w:rsidR="00F00992" w:rsidRDefault="00F00992" w:rsidP="00F00992">
            <w:pPr>
              <w:pStyle w:val="Tablewriting"/>
            </w:pPr>
            <w:r w:rsidRPr="006B6281">
              <w:t>Lemtrada</w:t>
            </w:r>
            <w:r w:rsidRPr="00CC66FC">
              <w:t>®</w:t>
            </w:r>
          </w:p>
          <w:p w14:paraId="2F152B32" w14:textId="7B9B0EBB" w:rsidR="00F00992" w:rsidRPr="00A35800" w:rsidDel="00EE2BBB" w:rsidRDefault="00F00992" w:rsidP="00F00992">
            <w:pPr>
              <w:pStyle w:val="Tablewriting"/>
            </w:pPr>
            <w:r w:rsidRPr="00F00992">
              <w:t>sanofi-aventis Australia Pty Ltd</w:t>
            </w:r>
          </w:p>
        </w:tc>
      </w:tr>
      <w:tr w:rsidR="00F00992" w:rsidRPr="00A35800" w:rsidDel="00EE2BBB" w14:paraId="0770DF2F" w14:textId="77777777" w:rsidTr="009D0597">
        <w:trPr>
          <w:trHeight w:val="529"/>
          <w:tblHeader/>
        </w:trPr>
        <w:tc>
          <w:tcPr>
            <w:tcW w:w="988" w:type="dxa"/>
            <w:shd w:val="clear" w:color="auto" w:fill="auto"/>
          </w:tcPr>
          <w:p w14:paraId="38909C98" w14:textId="1EEF6286" w:rsidR="00F00992" w:rsidRPr="006B6281" w:rsidRDefault="00F00992" w:rsidP="00F00992">
            <w:pPr>
              <w:pStyle w:val="Tablewriting"/>
            </w:pPr>
            <w:r w:rsidRPr="006B6281">
              <w:t>10243D</w:t>
            </w:r>
          </w:p>
        </w:tc>
        <w:tc>
          <w:tcPr>
            <w:tcW w:w="2671" w:type="dxa"/>
            <w:shd w:val="clear" w:color="auto" w:fill="auto"/>
          </w:tcPr>
          <w:p w14:paraId="1ED43801" w14:textId="1367266D" w:rsidR="00F00992" w:rsidRPr="006B6281" w:rsidRDefault="00F00992" w:rsidP="00F00992">
            <w:pPr>
              <w:pStyle w:val="Tablewriting"/>
            </w:pPr>
            <w:r w:rsidRPr="006B6281">
              <w:t>alemtuzumab 12 mg/1.2 mL injection, 1.2 mL vial</w:t>
            </w:r>
          </w:p>
        </w:tc>
        <w:tc>
          <w:tcPr>
            <w:tcW w:w="859" w:type="dxa"/>
            <w:shd w:val="clear" w:color="auto" w:fill="auto"/>
          </w:tcPr>
          <w:p w14:paraId="4E754E76" w14:textId="0A9E7D65" w:rsidR="00F00992" w:rsidRDefault="00F00992" w:rsidP="00F00992">
            <w:pPr>
              <w:pStyle w:val="Tablewriting"/>
            </w:pPr>
            <w:r>
              <w:t>5</w:t>
            </w:r>
          </w:p>
        </w:tc>
        <w:tc>
          <w:tcPr>
            <w:tcW w:w="910" w:type="dxa"/>
            <w:shd w:val="clear" w:color="auto" w:fill="auto"/>
          </w:tcPr>
          <w:p w14:paraId="48058BDD" w14:textId="6107E2C3" w:rsidR="00F00992" w:rsidRDefault="00F00992" w:rsidP="00F00992">
            <w:pPr>
              <w:pStyle w:val="Tablewriting"/>
            </w:pPr>
            <w:r>
              <w:t>5</w:t>
            </w:r>
          </w:p>
        </w:tc>
        <w:tc>
          <w:tcPr>
            <w:tcW w:w="605" w:type="dxa"/>
            <w:shd w:val="clear" w:color="auto" w:fill="auto"/>
          </w:tcPr>
          <w:p w14:paraId="054FE561" w14:textId="58AB8B22" w:rsidR="00F00992" w:rsidRDefault="00F00992" w:rsidP="00F00992">
            <w:pPr>
              <w:pStyle w:val="Tablewriting"/>
            </w:pPr>
            <w:r>
              <w:t>0</w:t>
            </w:r>
          </w:p>
        </w:tc>
        <w:tc>
          <w:tcPr>
            <w:tcW w:w="1163" w:type="dxa"/>
            <w:shd w:val="clear" w:color="auto" w:fill="auto"/>
          </w:tcPr>
          <w:p w14:paraId="651F6BEA" w14:textId="26ECCB82" w:rsidR="00F00992" w:rsidRPr="006B6281" w:rsidRDefault="00F00992" w:rsidP="00F00992">
            <w:pPr>
              <w:pStyle w:val="Tablewriting"/>
            </w:pPr>
            <w:r w:rsidRPr="006B6281">
              <w:t>$57017.39</w:t>
            </w:r>
          </w:p>
        </w:tc>
        <w:tc>
          <w:tcPr>
            <w:tcW w:w="1639" w:type="dxa"/>
            <w:shd w:val="clear" w:color="auto" w:fill="auto"/>
          </w:tcPr>
          <w:p w14:paraId="50F0F246" w14:textId="77777777" w:rsidR="00F00992" w:rsidRDefault="00F00992" w:rsidP="00F00992">
            <w:pPr>
              <w:pStyle w:val="Tablewriting"/>
            </w:pPr>
            <w:r w:rsidRPr="006B6281">
              <w:t>Lemtrada</w:t>
            </w:r>
            <w:r w:rsidRPr="00CC66FC">
              <w:t>®</w:t>
            </w:r>
          </w:p>
          <w:p w14:paraId="017BDA43" w14:textId="2550E7F7" w:rsidR="00F00992" w:rsidRPr="006B6281" w:rsidRDefault="00F00992" w:rsidP="00F00992">
            <w:pPr>
              <w:pStyle w:val="Tablewriting"/>
            </w:pPr>
            <w:r w:rsidRPr="00F00992">
              <w:t>sanofi-aventis Australia Pty Ltd</w:t>
            </w:r>
          </w:p>
        </w:tc>
      </w:tr>
      <w:tr w:rsidR="00F00992" w:rsidRPr="00A35800" w:rsidDel="00EE2BBB" w14:paraId="7CEE586D" w14:textId="77777777" w:rsidTr="009D0597">
        <w:trPr>
          <w:trHeight w:val="529"/>
          <w:tblHeader/>
        </w:trPr>
        <w:tc>
          <w:tcPr>
            <w:tcW w:w="988" w:type="dxa"/>
            <w:shd w:val="clear" w:color="auto" w:fill="auto"/>
          </w:tcPr>
          <w:p w14:paraId="7768CED1" w14:textId="24B8B615" w:rsidR="00F00992" w:rsidRPr="006B6281" w:rsidRDefault="00F00992" w:rsidP="00F00992">
            <w:pPr>
              <w:pStyle w:val="Tablewriting"/>
            </w:pPr>
            <w:r w:rsidRPr="006B6281">
              <w:t>10246G</w:t>
            </w:r>
          </w:p>
        </w:tc>
        <w:tc>
          <w:tcPr>
            <w:tcW w:w="2671" w:type="dxa"/>
            <w:shd w:val="clear" w:color="auto" w:fill="auto"/>
          </w:tcPr>
          <w:p w14:paraId="0AD3121A" w14:textId="3CCDF8A3" w:rsidR="00F00992" w:rsidRPr="006B6281" w:rsidRDefault="00F00992" w:rsidP="00F00992">
            <w:pPr>
              <w:pStyle w:val="Tablewriting"/>
            </w:pPr>
            <w:r w:rsidRPr="006B6281">
              <w:t>alemtuzumab 12 mg/1.2 mL injection, 1.2 mL vial</w:t>
            </w:r>
          </w:p>
        </w:tc>
        <w:tc>
          <w:tcPr>
            <w:tcW w:w="859" w:type="dxa"/>
            <w:shd w:val="clear" w:color="auto" w:fill="auto"/>
          </w:tcPr>
          <w:p w14:paraId="5E6A31C1" w14:textId="2A8804FE" w:rsidR="00F00992" w:rsidRDefault="00F00992" w:rsidP="00F00992">
            <w:pPr>
              <w:pStyle w:val="Tablewriting"/>
            </w:pPr>
            <w:r>
              <w:t>3</w:t>
            </w:r>
          </w:p>
        </w:tc>
        <w:tc>
          <w:tcPr>
            <w:tcW w:w="910" w:type="dxa"/>
            <w:shd w:val="clear" w:color="auto" w:fill="auto"/>
          </w:tcPr>
          <w:p w14:paraId="2925DA6D" w14:textId="06934329" w:rsidR="00F00992" w:rsidRDefault="00F00992" w:rsidP="00F00992">
            <w:pPr>
              <w:pStyle w:val="Tablewriting"/>
            </w:pPr>
            <w:r>
              <w:t>3</w:t>
            </w:r>
          </w:p>
        </w:tc>
        <w:tc>
          <w:tcPr>
            <w:tcW w:w="605" w:type="dxa"/>
            <w:shd w:val="clear" w:color="auto" w:fill="auto"/>
          </w:tcPr>
          <w:p w14:paraId="2B03AFCD" w14:textId="17D3886F" w:rsidR="00F00992" w:rsidRDefault="00F00992" w:rsidP="00F00992">
            <w:pPr>
              <w:pStyle w:val="Tablewriting"/>
            </w:pPr>
            <w:r>
              <w:t>0</w:t>
            </w:r>
          </w:p>
        </w:tc>
        <w:tc>
          <w:tcPr>
            <w:tcW w:w="1163" w:type="dxa"/>
            <w:shd w:val="clear" w:color="auto" w:fill="auto"/>
          </w:tcPr>
          <w:p w14:paraId="477C1A86" w14:textId="00B7CBDF" w:rsidR="00F00992" w:rsidRPr="006B6281" w:rsidRDefault="00F00992" w:rsidP="00F00992">
            <w:pPr>
              <w:pStyle w:val="Tablewriting"/>
            </w:pPr>
            <w:r w:rsidRPr="006B6281">
              <w:t>$34229.38</w:t>
            </w:r>
          </w:p>
        </w:tc>
        <w:tc>
          <w:tcPr>
            <w:tcW w:w="1639" w:type="dxa"/>
            <w:shd w:val="clear" w:color="auto" w:fill="auto"/>
          </w:tcPr>
          <w:p w14:paraId="62E63C09" w14:textId="32D1C6A3" w:rsidR="00F00992" w:rsidRDefault="00F00992" w:rsidP="00F00992">
            <w:pPr>
              <w:pStyle w:val="Tablewriting"/>
            </w:pPr>
            <w:r w:rsidRPr="006B6281">
              <w:t>Lemtrada</w:t>
            </w:r>
            <w:r w:rsidRPr="00CC66FC">
              <w:t>®</w:t>
            </w:r>
          </w:p>
          <w:p w14:paraId="7F12525B" w14:textId="5172ED5F" w:rsidR="00F00992" w:rsidRPr="006B6281" w:rsidRDefault="00F00992" w:rsidP="00F00992">
            <w:pPr>
              <w:pStyle w:val="Tablewriting"/>
            </w:pPr>
            <w:r w:rsidRPr="00F00992">
              <w:t>sanofi-aventis Australia Pty Ltd</w:t>
            </w:r>
          </w:p>
        </w:tc>
      </w:tr>
    </w:tbl>
    <w:p w14:paraId="1183F151" w14:textId="7787EFD0" w:rsidR="007247B9" w:rsidRPr="00A35800" w:rsidDel="00EE2BBB" w:rsidRDefault="007408C7" w:rsidP="00BB1D3B">
      <w:pPr>
        <w:pStyle w:val="Notes"/>
      </w:pPr>
      <w:r w:rsidRPr="00A35800" w:rsidDel="00EE2BBB">
        <w:t xml:space="preserve">Source: </w:t>
      </w:r>
      <w:r w:rsidR="001624D7" w:rsidDel="00EE2BBB">
        <w:t xml:space="preserve">the </w:t>
      </w:r>
      <w:hyperlink r:id="rId8" w:history="1">
        <w:r w:rsidR="001624D7" w:rsidRPr="001624D7" w:rsidDel="00EE2BBB">
          <w:rPr>
            <w:rStyle w:val="Hyperlink"/>
          </w:rPr>
          <w:t>PBS website</w:t>
        </w:r>
      </w:hyperlink>
      <w:r w:rsidR="001624D7" w:rsidDel="00EE2BBB">
        <w:t>.</w:t>
      </w:r>
      <w:r w:rsidR="0080485E" w:rsidDel="00EE2BBB">
        <w:t xml:space="preserve"> </w:t>
      </w:r>
      <w:r w:rsidR="006B6281" w:rsidRPr="006B6281">
        <w:t>Special Pricing Arrangements apply.</w:t>
      </w:r>
    </w:p>
    <w:p w14:paraId="03D62CC9" w14:textId="69AF7EA6" w:rsidR="00572FE7" w:rsidRDefault="00572FE7" w:rsidP="00572FE7">
      <w:pPr>
        <w:jc w:val="both"/>
      </w:pPr>
      <w:r>
        <w:t>Neurologists prescribing PBS-subsidised alemtuzumab must be registered with the Lemtrada monitoring program.</w:t>
      </w:r>
    </w:p>
    <w:p w14:paraId="38354E51" w14:textId="77777777" w:rsidR="00572FE7" w:rsidRDefault="00572FE7" w:rsidP="00572FE7">
      <w:pPr>
        <w:jc w:val="both"/>
      </w:pPr>
      <w:r>
        <w:t>No increase in the maximum quantity or number of units may be authorised.</w:t>
      </w:r>
    </w:p>
    <w:p w14:paraId="6D1202A7" w14:textId="6A7160F9" w:rsidR="00572FE7" w:rsidRDefault="00572FE7" w:rsidP="00572FE7">
      <w:pPr>
        <w:jc w:val="both"/>
      </w:pPr>
      <w:r>
        <w:t>No increase in the maximum number of repeats may be authorised.</w:t>
      </w:r>
    </w:p>
    <w:p w14:paraId="1AFA1485" w14:textId="1BD12844" w:rsidR="004C3186" w:rsidDel="00EE2BBB" w:rsidRDefault="004C3186" w:rsidP="00572FE7">
      <w:pPr>
        <w:pStyle w:val="Heading3"/>
        <w:jc w:val="both"/>
      </w:pPr>
      <w:r w:rsidDel="00EE2BBB">
        <w:t>Restriction</w:t>
      </w:r>
    </w:p>
    <w:p w14:paraId="57C2F26F" w14:textId="38ECA0C0" w:rsidR="003B18B3" w:rsidRDefault="00572FE7" w:rsidP="00572FE7">
      <w:pPr>
        <w:jc w:val="both"/>
      </w:pPr>
      <w:r>
        <w:t>Multiple sclerosis</w:t>
      </w:r>
    </w:p>
    <w:p w14:paraId="252CE4D0" w14:textId="36243BD7" w:rsidR="006859F9" w:rsidRDefault="003B18B3" w:rsidP="00572FE7">
      <w:pPr>
        <w:jc w:val="both"/>
        <w:rPr>
          <w:b/>
        </w:rPr>
      </w:pPr>
      <w:r w:rsidRPr="003B18B3">
        <w:rPr>
          <w:b/>
        </w:rPr>
        <w:t>Treatment Phase: Initial treatment</w:t>
      </w:r>
    </w:p>
    <w:p w14:paraId="59CDAC41" w14:textId="254A0EF7" w:rsidR="003B18B3" w:rsidRPr="00572FE7" w:rsidRDefault="003B18B3" w:rsidP="00572FE7">
      <w:pPr>
        <w:jc w:val="both"/>
        <w:rPr>
          <w:b/>
        </w:rPr>
      </w:pPr>
      <w:r w:rsidRPr="00572FE7">
        <w:rPr>
          <w:b/>
        </w:rPr>
        <w:t>Clinical criteria:</w:t>
      </w:r>
    </w:p>
    <w:p w14:paraId="7DFB1ADE" w14:textId="6D005AEB" w:rsidR="003B18B3" w:rsidRDefault="003B18B3" w:rsidP="00C2053D">
      <w:r>
        <w:t xml:space="preserve">The condition must be diagnosed as clinically definite relapsing-remitting multiple sclerosis by magnetic resonance imaging of </w:t>
      </w:r>
      <w:r w:rsidR="00FB4D03">
        <w:t>the brain and/or spinal cord; or</w:t>
      </w:r>
    </w:p>
    <w:p w14:paraId="581DA88B" w14:textId="638DA059" w:rsidR="003B18B3" w:rsidRDefault="003B18B3" w:rsidP="00C2053D">
      <w:r>
        <w:t xml:space="preserve">The condition must be diagnosed as clinically definite relapsing-remitting multiple sclerosis by accompanying written certification provided by a radiologist that a magnetic resonance </w:t>
      </w:r>
      <w:r>
        <w:lastRenderedPageBreak/>
        <w:t>imaging scan is contraindicated because of the risk of physical (not psychological) injury to the patient,</w:t>
      </w:r>
      <w:r w:rsidR="00FB4D03">
        <w:t xml:space="preserve"> and</w:t>
      </w:r>
    </w:p>
    <w:p w14:paraId="178C9872" w14:textId="604B1D0D" w:rsidR="003B18B3" w:rsidRDefault="003B18B3" w:rsidP="00C2053D">
      <w:r>
        <w:t>The treatment must be a sole PBS-subsidised disease modifying therapy for this condition,</w:t>
      </w:r>
      <w:r w:rsidR="00FB4D03">
        <w:t xml:space="preserve"> and</w:t>
      </w:r>
    </w:p>
    <w:p w14:paraId="270B378A" w14:textId="3032EB1C" w:rsidR="003B18B3" w:rsidRDefault="003B18B3" w:rsidP="00C2053D">
      <w:r>
        <w:t>Patient must have experienced at least 2 documented attacks of neurological dysfunction, believed to be due to multiple sclerosis, in the preceding 2 years of commencing a PBS-subsidised disease modifying therapy for this condition,</w:t>
      </w:r>
      <w:r w:rsidR="00FB4D03">
        <w:t xml:space="preserve"> and</w:t>
      </w:r>
    </w:p>
    <w:p w14:paraId="778AD1C0" w14:textId="74591AD6" w:rsidR="003B18B3" w:rsidRDefault="003B18B3" w:rsidP="00572FE7">
      <w:pPr>
        <w:jc w:val="both"/>
      </w:pPr>
      <w:r>
        <w:t xml:space="preserve">Patient must be ambulatory </w:t>
      </w:r>
      <w:r w:rsidR="00572FE7">
        <w:t>(without assistance or support)</w:t>
      </w:r>
    </w:p>
    <w:p w14:paraId="3709F6FF" w14:textId="53ECFB36" w:rsidR="00572FE7" w:rsidRPr="00572FE7" w:rsidRDefault="00572FE7" w:rsidP="00572FE7">
      <w:pPr>
        <w:jc w:val="both"/>
        <w:rPr>
          <w:b/>
        </w:rPr>
      </w:pPr>
      <w:r>
        <w:rPr>
          <w:b/>
        </w:rPr>
        <w:t>Treatment criteria:</w:t>
      </w:r>
    </w:p>
    <w:p w14:paraId="145567CF" w14:textId="77777777" w:rsidR="00572FE7" w:rsidRPr="00572FE7" w:rsidRDefault="00572FE7" w:rsidP="00572FE7">
      <w:pPr>
        <w:jc w:val="both"/>
      </w:pPr>
      <w:r w:rsidRPr="00572FE7">
        <w:t>Must be treated by a neurologist.</w:t>
      </w:r>
    </w:p>
    <w:p w14:paraId="540EB91F" w14:textId="74701268" w:rsidR="00572FE7" w:rsidRPr="00572FE7" w:rsidRDefault="00572FE7" w:rsidP="00572FE7">
      <w:pPr>
        <w:jc w:val="both"/>
      </w:pPr>
      <w:r w:rsidRPr="00572FE7">
        <w:t>Where applicable, the date of the magnetic resonance imaging scan must be recorded in the patient's medical records.</w:t>
      </w:r>
    </w:p>
    <w:p w14:paraId="19677B55" w14:textId="6C92285F" w:rsidR="00572FE7" w:rsidRPr="00572FE7" w:rsidRDefault="00572FE7" w:rsidP="00572FE7">
      <w:pPr>
        <w:jc w:val="both"/>
        <w:rPr>
          <w:b/>
        </w:rPr>
      </w:pPr>
      <w:r w:rsidRPr="00572FE7">
        <w:rPr>
          <w:b/>
        </w:rPr>
        <w:t>Treatment Phase: Continuing treatment</w:t>
      </w:r>
    </w:p>
    <w:p w14:paraId="699AFB1F" w14:textId="6C55CDFB" w:rsidR="003B18B3" w:rsidRDefault="00572FE7" w:rsidP="00572FE7">
      <w:pPr>
        <w:jc w:val="both"/>
        <w:rPr>
          <w:b/>
        </w:rPr>
      </w:pPr>
      <w:r w:rsidRPr="00572FE7">
        <w:rPr>
          <w:b/>
        </w:rPr>
        <w:t>Clinical criteria:</w:t>
      </w:r>
    </w:p>
    <w:p w14:paraId="00ED13FD" w14:textId="30949D7E" w:rsidR="003B18B3" w:rsidRPr="003B18B3" w:rsidRDefault="003B18B3" w:rsidP="00572FE7">
      <w:pPr>
        <w:jc w:val="both"/>
      </w:pPr>
      <w:r w:rsidRPr="003B18B3">
        <w:t>Patient must have previously received PBS-subsidised treatment wit</w:t>
      </w:r>
      <w:r>
        <w:t>h this drug for this condition,</w:t>
      </w:r>
      <w:r w:rsidR="00FB4D03" w:rsidRPr="00FB4D03">
        <w:t xml:space="preserve"> </w:t>
      </w:r>
      <w:r w:rsidR="00FB4D03">
        <w:t>and</w:t>
      </w:r>
    </w:p>
    <w:p w14:paraId="5ECD0F07" w14:textId="39949F50" w:rsidR="003B18B3" w:rsidRPr="003B18B3" w:rsidRDefault="003B18B3" w:rsidP="00572FE7">
      <w:pPr>
        <w:jc w:val="both"/>
      </w:pPr>
      <w:r w:rsidRPr="003B18B3">
        <w:t>Patient must not show continuing progression of disability whi</w:t>
      </w:r>
      <w:r>
        <w:t>le on treatment with this drug,</w:t>
      </w:r>
      <w:r w:rsidR="00FB4D03" w:rsidRPr="00FB4D03">
        <w:t xml:space="preserve"> </w:t>
      </w:r>
      <w:r w:rsidR="00FB4D03">
        <w:t>and</w:t>
      </w:r>
    </w:p>
    <w:p w14:paraId="37E8B5C2" w14:textId="30DF5064" w:rsidR="003B18B3" w:rsidRPr="003B18B3" w:rsidRDefault="003B18B3" w:rsidP="00572FE7">
      <w:pPr>
        <w:jc w:val="both"/>
      </w:pPr>
      <w:r w:rsidRPr="003B18B3">
        <w:t>Patient must not receive more than one PBS-subsidised treatment per year,</w:t>
      </w:r>
      <w:r w:rsidR="00FB4D03" w:rsidRPr="00FB4D03">
        <w:t xml:space="preserve"> </w:t>
      </w:r>
      <w:r w:rsidR="00FB4D03">
        <w:t>and</w:t>
      </w:r>
    </w:p>
    <w:p w14:paraId="777AF3C9" w14:textId="6CFE1845" w:rsidR="003B18B3" w:rsidRPr="003B18B3" w:rsidRDefault="003B18B3" w:rsidP="00572FE7">
      <w:pPr>
        <w:jc w:val="both"/>
      </w:pPr>
      <w:r w:rsidRPr="003B18B3">
        <w:t>The treatment must be a sole PBS-subsidised disease modify</w:t>
      </w:r>
      <w:r>
        <w:t>ing therapy for this condition,</w:t>
      </w:r>
      <w:r w:rsidR="00FB4D03" w:rsidRPr="00FB4D03">
        <w:t xml:space="preserve"> </w:t>
      </w:r>
      <w:r w:rsidR="00FB4D03">
        <w:t>and</w:t>
      </w:r>
    </w:p>
    <w:p w14:paraId="49CB0891" w14:textId="1C61B322" w:rsidR="003B18B3" w:rsidRPr="00572FE7" w:rsidRDefault="003B18B3" w:rsidP="00572FE7">
      <w:pPr>
        <w:jc w:val="both"/>
      </w:pPr>
      <w:r w:rsidRPr="003B18B3">
        <w:t>Patient must have demonstrated compliance with, and an ab</w:t>
      </w:r>
      <w:r>
        <w:t>ility to tolerate this therapy.</w:t>
      </w:r>
    </w:p>
    <w:p w14:paraId="323B264B" w14:textId="6180EB20" w:rsidR="003B18B3" w:rsidRPr="003B18B3" w:rsidRDefault="003B18B3" w:rsidP="00572FE7">
      <w:pPr>
        <w:jc w:val="both"/>
        <w:rPr>
          <w:b/>
        </w:rPr>
      </w:pPr>
      <w:r w:rsidRPr="003B18B3">
        <w:rPr>
          <w:b/>
        </w:rPr>
        <w:t>Treatment c</w:t>
      </w:r>
      <w:r>
        <w:rPr>
          <w:b/>
        </w:rPr>
        <w:t>riteria:</w:t>
      </w:r>
    </w:p>
    <w:p w14:paraId="6F3FEECB" w14:textId="77777777" w:rsidR="005C72D1" w:rsidRDefault="003B18B3" w:rsidP="0068492A">
      <w:pPr>
        <w:jc w:val="both"/>
      </w:pPr>
      <w:r w:rsidRPr="003B18B3">
        <w:t>Must be treated by a neurologist.</w:t>
      </w:r>
    </w:p>
    <w:p w14:paraId="25BF52C1" w14:textId="0F8B54C6" w:rsidR="009A673D" w:rsidRPr="005C72D1" w:rsidDel="00EE2BBB" w:rsidRDefault="006775F1" w:rsidP="0068492A">
      <w:pPr>
        <w:jc w:val="both"/>
      </w:pPr>
      <w:r w:rsidRPr="006775F1" w:rsidDel="00EE2BBB">
        <w:t xml:space="preserve">For </w:t>
      </w:r>
      <w:r w:rsidR="00835337" w:rsidDel="00EE2BBB">
        <w:t xml:space="preserve">details of the current PBS listing refer to the </w:t>
      </w:r>
      <w:hyperlink r:id="rId9" w:history="1">
        <w:r w:rsidR="00835337" w:rsidRPr="00645D51" w:rsidDel="00EE2BBB">
          <w:rPr>
            <w:rStyle w:val="Hyperlink"/>
          </w:rPr>
          <w:t>PBS website</w:t>
        </w:r>
      </w:hyperlink>
      <w:r w:rsidR="00835337" w:rsidDel="00EE2BBB">
        <w:rPr>
          <w:rStyle w:val="Hyperlink"/>
        </w:rPr>
        <w:t>.</w:t>
      </w:r>
    </w:p>
    <w:p w14:paraId="509ADFEB" w14:textId="201634E9" w:rsidR="009C35F2" w:rsidRDefault="009C35F2" w:rsidP="00FB4D03">
      <w:pPr>
        <w:pStyle w:val="Heading3"/>
        <w:keepNext/>
        <w:jc w:val="both"/>
      </w:pPr>
      <w:r w:rsidRPr="00675BB1" w:rsidDel="00EE2BBB">
        <w:t>Date of listing on PBS</w:t>
      </w:r>
    </w:p>
    <w:p w14:paraId="554A0481" w14:textId="10446B6C" w:rsidR="00AA0597" w:rsidRPr="00B66D5A" w:rsidRDefault="00B66D5A" w:rsidP="0068492A">
      <w:pPr>
        <w:jc w:val="both"/>
      </w:pPr>
      <w:r>
        <w:t xml:space="preserve">Alemtuzumab was listed as a </w:t>
      </w:r>
      <w:r w:rsidRPr="00B66D5A">
        <w:t>Section 10</w:t>
      </w:r>
      <w:r>
        <w:t xml:space="preserve">0 Highly Specialised Drug (HSD) as Authority </w:t>
      </w:r>
      <w:r w:rsidR="00AA0597">
        <w:t>Required</w:t>
      </w:r>
      <w:r>
        <w:t xml:space="preserve"> for private hospital prescriptions</w:t>
      </w:r>
      <w:r w:rsidR="00AA0597">
        <w:t xml:space="preserve"> and as Authority Required (STREAMLINED) for public</w:t>
      </w:r>
      <w:r>
        <w:t xml:space="preserve"> hospitals on 1 April 2015.</w:t>
      </w:r>
    </w:p>
    <w:p w14:paraId="39EF75ED" w14:textId="73256AB5" w:rsidR="00675BB1" w:rsidRPr="00675BB1" w:rsidDel="00EE2BBB" w:rsidRDefault="00675BB1" w:rsidP="009A673D">
      <w:pPr>
        <w:pStyle w:val="Heading3"/>
        <w:jc w:val="both"/>
      </w:pPr>
      <w:r w:rsidRPr="00675BB1" w:rsidDel="00EE2BBB">
        <w:t>Changes to listing</w:t>
      </w:r>
    </w:p>
    <w:p w14:paraId="4374E120" w14:textId="3C3470B6" w:rsidR="009A673D" w:rsidRDefault="009A673D" w:rsidP="009A673D">
      <w:pPr>
        <w:jc w:val="both"/>
      </w:pPr>
      <w:r>
        <w:t xml:space="preserve">From 1 October 2019, alemtuzumab S100 HSD Private item codes 10243D and 10246G changed from </w:t>
      </w:r>
      <w:r w:rsidRPr="009A673D">
        <w:t>Authority Required</w:t>
      </w:r>
      <w:r>
        <w:t xml:space="preserve"> to </w:t>
      </w:r>
      <w:r w:rsidRPr="009A673D">
        <w:t>Authority Required (STREAMLINED)</w:t>
      </w:r>
      <w:r>
        <w:t>.</w:t>
      </w:r>
    </w:p>
    <w:p w14:paraId="6FE19388" w14:textId="1F8ECAB9" w:rsidR="005C72D1" w:rsidRDefault="00BF544D" w:rsidP="0068492A">
      <w:pPr>
        <w:jc w:val="both"/>
      </w:pPr>
      <w:r w:rsidRPr="002F61CA" w:rsidDel="00EE2BBB">
        <w:lastRenderedPageBreak/>
        <w:t xml:space="preserve">Current PBS listing details are available from </w:t>
      </w:r>
      <w:r w:rsidDel="00EE2BBB">
        <w:t xml:space="preserve">the </w:t>
      </w:r>
      <w:hyperlink r:id="rId10" w:history="1">
        <w:r w:rsidRPr="00645D51" w:rsidDel="00EE2BBB">
          <w:rPr>
            <w:rStyle w:val="Hyperlink"/>
          </w:rPr>
          <w:t>PBS website</w:t>
        </w:r>
      </w:hyperlink>
      <w:r w:rsidDel="00EE2BBB">
        <w:t>.</w:t>
      </w:r>
    </w:p>
    <w:p w14:paraId="383E312E" w14:textId="724CF700" w:rsidR="00736041" w:rsidRPr="005E22C2" w:rsidRDefault="00394AEE" w:rsidP="0068492A">
      <w:pPr>
        <w:pStyle w:val="Heading2"/>
        <w:jc w:val="both"/>
      </w:pPr>
      <w:r>
        <w:t>Relevant aspects of</w:t>
      </w:r>
      <w:r w:rsidR="00736041" w:rsidRPr="005E22C2">
        <w:t xml:space="preserve"> consideration</w:t>
      </w:r>
      <w:r>
        <w:t xml:space="preserve"> by the Pharmaceutical Benefits Advisory Committee (PBAC)</w:t>
      </w:r>
    </w:p>
    <w:p w14:paraId="54B9267B" w14:textId="4193EE02" w:rsidR="00C03A27" w:rsidRDefault="00C03A27" w:rsidP="00FB4D03">
      <w:pPr>
        <w:pStyle w:val="Heading3"/>
      </w:pPr>
      <w:r>
        <w:t>July 2014</w:t>
      </w:r>
    </w:p>
    <w:p w14:paraId="680057DD" w14:textId="68597D57" w:rsidR="00AA0597" w:rsidRDefault="00AA0597" w:rsidP="00C2053D">
      <w:r>
        <w:t>The PBAC recommended the</w:t>
      </w:r>
      <w:r w:rsidR="005C72D1">
        <w:t xml:space="preserve"> Authority Required Section 100 HSD </w:t>
      </w:r>
      <w:r>
        <w:t>listing of alemtuzumab for the treatment of RRMS, on the basis of non-inferior effectiveness and a different safety profile to fingolimod and natalizumab.</w:t>
      </w:r>
    </w:p>
    <w:p w14:paraId="3F662DE6" w14:textId="72EB5445" w:rsidR="003B7EFE" w:rsidRDefault="00B25C74" w:rsidP="00C2053D">
      <w:r>
        <w:t xml:space="preserve">The PBAC noted that the clinician at the hearing reaffirmed the proposed clinical place for alemtuzumab as: a first-line therapy in patients with poor prognostic signs; and as escalation therapy in treatment experienced patients with ongoing disease activity. The PBAC recognised that there may be a clinical need for the drug in patients with high disease activity, noting the consumer comments. The PBAC considered that this clinical place was uncertain, particularly in the early stages of the disease, where there is pressure to decide which treatment to initiate before poor prognostic signs manifest. Over time, should confidence with this medicine grow in the absence of any emerging but unexpected safety concerns, this is likely to result in earlier treatment in </w:t>
      </w:r>
      <w:r w:rsidR="00500C2A">
        <w:t>patients with better prognosis.</w:t>
      </w:r>
    </w:p>
    <w:p w14:paraId="4AA75380" w14:textId="45C0BEA0" w:rsidR="00500C2A" w:rsidRDefault="00500C2A" w:rsidP="00C2053D">
      <w:r w:rsidRPr="00500C2A">
        <w:t>The PBAC considered that the claim of clinical durability of alemtuzumab compared to fingolimod and natalizumab had not been supported in the submission. The PBAC noted that the claim of durability was informed by the interim results of the CARE-MS extension study, and that the duration of the clinical effect compared to fingolimod and natalizumab remains uncertain. The PBAC considered that cost-minimisation based on two years of treatment with fingolimod or natalizumab was supported by the available data.</w:t>
      </w:r>
    </w:p>
    <w:p w14:paraId="702DDF97" w14:textId="47B213EB" w:rsidR="00AA0597" w:rsidRDefault="00AA0597" w:rsidP="00C2053D">
      <w:r w:rsidRPr="00AA0597">
        <w:t>This submission was not considered by DUSC.</w:t>
      </w:r>
      <w:r>
        <w:t xml:space="preserve"> The commentary considered the submission appeared to substantially underestimate the costs associated with alemtuzumab and to substantially overestimate the cost-offsets associated with comparator therapies.</w:t>
      </w:r>
    </w:p>
    <w:p w14:paraId="384EC0EA" w14:textId="6329011E" w:rsidR="003B7EFE" w:rsidRPr="00500C2A" w:rsidRDefault="00AA0597" w:rsidP="00C2053D">
      <w:r>
        <w:t xml:space="preserve">The commentary considered alemtuzumab may grow the market for multiple sclerosis therapies by providing another line of therapy. </w:t>
      </w:r>
      <w:r w:rsidR="00986A80">
        <w:t>The submission argued</w:t>
      </w:r>
      <w:r>
        <w:t xml:space="preserve"> against this on the basis that there are already several other PBS-listed treatment options that would be used if alemtuzumab was not available. The submiss</w:t>
      </w:r>
      <w:r w:rsidR="00986A80">
        <w:t>ion also suggested</w:t>
      </w:r>
      <w:r>
        <w:t xml:space="preserve"> that patients are unlikely to be prescribed another disease modifying therapy after alemtuzumab.</w:t>
      </w:r>
    </w:p>
    <w:p w14:paraId="17E950B7" w14:textId="5244E695" w:rsidR="003A4EA6" w:rsidRDefault="003A4EA6" w:rsidP="004C68C1">
      <w:pPr>
        <w:pStyle w:val="Heading3"/>
      </w:pPr>
      <w:r>
        <w:t>November 2014</w:t>
      </w:r>
    </w:p>
    <w:p w14:paraId="258EDEE9" w14:textId="600416BE" w:rsidR="003A4EA6" w:rsidRPr="003A4EA6" w:rsidRDefault="003A4EA6" w:rsidP="00C2053D">
      <w:pPr>
        <w:rPr>
          <w:b/>
        </w:rPr>
      </w:pPr>
      <w:r w:rsidRPr="003A4EA6">
        <w:t>Re-submission to amend the July 2014 PBAC recommendation to list alemtuzumab on a cost-minimisation basis with natalizumab and fingolimod with regards to the claimed dosing durability, at a higher price than recommended by the PBAC in July 2014.</w:t>
      </w:r>
    </w:p>
    <w:p w14:paraId="771274CC" w14:textId="44195F98" w:rsidR="00986A80" w:rsidRDefault="00986A80" w:rsidP="00C2053D">
      <w:r w:rsidRPr="00986A80">
        <w:t>The PBAC reiterated its previous recommendation for</w:t>
      </w:r>
      <w:r>
        <w:t xml:space="preserve"> the Authority Required Section </w:t>
      </w:r>
      <w:r w:rsidRPr="00986A80">
        <w:t xml:space="preserve">100 </w:t>
      </w:r>
      <w:r w:rsidR="00500C2A">
        <w:t>HSD</w:t>
      </w:r>
      <w:r w:rsidRPr="00986A80">
        <w:t xml:space="preserve"> listing of a</w:t>
      </w:r>
      <w:r>
        <w:t xml:space="preserve">lemtuzumab for the treatment of </w:t>
      </w:r>
      <w:r w:rsidRPr="00986A80">
        <w:t>relapsing-remitting multiple sclerosis. The PBA</w:t>
      </w:r>
      <w:r>
        <w:t xml:space="preserve">C rejected the re-submission to </w:t>
      </w:r>
      <w:r w:rsidRPr="00986A80">
        <w:t>amend the basis of the July 2014 PBAC recommendation to list alemtuzumab.</w:t>
      </w:r>
    </w:p>
    <w:p w14:paraId="673A31EA" w14:textId="49DECB3D" w:rsidR="00B25C74" w:rsidRDefault="00B25C74" w:rsidP="00C2053D">
      <w:r>
        <w:lastRenderedPageBreak/>
        <w:t>The PBAC noted that no new information was provided about the clinical place of alemtuzumab and recalled that the committee recognised that there may be a clinical need for the drug in patients with high disease activity but considered that this clinical place was uncertain.</w:t>
      </w:r>
    </w:p>
    <w:p w14:paraId="2D2D34A4" w14:textId="06D5E32C" w:rsidR="00B25C74" w:rsidRDefault="00B25C74" w:rsidP="00C2053D">
      <w:r>
        <w:t>The PBAC noted that no new data was presented in the submission to justify revising the dosing durability compared to the comparators. The resubmission relied on the same trials as presented in the July 2014 submission, namely CARE-MSI, CARE-MSII and the extension study, CAMMS03409. The PBAC recalled its concern regarding a high risk</w:t>
      </w:r>
      <w:r w:rsidR="005C72D1">
        <w:t xml:space="preserve"> of bias in the pivotal trials.</w:t>
      </w:r>
    </w:p>
    <w:p w14:paraId="7F43CDC6" w14:textId="7C3AACDA" w:rsidR="009925D9" w:rsidRDefault="005D5607" w:rsidP="00C2053D">
      <w:r>
        <w:t xml:space="preserve">The PBAC </w:t>
      </w:r>
      <w:r w:rsidR="003F0A24" w:rsidRPr="003F0A24">
        <w:t>noted that, although based on a cost-minimisation approach, the submission estimated a net cost to the PBS, though lower than the net cost estimated in the previous</w:t>
      </w:r>
      <w:r>
        <w:t xml:space="preserve"> submission.</w:t>
      </w:r>
    </w:p>
    <w:p w14:paraId="44F195F7" w14:textId="3C21FF16" w:rsidR="006A44F5" w:rsidRPr="00C03A27" w:rsidRDefault="00C03A27" w:rsidP="004C68C1">
      <w:pPr>
        <w:pStyle w:val="Heading3"/>
      </w:pPr>
      <w:r w:rsidRPr="00C03A27">
        <w:t>November 2018</w:t>
      </w:r>
    </w:p>
    <w:p w14:paraId="10F54101" w14:textId="59E2E23C" w:rsidR="0068492A" w:rsidRDefault="0068492A" w:rsidP="00C2053D">
      <w:r>
        <w:t>The PBAC did not recommend the request to increase the price per vial for alemtuzumab for RRMS based on a claim of extended clinical benefit from two years to six years. The PBAC also did not recommend a change to the current listing to include an additional continuation restriction for the third and fourth courses of alemtuzumab for patients with RRMS who meet proposed re-treatment criteria.</w:t>
      </w:r>
    </w:p>
    <w:p w14:paraId="326B17C1" w14:textId="77777777" w:rsidR="0068492A" w:rsidRDefault="0068492A" w:rsidP="00C2053D">
      <w:r>
        <w:t xml:space="preserve">The PBAC did not accept the main comparator presented in the resubmission of two courses of PBS-funded alemtuzumab plus up to two additional courses of treatment as currently supplied by the sponsor. The PBAC noted that no comparative claims of efficacy or safety compared to fingolimod or natalizumab (or ocrelizumab or cladribine) were made in the resubmission. </w:t>
      </w:r>
    </w:p>
    <w:p w14:paraId="2B3C6655" w14:textId="56A110AB" w:rsidR="00C03A27" w:rsidRDefault="0068492A" w:rsidP="0068492A">
      <w:pPr>
        <w:jc w:val="both"/>
      </w:pPr>
      <w:r>
        <w:t>The PBAC concluded that the clinical evidence presented in the resubmission was insufficient to support the claimed extended clinical benefit of alemtuzumab to six years which formed the basis of the two requests.</w:t>
      </w:r>
    </w:p>
    <w:p w14:paraId="7907243E" w14:textId="281F4258" w:rsidR="00D841B4" w:rsidRDefault="00D94863" w:rsidP="006859F9">
      <w:pPr>
        <w:jc w:val="both"/>
      </w:pPr>
      <w:r>
        <w:t xml:space="preserve">For further details refer to </w:t>
      </w:r>
      <w:r w:rsidR="0068492A">
        <w:t xml:space="preserve">the </w:t>
      </w:r>
      <w:hyperlink r:id="rId11" w:history="1">
        <w:r w:rsidR="0068492A" w:rsidRPr="0068492A">
          <w:rPr>
            <w:rStyle w:val="Hyperlink"/>
          </w:rPr>
          <w:t>Public Release Documents</w:t>
        </w:r>
      </w:hyperlink>
    </w:p>
    <w:p w14:paraId="0DEBD50F" w14:textId="7E5E0C34" w:rsidR="00094DCF" w:rsidRDefault="00ED633B" w:rsidP="00FB4D03">
      <w:pPr>
        <w:pStyle w:val="Heading2"/>
        <w:keepNext/>
        <w:jc w:val="both"/>
      </w:pPr>
      <w:r>
        <w:t xml:space="preserve">Previous reviews by </w:t>
      </w:r>
      <w:r w:rsidR="00177B86">
        <w:t xml:space="preserve">the </w:t>
      </w:r>
      <w:r>
        <w:t>DUSC</w:t>
      </w:r>
    </w:p>
    <w:p w14:paraId="3F04B77A" w14:textId="4768C3CB" w:rsidR="00FD2090" w:rsidRPr="003D1E71" w:rsidRDefault="00FD2090" w:rsidP="00FB4D03">
      <w:pPr>
        <w:pStyle w:val="Heading3"/>
        <w:keepNext/>
      </w:pPr>
      <w:r w:rsidRPr="003D1E71">
        <w:t>June 2013</w:t>
      </w:r>
    </w:p>
    <w:p w14:paraId="038CA912" w14:textId="21C2CFE7" w:rsidR="002957DC" w:rsidRPr="002957DC" w:rsidRDefault="002957DC" w:rsidP="002957DC">
      <w:pPr>
        <w:jc w:val="both"/>
        <w:rPr>
          <w:rFonts w:cstheme="minorHAnsi"/>
          <w:b/>
        </w:rPr>
      </w:pPr>
      <w:r w:rsidRPr="002957DC">
        <w:rPr>
          <w:rFonts w:cstheme="minorHAnsi"/>
          <w:b/>
        </w:rPr>
        <w:t>Disease modifying treatments</w:t>
      </w:r>
      <w:r w:rsidR="00646F83">
        <w:rPr>
          <w:rFonts w:cstheme="minorHAnsi"/>
          <w:b/>
        </w:rPr>
        <w:t xml:space="preserve"> (DMT)</w:t>
      </w:r>
      <w:r w:rsidRPr="002957DC">
        <w:rPr>
          <w:rFonts w:cstheme="minorHAnsi"/>
          <w:b/>
        </w:rPr>
        <w:t xml:space="preserve"> for multiple sclerosis</w:t>
      </w:r>
    </w:p>
    <w:p w14:paraId="18E57884" w14:textId="2E5700C0" w:rsidR="002957DC" w:rsidRPr="002957DC" w:rsidRDefault="002957DC" w:rsidP="00C2053D">
      <w:r w:rsidRPr="002957DC">
        <w:t xml:space="preserve">The utilisation analysis included the disease modifying treatments: the interferons, fingolimod and natalizumab. DUSC noted that the number of people supplied with a </w:t>
      </w:r>
      <w:r>
        <w:t>DMT</w:t>
      </w:r>
      <w:r w:rsidRPr="002957DC">
        <w:t xml:space="preserve"> for </w:t>
      </w:r>
      <w:r w:rsidR="002713C4">
        <w:t>RRMS</w:t>
      </w:r>
      <w:r w:rsidR="00BD531E">
        <w:t xml:space="preserve"> appeared</w:t>
      </w:r>
      <w:r w:rsidRPr="002957DC">
        <w:t xml:space="preserve"> to have increased with the introduction of the oral agent fingolimod. DUSC considered that revisions to the diagnostic criteria and the availability of oral treatment will potentially increase the number of people with multiple sclerosis treated with a </w:t>
      </w:r>
      <w:r>
        <w:t>DMT</w:t>
      </w:r>
      <w:r w:rsidRPr="002957DC">
        <w:t>.</w:t>
      </w:r>
    </w:p>
    <w:p w14:paraId="6C85971E" w14:textId="55F2C664" w:rsidR="002957DC" w:rsidRPr="002957DC" w:rsidRDefault="002957DC" w:rsidP="00C2053D">
      <w:r w:rsidRPr="002957DC">
        <w:lastRenderedPageBreak/>
        <w:t xml:space="preserve">DUSC commented that the natural history of multiple sclerosis can result in patients having long periods of stability between attacks. It was noted that lifestyle is important in managing multiple sclerosis and that patients may choose to have a treatment break for various reasons, including pregnancy or adverse events. DUSC considered that a better understanding of the patient experience would assist in understanding how </w:t>
      </w:r>
      <w:r>
        <w:t>DMT</w:t>
      </w:r>
      <w:r w:rsidRPr="002957DC">
        <w:t>s are used in practice.</w:t>
      </w:r>
    </w:p>
    <w:p w14:paraId="6CD61277" w14:textId="1C5B8801" w:rsidR="009E6991" w:rsidRDefault="002957DC" w:rsidP="00C2053D">
      <w:r w:rsidRPr="002957DC">
        <w:t>DUSC recommended a mechanism be developed through which additional consumer input to DUSC analyses can be received and considered in the future. Patient experience is likely to inform use in practice including uptake ra</w:t>
      </w:r>
      <w:r>
        <w:t>tes and duration of treatment.</w:t>
      </w:r>
    </w:p>
    <w:p w14:paraId="7DC21FDA" w14:textId="5730493E" w:rsidR="002957DC" w:rsidRPr="005A58F4" w:rsidRDefault="002957DC" w:rsidP="00C2053D">
      <w:r w:rsidRPr="002957DC">
        <w:t>For details of the DUSC con</w:t>
      </w:r>
      <w:r>
        <w:t>siderations</w:t>
      </w:r>
      <w:r w:rsidRPr="002957DC">
        <w:t xml:space="preserve"> refer to the </w:t>
      </w:r>
      <w:hyperlink r:id="rId12" w:history="1">
        <w:r w:rsidRPr="002957DC">
          <w:rPr>
            <w:rStyle w:val="Hyperlink"/>
            <w:rFonts w:cstheme="minorHAnsi"/>
          </w:rPr>
          <w:t>Outcome Statement</w:t>
        </w:r>
      </w:hyperlink>
      <w:r>
        <w:t xml:space="preserve"> from the June 2013</w:t>
      </w:r>
      <w:r w:rsidR="005A58F4">
        <w:t xml:space="preserve"> DUSC meeting.</w:t>
      </w:r>
    </w:p>
    <w:p w14:paraId="6CAF329D" w14:textId="16600C3C" w:rsidR="00FD2090" w:rsidRDefault="00FD2090" w:rsidP="004C68C1">
      <w:pPr>
        <w:pStyle w:val="Heading3"/>
      </w:pPr>
      <w:r w:rsidRPr="009E6991">
        <w:t>October 2015</w:t>
      </w:r>
    </w:p>
    <w:p w14:paraId="356B1594" w14:textId="4CD0FB21" w:rsidR="008B5CB5" w:rsidRPr="009E6991" w:rsidRDefault="008B5CB5" w:rsidP="00B66D5A">
      <w:pPr>
        <w:jc w:val="both"/>
        <w:rPr>
          <w:b/>
        </w:rPr>
      </w:pPr>
      <w:r w:rsidRPr="008B5CB5">
        <w:rPr>
          <w:b/>
        </w:rPr>
        <w:t>Multiple sclerosis: predicted versus actual analysis</w:t>
      </w:r>
    </w:p>
    <w:p w14:paraId="328B7EA6" w14:textId="05627FFB" w:rsidR="009E6991" w:rsidRDefault="009E6991" w:rsidP="00C2053D">
      <w:r>
        <w:t>The review considered the utilisation of PBS listed medicines for RRMS, including an assessment of the predicted versus actual use of the oral therapies, dimethyl fumarate, teriflunomide and fingolimod.</w:t>
      </w:r>
    </w:p>
    <w:p w14:paraId="0E00C737" w14:textId="2C8EAF60" w:rsidR="002957DC" w:rsidRDefault="002957DC" w:rsidP="00C2053D">
      <w:r>
        <w:t>DUSC noted that the usage of medicines for RRMS had increased with the availability of oral therapy. DUSC considered that this indicated a greater willingness of patients to receive treatment with oral medicines. Patients appear</w:t>
      </w:r>
      <w:r w:rsidR="004C1881">
        <w:t>ed</w:t>
      </w:r>
      <w:r>
        <w:t xml:space="preserve"> to persist longer on oral compared to injectable therapy based on a length of treatment analysis of fingolimod.</w:t>
      </w:r>
    </w:p>
    <w:p w14:paraId="26179CEE" w14:textId="298C84B1" w:rsidR="002957DC" w:rsidRDefault="002957DC" w:rsidP="00C2053D">
      <w:r>
        <w:t>In its first year of listing the utilisation of dimethyl fumarate had been higher than predicted. DUSC considered that this could relate to the broadening of the McDonald criteria for the diagnosis of multiple sclerosis, concerns over the cardiac side effects for fingolimod and an underestimation of the growth in the RRMS market. The usage of teriflunomide in its first listing year was substantially lower than expected.</w:t>
      </w:r>
    </w:p>
    <w:p w14:paraId="3E343B9D" w14:textId="08B22A20" w:rsidR="00B02F2E" w:rsidRDefault="009D1ED5" w:rsidP="00F676C9">
      <w:pPr>
        <w:jc w:val="both"/>
        <w:rPr>
          <w:b/>
          <w:sz w:val="28"/>
          <w:szCs w:val="28"/>
        </w:rPr>
      </w:pPr>
      <w:r>
        <w:t>For details of the DUSC c</w:t>
      </w:r>
      <w:r w:rsidR="008B5CB5">
        <w:t xml:space="preserve">onsideration of multiple sclerosis refer to the </w:t>
      </w:r>
      <w:hyperlink r:id="rId13" w:history="1">
        <w:r w:rsidRPr="008B5CB5">
          <w:rPr>
            <w:rStyle w:val="Hyperlink"/>
          </w:rPr>
          <w:t>Public Release Document</w:t>
        </w:r>
      </w:hyperlink>
      <w:r w:rsidR="008B5CB5">
        <w:t xml:space="preserve"> from the October 2015 </w:t>
      </w:r>
      <w:r>
        <w:t>DUSC meeting.</w:t>
      </w:r>
    </w:p>
    <w:p w14:paraId="51AD05DE" w14:textId="7A0754A5" w:rsidR="00F676C9" w:rsidRPr="00BB4D7D" w:rsidRDefault="00F676C9" w:rsidP="00C009F7">
      <w:pPr>
        <w:spacing w:before="240"/>
        <w:jc w:val="both"/>
        <w:rPr>
          <w:b/>
          <w:sz w:val="28"/>
          <w:szCs w:val="28"/>
        </w:rPr>
      </w:pPr>
      <w:r w:rsidRPr="00BB4D7D">
        <w:rPr>
          <w:b/>
          <w:sz w:val="28"/>
          <w:szCs w:val="28"/>
        </w:rPr>
        <w:t>Approach taken to estimate utilisation</w:t>
      </w:r>
    </w:p>
    <w:p w14:paraId="75C6FC39" w14:textId="7373128F" w:rsidR="00F676C9" w:rsidRDefault="00F676C9" w:rsidP="00C2053D">
      <w:r>
        <w:t xml:space="preserve">An epidemiological approach was taken to estimate the number of RRMS patients who </w:t>
      </w:r>
      <w:r w:rsidR="00AB02BF">
        <w:t xml:space="preserve">would </w:t>
      </w:r>
      <w:r>
        <w:t xml:space="preserve">receive treatment with alemtuzumab. The number of prevalent RRMS patients </w:t>
      </w:r>
      <w:r w:rsidR="00AB02BF">
        <w:t xml:space="preserve">was </w:t>
      </w:r>
      <w:r>
        <w:t xml:space="preserve">used as a starting point to estimate the treatment experienced RRMS patients and the incidence of newly diagnosed MS patients </w:t>
      </w:r>
      <w:r w:rsidR="00AB02BF">
        <w:t xml:space="preserve">was </w:t>
      </w:r>
      <w:r>
        <w:t>used as a starting point for estimating the number of treatment-naïve RRMS patients with aggressive disease.</w:t>
      </w:r>
    </w:p>
    <w:p w14:paraId="6DC70A18" w14:textId="1C5B650E" w:rsidR="00F676C9" w:rsidRPr="00B76C12" w:rsidRDefault="00F676C9" w:rsidP="00F676C9">
      <w:pPr>
        <w:jc w:val="both"/>
        <w:rPr>
          <w:b/>
        </w:rPr>
      </w:pPr>
      <w:r w:rsidRPr="00B76C12">
        <w:rPr>
          <w:b/>
        </w:rPr>
        <w:t>Treated RRMS patients with aggressive disease (</w:t>
      </w:r>
      <w:r w:rsidR="00B76C12">
        <w:rPr>
          <w:b/>
        </w:rPr>
        <w:t>p</w:t>
      </w:r>
      <w:r w:rsidRPr="00B76C12">
        <w:rPr>
          <w:b/>
        </w:rPr>
        <w:t>revalent patients)</w:t>
      </w:r>
    </w:p>
    <w:p w14:paraId="07DB306F" w14:textId="74F034C5" w:rsidR="00F676C9" w:rsidRDefault="00345008" w:rsidP="00C2053D">
      <w:r>
        <w:t>A</w:t>
      </w:r>
      <w:r w:rsidR="00F676C9">
        <w:t xml:space="preserve"> report published by Multiple Sclerosis Resea</w:t>
      </w:r>
      <w:r>
        <w:t xml:space="preserve">rch Australia (MSRA) in 2011, was used to estimate the </w:t>
      </w:r>
      <w:r w:rsidRPr="00015590">
        <w:rPr>
          <w:rFonts w:cs="Arial"/>
        </w:rPr>
        <w:t>number of Australians with multiple sclerosis</w:t>
      </w:r>
      <w:r>
        <w:t xml:space="preserve">. Of </w:t>
      </w:r>
      <w:r w:rsidR="00F676C9">
        <w:t>these</w:t>
      </w:r>
      <w:r w:rsidR="004660CC">
        <w:t xml:space="preserve"> patients</w:t>
      </w:r>
      <w:r w:rsidR="00F676C9">
        <w:t xml:space="preserve">, 85% were </w:t>
      </w:r>
      <w:r w:rsidR="00F676C9">
        <w:lastRenderedPageBreak/>
        <w:t>assumed to have RRMS. A treatment rate was then applied to the prevalent patient pool to estimate the ‘treatment experienced’ RRMS patient population.</w:t>
      </w:r>
    </w:p>
    <w:p w14:paraId="7EDDD395" w14:textId="61B03E92" w:rsidR="00F676C9" w:rsidRDefault="00F676C9" w:rsidP="00C2053D">
      <w:r>
        <w:t>As part of the submission, a survey of neurologists experienced in the treatment of MS was conducted to identify current treatment practice and expected practice following listing of alemtuzumab on the PBS (AMSTS, 2014). Results indicated that, amongst patients receiving DMT therapy for RRMS, approximately 18% per year</w:t>
      </w:r>
      <w:r w:rsidR="007C4E76">
        <w:t xml:space="preserve"> will</w:t>
      </w:r>
      <w:r>
        <w:t xml:space="preserve"> require a change or escalation of therapy and of these patients approximately 25% </w:t>
      </w:r>
      <w:r w:rsidR="007C4E76">
        <w:t xml:space="preserve">would be </w:t>
      </w:r>
      <w:r>
        <w:t>considered appropriate for alemtuzumab.</w:t>
      </w:r>
    </w:p>
    <w:p w14:paraId="1F0B035A" w14:textId="14F5E52D" w:rsidR="00F676C9" w:rsidRPr="00B76C12" w:rsidRDefault="00F676C9" w:rsidP="00F676C9">
      <w:pPr>
        <w:jc w:val="both"/>
        <w:rPr>
          <w:b/>
        </w:rPr>
      </w:pPr>
      <w:r w:rsidRPr="00B76C12">
        <w:rPr>
          <w:b/>
        </w:rPr>
        <w:t>Treatment-naïve RRMS patients with aggressive disease (</w:t>
      </w:r>
      <w:r w:rsidR="00B76C12">
        <w:rPr>
          <w:b/>
        </w:rPr>
        <w:t>i</w:t>
      </w:r>
      <w:r w:rsidRPr="00B76C12">
        <w:rPr>
          <w:b/>
        </w:rPr>
        <w:t>ncident patients)</w:t>
      </w:r>
    </w:p>
    <w:p w14:paraId="048C4FDE" w14:textId="11A9620F" w:rsidR="00F676C9" w:rsidRDefault="00F676C9" w:rsidP="00C2053D">
      <w:r>
        <w:t xml:space="preserve">According to the MSRA 2011 report, there </w:t>
      </w:r>
      <w:r w:rsidR="00B76C12">
        <w:t>were</w:t>
      </w:r>
      <w:r>
        <w:t xml:space="preserve"> approximately 1,000 new cases of MS diagnosed per year, and approximately 85% of these </w:t>
      </w:r>
      <w:r w:rsidR="00B76C12">
        <w:t xml:space="preserve">were </w:t>
      </w:r>
      <w:r>
        <w:t>RRMS patients. Results of the Australian treatment survey indicate</w:t>
      </w:r>
      <w:r w:rsidR="00B76C12">
        <w:t>d</w:t>
      </w:r>
      <w:r>
        <w:t xml:space="preserve"> that of these newly diagnosed patients, approximately 26% </w:t>
      </w:r>
      <w:r w:rsidR="00B76C12">
        <w:t>had</w:t>
      </w:r>
      <w:r>
        <w:t xml:space="preserve"> highly active disease requiring DMT therapy, and, of these, approximately 31% </w:t>
      </w:r>
      <w:r w:rsidR="00B76C12">
        <w:t xml:space="preserve">were </w:t>
      </w:r>
      <w:r>
        <w:t>eligible to receive alemtuzumab (AMSTS, 2014).</w:t>
      </w:r>
    </w:p>
    <w:p w14:paraId="15E0A5A8" w14:textId="6B703634" w:rsidR="00F676C9" w:rsidRDefault="00F676C9" w:rsidP="00C2053D">
      <w:r>
        <w:t xml:space="preserve">It </w:t>
      </w:r>
      <w:r w:rsidR="00B76C12">
        <w:t>was</w:t>
      </w:r>
      <w:r>
        <w:t xml:space="preserve"> assumed that not all patients identified as eligible for alemtuzumab </w:t>
      </w:r>
      <w:r w:rsidR="00AB02BF">
        <w:t xml:space="preserve">would </w:t>
      </w:r>
      <w:r>
        <w:t xml:space="preserve">receive treatment immediately. It </w:t>
      </w:r>
      <w:r w:rsidR="00B76C12">
        <w:t>was</w:t>
      </w:r>
      <w:r>
        <w:t xml:space="preserve"> assumed that in year 1 of listing of alemtuzumab on the PBS approximately 50% of patients eligible for treatment with alemtuzumab </w:t>
      </w:r>
      <w:r w:rsidR="00FE3581">
        <w:t>would</w:t>
      </w:r>
      <w:r>
        <w:t xml:space="preserve"> actually receive treatment, increasing to approximately 70% in year 5 (AMSTS, 2014).</w:t>
      </w:r>
    </w:p>
    <w:p w14:paraId="08BC64D7" w14:textId="00EC2275" w:rsidR="00E371EA" w:rsidRPr="00ED633B" w:rsidRDefault="00F676C9" w:rsidP="00C2053D">
      <w:r>
        <w:t xml:space="preserve">Patients treated with alemtuzumab receive five vials during the first course of treatment and three vials during the second course. Based on the alemtuzumab clinical studies, it </w:t>
      </w:r>
      <w:r w:rsidR="00BB4D7D">
        <w:t>was</w:t>
      </w:r>
      <w:r>
        <w:t xml:space="preserve"> assumed that approximately 96% of patients who receive </w:t>
      </w:r>
      <w:r w:rsidR="00BB4D7D">
        <w:t>an</w:t>
      </w:r>
      <w:r>
        <w:t xml:space="preserve"> initial course of treatment will receive the second course.</w:t>
      </w:r>
    </w:p>
    <w:p w14:paraId="0312FFEC" w14:textId="7A5F5F4E" w:rsidR="00E677DD" w:rsidRPr="005E22C2" w:rsidRDefault="00E677DD" w:rsidP="00B02770">
      <w:pPr>
        <w:pStyle w:val="Heading1"/>
        <w:jc w:val="both"/>
      </w:pPr>
      <w:r w:rsidRPr="005E22C2">
        <w:t>Method</w:t>
      </w:r>
      <w:r w:rsidR="001B5D37" w:rsidRPr="005E22C2">
        <w:t>s</w:t>
      </w:r>
    </w:p>
    <w:p w14:paraId="17A3DFF7" w14:textId="660A7F95" w:rsidR="00B02770" w:rsidRDefault="00B02770" w:rsidP="00C2053D">
      <w:r>
        <w:t>The analyses used data from the Department of Human Services (DHS) supplied prescriptions database for dates of supply up to and including 30 September 2019; extracted 22</w:t>
      </w:r>
      <w:r w:rsidR="00AB02BF">
        <w:t> </w:t>
      </w:r>
      <w:r>
        <w:t>November</w:t>
      </w:r>
      <w:r w:rsidR="00AB02BF">
        <w:t> </w:t>
      </w:r>
      <w:r>
        <w:t>2019. The DHS supplied prescriptions database includes data submitted to DHS for payment of a PBS or Repatriation PBS (RPBS) subsidy by the Government by all approved pharmacies in Australia. The prescription data were used to determine the number of prescriptions supplied</w:t>
      </w:r>
      <w:r w:rsidR="003372BA">
        <w:t>.</w:t>
      </w:r>
    </w:p>
    <w:p w14:paraId="04D3B9E9" w14:textId="346A57CF" w:rsidR="00B02770" w:rsidRDefault="00B02770" w:rsidP="00C2053D">
      <w:r>
        <w:t>Th</w:t>
      </w:r>
      <w:r w:rsidR="003372BA">
        <w:t>e</w:t>
      </w:r>
      <w:r>
        <w:t xml:space="preserve"> DHS supplied prescriptions database includes a unique patient identification number (PIN) that allows supplied prescriptions to be attributed to a particular patient. The number</w:t>
      </w:r>
      <w:r w:rsidR="003F6DC3">
        <w:t xml:space="preserve"> of patients supplied alemtuzumab</w:t>
      </w:r>
      <w:r w:rsidR="005101FF">
        <w:t xml:space="preserve"> and other medicines for RRMS</w:t>
      </w:r>
      <w:r>
        <w:t xml:space="preserve"> under the PBS was determined by counting the number of de-identified PINs in the prescription data over the specified time. </w:t>
      </w:r>
      <w:r w:rsidR="003F6DC3">
        <w:t>This was used for the patient level analyses, including age</w:t>
      </w:r>
      <w:r w:rsidR="00FA36D5">
        <w:t xml:space="preserve"> and gender</w:t>
      </w:r>
      <w:r w:rsidR="003F6DC3">
        <w:t>, prescribe</w:t>
      </w:r>
      <w:r w:rsidR="007E7CD2">
        <w:t>r type, prior prescription,</w:t>
      </w:r>
      <w:r w:rsidR="00F1656C">
        <w:t xml:space="preserve"> treatment courses, </w:t>
      </w:r>
      <w:r w:rsidR="003F6DC3">
        <w:t>time to refill</w:t>
      </w:r>
      <w:r w:rsidR="007E7CD2">
        <w:t xml:space="preserve"> and co-administration</w:t>
      </w:r>
      <w:r w:rsidR="00F1656C">
        <w:t>.</w:t>
      </w:r>
    </w:p>
    <w:p w14:paraId="7DD075D8" w14:textId="7A4E9B85" w:rsidR="00F1656C" w:rsidRDefault="00F1656C" w:rsidP="00C2053D">
      <w:r w:rsidRPr="00F1656C">
        <w:t xml:space="preserve">New (initiating) patients were defined as those with no prior prescription for </w:t>
      </w:r>
      <w:r>
        <w:t xml:space="preserve">alemtuzumab </w:t>
      </w:r>
      <w:r w:rsidRPr="00F1656C">
        <w:t xml:space="preserve">based on the date of first supply of PBS-subsidised </w:t>
      </w:r>
      <w:r>
        <w:t>alemtuzumab</w:t>
      </w:r>
      <w:r w:rsidRPr="00F1656C">
        <w:t xml:space="preserve"> from the date of listing. </w:t>
      </w:r>
      <w:r w:rsidRPr="00F1656C">
        <w:lastRenderedPageBreak/>
        <w:t xml:space="preserve">Patients were identified as being on treatment (prevalent) if they had received at least one dispensing of </w:t>
      </w:r>
      <w:r>
        <w:t>alemtuzumab</w:t>
      </w:r>
      <w:r w:rsidRPr="00F1656C">
        <w:t xml:space="preserve"> in the specified period</w:t>
      </w:r>
      <w:r w:rsidR="004660CC">
        <w:t>.</w:t>
      </w:r>
    </w:p>
    <w:p w14:paraId="064D6080" w14:textId="36B87837" w:rsidR="003F30BC" w:rsidRDefault="007E7CD2" w:rsidP="00C2053D">
      <w:r>
        <w:t xml:space="preserve">Co-administration </w:t>
      </w:r>
      <w:r w:rsidRPr="007E7CD2">
        <w:t xml:space="preserve">was </w:t>
      </w:r>
      <w:r w:rsidR="00FE684E">
        <w:t>imputed</w:t>
      </w:r>
      <w:r w:rsidR="00FE684E" w:rsidRPr="007E7CD2">
        <w:t xml:space="preserve"> </w:t>
      </w:r>
      <w:r w:rsidRPr="007E7CD2">
        <w:t xml:space="preserve">if another </w:t>
      </w:r>
      <w:r w:rsidR="00FA36D5">
        <w:t>PBS-listed medicine</w:t>
      </w:r>
      <w:r w:rsidR="00FA36D5" w:rsidRPr="00FA36D5">
        <w:t xml:space="preserve"> for RRMS</w:t>
      </w:r>
      <w:r>
        <w:t xml:space="preserve"> was supplied within </w:t>
      </w:r>
      <w:r w:rsidR="00B4374A">
        <w:t>a defined time period</w:t>
      </w:r>
      <w:r>
        <w:t xml:space="preserve"> following the supply of the initial alemtuzumab prescription</w:t>
      </w:r>
      <w:r w:rsidRPr="007E7CD2">
        <w:t xml:space="preserve">. </w:t>
      </w:r>
      <w:r w:rsidR="00FE684E">
        <w:t>The c</w:t>
      </w:r>
      <w:r w:rsidR="00B4374A">
        <w:t>omplete list of all PBS-</w:t>
      </w:r>
      <w:r w:rsidR="003F30BC" w:rsidRPr="003F30BC">
        <w:t>listed medicines for RRMS considered in the ana</w:t>
      </w:r>
      <w:r w:rsidR="00B4374A">
        <w:t>lysis is provided in Appendix 1. Three follow up periods were analysed:</w:t>
      </w:r>
    </w:p>
    <w:p w14:paraId="7853F1ED" w14:textId="4EAC02B0" w:rsidR="003F30BC" w:rsidRDefault="003F30BC" w:rsidP="00854B1E">
      <w:pPr>
        <w:pStyle w:val="ListParagraph"/>
        <w:numPr>
          <w:ilvl w:val="0"/>
          <w:numId w:val="14"/>
        </w:numPr>
      </w:pPr>
      <w:r>
        <w:t xml:space="preserve">1 </w:t>
      </w:r>
      <w:r w:rsidR="00646F83">
        <w:t>y</w:t>
      </w:r>
      <w:r>
        <w:t xml:space="preserve">ear </w:t>
      </w:r>
      <w:r w:rsidR="00173964">
        <w:t>-</w:t>
      </w:r>
      <w:r w:rsidR="004660CC">
        <w:t xml:space="preserve"> </w:t>
      </w:r>
      <w:r w:rsidR="00FE684E">
        <w:t xml:space="preserve">cohort of </w:t>
      </w:r>
      <w:r w:rsidR="004660CC">
        <w:t xml:space="preserve">patients </w:t>
      </w:r>
      <w:r w:rsidR="00FE684E">
        <w:t xml:space="preserve">who </w:t>
      </w:r>
      <w:r w:rsidR="004660CC">
        <w:t>initiated</w:t>
      </w:r>
      <w:r>
        <w:t xml:space="preserve"> alemtuzumab </w:t>
      </w:r>
      <w:r w:rsidRPr="003F30BC">
        <w:t>on or before 1 October 2018</w:t>
      </w:r>
      <w:r w:rsidR="00677E54">
        <w:t xml:space="preserve">. </w:t>
      </w:r>
      <w:r w:rsidR="00FE684E">
        <w:t>Each patient followed-up for</w:t>
      </w:r>
      <w:r>
        <w:t xml:space="preserve"> 365 days</w:t>
      </w:r>
      <w:r w:rsidR="00FE684E">
        <w:t xml:space="preserve"> after their initial supply</w:t>
      </w:r>
      <w:r>
        <w:t>.</w:t>
      </w:r>
    </w:p>
    <w:p w14:paraId="75368013" w14:textId="0EB378BD" w:rsidR="003F30BC" w:rsidRPr="003F30BC" w:rsidRDefault="003F30BC" w:rsidP="00854B1E">
      <w:pPr>
        <w:pStyle w:val="ListParagraph"/>
        <w:numPr>
          <w:ilvl w:val="0"/>
          <w:numId w:val="14"/>
        </w:numPr>
      </w:pPr>
      <w:r>
        <w:t>2</w:t>
      </w:r>
      <w:r w:rsidRPr="003F30BC">
        <w:t xml:space="preserve"> </w:t>
      </w:r>
      <w:r w:rsidR="00677E54">
        <w:t>y</w:t>
      </w:r>
      <w:r w:rsidRPr="003F30BC">
        <w:t>ear</w:t>
      </w:r>
      <w:r>
        <w:t>s</w:t>
      </w:r>
      <w:r w:rsidR="004660CC">
        <w:t xml:space="preserve"> -</w:t>
      </w:r>
      <w:r w:rsidR="00FE684E">
        <w:t xml:space="preserve"> cohort of</w:t>
      </w:r>
      <w:r>
        <w:t xml:space="preserve"> patients</w:t>
      </w:r>
      <w:r w:rsidR="00FE684E">
        <w:t xml:space="preserve"> who</w:t>
      </w:r>
      <w:r>
        <w:t xml:space="preserve"> initiated alemtuzumab </w:t>
      </w:r>
      <w:r w:rsidRPr="003F30BC">
        <w:t>on or before 1 October 2017</w:t>
      </w:r>
      <w:r w:rsidR="00677E54">
        <w:t>.</w:t>
      </w:r>
      <w:r w:rsidR="003372BA">
        <w:t xml:space="preserve"> </w:t>
      </w:r>
      <w:r>
        <w:t xml:space="preserve">Each </w:t>
      </w:r>
      <w:r w:rsidR="00FE684E">
        <w:t>patient was followed-up for 730 days (i.e. 365 x 2) from their initial supply.</w:t>
      </w:r>
    </w:p>
    <w:p w14:paraId="43E5FD17" w14:textId="3CA3FE9B" w:rsidR="003F30BC" w:rsidRDefault="003F30BC" w:rsidP="00854B1E">
      <w:pPr>
        <w:pStyle w:val="ListParagraph"/>
        <w:numPr>
          <w:ilvl w:val="0"/>
          <w:numId w:val="14"/>
        </w:numPr>
      </w:pPr>
      <w:r>
        <w:t xml:space="preserve">4 years - </w:t>
      </w:r>
      <w:r w:rsidR="00FE684E">
        <w:t xml:space="preserve">cohort of </w:t>
      </w:r>
      <w:r w:rsidRPr="003F30BC">
        <w:t xml:space="preserve">patients </w:t>
      </w:r>
      <w:r w:rsidR="00FE684E">
        <w:t xml:space="preserve">who </w:t>
      </w:r>
      <w:r>
        <w:t>i</w:t>
      </w:r>
      <w:r w:rsidRPr="003F30BC">
        <w:t>nitiated on or before 1 October 2015</w:t>
      </w:r>
      <w:r>
        <w:t xml:space="preserve">. </w:t>
      </w:r>
      <w:r w:rsidR="00FE684E">
        <w:t xml:space="preserve">Each patient was followed-up for 1,461 days (i.e. </w:t>
      </w:r>
      <w:r w:rsidR="003C374E">
        <w:t>4 x 365 + 1 to account for a leap year)</w:t>
      </w:r>
      <w:r w:rsidR="00B4374A">
        <w:t>.</w:t>
      </w:r>
    </w:p>
    <w:p w14:paraId="498FD571" w14:textId="722FAB84" w:rsidR="00B02770" w:rsidRDefault="00B02770" w:rsidP="00C2053D">
      <w:r>
        <w:t>Prescriber type was attributed to the de-identified approval number of the prescriber by the DHS and was based on the</w:t>
      </w:r>
      <w:r w:rsidR="001502D5">
        <w:t xml:space="preserve"> </w:t>
      </w:r>
      <w:r>
        <w:t>major field of specialty, derived from the combination of the current registered specialty and the most Medicare services provided per quarter. Prescribers can work in several different specialties but are allocated by DHS to one major field of specialty per quarter.</w:t>
      </w:r>
      <w:r w:rsidR="00114B5E">
        <w:t xml:space="preserve"> The prescriber type attributed to the initial alemtuzumab prescription for patients </w:t>
      </w:r>
      <w:r w:rsidR="00532A55">
        <w:t xml:space="preserve">who </w:t>
      </w:r>
      <w:r w:rsidR="00114B5E">
        <w:t>initiat</w:t>
      </w:r>
      <w:r w:rsidR="00532A55">
        <w:t>ed</w:t>
      </w:r>
      <w:r w:rsidR="00114B5E">
        <w:t xml:space="preserve"> treatment in 2018 was used for this analysis.</w:t>
      </w:r>
    </w:p>
    <w:p w14:paraId="5B6E4A6E" w14:textId="731CAF8E" w:rsidR="004660CC" w:rsidRDefault="00E604FA" w:rsidP="00C2053D">
      <w:pPr>
        <w:rPr>
          <w:rFonts w:eastAsia="Calibri" w:cs="Times New Roman"/>
        </w:rPr>
      </w:pPr>
      <w:r>
        <w:rPr>
          <w:rFonts w:eastAsia="Calibri" w:cs="Times New Roman"/>
        </w:rPr>
        <w:t>As t</w:t>
      </w:r>
      <w:r w:rsidRPr="00E604FA">
        <w:rPr>
          <w:rFonts w:eastAsia="Calibri" w:cs="Times New Roman"/>
        </w:rPr>
        <w:t>his analysis use</w:t>
      </w:r>
      <w:r w:rsidR="00532A55">
        <w:rPr>
          <w:rFonts w:eastAsia="Calibri" w:cs="Times New Roman"/>
        </w:rPr>
        <w:t>d</w:t>
      </w:r>
      <w:r w:rsidRPr="00E604FA">
        <w:rPr>
          <w:rFonts w:eastAsia="Calibri" w:cs="Times New Roman"/>
        </w:rPr>
        <w:t xml:space="preserve"> date of supply prescription data,</w:t>
      </w:r>
      <w:r>
        <w:rPr>
          <w:rFonts w:eastAsia="Calibri" w:cs="Times New Roman"/>
        </w:rPr>
        <w:t xml:space="preserve"> there may be small differences </w:t>
      </w:r>
      <w:r w:rsidRPr="00E604FA">
        <w:rPr>
          <w:rFonts w:eastAsia="Calibri" w:cs="Times New Roman"/>
        </w:rPr>
        <w:t xml:space="preserve">compared with publicly available Department of Human </w:t>
      </w:r>
      <w:r>
        <w:rPr>
          <w:rFonts w:eastAsia="Calibri" w:cs="Times New Roman"/>
        </w:rPr>
        <w:t xml:space="preserve">Services (DHS) Medicare date of </w:t>
      </w:r>
      <w:r w:rsidRPr="00E604FA">
        <w:rPr>
          <w:rFonts w:eastAsia="Calibri" w:cs="Times New Roman"/>
        </w:rPr>
        <w:t>processing data.</w:t>
      </w:r>
      <w:r w:rsidR="00FA36D5">
        <w:rPr>
          <w:rStyle w:val="FootnoteReference"/>
          <w:rFonts w:eastAsia="Calibri" w:cs="Times New Roman"/>
        </w:rPr>
        <w:footnoteReference w:id="9"/>
      </w:r>
    </w:p>
    <w:p w14:paraId="4E40DFAB" w14:textId="08C728A0" w:rsidR="00B4374A" w:rsidRDefault="00B4374A" w:rsidP="00DB6D7B">
      <w:pPr>
        <w:jc w:val="both"/>
        <w:rPr>
          <w:rFonts w:eastAsia="Calibri" w:cs="Times New Roman"/>
        </w:rPr>
      </w:pPr>
      <w:r>
        <w:rPr>
          <w:rFonts w:eastAsia="Calibri" w:cs="Times New Roman"/>
        </w:rPr>
        <w:t>Data manipulation was undertaken using SAS.</w:t>
      </w:r>
    </w:p>
    <w:p w14:paraId="60D01DA9" w14:textId="77777777" w:rsidR="005142E5" w:rsidRDefault="005142E5">
      <w:pPr>
        <w:spacing w:line="276" w:lineRule="auto"/>
        <w:rPr>
          <w:rFonts w:eastAsiaTheme="majorEastAsia" w:cstheme="majorBidi"/>
          <w:b/>
          <w:bCs/>
          <w:sz w:val="32"/>
          <w:szCs w:val="32"/>
        </w:rPr>
      </w:pPr>
      <w:r>
        <w:br w:type="page"/>
      </w:r>
    </w:p>
    <w:p w14:paraId="4F91A98A" w14:textId="58416BC4" w:rsidR="00C714D0" w:rsidRPr="005E22C2" w:rsidRDefault="00C714D0" w:rsidP="00CF5E22">
      <w:pPr>
        <w:pStyle w:val="Heading1"/>
      </w:pPr>
      <w:r w:rsidRPr="005E22C2">
        <w:lastRenderedPageBreak/>
        <w:t>Results</w:t>
      </w:r>
    </w:p>
    <w:p w14:paraId="2221FF19" w14:textId="336CE8B2" w:rsidR="00736041" w:rsidRPr="005E22C2" w:rsidRDefault="001B5D37" w:rsidP="00CF5E22">
      <w:pPr>
        <w:pStyle w:val="Heading2"/>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6D0BD69B" w14:textId="62C93DBB" w:rsidR="00E865D2" w:rsidRDefault="000920BE" w:rsidP="000920BE">
      <w:pPr>
        <w:pStyle w:val="Heading3"/>
      </w:pPr>
      <w:r>
        <w:t>Overall utilisati</w:t>
      </w:r>
      <w:r w:rsidR="00D83A9F">
        <w:t>on</w:t>
      </w:r>
      <w:r w:rsidR="00152573">
        <w:rPr>
          <w:noProof/>
        </w:rPr>
        <w:drawing>
          <wp:inline distT="0" distB="0" distL="0" distR="0" wp14:anchorId="35F33969" wp14:editId="7358CAA4">
            <wp:extent cx="5650992" cy="3761740"/>
            <wp:effectExtent l="0" t="0" r="6985" b="10160"/>
            <wp:docPr id="7" name="Chart 7" descr="Figure 1: Alemtuzumab prevalent patients in RRMS market context by calendar year of supply" title="Figure 1: Alemtuzumab prevalent patients in RRMS market context by calendar year of supply"/>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29C4D59" w14:textId="43814313" w:rsidR="00E865D2" w:rsidRPr="00225061" w:rsidRDefault="00E865D2" w:rsidP="00225061">
      <w:pPr>
        <w:spacing w:before="60" w:after="60"/>
        <w:rPr>
          <w:b/>
        </w:rPr>
      </w:pPr>
      <w:r w:rsidRPr="00225061">
        <w:rPr>
          <w:b/>
        </w:rPr>
        <w:t xml:space="preserve">Figure 1: </w:t>
      </w:r>
      <w:r w:rsidR="00775D10">
        <w:rPr>
          <w:b/>
        </w:rPr>
        <w:t>Alemtuzumab p</w:t>
      </w:r>
      <w:r w:rsidRPr="00225061">
        <w:rPr>
          <w:b/>
        </w:rPr>
        <w:t>revalent patient</w:t>
      </w:r>
      <w:r w:rsidR="007D7623" w:rsidRPr="00225061">
        <w:rPr>
          <w:b/>
        </w:rPr>
        <w:t xml:space="preserve">s </w:t>
      </w:r>
      <w:r w:rsidR="00775D10">
        <w:rPr>
          <w:b/>
        </w:rPr>
        <w:t>in</w:t>
      </w:r>
      <w:r w:rsidR="007D7623" w:rsidRPr="00225061">
        <w:rPr>
          <w:b/>
        </w:rPr>
        <w:t xml:space="preserve"> RRMS</w:t>
      </w:r>
      <w:r w:rsidR="002F1994">
        <w:rPr>
          <w:b/>
        </w:rPr>
        <w:t xml:space="preserve"> </w:t>
      </w:r>
      <w:r w:rsidR="00775D10">
        <w:rPr>
          <w:b/>
        </w:rPr>
        <w:t xml:space="preserve">market context </w:t>
      </w:r>
      <w:r w:rsidRPr="00225061">
        <w:rPr>
          <w:b/>
        </w:rPr>
        <w:t>by calendar year of supply</w:t>
      </w:r>
    </w:p>
    <w:p w14:paraId="7E1386DE" w14:textId="0EE4A44E" w:rsidR="002F7A0B" w:rsidRDefault="002F7A0B" w:rsidP="00225061">
      <w:pPr>
        <w:spacing w:before="60" w:after="60"/>
        <w:rPr>
          <w:sz w:val="20"/>
          <w:szCs w:val="20"/>
        </w:rPr>
      </w:pPr>
      <w:r>
        <w:rPr>
          <w:sz w:val="20"/>
          <w:szCs w:val="20"/>
        </w:rPr>
        <w:t xml:space="preserve">Note: </w:t>
      </w:r>
      <w:r w:rsidRPr="002F7A0B">
        <w:rPr>
          <w:sz w:val="20"/>
          <w:szCs w:val="20"/>
        </w:rPr>
        <w:t xml:space="preserve">2019 is </w:t>
      </w:r>
      <w:r w:rsidR="001D50D0">
        <w:rPr>
          <w:sz w:val="20"/>
          <w:szCs w:val="20"/>
        </w:rPr>
        <w:t xml:space="preserve">a </w:t>
      </w:r>
      <w:r>
        <w:rPr>
          <w:sz w:val="20"/>
          <w:szCs w:val="20"/>
        </w:rPr>
        <w:t>part year (1 January to 30 September 2019)</w:t>
      </w:r>
    </w:p>
    <w:p w14:paraId="0E37F7BC" w14:textId="0BC0CA0A" w:rsidR="00225061" w:rsidRDefault="00225061" w:rsidP="00225061">
      <w:pPr>
        <w:spacing w:before="60" w:after="60"/>
        <w:rPr>
          <w:sz w:val="20"/>
          <w:szCs w:val="20"/>
        </w:rPr>
      </w:pPr>
      <w:r w:rsidRPr="00225061">
        <w:rPr>
          <w:sz w:val="20"/>
          <w:szCs w:val="20"/>
        </w:rPr>
        <w:t>Source: DHS PBS prescriptio</w:t>
      </w:r>
      <w:r>
        <w:rPr>
          <w:sz w:val="20"/>
          <w:szCs w:val="20"/>
        </w:rPr>
        <w:t>n database, extracted November 2019</w:t>
      </w:r>
    </w:p>
    <w:p w14:paraId="3A693EEB" w14:textId="77777777" w:rsidR="00225061" w:rsidRPr="00E865D2" w:rsidRDefault="00225061" w:rsidP="00225061">
      <w:pPr>
        <w:spacing w:before="60" w:after="60"/>
        <w:rPr>
          <w:sz w:val="20"/>
          <w:szCs w:val="20"/>
        </w:rPr>
      </w:pPr>
    </w:p>
    <w:p w14:paraId="0F8683BF" w14:textId="34B69000" w:rsidR="00DB15E3" w:rsidRDefault="00E865D2" w:rsidP="00C2053D">
      <w:r>
        <w:t xml:space="preserve">Figure 1 shows the number of prevalent patients per calendar year </w:t>
      </w:r>
      <w:r w:rsidR="00564E99">
        <w:t>treated with a</w:t>
      </w:r>
      <w:r w:rsidR="001D50D0">
        <w:t xml:space="preserve"> PBS-</w:t>
      </w:r>
      <w:r w:rsidR="00DD1BCC">
        <w:t>listed medicine for RR</w:t>
      </w:r>
      <w:r>
        <w:t>MS</w:t>
      </w:r>
      <w:r w:rsidR="002F1994">
        <w:t xml:space="preserve"> (excluding alemtuzumab)</w:t>
      </w:r>
      <w:r>
        <w:t xml:space="preserve"> </w:t>
      </w:r>
      <w:r w:rsidR="00173964">
        <w:t>and the</w:t>
      </w:r>
      <w:r>
        <w:t xml:space="preserve"> numbe</w:t>
      </w:r>
      <w:r w:rsidR="00564E99">
        <w:t>r of prevalent patients treated with</w:t>
      </w:r>
      <w:r>
        <w:t xml:space="preserve"> alemtuzumab</w:t>
      </w:r>
      <w:r w:rsidR="00DD1BCC">
        <w:t xml:space="preserve"> for the same period</w:t>
      </w:r>
      <w:r>
        <w:t xml:space="preserve">. </w:t>
      </w:r>
      <w:r w:rsidR="00DB15E3" w:rsidRPr="00DB15E3">
        <w:t>The total number of pa</w:t>
      </w:r>
      <w:r w:rsidR="00DB15E3">
        <w:t>tients treated with a PBS listed medicine for RRMS increased over the six-year period.</w:t>
      </w:r>
    </w:p>
    <w:p w14:paraId="72CF1F08" w14:textId="7560F857" w:rsidR="00585881" w:rsidRDefault="002F1994" w:rsidP="00C2053D">
      <w:r>
        <w:t xml:space="preserve">In 2018, </w:t>
      </w:r>
      <w:r w:rsidR="00564E99">
        <w:t>18</w:t>
      </w:r>
      <w:r w:rsidR="004660CC">
        <w:t>,</w:t>
      </w:r>
      <w:r w:rsidR="00564E99">
        <w:t>715</w:t>
      </w:r>
      <w:r>
        <w:t xml:space="preserve"> patients were supplied a PBS</w:t>
      </w:r>
      <w:r w:rsidR="00225E9D">
        <w:t>-</w:t>
      </w:r>
      <w:r>
        <w:t>listed medicine for RRMS</w:t>
      </w:r>
      <w:r w:rsidR="00564E99">
        <w:t xml:space="preserve"> and, of these, 459 (2.5%) patients were supplied alemtuzumab.</w:t>
      </w:r>
      <w:r>
        <w:t xml:space="preserve"> </w:t>
      </w:r>
      <w:r w:rsidRPr="002F1994">
        <w:t>The addition of alemtuzumab in April 2015</w:t>
      </w:r>
      <w:r w:rsidR="0069544F">
        <w:t xml:space="preserve"> </w:t>
      </w:r>
      <w:r w:rsidR="00CF35C4">
        <w:t>had</w:t>
      </w:r>
      <w:r w:rsidRPr="002F1994">
        <w:t xml:space="preserve"> minimal </w:t>
      </w:r>
      <w:r w:rsidR="00A049A6">
        <w:t>e</w:t>
      </w:r>
      <w:r w:rsidR="00A049A6" w:rsidRPr="002F1994">
        <w:t>ffect</w:t>
      </w:r>
      <w:r w:rsidRPr="002F1994">
        <w:t xml:space="preserve"> on the overall market.</w:t>
      </w:r>
    </w:p>
    <w:p w14:paraId="5B49A7D4" w14:textId="266B8BB2" w:rsidR="0069544F" w:rsidRDefault="0069544F" w:rsidP="00DB15E3">
      <w:pPr>
        <w:jc w:val="both"/>
      </w:pPr>
      <w:r>
        <w:rPr>
          <w:noProof/>
        </w:rPr>
        <w:lastRenderedPageBreak/>
        <w:drawing>
          <wp:inline distT="0" distB="0" distL="0" distR="0" wp14:anchorId="4FE43051" wp14:editId="1533BB25">
            <wp:extent cx="5882640" cy="3218688"/>
            <wp:effectExtent l="0" t="0" r="3810" b="1270"/>
            <wp:docPr id="2" name="Chart 2" descr="Figure 2: Prevalent patients supplied RRMS biologics by calendar year of supply" title="Figure 2: Prevalent patients supplied RRMS biologics by calendar year of supply"/>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6DAF09A" w14:textId="2FE92E22" w:rsidR="0069544F" w:rsidRPr="0069544F" w:rsidRDefault="0069544F" w:rsidP="0069544F">
      <w:pPr>
        <w:spacing w:before="60" w:after="60"/>
        <w:jc w:val="both"/>
        <w:rPr>
          <w:b/>
        </w:rPr>
      </w:pPr>
      <w:r w:rsidRPr="0069544F">
        <w:rPr>
          <w:b/>
        </w:rPr>
        <w:t xml:space="preserve">Figure 2: </w:t>
      </w:r>
      <w:r w:rsidR="00AF14BE">
        <w:rPr>
          <w:b/>
        </w:rPr>
        <w:t>P</w:t>
      </w:r>
      <w:r w:rsidRPr="0069544F">
        <w:rPr>
          <w:b/>
        </w:rPr>
        <w:t xml:space="preserve">revalent patients </w:t>
      </w:r>
      <w:r w:rsidR="00AF14BE">
        <w:rPr>
          <w:b/>
        </w:rPr>
        <w:t xml:space="preserve">supplied </w:t>
      </w:r>
      <w:r w:rsidRPr="0069544F">
        <w:rPr>
          <w:b/>
        </w:rPr>
        <w:t>RRMS biologic</w:t>
      </w:r>
      <w:r w:rsidR="00AF14BE">
        <w:rPr>
          <w:b/>
        </w:rPr>
        <w:t>s</w:t>
      </w:r>
      <w:r w:rsidRPr="0069544F">
        <w:rPr>
          <w:b/>
        </w:rPr>
        <w:t xml:space="preserve"> by calendar year of supply</w:t>
      </w:r>
    </w:p>
    <w:p w14:paraId="7E36AE60" w14:textId="77777777" w:rsidR="0069544F" w:rsidRPr="0069544F" w:rsidRDefault="0069544F" w:rsidP="0069544F">
      <w:pPr>
        <w:spacing w:before="60" w:after="60"/>
        <w:jc w:val="both"/>
        <w:rPr>
          <w:sz w:val="20"/>
          <w:szCs w:val="20"/>
        </w:rPr>
      </w:pPr>
      <w:r w:rsidRPr="0069544F">
        <w:rPr>
          <w:sz w:val="20"/>
          <w:szCs w:val="20"/>
        </w:rPr>
        <w:t>Note: 2019 is a part year (1 January to 30 September 2019)</w:t>
      </w:r>
    </w:p>
    <w:p w14:paraId="525421E4" w14:textId="03666029" w:rsidR="0069544F" w:rsidRPr="0069544F" w:rsidRDefault="0069544F" w:rsidP="0069544F">
      <w:pPr>
        <w:spacing w:before="60" w:after="60"/>
        <w:jc w:val="both"/>
        <w:rPr>
          <w:sz w:val="20"/>
          <w:szCs w:val="20"/>
        </w:rPr>
      </w:pPr>
      <w:r w:rsidRPr="0069544F">
        <w:rPr>
          <w:sz w:val="20"/>
          <w:szCs w:val="20"/>
        </w:rPr>
        <w:t>Source: DHS PBS prescription database, extracted November 2019</w:t>
      </w:r>
    </w:p>
    <w:p w14:paraId="0983AFAF" w14:textId="0C127964" w:rsidR="0069544F" w:rsidRDefault="0069544F" w:rsidP="0069544F">
      <w:pPr>
        <w:jc w:val="both"/>
      </w:pPr>
    </w:p>
    <w:p w14:paraId="71EC2842" w14:textId="7C02584C" w:rsidR="0069544F" w:rsidRDefault="0069544F" w:rsidP="005B6506">
      <w:r>
        <w:t>Figure 2 compare</w:t>
      </w:r>
      <w:r w:rsidR="009C6F6B">
        <w:t>s alemtuzuma</w:t>
      </w:r>
      <w:r w:rsidR="00F65587">
        <w:t xml:space="preserve">b </w:t>
      </w:r>
      <w:r w:rsidR="00AF14BE">
        <w:t>use with</w:t>
      </w:r>
      <w:r w:rsidR="00F65587">
        <w:t xml:space="preserve"> other </w:t>
      </w:r>
      <w:r w:rsidR="009C6F6B">
        <w:t xml:space="preserve">biologics listed for RRMS on the PBS. Natalizumab was PBS-listed </w:t>
      </w:r>
      <w:r w:rsidR="00302952">
        <w:t xml:space="preserve">on </w:t>
      </w:r>
      <w:r w:rsidR="009C6F6B">
        <w:t>1 July 20</w:t>
      </w:r>
      <w:r w:rsidR="008070E6">
        <w:t>0</w:t>
      </w:r>
      <w:r w:rsidR="009C6F6B">
        <w:t>8</w:t>
      </w:r>
      <w:r w:rsidR="00302952">
        <w:t xml:space="preserve"> and </w:t>
      </w:r>
      <w:r w:rsidR="00253C84">
        <w:t>o</w:t>
      </w:r>
      <w:r w:rsidR="009C6F6B">
        <w:t xml:space="preserve">crelizumab on 1 February 2018 for the treatment of RRMS. Ocrelizumab is also TGA </w:t>
      </w:r>
      <w:r w:rsidR="00AF14BE">
        <w:t xml:space="preserve">registered </w:t>
      </w:r>
      <w:r w:rsidR="009C6F6B">
        <w:t>for the treatment of patients with primary progressive multiple sclerosis</w:t>
      </w:r>
      <w:r w:rsidR="00AF14BE">
        <w:t xml:space="preserve"> (but not PBS-listed for this indication)</w:t>
      </w:r>
      <w:r w:rsidR="00302952">
        <w:t xml:space="preserve">. </w:t>
      </w:r>
      <w:r w:rsidR="00CE36AE">
        <w:t xml:space="preserve">The number of patients supplied PBS-listed alemtuzumab was </w:t>
      </w:r>
      <w:r w:rsidR="00302952">
        <w:t>considerabl</w:t>
      </w:r>
      <w:r w:rsidR="0035534A">
        <w:t>y</w:t>
      </w:r>
      <w:r w:rsidR="00302952">
        <w:t xml:space="preserve"> </w:t>
      </w:r>
      <w:r w:rsidR="00AF14BE">
        <w:t xml:space="preserve">fewer </w:t>
      </w:r>
      <w:r w:rsidR="00302952">
        <w:t>than</w:t>
      </w:r>
      <w:r w:rsidR="00CE36AE">
        <w:t xml:space="preserve"> the number of patients who received a supply of</w:t>
      </w:r>
      <w:r w:rsidR="00F65587">
        <w:t xml:space="preserve"> natalizumab or </w:t>
      </w:r>
      <w:r w:rsidR="00302952">
        <w:t>ocrelizumab for the treatment of RRMS.</w:t>
      </w:r>
    </w:p>
    <w:p w14:paraId="7C3571AF" w14:textId="3B3F5ED7" w:rsidR="003D2668" w:rsidRDefault="003D2668" w:rsidP="00A35800">
      <w:r>
        <w:rPr>
          <w:noProof/>
        </w:rPr>
        <w:lastRenderedPageBreak/>
        <w:drawing>
          <wp:inline distT="0" distB="0" distL="0" distR="0" wp14:anchorId="09262B0F" wp14:editId="19FF9F06">
            <wp:extent cx="5812155" cy="3434316"/>
            <wp:effectExtent l="0" t="0" r="17145" b="13970"/>
            <wp:docPr id="1" name="Chart 1" descr="Figure 3: Number of initiating and prevalent patients treated with alemtuzumab by calendar year of supply" title="Figure 3: Number of initiating and prevalent patients treated with alemtuzumab by calendar year of supply"/>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7492B7B" w14:textId="1D56916E" w:rsidR="00BE1B52" w:rsidRPr="003D2668" w:rsidRDefault="003D2668" w:rsidP="003D2668">
      <w:pPr>
        <w:spacing w:before="60" w:after="60"/>
        <w:rPr>
          <w:b/>
        </w:rPr>
      </w:pPr>
      <w:r>
        <w:rPr>
          <w:b/>
        </w:rPr>
        <w:t xml:space="preserve">Figure </w:t>
      </w:r>
      <w:r w:rsidR="00302952">
        <w:rPr>
          <w:b/>
        </w:rPr>
        <w:t>3</w:t>
      </w:r>
      <w:r w:rsidR="00225061" w:rsidRPr="003D2668">
        <w:rPr>
          <w:b/>
        </w:rPr>
        <w:t xml:space="preserve">: </w:t>
      </w:r>
      <w:r w:rsidRPr="003D2668">
        <w:rPr>
          <w:b/>
        </w:rPr>
        <w:t>Number of initiating and prevalent patients treated with alemtuzumab by calendar year of supply</w:t>
      </w:r>
    </w:p>
    <w:p w14:paraId="3ED2C305" w14:textId="19B38FB6" w:rsidR="002F7A0B" w:rsidRDefault="002F7A0B" w:rsidP="002F7A0B">
      <w:pPr>
        <w:spacing w:before="60" w:after="60"/>
        <w:rPr>
          <w:sz w:val="20"/>
          <w:szCs w:val="20"/>
        </w:rPr>
      </w:pPr>
      <w:r w:rsidRPr="002F7A0B">
        <w:rPr>
          <w:sz w:val="20"/>
          <w:szCs w:val="20"/>
        </w:rPr>
        <w:t xml:space="preserve">Note: 2019 </w:t>
      </w:r>
      <w:r w:rsidR="00785D19">
        <w:rPr>
          <w:sz w:val="20"/>
          <w:szCs w:val="20"/>
        </w:rPr>
        <w:t xml:space="preserve">is </w:t>
      </w:r>
      <w:r w:rsidRPr="002F7A0B">
        <w:rPr>
          <w:sz w:val="20"/>
          <w:szCs w:val="20"/>
        </w:rPr>
        <w:t>a part year (1 January to 30 September 2019)</w:t>
      </w:r>
    </w:p>
    <w:p w14:paraId="40D04F89" w14:textId="1AB8CE65" w:rsidR="005131E1" w:rsidRDefault="003D2668" w:rsidP="002F7A0B">
      <w:pPr>
        <w:spacing w:before="60" w:after="60"/>
        <w:rPr>
          <w:sz w:val="20"/>
          <w:szCs w:val="20"/>
        </w:rPr>
      </w:pPr>
      <w:r w:rsidRPr="003D2668">
        <w:rPr>
          <w:sz w:val="20"/>
          <w:szCs w:val="20"/>
        </w:rPr>
        <w:t>Source: DHS PBS prescription database, extracted November 2019</w:t>
      </w:r>
    </w:p>
    <w:p w14:paraId="79B9C3E0" w14:textId="197E8AF3" w:rsidR="00DB15E3" w:rsidRPr="00DB15E3" w:rsidRDefault="00DB15E3" w:rsidP="00294A13">
      <w:pPr>
        <w:spacing w:before="200" w:after="20"/>
      </w:pPr>
      <w:r w:rsidRPr="00DB15E3">
        <w:t xml:space="preserve">Figure </w:t>
      </w:r>
      <w:r w:rsidR="008E7F80">
        <w:t>3</w:t>
      </w:r>
      <w:r>
        <w:t xml:space="preserve"> depicts the number of prevalent and initiating patients to alemtuzumab for RRMS. </w:t>
      </w:r>
    </w:p>
    <w:p w14:paraId="367588F8" w14:textId="30AEC314" w:rsidR="00BE1B52" w:rsidRPr="00294A13" w:rsidRDefault="00BE1B52" w:rsidP="00294A13">
      <w:pPr>
        <w:spacing w:before="200" w:after="20"/>
        <w:rPr>
          <w:b/>
        </w:rPr>
      </w:pPr>
      <w:r w:rsidRPr="00294A13">
        <w:rPr>
          <w:b/>
        </w:rPr>
        <w:t>Table</w:t>
      </w:r>
      <w:r w:rsidR="00294A13" w:rsidRPr="00294A13">
        <w:rPr>
          <w:b/>
        </w:rPr>
        <w:t xml:space="preserve"> 1</w:t>
      </w:r>
      <w:r w:rsidRPr="00294A13">
        <w:rPr>
          <w:b/>
        </w:rPr>
        <w:t>: Number and percentage growth of initiating and prevalen</w:t>
      </w:r>
      <w:r w:rsidR="00294A13">
        <w:rPr>
          <w:b/>
        </w:rPr>
        <w:t xml:space="preserve">t patient supplied alemtuzumab </w:t>
      </w:r>
    </w:p>
    <w:tbl>
      <w:tblPr>
        <w:tblStyle w:val="TableGrid"/>
        <w:tblW w:w="8819" w:type="dxa"/>
        <w:tblLook w:val="04A0" w:firstRow="1" w:lastRow="0" w:firstColumn="1" w:lastColumn="0" w:noHBand="0" w:noVBand="1"/>
        <w:tblCaption w:val="Number and percentage growth of patients incident and prevalent to all narcolepsy therapy "/>
        <w:tblDescription w:val="Table 4 shows the number of patients incident and prevalent to narcolepsy therapy per calendar year from 2014 to 2018. "/>
      </w:tblPr>
      <w:tblGrid>
        <w:gridCol w:w="2939"/>
        <w:gridCol w:w="2940"/>
        <w:gridCol w:w="2940"/>
      </w:tblGrid>
      <w:tr w:rsidR="00BE1B52" w:rsidRPr="00BE1B52" w14:paraId="3186915D" w14:textId="77777777" w:rsidTr="00C2053D">
        <w:trPr>
          <w:trHeight w:val="391"/>
          <w:tblHeader/>
        </w:trPr>
        <w:tc>
          <w:tcPr>
            <w:tcW w:w="2939" w:type="dxa"/>
            <w:shd w:val="clear" w:color="auto" w:fill="BFBFBF" w:themeFill="background1" w:themeFillShade="BF"/>
            <w:vAlign w:val="center"/>
          </w:tcPr>
          <w:p w14:paraId="56145707" w14:textId="77777777" w:rsidR="00BE1B52" w:rsidRPr="00BE1B52" w:rsidRDefault="00BE1B52" w:rsidP="001D50D0">
            <w:pPr>
              <w:spacing w:before="60" w:afterLines="60" w:after="144"/>
              <w:jc w:val="center"/>
              <w:rPr>
                <w:b/>
                <w:sz w:val="20"/>
                <w:szCs w:val="20"/>
              </w:rPr>
            </w:pPr>
            <w:r w:rsidRPr="00BE1B52">
              <w:rPr>
                <w:b/>
                <w:sz w:val="20"/>
                <w:szCs w:val="20"/>
              </w:rPr>
              <w:t>Calendar Year</w:t>
            </w:r>
          </w:p>
        </w:tc>
        <w:tc>
          <w:tcPr>
            <w:tcW w:w="2940" w:type="dxa"/>
            <w:shd w:val="clear" w:color="auto" w:fill="BFBFBF" w:themeFill="background1" w:themeFillShade="BF"/>
          </w:tcPr>
          <w:p w14:paraId="655B8593" w14:textId="77777777" w:rsidR="00BE1B52" w:rsidRPr="00BE1B52" w:rsidRDefault="00BE1B52" w:rsidP="00370725">
            <w:pPr>
              <w:spacing w:before="60" w:afterLines="60" w:after="144"/>
              <w:jc w:val="center"/>
              <w:rPr>
                <w:b/>
                <w:sz w:val="20"/>
                <w:szCs w:val="20"/>
              </w:rPr>
            </w:pPr>
            <w:r w:rsidRPr="00BE1B52">
              <w:rPr>
                <w:b/>
                <w:sz w:val="20"/>
                <w:szCs w:val="20"/>
              </w:rPr>
              <w:t>Prevalent patients</w:t>
            </w:r>
          </w:p>
          <w:p w14:paraId="03205709" w14:textId="77777777" w:rsidR="00BE1B52" w:rsidRPr="00BE1B52" w:rsidRDefault="00BE1B52" w:rsidP="00370725">
            <w:pPr>
              <w:spacing w:before="60" w:afterLines="60" w:after="144"/>
              <w:jc w:val="center"/>
              <w:rPr>
                <w:b/>
                <w:sz w:val="20"/>
                <w:szCs w:val="20"/>
              </w:rPr>
            </w:pPr>
            <w:r w:rsidRPr="00BE1B52">
              <w:rPr>
                <w:b/>
                <w:sz w:val="20"/>
                <w:szCs w:val="20"/>
              </w:rPr>
              <w:t>(% growth from previous year )</w:t>
            </w:r>
          </w:p>
        </w:tc>
        <w:tc>
          <w:tcPr>
            <w:tcW w:w="2940" w:type="dxa"/>
            <w:shd w:val="clear" w:color="auto" w:fill="BFBFBF" w:themeFill="background1" w:themeFillShade="BF"/>
          </w:tcPr>
          <w:p w14:paraId="0AB7A6B3" w14:textId="67CA84C5" w:rsidR="00BE1B52" w:rsidRPr="00BE1B52" w:rsidRDefault="00294A13" w:rsidP="00370725">
            <w:pPr>
              <w:spacing w:before="60" w:afterLines="60" w:after="144"/>
              <w:jc w:val="center"/>
              <w:rPr>
                <w:b/>
                <w:sz w:val="20"/>
                <w:szCs w:val="20"/>
              </w:rPr>
            </w:pPr>
            <w:r>
              <w:rPr>
                <w:b/>
                <w:sz w:val="20"/>
                <w:szCs w:val="20"/>
              </w:rPr>
              <w:t>Initiating</w:t>
            </w:r>
            <w:r w:rsidR="00BE1B52" w:rsidRPr="00BE1B52">
              <w:rPr>
                <w:b/>
                <w:sz w:val="20"/>
                <w:szCs w:val="20"/>
              </w:rPr>
              <w:t xml:space="preserve"> patients</w:t>
            </w:r>
          </w:p>
          <w:p w14:paraId="4282DDDF" w14:textId="77777777" w:rsidR="00BE1B52" w:rsidRPr="00BE1B52" w:rsidRDefault="00BE1B52" w:rsidP="00370725">
            <w:pPr>
              <w:spacing w:before="60" w:afterLines="60" w:after="144"/>
              <w:jc w:val="center"/>
              <w:rPr>
                <w:b/>
                <w:sz w:val="20"/>
                <w:szCs w:val="20"/>
              </w:rPr>
            </w:pPr>
            <w:r w:rsidRPr="00BE1B52">
              <w:rPr>
                <w:b/>
                <w:sz w:val="20"/>
                <w:szCs w:val="20"/>
              </w:rPr>
              <w:t>(% growth from previous year)</w:t>
            </w:r>
          </w:p>
        </w:tc>
      </w:tr>
      <w:tr w:rsidR="00BE1B52" w:rsidRPr="00BE1B52" w14:paraId="3C009D74" w14:textId="77777777" w:rsidTr="00C2053D">
        <w:trPr>
          <w:trHeight w:val="113"/>
        </w:trPr>
        <w:tc>
          <w:tcPr>
            <w:tcW w:w="2939" w:type="dxa"/>
            <w:vAlign w:val="center"/>
          </w:tcPr>
          <w:p w14:paraId="4A828F4D" w14:textId="77777777" w:rsidR="00BE1B52" w:rsidRPr="00221F4E" w:rsidRDefault="00BE1B52" w:rsidP="00C2053D">
            <w:pPr>
              <w:spacing w:before="60" w:afterLines="60" w:after="144"/>
              <w:jc w:val="center"/>
              <w:rPr>
                <w:b/>
                <w:sz w:val="20"/>
                <w:szCs w:val="20"/>
              </w:rPr>
            </w:pPr>
            <w:r w:rsidRPr="00221F4E">
              <w:rPr>
                <w:b/>
                <w:sz w:val="20"/>
                <w:szCs w:val="20"/>
              </w:rPr>
              <w:t>2015</w:t>
            </w:r>
          </w:p>
        </w:tc>
        <w:tc>
          <w:tcPr>
            <w:tcW w:w="2940" w:type="dxa"/>
            <w:vAlign w:val="center"/>
          </w:tcPr>
          <w:p w14:paraId="0DC058B0" w14:textId="2C81C79C" w:rsidR="00BE1B52" w:rsidRPr="00221F4E" w:rsidRDefault="00BE1B52" w:rsidP="00C2053D">
            <w:pPr>
              <w:spacing w:before="60" w:afterLines="60" w:after="144"/>
              <w:jc w:val="center"/>
              <w:rPr>
                <w:sz w:val="20"/>
                <w:szCs w:val="20"/>
              </w:rPr>
            </w:pPr>
            <w:r w:rsidRPr="00221F4E">
              <w:rPr>
                <w:sz w:val="20"/>
                <w:szCs w:val="20"/>
              </w:rPr>
              <w:t>423</w:t>
            </w:r>
          </w:p>
        </w:tc>
        <w:tc>
          <w:tcPr>
            <w:tcW w:w="2940" w:type="dxa"/>
            <w:vAlign w:val="center"/>
          </w:tcPr>
          <w:p w14:paraId="27171801" w14:textId="4AE4B946" w:rsidR="00BE1B52" w:rsidRPr="00221F4E" w:rsidRDefault="00BE1B52" w:rsidP="00C2053D">
            <w:pPr>
              <w:spacing w:before="60" w:afterLines="60" w:after="144"/>
              <w:jc w:val="center"/>
              <w:rPr>
                <w:sz w:val="20"/>
                <w:szCs w:val="20"/>
              </w:rPr>
            </w:pPr>
            <w:r w:rsidRPr="00221F4E">
              <w:rPr>
                <w:sz w:val="20"/>
                <w:szCs w:val="20"/>
              </w:rPr>
              <w:t>423</w:t>
            </w:r>
          </w:p>
        </w:tc>
      </w:tr>
      <w:tr w:rsidR="00BE1B52" w:rsidRPr="00BE1B52" w14:paraId="293B466C" w14:textId="77777777" w:rsidTr="00C2053D">
        <w:trPr>
          <w:trHeight w:val="113"/>
        </w:trPr>
        <w:tc>
          <w:tcPr>
            <w:tcW w:w="2939" w:type="dxa"/>
            <w:vAlign w:val="center"/>
          </w:tcPr>
          <w:p w14:paraId="7EA542BA" w14:textId="77777777" w:rsidR="00BE1B52" w:rsidRPr="00221F4E" w:rsidRDefault="00BE1B52" w:rsidP="00C2053D">
            <w:pPr>
              <w:spacing w:before="60" w:afterLines="60" w:after="144"/>
              <w:jc w:val="center"/>
              <w:rPr>
                <w:b/>
                <w:sz w:val="20"/>
                <w:szCs w:val="20"/>
              </w:rPr>
            </w:pPr>
            <w:r w:rsidRPr="00221F4E">
              <w:rPr>
                <w:b/>
                <w:sz w:val="20"/>
                <w:szCs w:val="20"/>
              </w:rPr>
              <w:t>2016</w:t>
            </w:r>
          </w:p>
        </w:tc>
        <w:tc>
          <w:tcPr>
            <w:tcW w:w="2940" w:type="dxa"/>
            <w:vAlign w:val="center"/>
          </w:tcPr>
          <w:p w14:paraId="24FDE6BD" w14:textId="3E292B1B" w:rsidR="00BE1B52" w:rsidRPr="00221F4E" w:rsidRDefault="00BE1B52" w:rsidP="00C2053D">
            <w:pPr>
              <w:spacing w:before="60" w:afterLines="60" w:after="144"/>
              <w:jc w:val="center"/>
              <w:rPr>
                <w:sz w:val="20"/>
                <w:szCs w:val="20"/>
              </w:rPr>
            </w:pPr>
            <w:r w:rsidRPr="00221F4E">
              <w:rPr>
                <w:sz w:val="20"/>
                <w:szCs w:val="20"/>
              </w:rPr>
              <w:t>830</w:t>
            </w:r>
            <w:r w:rsidR="00221F4E">
              <w:rPr>
                <w:sz w:val="20"/>
                <w:szCs w:val="20"/>
              </w:rPr>
              <w:t xml:space="preserve"> (</w:t>
            </w:r>
            <w:r w:rsidR="00221F4E" w:rsidRPr="00221F4E">
              <w:rPr>
                <w:sz w:val="20"/>
                <w:szCs w:val="20"/>
              </w:rPr>
              <w:t>96%</w:t>
            </w:r>
            <w:r w:rsidR="00221F4E">
              <w:rPr>
                <w:sz w:val="20"/>
                <w:szCs w:val="20"/>
              </w:rPr>
              <w:t>)</w:t>
            </w:r>
          </w:p>
        </w:tc>
        <w:tc>
          <w:tcPr>
            <w:tcW w:w="2940" w:type="dxa"/>
            <w:vAlign w:val="center"/>
          </w:tcPr>
          <w:p w14:paraId="3B899C3B" w14:textId="38968084" w:rsidR="00BE1B52" w:rsidRPr="00221F4E" w:rsidRDefault="00BE1B52" w:rsidP="00C2053D">
            <w:pPr>
              <w:spacing w:before="60" w:afterLines="60" w:after="144"/>
              <w:jc w:val="center"/>
              <w:rPr>
                <w:sz w:val="20"/>
                <w:szCs w:val="20"/>
              </w:rPr>
            </w:pPr>
            <w:r w:rsidRPr="00221F4E">
              <w:rPr>
                <w:sz w:val="20"/>
                <w:szCs w:val="20"/>
              </w:rPr>
              <w:t>457</w:t>
            </w:r>
            <w:r w:rsidR="00221F4E" w:rsidRPr="00221F4E">
              <w:rPr>
                <w:sz w:val="20"/>
                <w:szCs w:val="20"/>
              </w:rPr>
              <w:t xml:space="preserve"> (8%)</w:t>
            </w:r>
          </w:p>
        </w:tc>
      </w:tr>
      <w:tr w:rsidR="00BE1B52" w:rsidRPr="00BE1B52" w14:paraId="2272074E" w14:textId="77777777" w:rsidTr="00C2053D">
        <w:trPr>
          <w:trHeight w:val="113"/>
        </w:trPr>
        <w:tc>
          <w:tcPr>
            <w:tcW w:w="2939" w:type="dxa"/>
            <w:vAlign w:val="center"/>
          </w:tcPr>
          <w:p w14:paraId="62095F8B" w14:textId="77777777" w:rsidR="00BE1B52" w:rsidRPr="00221F4E" w:rsidRDefault="00BE1B52" w:rsidP="00C2053D">
            <w:pPr>
              <w:spacing w:before="60" w:afterLines="60" w:after="144"/>
              <w:jc w:val="center"/>
              <w:rPr>
                <w:b/>
                <w:sz w:val="20"/>
                <w:szCs w:val="20"/>
              </w:rPr>
            </w:pPr>
            <w:r w:rsidRPr="00221F4E">
              <w:rPr>
                <w:b/>
                <w:sz w:val="20"/>
                <w:szCs w:val="20"/>
              </w:rPr>
              <w:t>2017</w:t>
            </w:r>
          </w:p>
        </w:tc>
        <w:tc>
          <w:tcPr>
            <w:tcW w:w="2940" w:type="dxa"/>
            <w:vAlign w:val="center"/>
          </w:tcPr>
          <w:p w14:paraId="1CA34E2F" w14:textId="65DBF31E" w:rsidR="00BE1B52" w:rsidRPr="00221F4E" w:rsidRDefault="00BE1B52" w:rsidP="00C2053D">
            <w:pPr>
              <w:spacing w:before="60" w:afterLines="60" w:after="144"/>
              <w:jc w:val="center"/>
              <w:rPr>
                <w:sz w:val="20"/>
                <w:szCs w:val="20"/>
              </w:rPr>
            </w:pPr>
            <w:r w:rsidRPr="00221F4E">
              <w:rPr>
                <w:sz w:val="20"/>
                <w:szCs w:val="20"/>
              </w:rPr>
              <w:t xml:space="preserve">748 </w:t>
            </w:r>
            <w:r w:rsidR="00221F4E">
              <w:rPr>
                <w:sz w:val="20"/>
                <w:szCs w:val="20"/>
              </w:rPr>
              <w:t>(</w:t>
            </w:r>
            <w:r w:rsidR="00221F4E" w:rsidRPr="00221F4E">
              <w:rPr>
                <w:sz w:val="20"/>
                <w:szCs w:val="20"/>
              </w:rPr>
              <w:t>-10%</w:t>
            </w:r>
            <w:r w:rsidR="00221F4E">
              <w:rPr>
                <w:sz w:val="20"/>
                <w:szCs w:val="20"/>
              </w:rPr>
              <w:t>)</w:t>
            </w:r>
          </w:p>
        </w:tc>
        <w:tc>
          <w:tcPr>
            <w:tcW w:w="2940" w:type="dxa"/>
            <w:vAlign w:val="center"/>
          </w:tcPr>
          <w:p w14:paraId="3FFB3020" w14:textId="09E724EF" w:rsidR="00BE1B52" w:rsidRPr="00221F4E" w:rsidRDefault="00BE1B52" w:rsidP="00C2053D">
            <w:pPr>
              <w:spacing w:before="60" w:afterLines="60" w:after="144"/>
              <w:jc w:val="center"/>
              <w:rPr>
                <w:sz w:val="20"/>
                <w:szCs w:val="20"/>
              </w:rPr>
            </w:pPr>
            <w:r w:rsidRPr="00221F4E">
              <w:rPr>
                <w:sz w:val="20"/>
                <w:szCs w:val="20"/>
              </w:rPr>
              <w:t>305</w:t>
            </w:r>
            <w:r w:rsidR="00221F4E" w:rsidRPr="00221F4E">
              <w:rPr>
                <w:sz w:val="20"/>
                <w:szCs w:val="20"/>
              </w:rPr>
              <w:t xml:space="preserve"> (-33%)</w:t>
            </w:r>
          </w:p>
        </w:tc>
      </w:tr>
      <w:tr w:rsidR="00BE1B52" w:rsidRPr="00BE1B52" w14:paraId="53BBB51C" w14:textId="77777777" w:rsidTr="00C2053D">
        <w:trPr>
          <w:trHeight w:val="113"/>
        </w:trPr>
        <w:tc>
          <w:tcPr>
            <w:tcW w:w="2939" w:type="dxa"/>
            <w:vAlign w:val="center"/>
          </w:tcPr>
          <w:p w14:paraId="0B8F0059" w14:textId="77777777" w:rsidR="00BE1B52" w:rsidRPr="00221F4E" w:rsidRDefault="00BE1B52" w:rsidP="00C2053D">
            <w:pPr>
              <w:spacing w:before="60" w:afterLines="60" w:after="144"/>
              <w:jc w:val="center"/>
              <w:rPr>
                <w:b/>
                <w:sz w:val="20"/>
                <w:szCs w:val="20"/>
              </w:rPr>
            </w:pPr>
            <w:r w:rsidRPr="00221F4E">
              <w:rPr>
                <w:b/>
                <w:sz w:val="20"/>
                <w:szCs w:val="20"/>
              </w:rPr>
              <w:t>2018</w:t>
            </w:r>
          </w:p>
        </w:tc>
        <w:tc>
          <w:tcPr>
            <w:tcW w:w="2940" w:type="dxa"/>
            <w:vAlign w:val="center"/>
          </w:tcPr>
          <w:p w14:paraId="080D14FA" w14:textId="5A4BA190" w:rsidR="00BE1B52" w:rsidRPr="00221F4E" w:rsidRDefault="00BE1B52" w:rsidP="00C2053D">
            <w:pPr>
              <w:spacing w:before="60" w:afterLines="60" w:after="144"/>
              <w:jc w:val="center"/>
              <w:rPr>
                <w:sz w:val="20"/>
                <w:szCs w:val="20"/>
              </w:rPr>
            </w:pPr>
            <w:r w:rsidRPr="00221F4E">
              <w:rPr>
                <w:sz w:val="20"/>
                <w:szCs w:val="20"/>
              </w:rPr>
              <w:t xml:space="preserve">459 </w:t>
            </w:r>
            <w:r w:rsidR="00221F4E">
              <w:rPr>
                <w:sz w:val="20"/>
                <w:szCs w:val="20"/>
              </w:rPr>
              <w:t>(</w:t>
            </w:r>
            <w:r w:rsidR="00221F4E" w:rsidRPr="00221F4E">
              <w:rPr>
                <w:sz w:val="20"/>
                <w:szCs w:val="20"/>
              </w:rPr>
              <w:t>-39%</w:t>
            </w:r>
            <w:r w:rsidR="00221F4E">
              <w:rPr>
                <w:sz w:val="20"/>
                <w:szCs w:val="20"/>
              </w:rPr>
              <w:t>)</w:t>
            </w:r>
          </w:p>
        </w:tc>
        <w:tc>
          <w:tcPr>
            <w:tcW w:w="2940" w:type="dxa"/>
            <w:vAlign w:val="center"/>
          </w:tcPr>
          <w:p w14:paraId="78EA6899" w14:textId="1519EA33" w:rsidR="00BE1B52" w:rsidRPr="00221F4E" w:rsidRDefault="00BE1B52" w:rsidP="00C2053D">
            <w:pPr>
              <w:spacing w:before="60" w:afterLines="60" w:after="144"/>
              <w:jc w:val="center"/>
              <w:rPr>
                <w:sz w:val="20"/>
                <w:szCs w:val="20"/>
              </w:rPr>
            </w:pPr>
            <w:r w:rsidRPr="00221F4E">
              <w:rPr>
                <w:sz w:val="20"/>
                <w:szCs w:val="20"/>
              </w:rPr>
              <w:t>173</w:t>
            </w:r>
            <w:r w:rsidR="00221F4E" w:rsidRPr="00221F4E">
              <w:rPr>
                <w:sz w:val="20"/>
                <w:szCs w:val="20"/>
              </w:rPr>
              <w:t xml:space="preserve"> (-43%)</w:t>
            </w:r>
          </w:p>
        </w:tc>
      </w:tr>
    </w:tbl>
    <w:p w14:paraId="11BC2BB1" w14:textId="20ABBB44" w:rsidR="002F7A0B" w:rsidRDefault="00BE1B52" w:rsidP="001D50D0">
      <w:pPr>
        <w:spacing w:before="60" w:after="60"/>
        <w:rPr>
          <w:sz w:val="20"/>
          <w:szCs w:val="20"/>
        </w:rPr>
      </w:pPr>
      <w:r w:rsidRPr="00BE1B52">
        <w:rPr>
          <w:sz w:val="20"/>
          <w:szCs w:val="20"/>
        </w:rPr>
        <w:t>Source: DHS PBS prescr</w:t>
      </w:r>
      <w:r>
        <w:rPr>
          <w:sz w:val="20"/>
          <w:szCs w:val="20"/>
        </w:rPr>
        <w:t>iption database, extracted November</w:t>
      </w:r>
      <w:r w:rsidRPr="00BE1B52">
        <w:rPr>
          <w:sz w:val="20"/>
          <w:szCs w:val="20"/>
        </w:rPr>
        <w:t xml:space="preserve"> 2019</w:t>
      </w:r>
    </w:p>
    <w:p w14:paraId="773BDBDE" w14:textId="77777777" w:rsidR="00785D19" w:rsidRPr="001D50D0" w:rsidRDefault="00785D19" w:rsidP="001D50D0">
      <w:pPr>
        <w:spacing w:before="60" w:after="60"/>
        <w:rPr>
          <w:sz w:val="20"/>
          <w:szCs w:val="20"/>
        </w:rPr>
      </w:pPr>
    </w:p>
    <w:p w14:paraId="567B549F" w14:textId="3D94E1E3" w:rsidR="00601414" w:rsidRDefault="002F7A0B" w:rsidP="00A35800">
      <w:r>
        <w:t xml:space="preserve">Figure </w:t>
      </w:r>
      <w:r w:rsidR="00405809">
        <w:t>3</w:t>
      </w:r>
      <w:r>
        <w:t xml:space="preserve"> and </w:t>
      </w:r>
      <w:r w:rsidR="00294A13">
        <w:t>Table 1</w:t>
      </w:r>
      <w:r w:rsidR="00294A13" w:rsidRPr="00294A13">
        <w:t xml:space="preserve"> </w:t>
      </w:r>
      <w:r w:rsidR="00405809">
        <w:t>illustrate</w:t>
      </w:r>
      <w:r w:rsidR="00405809" w:rsidRPr="00294A13">
        <w:t xml:space="preserve"> </w:t>
      </w:r>
      <w:r w:rsidR="00294A13" w:rsidRPr="00294A13">
        <w:t>that after the initial uptake in 2015 and 2016, the number of patients initiating alemtuzumab for RRMS and the preval</w:t>
      </w:r>
      <w:r w:rsidR="00DB15E3">
        <w:t>ent number of patients treated with alemtuzumab</w:t>
      </w:r>
      <w:r w:rsidR="001D50D0">
        <w:t xml:space="preserve"> have decline</w:t>
      </w:r>
      <w:r w:rsidR="00173964">
        <w:t>d</w:t>
      </w:r>
      <w:r w:rsidR="00370725">
        <w:t>.</w:t>
      </w:r>
    </w:p>
    <w:p w14:paraId="28E96342" w14:textId="77777777" w:rsidR="002F7A0B" w:rsidRDefault="002F7A0B" w:rsidP="00686F58">
      <w:pPr>
        <w:spacing w:before="60" w:after="60"/>
        <w:rPr>
          <w:b/>
        </w:rPr>
      </w:pPr>
    </w:p>
    <w:p w14:paraId="74874AB1" w14:textId="6E0661AE" w:rsidR="002F7A0B" w:rsidRDefault="002F7A0B" w:rsidP="00686F58">
      <w:pPr>
        <w:spacing w:before="60" w:after="60"/>
        <w:rPr>
          <w:b/>
        </w:rPr>
      </w:pPr>
      <w:r>
        <w:rPr>
          <w:noProof/>
        </w:rPr>
        <w:lastRenderedPageBreak/>
        <w:drawing>
          <wp:inline distT="0" distB="0" distL="0" distR="0" wp14:anchorId="05DE46AD" wp14:editId="622041E1">
            <wp:extent cx="5674995" cy="3794235"/>
            <wp:effectExtent l="0" t="0" r="1905" b="15875"/>
            <wp:docPr id="8" name="Chart 8" descr="Figure 4: Number of prescriptions of alemtuzumab supplied by treatment course by calendar year of supply" title="Figure 4: Number of prescriptions of alemtuzumab supplied by treatment course by calendar year of supply"/>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9538870" w14:textId="21AFCFEE" w:rsidR="00601414" w:rsidRPr="00CC7902" w:rsidRDefault="00BE1B52" w:rsidP="00686F58">
      <w:pPr>
        <w:spacing w:before="60" w:after="60"/>
        <w:rPr>
          <w:b/>
        </w:rPr>
      </w:pPr>
      <w:r w:rsidRPr="00CC7902">
        <w:rPr>
          <w:b/>
        </w:rPr>
        <w:t>Figure</w:t>
      </w:r>
      <w:r w:rsidR="00CC7902">
        <w:rPr>
          <w:b/>
        </w:rPr>
        <w:t xml:space="preserve"> </w:t>
      </w:r>
      <w:r w:rsidR="00405809">
        <w:rPr>
          <w:b/>
        </w:rPr>
        <w:t>4</w:t>
      </w:r>
      <w:r w:rsidR="007548CD" w:rsidRPr="00CC7902">
        <w:rPr>
          <w:b/>
        </w:rPr>
        <w:t>: Number of prescriptions of alemtuzumab supplied by treatment course by calendar year of supply</w:t>
      </w:r>
    </w:p>
    <w:p w14:paraId="74DCFDD7" w14:textId="59ACE70E" w:rsidR="00CC7902" w:rsidRDefault="00CC7902" w:rsidP="00405809">
      <w:pPr>
        <w:spacing w:before="60" w:after="60"/>
        <w:rPr>
          <w:sz w:val="20"/>
          <w:szCs w:val="20"/>
        </w:rPr>
      </w:pPr>
      <w:r w:rsidRPr="00CC7902">
        <w:rPr>
          <w:sz w:val="20"/>
          <w:szCs w:val="20"/>
        </w:rPr>
        <w:t>Source: DHS PBS prescription database, extracted November 2019</w:t>
      </w:r>
    </w:p>
    <w:p w14:paraId="5928E3B1" w14:textId="77777777" w:rsidR="00405809" w:rsidRPr="00CC7902" w:rsidRDefault="00405809" w:rsidP="00405809">
      <w:pPr>
        <w:spacing w:before="60" w:after="60"/>
        <w:rPr>
          <w:sz w:val="20"/>
          <w:szCs w:val="20"/>
        </w:rPr>
      </w:pPr>
    </w:p>
    <w:p w14:paraId="1E50E9AD" w14:textId="22A441D3" w:rsidR="00E71DD3" w:rsidRDefault="00CC7902" w:rsidP="00C2053D">
      <w:r>
        <w:t>According to the current PBS restrictio</w:t>
      </w:r>
      <w:r w:rsidR="00785D19">
        <w:t>n, patients can be supplied the</w:t>
      </w:r>
      <w:r>
        <w:t xml:space="preserve"> first treatment course (PBS Item codes 10228H and 10243D) for initial treatment, followed by a second treatment course (PBS Item codes 10232M and 10246G) as continuing treatment. </w:t>
      </w:r>
      <w:r w:rsidR="00BE1B52">
        <w:t xml:space="preserve">Consistent with the decrease in the number of prevalent and </w:t>
      </w:r>
      <w:r w:rsidR="0017123C">
        <w:t>initiating</w:t>
      </w:r>
      <w:r w:rsidR="00BE1B52">
        <w:t xml:space="preserve"> patients (Figure</w:t>
      </w:r>
      <w:r>
        <w:t xml:space="preserve"> </w:t>
      </w:r>
      <w:r w:rsidR="000D50D1">
        <w:t>3</w:t>
      </w:r>
      <w:r>
        <w:t>), F</w:t>
      </w:r>
      <w:r w:rsidR="007548CD">
        <w:t>igure</w:t>
      </w:r>
      <w:r>
        <w:t xml:space="preserve"> </w:t>
      </w:r>
      <w:r w:rsidR="00405809">
        <w:t>4</w:t>
      </w:r>
      <w:r>
        <w:t xml:space="preserve"> shows </w:t>
      </w:r>
      <w:r w:rsidR="007548CD">
        <w:t xml:space="preserve">the number of prescriptions for alemtuzumab </w:t>
      </w:r>
      <w:r w:rsidR="007526D1">
        <w:t xml:space="preserve">supplied </w:t>
      </w:r>
      <w:r w:rsidR="007548CD">
        <w:t>under the initial treatme</w:t>
      </w:r>
      <w:r w:rsidR="00785D19">
        <w:t>nt item codes declined after</w:t>
      </w:r>
      <w:r w:rsidR="007548CD">
        <w:t xml:space="preserve"> 2016 and the number of prescriptions supplied under the continuing trea</w:t>
      </w:r>
      <w:r w:rsidR="00785D19">
        <w:t>tment codes declined after</w:t>
      </w:r>
      <w:r>
        <w:t xml:space="preserve"> 2017.</w:t>
      </w:r>
      <w:r w:rsidR="00C21441">
        <w:t xml:space="preserve"> </w:t>
      </w:r>
      <w:r w:rsidR="005B6506">
        <w:t>Sixty-one percent</w:t>
      </w:r>
      <w:r w:rsidR="00C21441" w:rsidRPr="00C21441">
        <w:t xml:space="preserve"> of</w:t>
      </w:r>
      <w:r w:rsidR="00C21441">
        <w:t xml:space="preserve"> the</w:t>
      </w:r>
      <w:r w:rsidR="00C21441" w:rsidRPr="00C21441">
        <w:t xml:space="preserve"> prescriptions for alemtuzumab were supplied under the S100 HSD public item codes (10228H and 10232M).</w:t>
      </w:r>
    </w:p>
    <w:p w14:paraId="65E93B03" w14:textId="40F0DE41" w:rsidR="00686F58" w:rsidRDefault="00686F58" w:rsidP="00C2053D">
      <w:r w:rsidRPr="00686F58">
        <w:t>Alemtuzumab is positioned as first line treatment in pat</w:t>
      </w:r>
      <w:r w:rsidR="00BB03D9">
        <w:t>i</w:t>
      </w:r>
      <w:r w:rsidRPr="00686F58">
        <w:t xml:space="preserve">ents with aggressive disease, as well as a second-line treatment in patients failing other disease modifying therapy. </w:t>
      </w:r>
      <w:r w:rsidR="005B6506">
        <w:t>Eighty-four percent</w:t>
      </w:r>
      <w:r w:rsidRPr="00686F58">
        <w:t xml:space="preserve"> of patients supplied alemtuzumab had a prior supply of another PBS listed </w:t>
      </w:r>
      <w:r w:rsidR="002078C0">
        <w:t>R</w:t>
      </w:r>
      <w:r w:rsidR="00BB03D9">
        <w:t>R</w:t>
      </w:r>
      <w:r w:rsidRPr="00686F58">
        <w:t>MS medicine.</w:t>
      </w:r>
    </w:p>
    <w:p w14:paraId="277EA6C0" w14:textId="77777777" w:rsidR="00686F58" w:rsidRPr="00686F58" w:rsidRDefault="00686F58" w:rsidP="00686F58"/>
    <w:p w14:paraId="4FCB52D7" w14:textId="58F781C2" w:rsidR="006A6CF0" w:rsidRDefault="007A07DD" w:rsidP="006A6CF0">
      <w:r>
        <w:rPr>
          <w:noProof/>
        </w:rPr>
        <w:lastRenderedPageBreak/>
        <w:drawing>
          <wp:inline distT="0" distB="0" distL="0" distR="0" wp14:anchorId="2A39CE30" wp14:editId="7C8D12C9">
            <wp:extent cx="5644055" cy="2616725"/>
            <wp:effectExtent l="0" t="0" r="13970" b="12700"/>
            <wp:docPr id="5" name="Chart 5" descr="Figure 5: Proportion of patients supplied alemtuzumab by number of treatment courses " title="Figure 5: Proportion of patients supplied alemtuzumab by number of treatment courses "/>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049904C" w14:textId="14AB801E" w:rsidR="007A07DD" w:rsidRPr="00686F58" w:rsidRDefault="007A07DD" w:rsidP="00686F58">
      <w:pPr>
        <w:spacing w:before="60" w:after="60"/>
        <w:rPr>
          <w:b/>
        </w:rPr>
      </w:pPr>
      <w:r w:rsidRPr="00686F58">
        <w:rPr>
          <w:b/>
        </w:rPr>
        <w:t>Figure</w:t>
      </w:r>
      <w:r w:rsidR="00686F58" w:rsidRPr="00686F58">
        <w:rPr>
          <w:b/>
        </w:rPr>
        <w:t xml:space="preserve"> </w:t>
      </w:r>
      <w:r w:rsidR="00405809">
        <w:rPr>
          <w:b/>
        </w:rPr>
        <w:t>5</w:t>
      </w:r>
      <w:r w:rsidRPr="00686F58">
        <w:rPr>
          <w:b/>
        </w:rPr>
        <w:t xml:space="preserve">: Proportion of patients supplied alemtuzumab by number of </w:t>
      </w:r>
      <w:r w:rsidR="00625CAC">
        <w:rPr>
          <w:b/>
        </w:rPr>
        <w:t xml:space="preserve">treatment </w:t>
      </w:r>
      <w:r w:rsidRPr="00686F58">
        <w:rPr>
          <w:b/>
        </w:rPr>
        <w:t xml:space="preserve">courses </w:t>
      </w:r>
    </w:p>
    <w:p w14:paraId="24905ED9" w14:textId="77777777" w:rsidR="00405809" w:rsidRDefault="00686F58" w:rsidP="00405809">
      <w:pPr>
        <w:spacing w:before="60" w:after="60"/>
        <w:rPr>
          <w:sz w:val="20"/>
          <w:szCs w:val="20"/>
        </w:rPr>
      </w:pPr>
      <w:r w:rsidRPr="00686F58">
        <w:rPr>
          <w:sz w:val="20"/>
          <w:szCs w:val="20"/>
        </w:rPr>
        <w:t>Source: DHS PBS prescription database, extracted November 2019</w:t>
      </w:r>
    </w:p>
    <w:p w14:paraId="4FB642F7" w14:textId="6964CAF6" w:rsidR="00405809" w:rsidRPr="00405809" w:rsidRDefault="00405809" w:rsidP="00405809">
      <w:pPr>
        <w:spacing w:before="60" w:after="60"/>
        <w:rPr>
          <w:sz w:val="20"/>
          <w:szCs w:val="20"/>
        </w:rPr>
      </w:pPr>
      <w:r w:rsidRPr="00405809">
        <w:rPr>
          <w:sz w:val="20"/>
          <w:szCs w:val="20"/>
        </w:rPr>
        <w:t xml:space="preserve">Note: </w:t>
      </w:r>
      <w:r>
        <w:rPr>
          <w:sz w:val="20"/>
          <w:szCs w:val="20"/>
        </w:rPr>
        <w:t>Patients initiating alemtuzumab</w:t>
      </w:r>
      <w:r w:rsidRPr="00405809">
        <w:rPr>
          <w:sz w:val="20"/>
          <w:szCs w:val="20"/>
        </w:rPr>
        <w:t xml:space="preserve"> from 1 April 2015 to 1 October 2018</w:t>
      </w:r>
      <w:r>
        <w:rPr>
          <w:sz w:val="20"/>
          <w:szCs w:val="20"/>
        </w:rPr>
        <w:t xml:space="preserve"> to allow</w:t>
      </w:r>
      <w:r w:rsidRPr="00405809">
        <w:rPr>
          <w:sz w:val="20"/>
          <w:szCs w:val="20"/>
        </w:rPr>
        <w:t xml:space="preserve"> patients time to have more than the initial treatment course</w:t>
      </w:r>
    </w:p>
    <w:p w14:paraId="2583865F" w14:textId="77777777" w:rsidR="00686F58" w:rsidRDefault="00686F58" w:rsidP="006A6CF0"/>
    <w:p w14:paraId="65C41932" w14:textId="3C51467F" w:rsidR="002F527D" w:rsidRDefault="007A07DD" w:rsidP="00C2053D">
      <w:r w:rsidRPr="007A07DD">
        <w:t>Alemtuzumab is register</w:t>
      </w:r>
      <w:r w:rsidR="00686F58">
        <w:t xml:space="preserve">ed with the </w:t>
      </w:r>
      <w:r w:rsidR="00F65587">
        <w:t xml:space="preserve">TGA </w:t>
      </w:r>
      <w:r w:rsidRPr="007A07DD">
        <w:t>for</w:t>
      </w:r>
      <w:r w:rsidR="003844E1">
        <w:t xml:space="preserve"> initial treatment with two treatment courses </w:t>
      </w:r>
      <w:r w:rsidRPr="007A07DD">
        <w:t>and for</w:t>
      </w:r>
      <w:r w:rsidR="00E71DD3">
        <w:t xml:space="preserve"> an</w:t>
      </w:r>
      <w:r w:rsidRPr="007A07DD">
        <w:t xml:space="preserve"> additional</w:t>
      </w:r>
      <w:r w:rsidR="00E71DD3">
        <w:t xml:space="preserve"> </w:t>
      </w:r>
      <w:r w:rsidRPr="007A07DD">
        <w:t>third or fourth</w:t>
      </w:r>
      <w:r w:rsidR="003F6DC3">
        <w:t xml:space="preserve"> treatment course </w:t>
      </w:r>
      <w:r w:rsidR="00E46A7B">
        <w:t>if</w:t>
      </w:r>
      <w:r w:rsidR="00E71DD3">
        <w:t xml:space="preserve"> needed </w:t>
      </w:r>
      <w:r w:rsidRPr="007A07DD">
        <w:t>at least 12 months after the prior t</w:t>
      </w:r>
      <w:r w:rsidR="00625CAC">
        <w:t xml:space="preserve">reatment course. The first two </w:t>
      </w:r>
      <w:r w:rsidRPr="007A07DD">
        <w:t>treatment courses are currently listed on the PBS but the additional third</w:t>
      </w:r>
      <w:r w:rsidR="0089561F">
        <w:t xml:space="preserve"> and fourth courses</w:t>
      </w:r>
      <w:r w:rsidR="00A96F1A">
        <w:t xml:space="preserve"> are not listed on the PBS.</w:t>
      </w:r>
      <w:r w:rsidR="0089561F">
        <w:t xml:space="preserve"> </w:t>
      </w:r>
      <w:r w:rsidRPr="007A07DD">
        <w:t xml:space="preserve">Figure </w:t>
      </w:r>
      <w:r w:rsidR="000D50D1">
        <w:t>5</w:t>
      </w:r>
      <w:r w:rsidR="00625CAC">
        <w:t xml:space="preserve"> </w:t>
      </w:r>
      <w:r w:rsidRPr="007A07DD">
        <w:t>demonstrates that majority of patients</w:t>
      </w:r>
      <w:r w:rsidR="00147542">
        <w:t xml:space="preserve"> (90%)</w:t>
      </w:r>
      <w:r w:rsidRPr="007A07DD">
        <w:t xml:space="preserve"> receive</w:t>
      </w:r>
      <w:r w:rsidR="00A96F1A">
        <w:t>d</w:t>
      </w:r>
      <w:r w:rsidRPr="007A07DD">
        <w:t xml:space="preserve"> two treatment courses of </w:t>
      </w:r>
      <w:r w:rsidR="00E71DD3">
        <w:t xml:space="preserve">PBS subsidised </w:t>
      </w:r>
      <w:r w:rsidR="00625CAC">
        <w:t xml:space="preserve">alemtuzumab as per </w:t>
      </w:r>
      <w:r w:rsidR="00173964">
        <w:t xml:space="preserve">the </w:t>
      </w:r>
      <w:r w:rsidR="00625CAC">
        <w:t>PBS restriction</w:t>
      </w:r>
      <w:r w:rsidRPr="007A07DD">
        <w:t xml:space="preserve">. A small proportion of </w:t>
      </w:r>
      <w:r w:rsidRPr="000D50D1">
        <w:t>patients</w:t>
      </w:r>
      <w:r w:rsidR="007526D1" w:rsidRPr="000D50D1">
        <w:t xml:space="preserve"> (</w:t>
      </w:r>
      <w:r w:rsidR="000D50D1" w:rsidRPr="000D50D1">
        <w:t>1</w:t>
      </w:r>
      <w:r w:rsidR="00A96F1A">
        <w:t>.3</w:t>
      </w:r>
      <w:r w:rsidR="007526D1" w:rsidRPr="000D50D1">
        <w:t>%)</w:t>
      </w:r>
      <w:r w:rsidRPr="007A07DD">
        <w:t xml:space="preserve"> </w:t>
      </w:r>
      <w:r w:rsidR="00A96F1A">
        <w:t>were</w:t>
      </w:r>
      <w:r w:rsidR="00A96F1A" w:rsidRPr="007A07DD">
        <w:t xml:space="preserve"> </w:t>
      </w:r>
      <w:r w:rsidRPr="007A07DD">
        <w:t>supplied an additional th</w:t>
      </w:r>
      <w:r w:rsidR="00E71DD3">
        <w:t>ird course of PBS subsidised alemtuzumab</w:t>
      </w:r>
      <w:r w:rsidRPr="007A07DD">
        <w:t>.</w:t>
      </w:r>
      <w:r w:rsidR="002F527D" w:rsidRPr="002F527D">
        <w:t xml:space="preserve"> </w:t>
      </w:r>
    </w:p>
    <w:p w14:paraId="3A2FF880" w14:textId="22E5D433" w:rsidR="00C2053D" w:rsidRDefault="005300B5" w:rsidP="00C2053D">
      <w:r w:rsidRPr="005300B5">
        <w:t>The recommended dose of ale</w:t>
      </w:r>
      <w:r>
        <w:t>mtuzumab is 12 mg (</w:t>
      </w:r>
      <w:r w:rsidR="00173964">
        <w:t>one</w:t>
      </w:r>
      <w:r>
        <w:t xml:space="preserve"> vial) </w:t>
      </w:r>
      <w:r w:rsidRPr="005300B5">
        <w:t xml:space="preserve">daily for </w:t>
      </w:r>
      <w:r w:rsidR="00173964">
        <w:t>five</w:t>
      </w:r>
      <w:r w:rsidRPr="005300B5">
        <w:t xml:space="preserve"> consecutive days for the first treatment course, followed 12 mont</w:t>
      </w:r>
      <w:r>
        <w:t>hs later by 12 mg (</w:t>
      </w:r>
      <w:r w:rsidR="00173964">
        <w:t>one</w:t>
      </w:r>
      <w:r>
        <w:t xml:space="preserve"> vial) </w:t>
      </w:r>
      <w:r w:rsidRPr="005300B5">
        <w:t xml:space="preserve">daily for </w:t>
      </w:r>
      <w:r w:rsidR="00173964">
        <w:t>three</w:t>
      </w:r>
      <w:r w:rsidRPr="005300B5">
        <w:t xml:space="preserve"> consecutive days for the second treatment course. </w:t>
      </w:r>
      <w:r w:rsidR="005B6506">
        <w:t>Ninety-eight percent</w:t>
      </w:r>
      <w:r w:rsidRPr="005300B5">
        <w:t xml:space="preserve"> of patients were supplied a quantity of </w:t>
      </w:r>
      <w:r w:rsidR="00173964">
        <w:t>five</w:t>
      </w:r>
      <w:r w:rsidRPr="005300B5">
        <w:t xml:space="preserve"> vials for</w:t>
      </w:r>
      <w:r>
        <w:t xml:space="preserve"> the first</w:t>
      </w:r>
      <w:r w:rsidRPr="005300B5">
        <w:t xml:space="preserve"> treatment course and 99% of patients were supplied a quantity of three vials for the second treatment course. A very small proportion of patients were supplied extra vials within 28 days of their first supply of alemtuzumab.</w:t>
      </w:r>
    </w:p>
    <w:p w14:paraId="341D2158" w14:textId="5478D27D" w:rsidR="00374E65" w:rsidRDefault="00374E65">
      <w:pPr>
        <w:spacing w:line="276" w:lineRule="auto"/>
        <w:rPr>
          <w:b/>
          <w:i/>
        </w:rPr>
      </w:pPr>
      <w:r>
        <w:rPr>
          <w:b/>
          <w:i/>
        </w:rPr>
        <w:br w:type="page"/>
      </w:r>
    </w:p>
    <w:p w14:paraId="765AA330" w14:textId="68CF1D0A" w:rsidR="006A6CF0" w:rsidRDefault="005B62A2" w:rsidP="006A6CF0">
      <w:pPr>
        <w:rPr>
          <w:b/>
          <w:i/>
        </w:rPr>
      </w:pPr>
      <w:r w:rsidRPr="007A07DD">
        <w:rPr>
          <w:b/>
          <w:i/>
        </w:rPr>
        <w:lastRenderedPageBreak/>
        <w:t>Time to prescription refill</w:t>
      </w:r>
      <w:r w:rsidR="000E248B">
        <w:rPr>
          <w:b/>
          <w:i/>
        </w:rPr>
        <w:t xml:space="preserve"> analysis</w:t>
      </w:r>
    </w:p>
    <w:p w14:paraId="5E1E4CB5" w14:textId="3AD2BFE4" w:rsidR="006A6CF0" w:rsidRDefault="006A6CF0" w:rsidP="006A6CF0">
      <w:r>
        <w:rPr>
          <w:noProof/>
        </w:rPr>
        <w:drawing>
          <wp:inline distT="0" distB="0" distL="0" distR="0" wp14:anchorId="176E5C6D" wp14:editId="416C316E">
            <wp:extent cx="5875283" cy="3331013"/>
            <wp:effectExtent l="0" t="0" r="11430" b="3175"/>
            <wp:docPr id="6" name="Chart 6" descr="Figure 6: Time to refill between initial and continuing prescriptions" title=" Figure 6: Time to refill between initial and continuing prescriptions"/>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21853D0" w14:textId="07ECFEA7" w:rsidR="006A6CF0" w:rsidRPr="00E71DD3" w:rsidRDefault="005B62A2" w:rsidP="00E71DD3">
      <w:pPr>
        <w:spacing w:before="60" w:after="60"/>
        <w:rPr>
          <w:b/>
        </w:rPr>
      </w:pPr>
      <w:r w:rsidRPr="00E71DD3">
        <w:rPr>
          <w:b/>
        </w:rPr>
        <w:t>Figure</w:t>
      </w:r>
      <w:r w:rsidR="00E71DD3">
        <w:rPr>
          <w:b/>
        </w:rPr>
        <w:t xml:space="preserve"> </w:t>
      </w:r>
      <w:r w:rsidR="00EC7CF6">
        <w:rPr>
          <w:b/>
        </w:rPr>
        <w:t>6</w:t>
      </w:r>
      <w:r w:rsidRPr="00E71DD3">
        <w:rPr>
          <w:b/>
        </w:rPr>
        <w:t>: Time to refill between initial and continuing prescriptions</w:t>
      </w:r>
    </w:p>
    <w:p w14:paraId="4225BFEF" w14:textId="54775D98" w:rsidR="000D50D1" w:rsidRDefault="00E71DD3" w:rsidP="00E71DD3">
      <w:pPr>
        <w:jc w:val="both"/>
      </w:pPr>
      <w:r w:rsidRPr="00E71DD3">
        <w:rPr>
          <w:sz w:val="20"/>
          <w:szCs w:val="20"/>
        </w:rPr>
        <w:t>Source: DHS PBS prescription database, extracted November 2019</w:t>
      </w:r>
    </w:p>
    <w:p w14:paraId="375CA868" w14:textId="3FD8C501" w:rsidR="00625CAC" w:rsidRPr="00F1656C" w:rsidRDefault="00E71DD3" w:rsidP="00C2053D">
      <w:r>
        <w:t xml:space="preserve">Figure </w:t>
      </w:r>
      <w:r w:rsidR="00EC7CF6">
        <w:t>6</w:t>
      </w:r>
      <w:r>
        <w:t xml:space="preserve"> </w:t>
      </w:r>
      <w:r w:rsidR="007A07DD" w:rsidRPr="007A07DD">
        <w:t>presen</w:t>
      </w:r>
      <w:r>
        <w:t>ts the number of days</w:t>
      </w:r>
      <w:r w:rsidR="00F1656C">
        <w:t xml:space="preserve"> between the supply of the </w:t>
      </w:r>
      <w:r w:rsidR="007A07DD" w:rsidRPr="007A07DD">
        <w:t>initial pr</w:t>
      </w:r>
      <w:r w:rsidR="00F1656C">
        <w:t>escription for alemtuzumab and the</w:t>
      </w:r>
      <w:r w:rsidR="007A07DD" w:rsidRPr="007A07DD">
        <w:t xml:space="preserve"> continuing prescription</w:t>
      </w:r>
      <w:r w:rsidR="00F1656C">
        <w:t xml:space="preserve"> for patients</w:t>
      </w:r>
      <w:r w:rsidR="007A07DD" w:rsidRPr="007A07DD">
        <w:t xml:space="preserve">. </w:t>
      </w:r>
      <w:r w:rsidR="003661E9" w:rsidRPr="003661E9">
        <w:t>The most common time to refill</w:t>
      </w:r>
      <w:r w:rsidR="003661E9">
        <w:t xml:space="preserve"> between the initial prescription for the first treatment course and continuing prescription for the second treatment course </w:t>
      </w:r>
      <w:r w:rsidR="00BA3C08">
        <w:t>was</w:t>
      </w:r>
      <w:r w:rsidR="003661E9">
        <w:t xml:space="preserve"> 364 days. This i</w:t>
      </w:r>
      <w:r w:rsidR="0019235D">
        <w:t>s consistent with the product</w:t>
      </w:r>
      <w:r w:rsidR="003661E9">
        <w:t xml:space="preserve"> information </w:t>
      </w:r>
      <w:r w:rsidR="007A07DD">
        <w:t>which</w:t>
      </w:r>
      <w:r w:rsidR="003661E9">
        <w:t xml:space="preserve"> recommends the second treatment course be administered 12 months after the first treatment course.</w:t>
      </w:r>
      <w:r w:rsidR="000D50D1">
        <w:t xml:space="preserve"> </w:t>
      </w:r>
      <w:r w:rsidR="005B6506">
        <w:t>Forty-four percent</w:t>
      </w:r>
      <w:r w:rsidR="000D50D1">
        <w:t xml:space="preserve"> of the</w:t>
      </w:r>
      <w:r w:rsidR="003372BA">
        <w:t xml:space="preserve"> continuing </w:t>
      </w:r>
      <w:r w:rsidR="003372BA" w:rsidRPr="00BA3C08">
        <w:t>prescriptions were</w:t>
      </w:r>
      <w:r w:rsidR="00466265" w:rsidRPr="00BA3C08">
        <w:t xml:space="preserve"> supplied </w:t>
      </w:r>
      <w:r w:rsidR="00466265" w:rsidRPr="000D445E">
        <w:t>&lt;</w:t>
      </w:r>
      <w:r w:rsidR="00466265" w:rsidRPr="00023A87">
        <w:t xml:space="preserve"> </w:t>
      </w:r>
      <w:r w:rsidR="00466265" w:rsidRPr="00BA3C08">
        <w:t>365 days</w:t>
      </w:r>
      <w:r w:rsidR="00BA3C08">
        <w:t xml:space="preserve"> </w:t>
      </w:r>
      <w:r w:rsidR="00466265" w:rsidRPr="00BA3C08">
        <w:t xml:space="preserve">from the supply of the initial prescription. </w:t>
      </w:r>
      <w:r w:rsidR="005B6506">
        <w:t>Eighty-one percent</w:t>
      </w:r>
      <w:r w:rsidR="00466265" w:rsidRPr="00BA3C08">
        <w:t xml:space="preserve"> of continuing prescript</w:t>
      </w:r>
      <w:r w:rsidR="001762F7">
        <w:t>ions were</w:t>
      </w:r>
      <w:r w:rsidR="00EC7CF6" w:rsidRPr="00BA3C08">
        <w:t xml:space="preserve"> supplied </w:t>
      </w:r>
      <w:r w:rsidR="00451942">
        <w:t xml:space="preserve">within </w:t>
      </w:r>
      <w:r w:rsidR="00023A87">
        <w:t>30</w:t>
      </w:r>
      <w:r w:rsidR="00023A87" w:rsidRPr="00BA3C08">
        <w:t xml:space="preserve"> </w:t>
      </w:r>
      <w:r w:rsidR="00EC7CF6" w:rsidRPr="00BA3C08">
        <w:t xml:space="preserve">days before or after the expected 365 days from the initial prescription. Less than 1% of continuing prescriptions were supplied after </w:t>
      </w:r>
      <w:r w:rsidR="0096654C">
        <w:t>two</w:t>
      </w:r>
      <w:r w:rsidR="00EC7CF6" w:rsidRPr="00BA3C08">
        <w:t xml:space="preserve"> years had elapsed since the</w:t>
      </w:r>
      <w:r w:rsidR="001762F7">
        <w:t xml:space="preserve"> supply of the</w:t>
      </w:r>
      <w:r w:rsidR="00EC7CF6" w:rsidRPr="00BA3C08">
        <w:t xml:space="preserve"> initial prescription.</w:t>
      </w:r>
    </w:p>
    <w:p w14:paraId="2BA13626" w14:textId="77777777" w:rsidR="00F1656C" w:rsidRDefault="00F1656C">
      <w:pPr>
        <w:spacing w:line="276" w:lineRule="auto"/>
        <w:rPr>
          <w:b/>
          <w:i/>
        </w:rPr>
      </w:pPr>
      <w:r>
        <w:rPr>
          <w:b/>
          <w:i/>
        </w:rPr>
        <w:br w:type="page"/>
      </w:r>
    </w:p>
    <w:p w14:paraId="593308A7" w14:textId="4953B706" w:rsidR="009413B5" w:rsidRPr="00E71DD3" w:rsidRDefault="000E248B" w:rsidP="000D46E2">
      <w:pPr>
        <w:rPr>
          <w:b/>
          <w:i/>
        </w:rPr>
      </w:pPr>
      <w:r>
        <w:rPr>
          <w:b/>
          <w:i/>
        </w:rPr>
        <w:lastRenderedPageBreak/>
        <w:t>Utilisation by p</w:t>
      </w:r>
      <w:r w:rsidR="00E71DD3" w:rsidRPr="00E71DD3">
        <w:rPr>
          <w:b/>
          <w:i/>
        </w:rPr>
        <w:t>atient Demographics</w:t>
      </w:r>
    </w:p>
    <w:p w14:paraId="4FF4FE13" w14:textId="6F981633" w:rsidR="000D46E2" w:rsidRDefault="00EC7CF6" w:rsidP="000D46E2">
      <w:r>
        <w:rPr>
          <w:noProof/>
        </w:rPr>
        <w:drawing>
          <wp:inline distT="0" distB="0" distL="0" distR="0" wp14:anchorId="389884AF" wp14:editId="08386359">
            <wp:extent cx="5367338" cy="3009900"/>
            <wp:effectExtent l="0" t="0" r="5080" b="0"/>
            <wp:docPr id="10" name="Chart 10" descr="Figure 7: Patient age and sex for initiators on alemtuzumab" title="Figure 7: Patient age and sex for initiators on alemtuzumab"/>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FFF754B" w14:textId="009CBA33" w:rsidR="000D46E2" w:rsidRDefault="00033318" w:rsidP="00E71DD3">
      <w:pPr>
        <w:spacing w:before="60" w:after="60"/>
        <w:rPr>
          <w:rFonts w:cstheme="minorHAnsi"/>
          <w:b/>
        </w:rPr>
      </w:pPr>
      <w:r w:rsidRPr="00E71DD3">
        <w:rPr>
          <w:rFonts w:cstheme="minorHAnsi"/>
          <w:b/>
        </w:rPr>
        <w:t>Figure</w:t>
      </w:r>
      <w:r w:rsidR="00E71DD3" w:rsidRPr="00E71DD3">
        <w:rPr>
          <w:rFonts w:cstheme="minorHAnsi"/>
          <w:b/>
        </w:rPr>
        <w:t xml:space="preserve"> </w:t>
      </w:r>
      <w:r w:rsidR="00EC7CF6">
        <w:rPr>
          <w:rFonts w:cstheme="minorHAnsi"/>
          <w:b/>
        </w:rPr>
        <w:t>7</w:t>
      </w:r>
      <w:r w:rsidR="000D46E2" w:rsidRPr="00E71DD3">
        <w:rPr>
          <w:rFonts w:cstheme="minorHAnsi"/>
          <w:b/>
        </w:rPr>
        <w:t xml:space="preserve">: </w:t>
      </w:r>
      <w:r w:rsidRPr="00E71DD3">
        <w:rPr>
          <w:rFonts w:cstheme="minorHAnsi"/>
          <w:b/>
        </w:rPr>
        <w:t>P</w:t>
      </w:r>
      <w:r w:rsidR="00E71DD3" w:rsidRPr="00E71DD3">
        <w:rPr>
          <w:rFonts w:cstheme="minorHAnsi"/>
          <w:b/>
        </w:rPr>
        <w:t xml:space="preserve">atient age and </w:t>
      </w:r>
      <w:r w:rsidR="007138C3">
        <w:rPr>
          <w:rFonts w:cstheme="minorHAnsi"/>
          <w:b/>
        </w:rPr>
        <w:t>sex</w:t>
      </w:r>
      <w:r w:rsidR="007138C3" w:rsidRPr="00E71DD3">
        <w:rPr>
          <w:rFonts w:cstheme="minorHAnsi"/>
          <w:b/>
        </w:rPr>
        <w:t xml:space="preserve"> </w:t>
      </w:r>
      <w:r w:rsidR="00E71DD3" w:rsidRPr="00E71DD3">
        <w:rPr>
          <w:rFonts w:cstheme="minorHAnsi"/>
          <w:b/>
        </w:rPr>
        <w:t>for i</w:t>
      </w:r>
      <w:r w:rsidRPr="00E71DD3">
        <w:rPr>
          <w:rFonts w:cstheme="minorHAnsi"/>
          <w:b/>
        </w:rPr>
        <w:t>nitiators on alemtuzumab</w:t>
      </w:r>
    </w:p>
    <w:p w14:paraId="7728AA3D" w14:textId="1BBFCF7C" w:rsidR="00E71DD3" w:rsidRPr="00E71DD3" w:rsidRDefault="00E71DD3" w:rsidP="00E71DD3">
      <w:pPr>
        <w:rPr>
          <w:rFonts w:cstheme="minorHAnsi"/>
          <w:sz w:val="20"/>
          <w:szCs w:val="20"/>
        </w:rPr>
      </w:pPr>
      <w:r w:rsidRPr="00E71DD3">
        <w:rPr>
          <w:rFonts w:cstheme="minorHAnsi"/>
          <w:sz w:val="20"/>
          <w:szCs w:val="20"/>
        </w:rPr>
        <w:t>Source: DHS PBS prescription database, extracted November 2019</w:t>
      </w:r>
    </w:p>
    <w:p w14:paraId="22FD5729" w14:textId="353B3DD1" w:rsidR="007B53C2" w:rsidRDefault="00EF2581" w:rsidP="00C2053D">
      <w:r w:rsidRPr="00E71DD3">
        <w:t>In Australia,</w:t>
      </w:r>
      <w:r w:rsidR="006507FC">
        <w:t xml:space="preserve"> three quarters of all people with MS are woman and </w:t>
      </w:r>
      <w:r w:rsidR="007B53C2">
        <w:t xml:space="preserve">most patients are diagnosed with MS </w:t>
      </w:r>
      <w:r w:rsidR="006507FC">
        <w:t>between the ages of 20 and 40 years.</w:t>
      </w:r>
      <w:r w:rsidR="008F1709">
        <w:fldChar w:fldCharType="begin"/>
      </w:r>
      <w:r w:rsidR="008F1709">
        <w:instrText xml:space="preserve"> NOTEREF _Ref25841725 \f \h </w:instrText>
      </w:r>
      <w:r w:rsidR="00C2053D">
        <w:instrText xml:space="preserve"> \* MERGEFORMAT </w:instrText>
      </w:r>
      <w:r w:rsidR="008F1709">
        <w:fldChar w:fldCharType="separate"/>
      </w:r>
      <w:r w:rsidR="00006E56" w:rsidRPr="00006E56">
        <w:rPr>
          <w:rStyle w:val="FootnoteReference"/>
        </w:rPr>
        <w:t>2</w:t>
      </w:r>
      <w:r w:rsidR="008F1709">
        <w:fldChar w:fldCharType="end"/>
      </w:r>
      <w:r w:rsidRPr="00E71DD3">
        <w:t xml:space="preserve"> This is consistent with the demographic</w:t>
      </w:r>
      <w:r w:rsidR="00793AEE">
        <w:t xml:space="preserve"> profile</w:t>
      </w:r>
      <w:r w:rsidRPr="00E71DD3">
        <w:t xml:space="preserve"> of </w:t>
      </w:r>
      <w:r w:rsidR="00793AEE">
        <w:t xml:space="preserve">patients </w:t>
      </w:r>
      <w:r w:rsidR="004E3F7E">
        <w:t xml:space="preserve">initiating </w:t>
      </w:r>
      <w:r w:rsidR="00597647">
        <w:t>PBS-</w:t>
      </w:r>
      <w:r w:rsidR="00793AEE">
        <w:t xml:space="preserve">listed alemtuzumab (Figure </w:t>
      </w:r>
      <w:r w:rsidR="00EC7CF6">
        <w:t>7</w:t>
      </w:r>
      <w:r w:rsidR="00793AEE">
        <w:t>)</w:t>
      </w:r>
      <w:r w:rsidRPr="00E71DD3">
        <w:t>.</w:t>
      </w:r>
    </w:p>
    <w:p w14:paraId="437365E1" w14:textId="68EEDB4D" w:rsidR="00597647" w:rsidRDefault="00597647">
      <w:pPr>
        <w:spacing w:line="276" w:lineRule="auto"/>
        <w:rPr>
          <w:rFonts w:cstheme="minorHAnsi"/>
          <w:b/>
          <w:i/>
        </w:rPr>
      </w:pPr>
    </w:p>
    <w:p w14:paraId="65E694D3" w14:textId="104BB535" w:rsidR="00D768D6" w:rsidRPr="00793AEE" w:rsidRDefault="00793AEE" w:rsidP="000D46E2">
      <w:pPr>
        <w:rPr>
          <w:rFonts w:cstheme="minorHAnsi"/>
          <w:b/>
          <w:i/>
        </w:rPr>
      </w:pPr>
      <w:r w:rsidRPr="00793AEE">
        <w:rPr>
          <w:rFonts w:cstheme="minorHAnsi"/>
          <w:b/>
          <w:i/>
        </w:rPr>
        <w:t>Utilisation by prescriber type</w:t>
      </w:r>
    </w:p>
    <w:p w14:paraId="5A1F21FB" w14:textId="1433DDB6" w:rsidR="00033318" w:rsidRPr="00033318" w:rsidRDefault="00F07C80" w:rsidP="000D46E2">
      <w:pPr>
        <w:rPr>
          <w:rFonts w:cstheme="minorHAnsi"/>
          <w:sz w:val="20"/>
          <w:szCs w:val="20"/>
        </w:rPr>
      </w:pPr>
      <w:r>
        <w:rPr>
          <w:noProof/>
        </w:rPr>
        <w:drawing>
          <wp:inline distT="0" distB="0" distL="0" distR="0" wp14:anchorId="24CD478A" wp14:editId="046675DA">
            <wp:extent cx="5785104" cy="2689860"/>
            <wp:effectExtent l="0" t="0" r="6350" b="15240"/>
            <wp:docPr id="12" name="Chart 12" descr="Figure 8: Proportion of patients initiating alemtuzumab for RMMS by prescriber type in 2018" title="Figure 8: Proportion of patients initiating alemtuzumab for RMMS by prescriber type in 20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1CFC0AA" w14:textId="7849411A" w:rsidR="00D768D6" w:rsidRPr="00793AEE" w:rsidRDefault="00793AEE" w:rsidP="00D52D31">
      <w:pPr>
        <w:spacing w:before="60" w:after="60"/>
        <w:ind w:right="-399"/>
        <w:rPr>
          <w:b/>
          <w:highlight w:val="yellow"/>
        </w:rPr>
      </w:pPr>
      <w:r w:rsidRPr="00793AEE">
        <w:rPr>
          <w:b/>
        </w:rPr>
        <w:t xml:space="preserve">Figure </w:t>
      </w:r>
      <w:r w:rsidR="004E3F7E">
        <w:rPr>
          <w:b/>
        </w:rPr>
        <w:t>8</w:t>
      </w:r>
      <w:r w:rsidRPr="00793AEE">
        <w:rPr>
          <w:b/>
        </w:rPr>
        <w:t xml:space="preserve">: Proportion </w:t>
      </w:r>
      <w:r w:rsidR="00D768D6" w:rsidRPr="00793AEE">
        <w:rPr>
          <w:b/>
        </w:rPr>
        <w:t xml:space="preserve">of patients initiating alemtuzumab for </w:t>
      </w:r>
      <w:r w:rsidRPr="00793AEE">
        <w:rPr>
          <w:b/>
        </w:rPr>
        <w:t>RM</w:t>
      </w:r>
      <w:r w:rsidR="00D768D6" w:rsidRPr="00793AEE">
        <w:rPr>
          <w:b/>
        </w:rPr>
        <w:t>MS by prescriber type in 2018</w:t>
      </w:r>
    </w:p>
    <w:p w14:paraId="5FB7A545" w14:textId="653BF34F" w:rsidR="00D768D6" w:rsidRPr="00793AEE" w:rsidRDefault="00793AEE" w:rsidP="00F764FC">
      <w:pPr>
        <w:rPr>
          <w:sz w:val="20"/>
          <w:szCs w:val="20"/>
        </w:rPr>
      </w:pPr>
      <w:r w:rsidRPr="00793AEE">
        <w:rPr>
          <w:sz w:val="20"/>
          <w:szCs w:val="20"/>
        </w:rPr>
        <w:t>Source: DHS PBS prescription database, extracted November 2019</w:t>
      </w:r>
    </w:p>
    <w:p w14:paraId="1B8AC48F" w14:textId="7019B917" w:rsidR="00C56511" w:rsidRDefault="00793AEE" w:rsidP="00C2053D">
      <w:r w:rsidRPr="00793AEE">
        <w:lastRenderedPageBreak/>
        <w:t>Th</w:t>
      </w:r>
      <w:r>
        <w:t>e PBS restriction for alemtuzumab</w:t>
      </w:r>
      <w:r w:rsidRPr="00793AEE">
        <w:t xml:space="preserve"> requires that the patient must be t</w:t>
      </w:r>
      <w:r>
        <w:t>reated by a neurologist</w:t>
      </w:r>
      <w:r w:rsidRPr="00793AEE">
        <w:t>.</w:t>
      </w:r>
      <w:r>
        <w:t xml:space="preserve"> Figure </w:t>
      </w:r>
      <w:r w:rsidR="00F07C80">
        <w:t>8</w:t>
      </w:r>
      <w:r w:rsidR="00F764FC">
        <w:t xml:space="preserve"> illustrates</w:t>
      </w:r>
      <w:r w:rsidRPr="00793AEE">
        <w:t xml:space="preserve"> the type of prescribers who initiated PBS-subsidised </w:t>
      </w:r>
      <w:r>
        <w:t>alemtuzumab</w:t>
      </w:r>
      <w:r w:rsidRPr="00793AEE">
        <w:t xml:space="preserve"> in 2018</w:t>
      </w:r>
      <w:r>
        <w:t>. The largest proportion of patients initiating alemtuzumab</w:t>
      </w:r>
      <w:r w:rsidRPr="00793AEE">
        <w:t xml:space="preserve"> had their first prescr</w:t>
      </w:r>
      <w:r>
        <w:t xml:space="preserve">iption written by a </w:t>
      </w:r>
      <w:r w:rsidRPr="00F07C80">
        <w:t>neurologist</w:t>
      </w:r>
      <w:r w:rsidR="00675703" w:rsidRPr="00F07C80">
        <w:t xml:space="preserve"> (</w:t>
      </w:r>
      <w:r w:rsidR="00F07C80" w:rsidRPr="00F07C80">
        <w:t>58</w:t>
      </w:r>
      <w:r w:rsidR="00675703" w:rsidRPr="00F07C80">
        <w:t>%)</w:t>
      </w:r>
      <w:r w:rsidRPr="00F07C80">
        <w:t>; followed</w:t>
      </w:r>
      <w:r w:rsidRPr="00793AEE">
        <w:t xml:space="preserve"> by</w:t>
      </w:r>
      <w:r w:rsidR="002078C0">
        <w:t xml:space="preserve"> </w:t>
      </w:r>
      <w:r w:rsidR="00BB03D9">
        <w:t>General Practitioners (</w:t>
      </w:r>
      <w:r w:rsidRPr="00793AEE">
        <w:t>GPs</w:t>
      </w:r>
      <w:r w:rsidR="00BB03D9">
        <w:t>)</w:t>
      </w:r>
      <w:r w:rsidR="002078C0">
        <w:t xml:space="preserve"> and </w:t>
      </w:r>
      <w:r w:rsidR="007138C3">
        <w:t>i</w:t>
      </w:r>
      <w:r w:rsidR="002078C0">
        <w:t xml:space="preserve">nternal </w:t>
      </w:r>
      <w:r w:rsidR="002078C0" w:rsidRPr="002078C0">
        <w:t>medicine specialists</w:t>
      </w:r>
      <w:r w:rsidR="002078C0">
        <w:t>.</w:t>
      </w:r>
    </w:p>
    <w:p w14:paraId="4BE9C1B2" w14:textId="2928913B" w:rsidR="00054698" w:rsidRDefault="00F71893" w:rsidP="002078C0">
      <w:pPr>
        <w:jc w:val="both"/>
        <w:rPr>
          <w:b/>
          <w:i/>
        </w:rPr>
      </w:pPr>
      <w:r>
        <w:rPr>
          <w:b/>
          <w:i/>
        </w:rPr>
        <w:t>Co-administration analysis</w:t>
      </w:r>
    </w:p>
    <w:p w14:paraId="14584493" w14:textId="16249F33" w:rsidR="00C56511" w:rsidRPr="00C56511" w:rsidRDefault="00C56511" w:rsidP="00C56511">
      <w:pPr>
        <w:spacing w:before="200" w:after="20"/>
        <w:rPr>
          <w:b/>
        </w:rPr>
      </w:pPr>
      <w:r w:rsidRPr="00C56511">
        <w:rPr>
          <w:b/>
        </w:rPr>
        <w:t>Table</w:t>
      </w:r>
      <w:r>
        <w:rPr>
          <w:b/>
        </w:rPr>
        <w:t xml:space="preserve"> 2</w:t>
      </w:r>
      <w:r w:rsidRPr="00C56511">
        <w:rPr>
          <w:b/>
        </w:rPr>
        <w:t xml:space="preserve">: Proportion of patients supplied another PBS listed medicine with alemtuzumab </w:t>
      </w:r>
    </w:p>
    <w:tbl>
      <w:tblPr>
        <w:tblStyle w:val="TableGrid2"/>
        <w:tblW w:w="8916" w:type="dxa"/>
        <w:tblInd w:w="10" w:type="dxa"/>
        <w:tblLayout w:type="fixed"/>
        <w:tblLook w:val="0620" w:firstRow="1" w:lastRow="0" w:firstColumn="0" w:lastColumn="0" w:noHBand="1" w:noVBand="1"/>
        <w:tblCaption w:val="Table 2: Proportion of patients supplied another PBS listed medicine with alemtuzumab "/>
        <w:tblDescription w:val="Table 2: Proportion of patients supplied another PBS listed medicine with alemtuzumab "/>
      </w:tblPr>
      <w:tblGrid>
        <w:gridCol w:w="2679"/>
        <w:gridCol w:w="2079"/>
        <w:gridCol w:w="2079"/>
        <w:gridCol w:w="2079"/>
      </w:tblGrid>
      <w:tr w:rsidR="007E4EAD" w:rsidRPr="007E7CD2" w14:paraId="24C70699" w14:textId="77777777" w:rsidTr="00FF1AF6">
        <w:trPr>
          <w:trHeight w:val="295"/>
          <w:tblHeader/>
        </w:trPr>
        <w:tc>
          <w:tcPr>
            <w:tcW w:w="2679" w:type="dxa"/>
            <w:shd w:val="clear" w:color="auto" w:fill="BFBFBF" w:themeFill="background1" w:themeFillShade="BF"/>
            <w:noWrap/>
            <w:hideMark/>
          </w:tcPr>
          <w:p w14:paraId="1E13BD46" w14:textId="420A0D57" w:rsidR="007E4EAD" w:rsidRPr="007E7CD2" w:rsidRDefault="007E4EAD" w:rsidP="007E4EAD">
            <w:pPr>
              <w:spacing w:before="60" w:after="60"/>
              <w:jc w:val="center"/>
              <w:rPr>
                <w:rFonts w:cstheme="minorHAnsi"/>
                <w:b/>
                <w:sz w:val="20"/>
                <w:szCs w:val="20"/>
              </w:rPr>
            </w:pPr>
            <w:r w:rsidRPr="007E4EAD">
              <w:rPr>
                <w:rFonts w:cstheme="minorHAnsi"/>
                <w:b/>
                <w:sz w:val="20"/>
                <w:szCs w:val="20"/>
              </w:rPr>
              <w:t>Follow up period</w:t>
            </w:r>
          </w:p>
        </w:tc>
        <w:tc>
          <w:tcPr>
            <w:tcW w:w="2079" w:type="dxa"/>
            <w:shd w:val="clear" w:color="auto" w:fill="BFBFBF" w:themeFill="background1" w:themeFillShade="BF"/>
            <w:noWrap/>
            <w:hideMark/>
          </w:tcPr>
          <w:p w14:paraId="10C143EB" w14:textId="77777777" w:rsidR="007E4EAD" w:rsidRDefault="007E4EAD" w:rsidP="007E4EAD">
            <w:pPr>
              <w:spacing w:before="60" w:after="60"/>
              <w:jc w:val="center"/>
              <w:rPr>
                <w:rFonts w:cstheme="minorHAnsi"/>
                <w:b/>
                <w:bCs/>
                <w:sz w:val="20"/>
                <w:szCs w:val="20"/>
              </w:rPr>
            </w:pPr>
            <w:r>
              <w:rPr>
                <w:rFonts w:cstheme="minorHAnsi"/>
                <w:b/>
                <w:bCs/>
                <w:sz w:val="20"/>
                <w:szCs w:val="20"/>
              </w:rPr>
              <w:t>1 Year</w:t>
            </w:r>
          </w:p>
          <w:p w14:paraId="17A780BD" w14:textId="7C0F6D26" w:rsidR="007E4EAD" w:rsidRPr="007E7CD2" w:rsidRDefault="007E4EAD" w:rsidP="007E4EAD">
            <w:pPr>
              <w:spacing w:before="60" w:after="60"/>
              <w:jc w:val="center"/>
              <w:rPr>
                <w:rFonts w:cstheme="minorHAnsi"/>
                <w:b/>
                <w:bCs/>
                <w:sz w:val="20"/>
                <w:szCs w:val="20"/>
              </w:rPr>
            </w:pPr>
            <w:r>
              <w:rPr>
                <w:rFonts w:cstheme="minorHAnsi"/>
                <w:b/>
                <w:bCs/>
                <w:sz w:val="20"/>
                <w:szCs w:val="20"/>
              </w:rPr>
              <w:t>(</w:t>
            </w:r>
            <w:r w:rsidRPr="007E4EAD">
              <w:rPr>
                <w:rFonts w:cstheme="minorHAnsi"/>
                <w:b/>
                <w:bCs/>
                <w:sz w:val="20"/>
                <w:szCs w:val="20"/>
              </w:rPr>
              <w:t>1323 patients</w:t>
            </w:r>
            <w:r>
              <w:rPr>
                <w:rFonts w:cstheme="minorHAnsi"/>
                <w:b/>
                <w:bCs/>
                <w:sz w:val="20"/>
                <w:szCs w:val="20"/>
              </w:rPr>
              <w:t xml:space="preserve">) </w:t>
            </w:r>
          </w:p>
        </w:tc>
        <w:tc>
          <w:tcPr>
            <w:tcW w:w="2079" w:type="dxa"/>
            <w:shd w:val="clear" w:color="auto" w:fill="BFBFBF" w:themeFill="background1" w:themeFillShade="BF"/>
            <w:noWrap/>
            <w:hideMark/>
          </w:tcPr>
          <w:p w14:paraId="3658B4AE" w14:textId="77777777" w:rsidR="007E4EAD" w:rsidRDefault="007E4EAD" w:rsidP="007E4EAD">
            <w:pPr>
              <w:spacing w:before="60" w:after="60"/>
              <w:jc w:val="center"/>
              <w:rPr>
                <w:rFonts w:cstheme="minorHAnsi"/>
                <w:b/>
                <w:bCs/>
                <w:sz w:val="20"/>
                <w:szCs w:val="20"/>
              </w:rPr>
            </w:pPr>
            <w:r>
              <w:rPr>
                <w:rFonts w:cstheme="minorHAnsi"/>
                <w:b/>
                <w:bCs/>
                <w:sz w:val="20"/>
                <w:szCs w:val="20"/>
              </w:rPr>
              <w:t>2 Years</w:t>
            </w:r>
          </w:p>
          <w:p w14:paraId="10029978" w14:textId="6BFCFAEB" w:rsidR="007E4EAD" w:rsidRPr="007E7CD2" w:rsidRDefault="007E4EAD" w:rsidP="007E4EAD">
            <w:pPr>
              <w:spacing w:before="60" w:after="60"/>
              <w:jc w:val="center"/>
              <w:rPr>
                <w:rFonts w:cstheme="minorHAnsi"/>
                <w:b/>
                <w:bCs/>
                <w:sz w:val="20"/>
                <w:szCs w:val="20"/>
              </w:rPr>
            </w:pPr>
            <w:r>
              <w:rPr>
                <w:rFonts w:cstheme="minorHAnsi"/>
                <w:b/>
                <w:bCs/>
                <w:sz w:val="20"/>
                <w:szCs w:val="20"/>
              </w:rPr>
              <w:t>(</w:t>
            </w:r>
            <w:r w:rsidRPr="007E4EAD">
              <w:rPr>
                <w:rFonts w:cstheme="minorHAnsi"/>
                <w:b/>
                <w:bCs/>
                <w:sz w:val="20"/>
                <w:szCs w:val="20"/>
              </w:rPr>
              <w:t>1141 patients</w:t>
            </w:r>
            <w:r>
              <w:rPr>
                <w:rFonts w:cstheme="minorHAnsi"/>
                <w:b/>
                <w:bCs/>
                <w:sz w:val="20"/>
                <w:szCs w:val="20"/>
              </w:rPr>
              <w:t>)</w:t>
            </w:r>
          </w:p>
        </w:tc>
        <w:tc>
          <w:tcPr>
            <w:tcW w:w="2079" w:type="dxa"/>
            <w:shd w:val="clear" w:color="auto" w:fill="BFBFBF" w:themeFill="background1" w:themeFillShade="BF"/>
          </w:tcPr>
          <w:p w14:paraId="39D8FC1F" w14:textId="77777777" w:rsidR="007E4EAD" w:rsidRDefault="007E4EAD" w:rsidP="007E7CD2">
            <w:pPr>
              <w:spacing w:before="60" w:after="60"/>
              <w:jc w:val="center"/>
              <w:rPr>
                <w:rFonts w:cstheme="minorHAnsi"/>
                <w:b/>
                <w:bCs/>
                <w:sz w:val="20"/>
                <w:szCs w:val="20"/>
              </w:rPr>
            </w:pPr>
            <w:r>
              <w:rPr>
                <w:rFonts w:cstheme="minorHAnsi"/>
                <w:b/>
                <w:bCs/>
                <w:sz w:val="20"/>
                <w:szCs w:val="20"/>
              </w:rPr>
              <w:t>4 Years</w:t>
            </w:r>
          </w:p>
          <w:p w14:paraId="2AEB6D26" w14:textId="5A28849F" w:rsidR="007E4EAD" w:rsidRPr="007E7CD2" w:rsidRDefault="007E4EAD" w:rsidP="007E7CD2">
            <w:pPr>
              <w:spacing w:before="60" w:after="60"/>
              <w:jc w:val="center"/>
              <w:rPr>
                <w:rFonts w:cstheme="minorHAnsi"/>
                <w:b/>
                <w:bCs/>
                <w:sz w:val="20"/>
                <w:szCs w:val="20"/>
              </w:rPr>
            </w:pPr>
            <w:r>
              <w:rPr>
                <w:rFonts w:cstheme="minorHAnsi"/>
                <w:b/>
                <w:bCs/>
                <w:sz w:val="20"/>
                <w:szCs w:val="20"/>
              </w:rPr>
              <w:t>(</w:t>
            </w:r>
            <w:r w:rsidRPr="007E4EAD">
              <w:rPr>
                <w:rFonts w:cstheme="minorHAnsi"/>
                <w:b/>
                <w:bCs/>
                <w:sz w:val="20"/>
                <w:szCs w:val="20"/>
              </w:rPr>
              <w:t>28</w:t>
            </w:r>
            <w:r w:rsidR="00A31762">
              <w:rPr>
                <w:rFonts w:cstheme="minorHAnsi"/>
                <w:b/>
                <w:bCs/>
                <w:sz w:val="20"/>
                <w:szCs w:val="20"/>
              </w:rPr>
              <w:t>7</w:t>
            </w:r>
            <w:r w:rsidRPr="007E4EAD">
              <w:rPr>
                <w:rFonts w:cstheme="minorHAnsi"/>
                <w:b/>
                <w:bCs/>
                <w:sz w:val="20"/>
                <w:szCs w:val="20"/>
              </w:rPr>
              <w:t xml:space="preserve"> patients</w:t>
            </w:r>
            <w:r>
              <w:rPr>
                <w:rFonts w:cstheme="minorHAnsi"/>
                <w:b/>
                <w:bCs/>
                <w:sz w:val="20"/>
                <w:szCs w:val="20"/>
              </w:rPr>
              <w:t>)</w:t>
            </w:r>
          </w:p>
        </w:tc>
      </w:tr>
      <w:tr w:rsidR="007E4EAD" w:rsidRPr="007E7CD2" w14:paraId="730B6A06" w14:textId="77777777" w:rsidTr="009D0597">
        <w:trPr>
          <w:trHeight w:val="177"/>
        </w:trPr>
        <w:tc>
          <w:tcPr>
            <w:tcW w:w="2679" w:type="dxa"/>
            <w:noWrap/>
            <w:vAlign w:val="center"/>
            <w:hideMark/>
          </w:tcPr>
          <w:p w14:paraId="0254F37A" w14:textId="7DA71A9C" w:rsidR="007E4EAD" w:rsidRPr="007E7CD2" w:rsidRDefault="007E4EAD" w:rsidP="00C2053D">
            <w:pPr>
              <w:spacing w:before="60" w:after="60"/>
              <w:rPr>
                <w:rFonts w:cstheme="minorHAnsi"/>
                <w:b/>
                <w:bCs/>
                <w:sz w:val="20"/>
                <w:szCs w:val="20"/>
              </w:rPr>
            </w:pPr>
            <w:r>
              <w:rPr>
                <w:rFonts w:cstheme="minorHAnsi"/>
                <w:b/>
                <w:bCs/>
                <w:sz w:val="20"/>
                <w:szCs w:val="20"/>
              </w:rPr>
              <w:t>% of patients who were supplied another PBS listed medicine for RRMS</w:t>
            </w:r>
          </w:p>
        </w:tc>
        <w:tc>
          <w:tcPr>
            <w:tcW w:w="2079" w:type="dxa"/>
            <w:noWrap/>
            <w:vAlign w:val="center"/>
            <w:hideMark/>
          </w:tcPr>
          <w:p w14:paraId="68273984" w14:textId="7B9FC5CA" w:rsidR="007E4EAD" w:rsidRPr="007E7CD2" w:rsidRDefault="007E4EAD" w:rsidP="00C2053D">
            <w:pPr>
              <w:spacing w:before="60" w:after="60"/>
              <w:jc w:val="center"/>
              <w:rPr>
                <w:rFonts w:cstheme="minorHAnsi"/>
                <w:sz w:val="20"/>
                <w:szCs w:val="20"/>
              </w:rPr>
            </w:pPr>
            <w:r>
              <w:rPr>
                <w:rFonts w:cstheme="minorHAnsi"/>
                <w:sz w:val="20"/>
                <w:szCs w:val="20"/>
              </w:rPr>
              <w:t>4.2%</w:t>
            </w:r>
          </w:p>
        </w:tc>
        <w:tc>
          <w:tcPr>
            <w:tcW w:w="2079" w:type="dxa"/>
            <w:noWrap/>
            <w:vAlign w:val="center"/>
            <w:hideMark/>
          </w:tcPr>
          <w:p w14:paraId="43D65871" w14:textId="21E5224C" w:rsidR="007E4EAD" w:rsidRPr="007E7CD2" w:rsidRDefault="007E4EAD" w:rsidP="00C2053D">
            <w:pPr>
              <w:spacing w:before="60" w:after="60"/>
              <w:jc w:val="center"/>
              <w:rPr>
                <w:rFonts w:cstheme="minorHAnsi"/>
                <w:sz w:val="20"/>
                <w:szCs w:val="20"/>
              </w:rPr>
            </w:pPr>
            <w:r>
              <w:rPr>
                <w:rFonts w:cstheme="minorHAnsi"/>
                <w:sz w:val="20"/>
                <w:szCs w:val="20"/>
              </w:rPr>
              <w:t>6.</w:t>
            </w:r>
            <w:r w:rsidR="00A31762">
              <w:rPr>
                <w:rFonts w:cstheme="minorHAnsi"/>
                <w:sz w:val="20"/>
                <w:szCs w:val="20"/>
              </w:rPr>
              <w:t>7</w:t>
            </w:r>
            <w:r>
              <w:rPr>
                <w:rFonts w:cstheme="minorHAnsi"/>
                <w:sz w:val="20"/>
                <w:szCs w:val="20"/>
              </w:rPr>
              <w:t>%</w:t>
            </w:r>
          </w:p>
        </w:tc>
        <w:tc>
          <w:tcPr>
            <w:tcW w:w="2079" w:type="dxa"/>
            <w:vAlign w:val="center"/>
          </w:tcPr>
          <w:p w14:paraId="09B4AADC" w14:textId="0A28EF00" w:rsidR="007E4EAD" w:rsidRPr="007E7CD2" w:rsidRDefault="007E4EAD" w:rsidP="00C2053D">
            <w:pPr>
              <w:spacing w:before="60" w:after="60"/>
              <w:jc w:val="center"/>
              <w:rPr>
                <w:rFonts w:cstheme="minorHAnsi"/>
                <w:sz w:val="20"/>
                <w:szCs w:val="20"/>
              </w:rPr>
            </w:pPr>
            <w:r>
              <w:rPr>
                <w:rFonts w:cstheme="minorHAnsi"/>
                <w:sz w:val="20"/>
                <w:szCs w:val="20"/>
              </w:rPr>
              <w:t>19.</w:t>
            </w:r>
            <w:r w:rsidR="00A31762">
              <w:rPr>
                <w:rFonts w:cstheme="minorHAnsi"/>
                <w:sz w:val="20"/>
                <w:szCs w:val="20"/>
              </w:rPr>
              <w:t>5</w:t>
            </w:r>
            <w:r>
              <w:rPr>
                <w:rFonts w:cstheme="minorHAnsi"/>
                <w:sz w:val="20"/>
                <w:szCs w:val="20"/>
              </w:rPr>
              <w:t>%</w:t>
            </w:r>
          </w:p>
        </w:tc>
      </w:tr>
    </w:tbl>
    <w:p w14:paraId="1F8E2BCF" w14:textId="77777777" w:rsidR="002C01D3" w:rsidRDefault="002C01D3" w:rsidP="00C2053D"/>
    <w:p w14:paraId="542F8AE9" w14:textId="1963AA6F" w:rsidR="00C56511" w:rsidRPr="00C56511" w:rsidRDefault="00F71893" w:rsidP="00C2053D">
      <w:r>
        <w:t>The PBS restriction for alemtuzumab stipulate</w:t>
      </w:r>
      <w:r w:rsidR="006D10B0">
        <w:t>s</w:t>
      </w:r>
      <w:r>
        <w:t xml:space="preserve"> that the treatment must be</w:t>
      </w:r>
      <w:r w:rsidR="00C56511">
        <w:t xml:space="preserve"> the</w:t>
      </w:r>
      <w:r>
        <w:t xml:space="preserve"> </w:t>
      </w:r>
      <w:r w:rsidRPr="00F71893">
        <w:t>sole PBS-subsidised disease modif</w:t>
      </w:r>
      <w:r>
        <w:t>ying therapy for this condition.</w:t>
      </w:r>
      <w:r w:rsidR="00507089">
        <w:t xml:space="preserve"> Patients were considered to </w:t>
      </w:r>
      <w:r w:rsidR="006D10B0">
        <w:t xml:space="preserve">have </w:t>
      </w:r>
      <w:r w:rsidR="00507089">
        <w:t>co-administer</w:t>
      </w:r>
      <w:r w:rsidR="006D10B0">
        <w:t>ed medicines</w:t>
      </w:r>
      <w:r w:rsidR="00507089">
        <w:t xml:space="preserve"> if the supply date of another PBS-listed medicine for RRMS was within </w:t>
      </w:r>
      <w:r w:rsidR="0096654C">
        <w:t>two</w:t>
      </w:r>
      <w:r w:rsidR="00507089">
        <w:t xml:space="preserve"> years </w:t>
      </w:r>
      <w:r w:rsidR="006D10B0">
        <w:t xml:space="preserve">of </w:t>
      </w:r>
      <w:r w:rsidR="00507089">
        <w:t>the supply date of alemtuzumab.</w:t>
      </w:r>
      <w:r w:rsidR="007E7CD2">
        <w:t xml:space="preserve"> </w:t>
      </w:r>
      <w:r w:rsidR="006D10B0">
        <w:t xml:space="preserve">Sensitivity analyses were conducted for </w:t>
      </w:r>
      <w:r w:rsidR="0096654C">
        <w:t>one</w:t>
      </w:r>
      <w:r w:rsidR="006D10B0">
        <w:t xml:space="preserve"> year and </w:t>
      </w:r>
      <w:r w:rsidR="0096654C">
        <w:t>four</w:t>
      </w:r>
      <w:r w:rsidR="006D10B0">
        <w:t xml:space="preserve"> years after the alemtuzumab supply. </w:t>
      </w:r>
      <w:r w:rsidR="00C56511">
        <w:t xml:space="preserve">Table 2 illustrates that a small proportion of patients were supplied another PBS-listed medicine for RRMS during the </w:t>
      </w:r>
      <w:r w:rsidR="0096654C">
        <w:t>one</w:t>
      </w:r>
      <w:r w:rsidR="00C56511">
        <w:t xml:space="preserve"> and </w:t>
      </w:r>
      <w:r w:rsidR="0096654C">
        <w:t>two</w:t>
      </w:r>
      <w:r w:rsidR="00C56511">
        <w:t xml:space="preserve"> year follow up per</w:t>
      </w:r>
      <w:r w:rsidR="00597647">
        <w:t>iod after the initial prescription</w:t>
      </w:r>
      <w:r w:rsidR="00507089">
        <w:t xml:space="preserve"> of alemtuzumab</w:t>
      </w:r>
      <w:r w:rsidR="006D10B0">
        <w:t>, contravening the PBS restriction</w:t>
      </w:r>
      <w:r w:rsidR="00507089">
        <w:t>.</w:t>
      </w:r>
      <w:r w:rsidR="00694F35">
        <w:t xml:space="preserve"> </w:t>
      </w:r>
      <w:r w:rsidR="00694F35" w:rsidRPr="00694F35">
        <w:t xml:space="preserve">Approximately 20% of patients were supplied another RRMS medicine within </w:t>
      </w:r>
      <w:r w:rsidR="0096654C">
        <w:t>four</w:t>
      </w:r>
      <w:r w:rsidR="00694F35" w:rsidRPr="00694F35">
        <w:t xml:space="preserve"> years of</w:t>
      </w:r>
      <w:r w:rsidR="00972C79">
        <w:t xml:space="preserve"> the</w:t>
      </w:r>
      <w:r w:rsidR="00694F35" w:rsidRPr="00694F35">
        <w:t xml:space="preserve"> </w:t>
      </w:r>
      <w:r w:rsidR="00694F35">
        <w:t xml:space="preserve">initial treatment course of </w:t>
      </w:r>
      <w:r w:rsidR="00694F35" w:rsidRPr="00694F35">
        <w:t>alemtuzumab.</w:t>
      </w:r>
    </w:p>
    <w:p w14:paraId="4D09AE92" w14:textId="0F6E8F1A" w:rsidR="002078C0" w:rsidRDefault="00054698" w:rsidP="00CF5E22">
      <w:pPr>
        <w:pStyle w:val="Heading3"/>
      </w:pPr>
      <w:r w:rsidRPr="00054698">
        <w:t>Analysis of actual versus predicted utilisation</w:t>
      </w:r>
    </w:p>
    <w:p w14:paraId="7939BA79" w14:textId="26A8C9AF" w:rsidR="00174B96" w:rsidRDefault="00174B96" w:rsidP="00A35800">
      <w:r w:rsidRPr="00174B96">
        <w:t xml:space="preserve">A comparison of the predicted utilisation of </w:t>
      </w:r>
      <w:r>
        <w:t>alemtuzumab for RRMS</w:t>
      </w:r>
      <w:r w:rsidRPr="00174B96">
        <w:t xml:space="preserve"> versu</w:t>
      </w:r>
      <w:r w:rsidR="00C56511">
        <w:t>s actual use is shown in Table 3</w:t>
      </w:r>
      <w:r w:rsidRPr="00174B96">
        <w:t>.</w:t>
      </w:r>
    </w:p>
    <w:p w14:paraId="64A4E0F2" w14:textId="179CD228" w:rsidR="00174B96" w:rsidRPr="00C20632" w:rsidRDefault="00C56511" w:rsidP="005669E6">
      <w:pPr>
        <w:spacing w:before="200" w:after="20"/>
        <w:rPr>
          <w:b/>
          <w:highlight w:val="black"/>
        </w:rPr>
      </w:pPr>
      <w:r>
        <w:rPr>
          <w:b/>
        </w:rPr>
        <w:t>Table 3</w:t>
      </w:r>
      <w:r w:rsidR="00174B96">
        <w:rPr>
          <w:b/>
        </w:rPr>
        <w:t>: Alemtuzumab</w:t>
      </w:r>
      <w:r w:rsidR="00174B96" w:rsidRPr="00E3204F">
        <w:rPr>
          <w:b/>
        </w:rPr>
        <w:t>: actual versus predicted utilisation</w:t>
      </w:r>
      <w:r w:rsidR="00174B96">
        <w:rPr>
          <w:b/>
        </w:rPr>
        <w:t xml:space="preserve"> for RRMS</w:t>
      </w:r>
    </w:p>
    <w:tbl>
      <w:tblPr>
        <w:tblStyle w:val="TableGrid"/>
        <w:tblW w:w="9019" w:type="dxa"/>
        <w:tblInd w:w="10" w:type="dxa"/>
        <w:tblLayout w:type="fixed"/>
        <w:tblLook w:val="04A0" w:firstRow="1" w:lastRow="0" w:firstColumn="1" w:lastColumn="0" w:noHBand="0" w:noVBand="1"/>
        <w:tblCaption w:val="Table 3: Alemtuzumab: actual versus predicted utilisation for RRMS"/>
        <w:tblDescription w:val="Table 3: Alemtuzumab: actual versus predicted utilisation for RRMS"/>
      </w:tblPr>
      <w:tblGrid>
        <w:gridCol w:w="1403"/>
        <w:gridCol w:w="1276"/>
        <w:gridCol w:w="1585"/>
        <w:gridCol w:w="1585"/>
        <w:gridCol w:w="1585"/>
        <w:gridCol w:w="1585"/>
      </w:tblGrid>
      <w:tr w:rsidR="00174B96" w:rsidRPr="00D610D2" w14:paraId="4F5F380E" w14:textId="22DD7154" w:rsidTr="000920BE">
        <w:trPr>
          <w:trHeight w:val="295"/>
          <w:tblHeader/>
        </w:trPr>
        <w:tc>
          <w:tcPr>
            <w:tcW w:w="1403" w:type="dxa"/>
            <w:tcBorders>
              <w:bottom w:val="single" w:sz="4" w:space="0" w:color="auto"/>
            </w:tcBorders>
            <w:shd w:val="clear" w:color="auto" w:fill="BFBFBF" w:themeFill="background1" w:themeFillShade="BF"/>
            <w:noWrap/>
            <w:hideMark/>
          </w:tcPr>
          <w:p w14:paraId="24569954" w14:textId="77777777" w:rsidR="00174B96" w:rsidRPr="00D610D2" w:rsidRDefault="00174B96" w:rsidP="005669E6">
            <w:pPr>
              <w:spacing w:before="60" w:after="60"/>
              <w:rPr>
                <w:rFonts w:cstheme="minorHAnsi"/>
                <w:sz w:val="20"/>
                <w:szCs w:val="20"/>
              </w:rPr>
            </w:pPr>
            <w:r w:rsidRPr="00D610D2">
              <w:rPr>
                <w:rFonts w:cstheme="minorHAnsi"/>
                <w:sz w:val="20"/>
                <w:szCs w:val="20"/>
              </w:rPr>
              <w:t> </w:t>
            </w:r>
          </w:p>
        </w:tc>
        <w:tc>
          <w:tcPr>
            <w:tcW w:w="1276" w:type="dxa"/>
            <w:shd w:val="clear" w:color="auto" w:fill="BFBFBF" w:themeFill="background1" w:themeFillShade="BF"/>
          </w:tcPr>
          <w:p w14:paraId="2944F732" w14:textId="77777777" w:rsidR="00174B96" w:rsidRPr="00D610D2" w:rsidRDefault="00174B96" w:rsidP="005669E6">
            <w:pPr>
              <w:spacing w:before="60" w:after="60"/>
              <w:rPr>
                <w:rFonts w:cstheme="minorHAnsi"/>
                <w:b/>
                <w:bCs/>
                <w:sz w:val="20"/>
                <w:szCs w:val="20"/>
              </w:rPr>
            </w:pPr>
          </w:p>
        </w:tc>
        <w:tc>
          <w:tcPr>
            <w:tcW w:w="1585" w:type="dxa"/>
            <w:shd w:val="clear" w:color="auto" w:fill="BFBFBF" w:themeFill="background1" w:themeFillShade="BF"/>
            <w:noWrap/>
            <w:hideMark/>
          </w:tcPr>
          <w:p w14:paraId="55CBFE2C" w14:textId="77777777" w:rsidR="00174B96" w:rsidRPr="00D610D2" w:rsidRDefault="00174B96" w:rsidP="005669E6">
            <w:pPr>
              <w:spacing w:before="60" w:after="60"/>
              <w:jc w:val="center"/>
              <w:rPr>
                <w:rFonts w:cstheme="minorHAnsi"/>
                <w:b/>
                <w:bCs/>
                <w:sz w:val="20"/>
                <w:szCs w:val="20"/>
              </w:rPr>
            </w:pPr>
            <w:r w:rsidRPr="00D610D2">
              <w:rPr>
                <w:rFonts w:cstheme="minorHAnsi"/>
                <w:b/>
                <w:bCs/>
                <w:sz w:val="20"/>
                <w:szCs w:val="20"/>
              </w:rPr>
              <w:t>Year 1</w:t>
            </w:r>
          </w:p>
        </w:tc>
        <w:tc>
          <w:tcPr>
            <w:tcW w:w="1585" w:type="dxa"/>
            <w:shd w:val="clear" w:color="auto" w:fill="BFBFBF" w:themeFill="background1" w:themeFillShade="BF"/>
            <w:noWrap/>
            <w:hideMark/>
          </w:tcPr>
          <w:p w14:paraId="0DE2C2FE" w14:textId="77777777" w:rsidR="00174B96" w:rsidRPr="00D610D2" w:rsidRDefault="00174B96" w:rsidP="005669E6">
            <w:pPr>
              <w:spacing w:before="60" w:after="60"/>
              <w:jc w:val="center"/>
              <w:rPr>
                <w:rFonts w:cstheme="minorHAnsi"/>
                <w:b/>
                <w:bCs/>
                <w:sz w:val="20"/>
                <w:szCs w:val="20"/>
              </w:rPr>
            </w:pPr>
            <w:r w:rsidRPr="00D610D2">
              <w:rPr>
                <w:rFonts w:cstheme="minorHAnsi"/>
                <w:b/>
                <w:bCs/>
                <w:sz w:val="20"/>
                <w:szCs w:val="20"/>
              </w:rPr>
              <w:t>Year 2</w:t>
            </w:r>
          </w:p>
        </w:tc>
        <w:tc>
          <w:tcPr>
            <w:tcW w:w="1585" w:type="dxa"/>
            <w:shd w:val="clear" w:color="auto" w:fill="BFBFBF" w:themeFill="background1" w:themeFillShade="BF"/>
          </w:tcPr>
          <w:p w14:paraId="3F8F2FDD" w14:textId="51F2F3E6" w:rsidR="00174B96" w:rsidRPr="00D610D2" w:rsidRDefault="00174B96" w:rsidP="005669E6">
            <w:pPr>
              <w:spacing w:before="60" w:after="60"/>
              <w:jc w:val="center"/>
              <w:rPr>
                <w:rFonts w:cstheme="minorHAnsi"/>
                <w:b/>
                <w:bCs/>
                <w:sz w:val="20"/>
                <w:szCs w:val="20"/>
              </w:rPr>
            </w:pPr>
            <w:r>
              <w:rPr>
                <w:rFonts w:cstheme="minorHAnsi"/>
                <w:b/>
                <w:bCs/>
                <w:sz w:val="20"/>
                <w:szCs w:val="20"/>
              </w:rPr>
              <w:t>Year 3</w:t>
            </w:r>
          </w:p>
        </w:tc>
        <w:tc>
          <w:tcPr>
            <w:tcW w:w="1585" w:type="dxa"/>
            <w:shd w:val="clear" w:color="auto" w:fill="BFBFBF" w:themeFill="background1" w:themeFillShade="BF"/>
          </w:tcPr>
          <w:p w14:paraId="62F2E19C" w14:textId="29500C63" w:rsidR="00174B96" w:rsidRPr="00D610D2" w:rsidRDefault="00174B96" w:rsidP="005669E6">
            <w:pPr>
              <w:spacing w:before="60" w:after="60"/>
              <w:jc w:val="center"/>
              <w:rPr>
                <w:rFonts w:cstheme="minorHAnsi"/>
                <w:b/>
                <w:bCs/>
                <w:sz w:val="20"/>
                <w:szCs w:val="20"/>
              </w:rPr>
            </w:pPr>
            <w:r>
              <w:rPr>
                <w:rFonts w:cstheme="minorHAnsi"/>
                <w:b/>
                <w:bCs/>
                <w:sz w:val="20"/>
                <w:szCs w:val="20"/>
              </w:rPr>
              <w:t>Year 4</w:t>
            </w:r>
          </w:p>
        </w:tc>
      </w:tr>
      <w:tr w:rsidR="00545256" w:rsidRPr="00D610D2" w14:paraId="040542DE" w14:textId="638271E7" w:rsidTr="000920BE">
        <w:trPr>
          <w:trHeight w:val="177"/>
        </w:trPr>
        <w:tc>
          <w:tcPr>
            <w:tcW w:w="1403" w:type="dxa"/>
            <w:tcBorders>
              <w:bottom w:val="nil"/>
            </w:tcBorders>
            <w:noWrap/>
            <w:vAlign w:val="center"/>
            <w:hideMark/>
          </w:tcPr>
          <w:p w14:paraId="12F64A41" w14:textId="3BA3982B" w:rsidR="00545256" w:rsidRPr="0000500B" w:rsidRDefault="00545256" w:rsidP="00C2053D">
            <w:pPr>
              <w:spacing w:before="60" w:after="60"/>
              <w:rPr>
                <w:rFonts w:cstheme="minorHAnsi"/>
                <w:b/>
                <w:bCs/>
                <w:sz w:val="20"/>
                <w:szCs w:val="20"/>
              </w:rPr>
            </w:pPr>
          </w:p>
        </w:tc>
        <w:tc>
          <w:tcPr>
            <w:tcW w:w="1276" w:type="dxa"/>
            <w:vAlign w:val="center"/>
          </w:tcPr>
          <w:p w14:paraId="0D8B58F0" w14:textId="76364BB4" w:rsidR="00545256" w:rsidRPr="0000500B" w:rsidRDefault="00545256" w:rsidP="00C2053D">
            <w:pPr>
              <w:spacing w:before="60" w:after="60"/>
              <w:rPr>
                <w:rFonts w:cstheme="minorHAnsi"/>
                <w:sz w:val="20"/>
                <w:szCs w:val="20"/>
              </w:rPr>
            </w:pPr>
            <w:r w:rsidRPr="0000500B">
              <w:rPr>
                <w:rFonts w:cstheme="minorHAnsi"/>
                <w:sz w:val="20"/>
                <w:szCs w:val="20"/>
              </w:rPr>
              <w:t>Predicted</w:t>
            </w:r>
          </w:p>
        </w:tc>
        <w:tc>
          <w:tcPr>
            <w:tcW w:w="1585" w:type="dxa"/>
            <w:noWrap/>
            <w:vAlign w:val="center"/>
            <w:hideMark/>
          </w:tcPr>
          <w:p w14:paraId="35DFA0F1" w14:textId="2D710B9A" w:rsidR="00545256" w:rsidRPr="0000500B" w:rsidRDefault="00545256" w:rsidP="00C2053D">
            <w:pPr>
              <w:spacing w:before="60" w:after="60"/>
              <w:jc w:val="center"/>
              <w:rPr>
                <w:rFonts w:cstheme="minorHAnsi"/>
                <w:sz w:val="20"/>
                <w:szCs w:val="20"/>
              </w:rPr>
            </w:pPr>
            <w:r w:rsidRPr="0000500B">
              <w:rPr>
                <w:rFonts w:cstheme="minorHAnsi"/>
                <w:sz w:val="20"/>
                <w:szCs w:val="20"/>
              </w:rPr>
              <w:t>445</w:t>
            </w:r>
          </w:p>
        </w:tc>
        <w:tc>
          <w:tcPr>
            <w:tcW w:w="1585" w:type="dxa"/>
            <w:noWrap/>
            <w:vAlign w:val="center"/>
            <w:hideMark/>
          </w:tcPr>
          <w:p w14:paraId="5F2E0867" w14:textId="64D6DBA0" w:rsidR="00545256" w:rsidRPr="0000500B" w:rsidRDefault="00545256" w:rsidP="00C2053D">
            <w:pPr>
              <w:spacing w:before="60" w:after="60"/>
              <w:jc w:val="center"/>
              <w:rPr>
                <w:rFonts w:cstheme="minorHAnsi"/>
                <w:sz w:val="20"/>
                <w:szCs w:val="20"/>
              </w:rPr>
            </w:pPr>
            <w:r w:rsidRPr="0000500B">
              <w:rPr>
                <w:rFonts w:cstheme="minorHAnsi"/>
                <w:sz w:val="20"/>
                <w:szCs w:val="20"/>
              </w:rPr>
              <w:t>942</w:t>
            </w:r>
          </w:p>
        </w:tc>
        <w:tc>
          <w:tcPr>
            <w:tcW w:w="1585" w:type="dxa"/>
            <w:vAlign w:val="center"/>
          </w:tcPr>
          <w:p w14:paraId="786F38EE" w14:textId="21B46A4F" w:rsidR="00545256" w:rsidRPr="0000500B" w:rsidRDefault="00545256" w:rsidP="00C2053D">
            <w:pPr>
              <w:spacing w:before="60" w:after="60"/>
              <w:jc w:val="center"/>
              <w:rPr>
                <w:rFonts w:cstheme="minorHAnsi"/>
                <w:sz w:val="20"/>
                <w:szCs w:val="20"/>
              </w:rPr>
            </w:pPr>
            <w:r w:rsidRPr="0000500B">
              <w:rPr>
                <w:rFonts w:cstheme="minorHAnsi"/>
                <w:sz w:val="20"/>
                <w:szCs w:val="20"/>
              </w:rPr>
              <w:t>1,080</w:t>
            </w:r>
          </w:p>
        </w:tc>
        <w:tc>
          <w:tcPr>
            <w:tcW w:w="1585" w:type="dxa"/>
            <w:vAlign w:val="center"/>
          </w:tcPr>
          <w:p w14:paraId="37E04C53" w14:textId="215F22BB" w:rsidR="00545256" w:rsidRPr="0000500B" w:rsidRDefault="00545256" w:rsidP="00C2053D">
            <w:pPr>
              <w:spacing w:before="60" w:after="60"/>
              <w:jc w:val="center"/>
              <w:rPr>
                <w:rFonts w:cstheme="minorHAnsi"/>
                <w:sz w:val="20"/>
                <w:szCs w:val="20"/>
              </w:rPr>
            </w:pPr>
            <w:r w:rsidRPr="0000500B">
              <w:rPr>
                <w:rFonts w:cstheme="minorHAnsi"/>
                <w:sz w:val="20"/>
                <w:szCs w:val="20"/>
              </w:rPr>
              <w:t>1,214</w:t>
            </w:r>
          </w:p>
        </w:tc>
      </w:tr>
      <w:tr w:rsidR="00174B96" w:rsidRPr="00D610D2" w14:paraId="1912721F" w14:textId="4933E6BF" w:rsidTr="000920BE">
        <w:trPr>
          <w:trHeight w:val="177"/>
        </w:trPr>
        <w:tc>
          <w:tcPr>
            <w:tcW w:w="1403" w:type="dxa"/>
            <w:tcBorders>
              <w:top w:val="nil"/>
              <w:bottom w:val="nil"/>
            </w:tcBorders>
            <w:noWrap/>
            <w:vAlign w:val="center"/>
          </w:tcPr>
          <w:p w14:paraId="58E30441" w14:textId="0E117920" w:rsidR="00174B96" w:rsidRPr="0000500B" w:rsidRDefault="000920BE" w:rsidP="000920BE">
            <w:pPr>
              <w:spacing w:before="60" w:after="60"/>
              <w:jc w:val="center"/>
              <w:rPr>
                <w:rFonts w:cstheme="minorHAnsi"/>
                <w:b/>
                <w:bCs/>
                <w:sz w:val="20"/>
                <w:szCs w:val="20"/>
              </w:rPr>
            </w:pPr>
            <w:r w:rsidRPr="0000500B">
              <w:rPr>
                <w:rFonts w:cstheme="minorHAnsi"/>
                <w:b/>
                <w:bCs/>
                <w:sz w:val="20"/>
                <w:szCs w:val="20"/>
              </w:rPr>
              <w:t>Patients</w:t>
            </w:r>
          </w:p>
        </w:tc>
        <w:tc>
          <w:tcPr>
            <w:tcW w:w="1276" w:type="dxa"/>
            <w:vAlign w:val="center"/>
          </w:tcPr>
          <w:p w14:paraId="18272801" w14:textId="77777777" w:rsidR="00174B96" w:rsidRPr="0000500B" w:rsidRDefault="00174B96" w:rsidP="00C2053D">
            <w:pPr>
              <w:spacing w:before="60" w:after="60"/>
              <w:rPr>
                <w:rFonts w:cstheme="minorHAnsi"/>
                <w:sz w:val="20"/>
                <w:szCs w:val="20"/>
              </w:rPr>
            </w:pPr>
            <w:r w:rsidRPr="0000500B">
              <w:rPr>
                <w:rFonts w:cstheme="minorHAnsi"/>
                <w:sz w:val="20"/>
                <w:szCs w:val="20"/>
              </w:rPr>
              <w:t>Actual</w:t>
            </w:r>
          </w:p>
        </w:tc>
        <w:tc>
          <w:tcPr>
            <w:tcW w:w="1585" w:type="dxa"/>
            <w:noWrap/>
            <w:vAlign w:val="center"/>
          </w:tcPr>
          <w:p w14:paraId="3136618A" w14:textId="7149E9F2" w:rsidR="00174B96" w:rsidRPr="0000500B" w:rsidRDefault="00174B96" w:rsidP="00C2053D">
            <w:pPr>
              <w:spacing w:before="60" w:after="60"/>
              <w:jc w:val="center"/>
              <w:rPr>
                <w:rFonts w:cstheme="minorHAnsi"/>
                <w:sz w:val="20"/>
                <w:szCs w:val="20"/>
              </w:rPr>
            </w:pPr>
            <w:r w:rsidRPr="0000500B">
              <w:rPr>
                <w:rFonts w:cstheme="minorHAnsi"/>
                <w:sz w:val="20"/>
                <w:szCs w:val="20"/>
              </w:rPr>
              <w:t>545</w:t>
            </w:r>
          </w:p>
        </w:tc>
        <w:tc>
          <w:tcPr>
            <w:tcW w:w="1585" w:type="dxa"/>
            <w:noWrap/>
            <w:vAlign w:val="center"/>
          </w:tcPr>
          <w:p w14:paraId="0E48C74C" w14:textId="5DB67809" w:rsidR="00174B96" w:rsidRPr="0000500B" w:rsidRDefault="00174B96" w:rsidP="00C2053D">
            <w:pPr>
              <w:spacing w:before="60" w:after="60"/>
              <w:jc w:val="center"/>
              <w:rPr>
                <w:rFonts w:cstheme="minorHAnsi"/>
                <w:sz w:val="20"/>
                <w:szCs w:val="20"/>
              </w:rPr>
            </w:pPr>
            <w:r w:rsidRPr="0000500B">
              <w:rPr>
                <w:rFonts w:cstheme="minorHAnsi"/>
                <w:sz w:val="20"/>
                <w:szCs w:val="20"/>
              </w:rPr>
              <w:t>947</w:t>
            </w:r>
          </w:p>
        </w:tc>
        <w:tc>
          <w:tcPr>
            <w:tcW w:w="1585" w:type="dxa"/>
            <w:vAlign w:val="center"/>
          </w:tcPr>
          <w:p w14:paraId="28D20479" w14:textId="139D2BB3" w:rsidR="00174B96" w:rsidRPr="0000500B" w:rsidRDefault="00174B96" w:rsidP="00C2053D">
            <w:pPr>
              <w:spacing w:before="60" w:after="60"/>
              <w:jc w:val="center"/>
              <w:rPr>
                <w:rFonts w:cstheme="minorHAnsi"/>
                <w:sz w:val="20"/>
                <w:szCs w:val="20"/>
              </w:rPr>
            </w:pPr>
            <w:r w:rsidRPr="0000500B">
              <w:rPr>
                <w:rFonts w:cstheme="minorHAnsi"/>
                <w:sz w:val="20"/>
                <w:szCs w:val="20"/>
              </w:rPr>
              <w:t>660</w:t>
            </w:r>
          </w:p>
        </w:tc>
        <w:tc>
          <w:tcPr>
            <w:tcW w:w="1585" w:type="dxa"/>
            <w:vAlign w:val="center"/>
          </w:tcPr>
          <w:p w14:paraId="5BDB1C33" w14:textId="78B6401F" w:rsidR="00174B96" w:rsidRPr="0000500B" w:rsidRDefault="00174B96" w:rsidP="00C2053D">
            <w:pPr>
              <w:spacing w:before="60" w:after="60"/>
              <w:jc w:val="center"/>
              <w:rPr>
                <w:rFonts w:cstheme="minorHAnsi"/>
                <w:sz w:val="20"/>
                <w:szCs w:val="20"/>
              </w:rPr>
            </w:pPr>
            <w:r w:rsidRPr="0000500B">
              <w:rPr>
                <w:rFonts w:cstheme="minorHAnsi"/>
                <w:sz w:val="20"/>
                <w:szCs w:val="20"/>
              </w:rPr>
              <w:t>399</w:t>
            </w:r>
          </w:p>
        </w:tc>
      </w:tr>
      <w:tr w:rsidR="0000500B" w:rsidRPr="00D610D2" w14:paraId="481F433E" w14:textId="056510DA" w:rsidTr="000920BE">
        <w:trPr>
          <w:trHeight w:val="177"/>
        </w:trPr>
        <w:tc>
          <w:tcPr>
            <w:tcW w:w="1403" w:type="dxa"/>
            <w:tcBorders>
              <w:top w:val="nil"/>
              <w:bottom w:val="single" w:sz="4" w:space="0" w:color="auto"/>
            </w:tcBorders>
            <w:noWrap/>
            <w:vAlign w:val="center"/>
          </w:tcPr>
          <w:p w14:paraId="73B0DBFC" w14:textId="77777777" w:rsidR="0000500B" w:rsidRPr="0000500B" w:rsidRDefault="0000500B" w:rsidP="00C2053D">
            <w:pPr>
              <w:spacing w:before="60" w:after="60"/>
              <w:rPr>
                <w:rFonts w:cstheme="minorHAnsi"/>
                <w:b/>
                <w:bCs/>
                <w:sz w:val="20"/>
                <w:szCs w:val="20"/>
              </w:rPr>
            </w:pPr>
          </w:p>
        </w:tc>
        <w:tc>
          <w:tcPr>
            <w:tcW w:w="1276" w:type="dxa"/>
            <w:vAlign w:val="center"/>
          </w:tcPr>
          <w:p w14:paraId="62F452BF" w14:textId="1C0327D0" w:rsidR="0000500B" w:rsidRPr="0000500B" w:rsidRDefault="0000500B" w:rsidP="00C2053D">
            <w:pPr>
              <w:spacing w:before="60" w:after="60"/>
              <w:rPr>
                <w:rFonts w:cstheme="minorHAnsi"/>
                <w:sz w:val="20"/>
                <w:szCs w:val="20"/>
              </w:rPr>
            </w:pPr>
            <w:r w:rsidRPr="0000500B">
              <w:rPr>
                <w:rFonts w:cstheme="minorHAnsi"/>
                <w:sz w:val="20"/>
                <w:szCs w:val="20"/>
              </w:rPr>
              <w:t>%Difference</w:t>
            </w:r>
          </w:p>
        </w:tc>
        <w:tc>
          <w:tcPr>
            <w:tcW w:w="1585" w:type="dxa"/>
            <w:tcBorders>
              <w:top w:val="nil"/>
              <w:left w:val="single" w:sz="8" w:space="0" w:color="auto"/>
              <w:bottom w:val="single" w:sz="8" w:space="0" w:color="auto"/>
              <w:right w:val="single" w:sz="8" w:space="0" w:color="auto"/>
            </w:tcBorders>
            <w:shd w:val="clear" w:color="auto" w:fill="auto"/>
            <w:noWrap/>
            <w:vAlign w:val="center"/>
          </w:tcPr>
          <w:p w14:paraId="5217617F" w14:textId="24D0DE8C" w:rsidR="0000500B" w:rsidRPr="0000500B" w:rsidRDefault="0000500B" w:rsidP="00C2053D">
            <w:pPr>
              <w:spacing w:before="60" w:after="60"/>
              <w:jc w:val="center"/>
              <w:rPr>
                <w:rFonts w:cstheme="minorHAnsi"/>
                <w:sz w:val="20"/>
                <w:szCs w:val="20"/>
              </w:rPr>
            </w:pPr>
            <w:r w:rsidRPr="0000500B">
              <w:rPr>
                <w:rFonts w:ascii="Calibri" w:hAnsi="Calibri" w:cstheme="minorHAnsi"/>
                <w:color w:val="000000"/>
                <w:sz w:val="20"/>
                <w:szCs w:val="20"/>
              </w:rPr>
              <w:t>22%</w:t>
            </w:r>
          </w:p>
        </w:tc>
        <w:tc>
          <w:tcPr>
            <w:tcW w:w="1585" w:type="dxa"/>
            <w:tcBorders>
              <w:top w:val="nil"/>
              <w:left w:val="nil"/>
              <w:bottom w:val="single" w:sz="8" w:space="0" w:color="auto"/>
              <w:right w:val="single" w:sz="8" w:space="0" w:color="auto"/>
            </w:tcBorders>
            <w:shd w:val="clear" w:color="auto" w:fill="auto"/>
            <w:noWrap/>
            <w:vAlign w:val="center"/>
          </w:tcPr>
          <w:p w14:paraId="6604257E" w14:textId="7BF66B69" w:rsidR="0000500B" w:rsidRPr="0000500B" w:rsidRDefault="0000500B" w:rsidP="00C2053D">
            <w:pPr>
              <w:spacing w:before="60" w:after="60"/>
              <w:jc w:val="center"/>
              <w:rPr>
                <w:rFonts w:cstheme="minorHAnsi"/>
                <w:sz w:val="20"/>
                <w:szCs w:val="20"/>
              </w:rPr>
            </w:pPr>
            <w:r w:rsidRPr="0000500B">
              <w:rPr>
                <w:rFonts w:ascii="Calibri" w:hAnsi="Calibri" w:cstheme="minorHAnsi"/>
                <w:color w:val="000000"/>
                <w:sz w:val="20"/>
                <w:szCs w:val="20"/>
              </w:rPr>
              <w:t>1%</w:t>
            </w:r>
          </w:p>
        </w:tc>
        <w:tc>
          <w:tcPr>
            <w:tcW w:w="1585" w:type="dxa"/>
            <w:tcBorders>
              <w:top w:val="nil"/>
              <w:left w:val="nil"/>
              <w:bottom w:val="single" w:sz="8" w:space="0" w:color="auto"/>
              <w:right w:val="single" w:sz="8" w:space="0" w:color="auto"/>
            </w:tcBorders>
            <w:shd w:val="clear" w:color="auto" w:fill="auto"/>
            <w:vAlign w:val="center"/>
          </w:tcPr>
          <w:p w14:paraId="2091046F" w14:textId="37839115" w:rsidR="0000500B" w:rsidRPr="0000500B" w:rsidRDefault="0000500B" w:rsidP="00C2053D">
            <w:pPr>
              <w:spacing w:before="60" w:after="60"/>
              <w:jc w:val="center"/>
              <w:rPr>
                <w:rFonts w:cstheme="minorHAnsi"/>
                <w:sz w:val="20"/>
                <w:szCs w:val="20"/>
              </w:rPr>
            </w:pPr>
            <w:r w:rsidRPr="0000500B">
              <w:rPr>
                <w:rFonts w:ascii="Calibri" w:hAnsi="Calibri" w:cstheme="minorHAnsi"/>
                <w:color w:val="000000"/>
                <w:sz w:val="20"/>
                <w:szCs w:val="20"/>
              </w:rPr>
              <w:t>-39%</w:t>
            </w:r>
          </w:p>
        </w:tc>
        <w:tc>
          <w:tcPr>
            <w:tcW w:w="1585" w:type="dxa"/>
            <w:tcBorders>
              <w:top w:val="nil"/>
              <w:left w:val="nil"/>
              <w:bottom w:val="single" w:sz="8" w:space="0" w:color="auto"/>
              <w:right w:val="single" w:sz="8" w:space="0" w:color="auto"/>
            </w:tcBorders>
            <w:shd w:val="clear" w:color="auto" w:fill="auto"/>
            <w:vAlign w:val="center"/>
          </w:tcPr>
          <w:p w14:paraId="446E38E1" w14:textId="4D61A8DF" w:rsidR="0000500B" w:rsidRPr="0000500B" w:rsidRDefault="0000500B" w:rsidP="00C2053D">
            <w:pPr>
              <w:spacing w:before="60" w:after="60"/>
              <w:jc w:val="center"/>
              <w:rPr>
                <w:rFonts w:cstheme="minorHAnsi"/>
                <w:sz w:val="20"/>
                <w:szCs w:val="20"/>
              </w:rPr>
            </w:pPr>
            <w:r w:rsidRPr="0000500B">
              <w:rPr>
                <w:rFonts w:ascii="Calibri" w:hAnsi="Calibri" w:cstheme="minorHAnsi"/>
                <w:color w:val="000000"/>
                <w:sz w:val="20"/>
                <w:szCs w:val="20"/>
              </w:rPr>
              <w:t>-67%</w:t>
            </w:r>
          </w:p>
        </w:tc>
      </w:tr>
      <w:tr w:rsidR="00545256" w:rsidRPr="00D610D2" w14:paraId="0D9DC5DD" w14:textId="7D412ADD" w:rsidTr="000920BE">
        <w:trPr>
          <w:trHeight w:val="118"/>
        </w:trPr>
        <w:tc>
          <w:tcPr>
            <w:tcW w:w="1403" w:type="dxa"/>
            <w:tcBorders>
              <w:bottom w:val="nil"/>
            </w:tcBorders>
            <w:noWrap/>
            <w:vAlign w:val="center"/>
            <w:hideMark/>
          </w:tcPr>
          <w:p w14:paraId="72636DA6" w14:textId="3C703919" w:rsidR="00545256" w:rsidRPr="0000500B" w:rsidRDefault="00545256" w:rsidP="00C2053D">
            <w:pPr>
              <w:spacing w:before="60" w:after="60"/>
              <w:rPr>
                <w:rFonts w:cstheme="minorHAnsi"/>
                <w:b/>
                <w:bCs/>
                <w:sz w:val="20"/>
                <w:szCs w:val="20"/>
              </w:rPr>
            </w:pPr>
          </w:p>
        </w:tc>
        <w:tc>
          <w:tcPr>
            <w:tcW w:w="1276" w:type="dxa"/>
            <w:vAlign w:val="center"/>
          </w:tcPr>
          <w:p w14:paraId="6B72681F" w14:textId="401B0DEF" w:rsidR="00545256" w:rsidRPr="0000500B" w:rsidRDefault="00545256" w:rsidP="00C2053D">
            <w:pPr>
              <w:spacing w:before="60" w:after="60"/>
              <w:rPr>
                <w:rFonts w:cstheme="minorHAnsi"/>
                <w:sz w:val="20"/>
                <w:szCs w:val="20"/>
              </w:rPr>
            </w:pPr>
            <w:r w:rsidRPr="0000500B">
              <w:rPr>
                <w:rFonts w:cstheme="minorHAnsi"/>
                <w:sz w:val="20"/>
                <w:szCs w:val="20"/>
              </w:rPr>
              <w:t>Predicted</w:t>
            </w:r>
          </w:p>
        </w:tc>
        <w:tc>
          <w:tcPr>
            <w:tcW w:w="1585" w:type="dxa"/>
            <w:noWrap/>
            <w:vAlign w:val="center"/>
          </w:tcPr>
          <w:p w14:paraId="1F115FFB" w14:textId="0EC02497" w:rsidR="00545256" w:rsidRPr="0000500B" w:rsidRDefault="00545256" w:rsidP="00C2053D">
            <w:pPr>
              <w:spacing w:before="60" w:after="60"/>
              <w:jc w:val="center"/>
              <w:rPr>
                <w:rFonts w:cstheme="minorHAnsi"/>
                <w:sz w:val="20"/>
                <w:szCs w:val="20"/>
              </w:rPr>
            </w:pPr>
            <w:r w:rsidRPr="0000500B">
              <w:rPr>
                <w:rFonts w:cstheme="minorHAnsi"/>
                <w:sz w:val="20"/>
                <w:szCs w:val="20"/>
              </w:rPr>
              <w:t>445</w:t>
            </w:r>
          </w:p>
        </w:tc>
        <w:tc>
          <w:tcPr>
            <w:tcW w:w="1585" w:type="dxa"/>
            <w:noWrap/>
            <w:vAlign w:val="center"/>
          </w:tcPr>
          <w:p w14:paraId="789BD741" w14:textId="7C487571" w:rsidR="00545256" w:rsidRPr="0000500B" w:rsidRDefault="00545256" w:rsidP="00C2053D">
            <w:pPr>
              <w:spacing w:before="60" w:after="60"/>
              <w:jc w:val="center"/>
              <w:rPr>
                <w:rFonts w:cstheme="minorHAnsi"/>
                <w:sz w:val="20"/>
                <w:szCs w:val="20"/>
              </w:rPr>
            </w:pPr>
            <w:r w:rsidRPr="0000500B">
              <w:rPr>
                <w:rFonts w:cstheme="minorHAnsi"/>
                <w:sz w:val="20"/>
                <w:szCs w:val="20"/>
              </w:rPr>
              <w:t>942</w:t>
            </w:r>
          </w:p>
        </w:tc>
        <w:tc>
          <w:tcPr>
            <w:tcW w:w="1585" w:type="dxa"/>
            <w:vAlign w:val="center"/>
          </w:tcPr>
          <w:p w14:paraId="727A3301" w14:textId="02CE5FEC" w:rsidR="00545256" w:rsidRPr="0000500B" w:rsidRDefault="00545256" w:rsidP="00C2053D">
            <w:pPr>
              <w:spacing w:before="60" w:after="60"/>
              <w:jc w:val="center"/>
              <w:rPr>
                <w:rFonts w:cstheme="minorHAnsi"/>
                <w:sz w:val="20"/>
                <w:szCs w:val="20"/>
              </w:rPr>
            </w:pPr>
            <w:r w:rsidRPr="0000500B">
              <w:rPr>
                <w:rFonts w:cstheme="minorHAnsi"/>
                <w:sz w:val="20"/>
                <w:szCs w:val="20"/>
              </w:rPr>
              <w:t>1,080</w:t>
            </w:r>
          </w:p>
        </w:tc>
        <w:tc>
          <w:tcPr>
            <w:tcW w:w="1585" w:type="dxa"/>
            <w:vAlign w:val="center"/>
          </w:tcPr>
          <w:p w14:paraId="45FCE9DE" w14:textId="42429B8E" w:rsidR="00545256" w:rsidRPr="0000500B" w:rsidRDefault="00545256" w:rsidP="00C2053D">
            <w:pPr>
              <w:spacing w:before="60" w:after="60"/>
              <w:jc w:val="center"/>
              <w:rPr>
                <w:rFonts w:cstheme="minorHAnsi"/>
                <w:sz w:val="20"/>
                <w:szCs w:val="20"/>
              </w:rPr>
            </w:pPr>
            <w:r w:rsidRPr="0000500B">
              <w:rPr>
                <w:rFonts w:cstheme="minorHAnsi"/>
                <w:sz w:val="20"/>
                <w:szCs w:val="20"/>
              </w:rPr>
              <w:t>1,214</w:t>
            </w:r>
          </w:p>
        </w:tc>
      </w:tr>
      <w:tr w:rsidR="00054698" w:rsidRPr="00D610D2" w14:paraId="2F866D8E" w14:textId="1C8EF806" w:rsidTr="000920BE">
        <w:trPr>
          <w:trHeight w:val="118"/>
        </w:trPr>
        <w:tc>
          <w:tcPr>
            <w:tcW w:w="1403" w:type="dxa"/>
            <w:tcBorders>
              <w:top w:val="nil"/>
              <w:bottom w:val="nil"/>
            </w:tcBorders>
            <w:noWrap/>
          </w:tcPr>
          <w:p w14:paraId="78BC5C77" w14:textId="384B3EA3" w:rsidR="00054698" w:rsidRPr="0000500B" w:rsidRDefault="000920BE" w:rsidP="0000500B">
            <w:pPr>
              <w:spacing w:before="60" w:after="60"/>
              <w:jc w:val="center"/>
              <w:rPr>
                <w:rFonts w:cstheme="minorHAnsi"/>
                <w:b/>
                <w:bCs/>
                <w:sz w:val="20"/>
                <w:szCs w:val="20"/>
              </w:rPr>
            </w:pPr>
            <w:r w:rsidRPr="0000500B">
              <w:rPr>
                <w:rFonts w:cstheme="minorHAnsi"/>
                <w:b/>
                <w:bCs/>
                <w:sz w:val="20"/>
                <w:szCs w:val="20"/>
              </w:rPr>
              <w:t>Prescriptions</w:t>
            </w:r>
          </w:p>
        </w:tc>
        <w:tc>
          <w:tcPr>
            <w:tcW w:w="1276" w:type="dxa"/>
            <w:vAlign w:val="center"/>
          </w:tcPr>
          <w:p w14:paraId="6D342F5F" w14:textId="77777777" w:rsidR="00054698" w:rsidRPr="0000500B" w:rsidRDefault="00054698" w:rsidP="00C2053D">
            <w:pPr>
              <w:spacing w:before="60" w:after="60"/>
              <w:rPr>
                <w:rFonts w:cstheme="minorHAnsi"/>
                <w:sz w:val="20"/>
                <w:szCs w:val="20"/>
              </w:rPr>
            </w:pPr>
            <w:r w:rsidRPr="0000500B">
              <w:rPr>
                <w:rFonts w:cstheme="minorHAnsi"/>
                <w:sz w:val="20"/>
                <w:szCs w:val="20"/>
              </w:rPr>
              <w:t>Actual</w:t>
            </w:r>
          </w:p>
        </w:tc>
        <w:tc>
          <w:tcPr>
            <w:tcW w:w="1585" w:type="dxa"/>
            <w:noWrap/>
            <w:vAlign w:val="center"/>
          </w:tcPr>
          <w:p w14:paraId="060A5051" w14:textId="4B138A27" w:rsidR="00054698" w:rsidRPr="0000500B" w:rsidRDefault="00054698" w:rsidP="00C2053D">
            <w:pPr>
              <w:spacing w:before="60" w:after="60"/>
              <w:jc w:val="center"/>
              <w:rPr>
                <w:rFonts w:cstheme="minorHAnsi"/>
                <w:sz w:val="20"/>
                <w:szCs w:val="20"/>
              </w:rPr>
            </w:pPr>
            <w:r w:rsidRPr="0000500B">
              <w:rPr>
                <w:rFonts w:cstheme="minorHAnsi"/>
                <w:sz w:val="20"/>
                <w:szCs w:val="20"/>
              </w:rPr>
              <w:t>571</w:t>
            </w:r>
          </w:p>
        </w:tc>
        <w:tc>
          <w:tcPr>
            <w:tcW w:w="1585" w:type="dxa"/>
            <w:noWrap/>
            <w:vAlign w:val="center"/>
          </w:tcPr>
          <w:p w14:paraId="54B7F031" w14:textId="47A7D6DB" w:rsidR="00054698" w:rsidRPr="0000500B" w:rsidRDefault="00054698" w:rsidP="00C2053D">
            <w:pPr>
              <w:spacing w:before="60" w:after="60"/>
              <w:jc w:val="center"/>
              <w:rPr>
                <w:rFonts w:cstheme="minorHAnsi"/>
                <w:sz w:val="20"/>
                <w:szCs w:val="20"/>
              </w:rPr>
            </w:pPr>
            <w:r w:rsidRPr="0000500B">
              <w:rPr>
                <w:rFonts w:cstheme="minorHAnsi"/>
                <w:sz w:val="20"/>
                <w:szCs w:val="20"/>
              </w:rPr>
              <w:t>966</w:t>
            </w:r>
          </w:p>
        </w:tc>
        <w:tc>
          <w:tcPr>
            <w:tcW w:w="1585" w:type="dxa"/>
            <w:vAlign w:val="center"/>
          </w:tcPr>
          <w:p w14:paraId="095FE2D7" w14:textId="0CEA5D7D" w:rsidR="00054698" w:rsidRPr="0000500B" w:rsidRDefault="00054698" w:rsidP="00C2053D">
            <w:pPr>
              <w:spacing w:before="60" w:after="60"/>
              <w:jc w:val="center"/>
              <w:rPr>
                <w:rFonts w:cstheme="minorHAnsi"/>
                <w:sz w:val="20"/>
                <w:szCs w:val="20"/>
              </w:rPr>
            </w:pPr>
            <w:r w:rsidRPr="0000500B">
              <w:rPr>
                <w:rFonts w:cstheme="minorHAnsi"/>
                <w:sz w:val="20"/>
                <w:szCs w:val="20"/>
              </w:rPr>
              <w:t>672</w:t>
            </w:r>
          </w:p>
        </w:tc>
        <w:tc>
          <w:tcPr>
            <w:tcW w:w="1585" w:type="dxa"/>
            <w:vAlign w:val="center"/>
          </w:tcPr>
          <w:p w14:paraId="58CC42F9" w14:textId="1611344B" w:rsidR="00054698" w:rsidRPr="0000500B" w:rsidRDefault="00054698" w:rsidP="00C2053D">
            <w:pPr>
              <w:spacing w:before="60" w:after="60"/>
              <w:jc w:val="center"/>
              <w:rPr>
                <w:rFonts w:cstheme="minorHAnsi"/>
                <w:sz w:val="20"/>
                <w:szCs w:val="20"/>
              </w:rPr>
            </w:pPr>
            <w:r w:rsidRPr="0000500B">
              <w:rPr>
                <w:rFonts w:cstheme="minorHAnsi"/>
                <w:sz w:val="20"/>
                <w:szCs w:val="20"/>
              </w:rPr>
              <w:t>409</w:t>
            </w:r>
          </w:p>
        </w:tc>
      </w:tr>
      <w:tr w:rsidR="0000500B" w:rsidRPr="00D610D2" w14:paraId="0574581C" w14:textId="7641DEE6" w:rsidTr="000920BE">
        <w:trPr>
          <w:trHeight w:val="118"/>
        </w:trPr>
        <w:tc>
          <w:tcPr>
            <w:tcW w:w="1403" w:type="dxa"/>
            <w:tcBorders>
              <w:top w:val="nil"/>
            </w:tcBorders>
            <w:noWrap/>
          </w:tcPr>
          <w:p w14:paraId="5325ADB0" w14:textId="77777777" w:rsidR="0000500B" w:rsidRPr="0000500B" w:rsidRDefault="0000500B" w:rsidP="0000500B">
            <w:pPr>
              <w:spacing w:before="60" w:after="60"/>
              <w:jc w:val="center"/>
              <w:rPr>
                <w:rFonts w:cstheme="minorHAnsi"/>
                <w:b/>
                <w:bCs/>
                <w:sz w:val="20"/>
                <w:szCs w:val="20"/>
              </w:rPr>
            </w:pPr>
          </w:p>
        </w:tc>
        <w:tc>
          <w:tcPr>
            <w:tcW w:w="1276" w:type="dxa"/>
            <w:vAlign w:val="center"/>
          </w:tcPr>
          <w:p w14:paraId="67850F41" w14:textId="68F26C94" w:rsidR="0000500B" w:rsidRPr="0000500B" w:rsidRDefault="0000500B" w:rsidP="00C2053D">
            <w:pPr>
              <w:spacing w:before="60" w:after="60"/>
              <w:rPr>
                <w:rFonts w:cstheme="minorHAnsi"/>
                <w:sz w:val="20"/>
                <w:szCs w:val="20"/>
              </w:rPr>
            </w:pPr>
            <w:r w:rsidRPr="0000500B">
              <w:rPr>
                <w:rFonts w:cstheme="minorHAnsi"/>
                <w:sz w:val="20"/>
                <w:szCs w:val="20"/>
              </w:rPr>
              <w:t>%Difference</w:t>
            </w:r>
          </w:p>
        </w:tc>
        <w:tc>
          <w:tcPr>
            <w:tcW w:w="1585" w:type="dxa"/>
            <w:noWrap/>
            <w:vAlign w:val="center"/>
          </w:tcPr>
          <w:p w14:paraId="76A7140A" w14:textId="4122A7DF" w:rsidR="0000500B" w:rsidRPr="0000500B" w:rsidRDefault="0000500B" w:rsidP="00C2053D">
            <w:pPr>
              <w:spacing w:before="60" w:after="60"/>
              <w:jc w:val="center"/>
              <w:rPr>
                <w:rFonts w:cstheme="minorHAnsi"/>
                <w:sz w:val="20"/>
                <w:szCs w:val="20"/>
              </w:rPr>
            </w:pPr>
            <w:r w:rsidRPr="0000500B">
              <w:rPr>
                <w:sz w:val="20"/>
                <w:szCs w:val="20"/>
              </w:rPr>
              <w:t>28%</w:t>
            </w:r>
          </w:p>
        </w:tc>
        <w:tc>
          <w:tcPr>
            <w:tcW w:w="1585" w:type="dxa"/>
            <w:noWrap/>
            <w:vAlign w:val="center"/>
          </w:tcPr>
          <w:p w14:paraId="02B8C543" w14:textId="698EED00" w:rsidR="0000500B" w:rsidRPr="0000500B" w:rsidRDefault="0000500B" w:rsidP="00C2053D">
            <w:pPr>
              <w:spacing w:before="60" w:after="60"/>
              <w:jc w:val="center"/>
              <w:rPr>
                <w:rFonts w:cstheme="minorHAnsi"/>
                <w:sz w:val="20"/>
                <w:szCs w:val="20"/>
              </w:rPr>
            </w:pPr>
            <w:r w:rsidRPr="0000500B">
              <w:rPr>
                <w:sz w:val="20"/>
                <w:szCs w:val="20"/>
              </w:rPr>
              <w:t>3%</w:t>
            </w:r>
          </w:p>
        </w:tc>
        <w:tc>
          <w:tcPr>
            <w:tcW w:w="1585" w:type="dxa"/>
            <w:vAlign w:val="center"/>
          </w:tcPr>
          <w:p w14:paraId="69989560" w14:textId="2B2714C8" w:rsidR="0000500B" w:rsidRPr="0000500B" w:rsidRDefault="0000500B" w:rsidP="00C2053D">
            <w:pPr>
              <w:spacing w:before="60" w:after="60"/>
              <w:jc w:val="center"/>
              <w:rPr>
                <w:rFonts w:cstheme="minorHAnsi"/>
                <w:sz w:val="20"/>
                <w:szCs w:val="20"/>
              </w:rPr>
            </w:pPr>
            <w:r w:rsidRPr="0000500B">
              <w:rPr>
                <w:sz w:val="20"/>
                <w:szCs w:val="20"/>
              </w:rPr>
              <w:t>-38%</w:t>
            </w:r>
          </w:p>
        </w:tc>
        <w:tc>
          <w:tcPr>
            <w:tcW w:w="1585" w:type="dxa"/>
            <w:vAlign w:val="center"/>
          </w:tcPr>
          <w:p w14:paraId="3475E8F3" w14:textId="15551932" w:rsidR="0000500B" w:rsidRPr="0000500B" w:rsidRDefault="0000500B" w:rsidP="00C2053D">
            <w:pPr>
              <w:spacing w:before="60" w:after="60"/>
              <w:jc w:val="center"/>
              <w:rPr>
                <w:rFonts w:cstheme="minorHAnsi"/>
                <w:sz w:val="20"/>
                <w:szCs w:val="20"/>
              </w:rPr>
            </w:pPr>
            <w:r w:rsidRPr="0000500B">
              <w:rPr>
                <w:sz w:val="20"/>
                <w:szCs w:val="20"/>
              </w:rPr>
              <w:t>-66%</w:t>
            </w:r>
          </w:p>
        </w:tc>
      </w:tr>
    </w:tbl>
    <w:p w14:paraId="37D52B5B" w14:textId="7AEFD06E" w:rsidR="00174B96" w:rsidRPr="0019235D" w:rsidRDefault="00174B96" w:rsidP="00D52D31">
      <w:pPr>
        <w:autoSpaceDE w:val="0"/>
        <w:autoSpaceDN w:val="0"/>
        <w:adjustRightInd w:val="0"/>
        <w:spacing w:after="0"/>
        <w:contextualSpacing/>
        <w:rPr>
          <w:rFonts w:cs="Calibri"/>
          <w:color w:val="000000"/>
          <w:sz w:val="20"/>
          <w:szCs w:val="20"/>
        </w:rPr>
      </w:pPr>
      <w:r w:rsidRPr="0019235D">
        <w:rPr>
          <w:rFonts w:cs="Calibri"/>
          <w:color w:val="000000"/>
          <w:sz w:val="20"/>
          <w:szCs w:val="20"/>
        </w:rPr>
        <w:t xml:space="preserve">Source: Alemtuzumab Final </w:t>
      </w:r>
      <w:r w:rsidRPr="0019235D">
        <w:rPr>
          <w:rFonts w:cs="Calibri"/>
          <w:color w:val="000000" w:themeColor="text1"/>
          <w:sz w:val="20"/>
          <w:szCs w:val="20"/>
        </w:rPr>
        <w:t xml:space="preserve">Estimates </w:t>
      </w:r>
      <w:r w:rsidR="00054698" w:rsidRPr="0019235D">
        <w:rPr>
          <w:rFonts w:cs="Calibri"/>
          <w:color w:val="000000" w:themeColor="text1"/>
          <w:sz w:val="20"/>
          <w:szCs w:val="20"/>
        </w:rPr>
        <w:t>2015</w:t>
      </w:r>
      <w:r w:rsidRPr="0019235D">
        <w:rPr>
          <w:rFonts w:cs="Calibri"/>
          <w:color w:val="000000" w:themeColor="text1"/>
          <w:sz w:val="20"/>
          <w:szCs w:val="20"/>
        </w:rPr>
        <w:t xml:space="preserve"> (predicted), </w:t>
      </w:r>
      <w:r w:rsidRPr="0019235D">
        <w:rPr>
          <w:rFonts w:cs="Calibri"/>
          <w:color w:val="000000"/>
          <w:sz w:val="20"/>
          <w:szCs w:val="20"/>
        </w:rPr>
        <w:t>DHS prescription database (actual), extracted November 2019.</w:t>
      </w:r>
    </w:p>
    <w:p w14:paraId="2CCD29D1" w14:textId="49B75B87" w:rsidR="00174B96" w:rsidRDefault="00174B96" w:rsidP="00597647">
      <w:pPr>
        <w:autoSpaceDE w:val="0"/>
        <w:autoSpaceDN w:val="0"/>
        <w:adjustRightInd w:val="0"/>
        <w:spacing w:after="0"/>
        <w:contextualSpacing/>
        <w:jc w:val="both"/>
        <w:rPr>
          <w:rFonts w:cs="Calibri"/>
          <w:color w:val="000000"/>
          <w:sz w:val="20"/>
          <w:szCs w:val="20"/>
        </w:rPr>
      </w:pPr>
    </w:p>
    <w:p w14:paraId="1A3F3950" w14:textId="4815110B" w:rsidR="0019235D" w:rsidRDefault="009E70E0" w:rsidP="00C2053D">
      <w:r>
        <w:t xml:space="preserve">The </w:t>
      </w:r>
      <w:r w:rsidR="0019235D" w:rsidRPr="00597647">
        <w:t xml:space="preserve">number </w:t>
      </w:r>
      <w:r w:rsidR="006B7360">
        <w:t>of</w:t>
      </w:r>
      <w:r w:rsidR="0060781A">
        <w:t xml:space="preserve"> patients, prescriptions and the </w:t>
      </w:r>
      <w:r w:rsidR="00B4009D">
        <w:t xml:space="preserve">corresponding </w:t>
      </w:r>
      <w:r w:rsidR="0019235D" w:rsidRPr="00597647">
        <w:t>expenditure</w:t>
      </w:r>
      <w:r w:rsidR="0060781A">
        <w:t xml:space="preserve"> to the government was higher than predicted in year 1 and</w:t>
      </w:r>
      <w:r w:rsidR="00B4009D">
        <w:t xml:space="preserve"> close to the predicted estimates in Year 2.</w:t>
      </w:r>
      <w:r w:rsidR="0060781A">
        <w:t xml:space="preserve"> In </w:t>
      </w:r>
      <w:r w:rsidR="0096654C">
        <w:t>Y</w:t>
      </w:r>
      <w:r w:rsidR="0060781A">
        <w:t>ear 3 and 4, all three values were considerably lower than the predicted.</w:t>
      </w:r>
    </w:p>
    <w:p w14:paraId="7C8CBD9C" w14:textId="799F728F" w:rsidR="00A61ACC" w:rsidRDefault="00A61ACC" w:rsidP="00C2053D">
      <w:r w:rsidRPr="00A61ACC">
        <w:lastRenderedPageBreak/>
        <w:t>In the Jun</w:t>
      </w:r>
      <w:r w:rsidR="00A932D4">
        <w:t xml:space="preserve">e 2014 submission, based on </w:t>
      </w:r>
      <w:r w:rsidRPr="00A61ACC">
        <w:t>alemtuzumab clinical studies, it was assumed that approximately 96% of patients who receive</w:t>
      </w:r>
      <w:r>
        <w:t>d</w:t>
      </w:r>
      <w:r w:rsidRPr="00A61ACC">
        <w:t xml:space="preserve"> the initial cours</w:t>
      </w:r>
      <w:r>
        <w:t>e of treatment would receive a</w:t>
      </w:r>
      <w:r w:rsidRPr="00A61ACC">
        <w:t xml:space="preserve"> second course.</w:t>
      </w:r>
      <w:r>
        <w:t xml:space="preserve"> The current analysis show</w:t>
      </w:r>
      <w:r w:rsidR="00FF01FF">
        <w:t>s</w:t>
      </w:r>
      <w:r>
        <w:t xml:space="preserve"> that 90% of patients</w:t>
      </w:r>
      <w:r w:rsidRPr="00A61ACC">
        <w:t xml:space="preserve"> received two tre</w:t>
      </w:r>
      <w:r>
        <w:t>atment courses of PBS-listed</w:t>
      </w:r>
      <w:r w:rsidRPr="00A61ACC">
        <w:t xml:space="preserve"> alemtuzumab</w:t>
      </w:r>
      <w:r>
        <w:t>.</w:t>
      </w:r>
    </w:p>
    <w:p w14:paraId="3555DFBA" w14:textId="699D92A5" w:rsidR="00591512" w:rsidRDefault="00AB3733" w:rsidP="00F73113">
      <w:pPr>
        <w:pStyle w:val="Heading1"/>
      </w:pPr>
      <w:r>
        <w:t>D</w:t>
      </w:r>
      <w:r w:rsidR="007346C7" w:rsidRPr="005E22C2">
        <w:t>iscussion</w:t>
      </w:r>
    </w:p>
    <w:p w14:paraId="5C249B11" w14:textId="4302ADD2" w:rsidR="00B4009D" w:rsidRDefault="00B4009D" w:rsidP="00C2053D">
      <w:r w:rsidRPr="00B4009D">
        <w:t xml:space="preserve">The </w:t>
      </w:r>
      <w:r>
        <w:t>PBS-listing of</w:t>
      </w:r>
      <w:r w:rsidRPr="00B4009D">
        <w:t xml:space="preserve"> ale</w:t>
      </w:r>
      <w:r>
        <w:t>mtuzumab in April 2015</w:t>
      </w:r>
      <w:r w:rsidRPr="00B4009D">
        <w:t xml:space="preserve"> ha</w:t>
      </w:r>
      <w:r w:rsidR="00A271E3">
        <w:t>d</w:t>
      </w:r>
      <w:r w:rsidRPr="00B4009D">
        <w:t xml:space="preserve"> minimal </w:t>
      </w:r>
      <w:r w:rsidR="009378EF">
        <w:t>effect</w:t>
      </w:r>
      <w:r w:rsidRPr="00B4009D">
        <w:t xml:space="preserve"> on the overall</w:t>
      </w:r>
      <w:r>
        <w:t xml:space="preserve"> RRMS</w:t>
      </w:r>
      <w:r w:rsidRPr="00B4009D">
        <w:t xml:space="preserve"> market.</w:t>
      </w:r>
      <w:r w:rsidR="00564E99">
        <w:t xml:space="preserve"> </w:t>
      </w:r>
      <w:r w:rsidR="001B6A6F" w:rsidRPr="001B6A6F">
        <w:t>Alemtuzumab was used considerabl</w:t>
      </w:r>
      <w:r w:rsidR="00A932D4">
        <w:t>y</w:t>
      </w:r>
      <w:r w:rsidR="001B6A6F" w:rsidRPr="001B6A6F">
        <w:t xml:space="preserve"> less </w:t>
      </w:r>
      <w:r w:rsidR="00C57708">
        <w:t>than</w:t>
      </w:r>
      <w:r w:rsidR="001762F7">
        <w:t xml:space="preserve"> the</w:t>
      </w:r>
      <w:r w:rsidR="007138C3">
        <w:t xml:space="preserve"> other RRMS</w:t>
      </w:r>
      <w:r w:rsidR="001762F7">
        <w:t xml:space="preserve"> </w:t>
      </w:r>
      <w:r w:rsidR="001B6A6F" w:rsidRPr="001B6A6F">
        <w:t>biologics</w:t>
      </w:r>
      <w:r w:rsidR="008E7F80">
        <w:t xml:space="preserve">, natalizumab and ocrelizumab. </w:t>
      </w:r>
      <w:r w:rsidR="009E70E0" w:rsidRPr="009E70E0">
        <w:t xml:space="preserve">The </w:t>
      </w:r>
      <w:r w:rsidR="00420556">
        <w:t xml:space="preserve">actual </w:t>
      </w:r>
      <w:r w:rsidR="009E70E0" w:rsidRPr="009E70E0">
        <w:t>number of patients, prescriptions and the correspondi</w:t>
      </w:r>
      <w:r w:rsidR="009E70E0">
        <w:t>ng expenditure</w:t>
      </w:r>
      <w:r>
        <w:t xml:space="preserve"> for alemtuzumab</w:t>
      </w:r>
      <w:r w:rsidR="009E70E0">
        <w:t xml:space="preserve"> was higher than predicted in </w:t>
      </w:r>
      <w:r w:rsidR="0096654C">
        <w:t>Y</w:t>
      </w:r>
      <w:r w:rsidR="009E70E0">
        <w:t>ear 1 of listing but decline</w:t>
      </w:r>
      <w:r w:rsidR="00E9091E">
        <w:t xml:space="preserve">d in the three </w:t>
      </w:r>
      <w:r w:rsidR="007138C3">
        <w:t xml:space="preserve">subsequent </w:t>
      </w:r>
      <w:r w:rsidR="00E9091E">
        <w:t xml:space="preserve">years. </w:t>
      </w:r>
      <w:r w:rsidR="00D0024D">
        <w:t xml:space="preserve">The listing of ocrelizumab in February 2018 could have contributed to the lower than predicted number of patients treated with alemtuzumab in the </w:t>
      </w:r>
      <w:r w:rsidR="007138C3">
        <w:t>most recent</w:t>
      </w:r>
      <w:r w:rsidR="00D0024D">
        <w:t xml:space="preserve"> two listing years of alemtuzumab. </w:t>
      </w:r>
      <w:r w:rsidR="00420556">
        <w:t>Recent s</w:t>
      </w:r>
      <w:r w:rsidR="00E9091E">
        <w:t>afety concerns due</w:t>
      </w:r>
      <w:r w:rsidR="00420556">
        <w:t xml:space="preserve"> to</w:t>
      </w:r>
      <w:r w:rsidR="00E9091E">
        <w:t xml:space="preserve"> rare</w:t>
      </w:r>
      <w:r w:rsidR="00420556">
        <w:t xml:space="preserve"> but potentially</w:t>
      </w:r>
      <w:r w:rsidR="00E9091E">
        <w:t xml:space="preserve"> </w:t>
      </w:r>
      <w:r w:rsidR="00420556">
        <w:t xml:space="preserve">serious side effects reported by international regulatory bodies </w:t>
      </w:r>
      <w:r w:rsidR="008E7F80">
        <w:t xml:space="preserve">may </w:t>
      </w:r>
      <w:r w:rsidR="00420556">
        <w:t>have</w:t>
      </w:r>
      <w:r w:rsidR="00D0024D">
        <w:t xml:space="preserve"> also</w:t>
      </w:r>
      <w:r w:rsidR="00420556">
        <w:t xml:space="preserve"> </w:t>
      </w:r>
      <w:r w:rsidR="00F86DD6">
        <w:t>influenced</w:t>
      </w:r>
      <w:r w:rsidR="00E9091E">
        <w:t xml:space="preserve"> </w:t>
      </w:r>
      <w:r w:rsidR="00420556">
        <w:t xml:space="preserve">the </w:t>
      </w:r>
      <w:r w:rsidR="00A271E3">
        <w:t xml:space="preserve">declining </w:t>
      </w:r>
      <w:r w:rsidR="00420556">
        <w:t>use of alemtuzumab.</w:t>
      </w:r>
    </w:p>
    <w:p w14:paraId="78B2C93A" w14:textId="2F1EF1EA" w:rsidR="00F86DD6" w:rsidRDefault="00F86DD6" w:rsidP="00C2053D">
      <w:r>
        <w:t>In October 2015</w:t>
      </w:r>
      <w:r w:rsidR="008E7F80">
        <w:t>,</w:t>
      </w:r>
      <w:r>
        <w:t xml:space="preserve"> when considering the </w:t>
      </w:r>
      <w:r w:rsidR="00EA6EE3">
        <w:t xml:space="preserve">MS report, </w:t>
      </w:r>
      <w:r>
        <w:t xml:space="preserve">DUSC </w:t>
      </w:r>
      <w:r w:rsidR="00EA6EE3">
        <w:t xml:space="preserve">suggested that when more mature </w:t>
      </w:r>
      <w:r>
        <w:t xml:space="preserve">data </w:t>
      </w:r>
      <w:r w:rsidR="008E7F80">
        <w:t xml:space="preserve">were </w:t>
      </w:r>
      <w:r>
        <w:t>available for alemtuzumab that its potential use</w:t>
      </w:r>
      <w:r w:rsidR="00EA6EE3">
        <w:t xml:space="preserve"> in combination with other RRMS medicines should be</w:t>
      </w:r>
      <w:r>
        <w:t xml:space="preserve"> assessed.</w:t>
      </w:r>
      <w:r w:rsidR="001762F7">
        <w:t xml:space="preserve"> In November 2018, PBAC considered a resubmission seeking an increase in the price per vial based on a claim of extended clinical benefit from two years to six years for alemtuzumab; and reimbursement of up to two additional courses of treatment for patients who meet the proposed re-treatment criteria. </w:t>
      </w:r>
      <w:r w:rsidR="001762F7" w:rsidRPr="001B6A6F">
        <w:t>The PBAC did not recommend the request</w:t>
      </w:r>
      <w:r w:rsidR="001762F7">
        <w:t xml:space="preserve"> and</w:t>
      </w:r>
      <w:r w:rsidR="001762F7" w:rsidRPr="001B6A6F">
        <w:t xml:space="preserve"> concluded that the clinical evidence presented in the resubmission was insufficient to support the claimed extended clinical benefit of alemtuzumab to six years.</w:t>
      </w:r>
      <w:r w:rsidR="001762F7">
        <w:t xml:space="preserve"> </w:t>
      </w:r>
      <w:r w:rsidR="001B6A6F">
        <w:t>The current analysis show</w:t>
      </w:r>
      <w:r w:rsidR="007C64C8">
        <w:t>s</w:t>
      </w:r>
      <w:r w:rsidR="001B6A6F">
        <w:t xml:space="preserve"> that </w:t>
      </w:r>
      <w:r w:rsidR="001762F7" w:rsidRPr="001762F7">
        <w:t xml:space="preserve">a small proportion of patients were supplied another PBS-listed medicine for RRMS during the </w:t>
      </w:r>
      <w:r w:rsidR="0096654C">
        <w:t>one</w:t>
      </w:r>
      <w:r w:rsidR="001762F7" w:rsidRPr="001762F7">
        <w:t xml:space="preserve"> and </w:t>
      </w:r>
      <w:r w:rsidR="0096654C">
        <w:t>two</w:t>
      </w:r>
      <w:r w:rsidR="001762F7" w:rsidRPr="001762F7">
        <w:t xml:space="preserve"> year follow up period after the initial prescription of alemtuzumab</w:t>
      </w:r>
      <w:r w:rsidR="001762F7">
        <w:t>.</w:t>
      </w:r>
      <w:r w:rsidR="001762F7" w:rsidRPr="001762F7">
        <w:t xml:space="preserve"> </w:t>
      </w:r>
      <w:r w:rsidR="00694F35" w:rsidRPr="00694F35">
        <w:t xml:space="preserve">Approximately 20% of patients were supplied another RRMS medicine within </w:t>
      </w:r>
      <w:r w:rsidR="0096654C">
        <w:t>four</w:t>
      </w:r>
      <w:r w:rsidR="00694F35" w:rsidRPr="00694F35">
        <w:t xml:space="preserve"> years of initial treatment course of alemtuzumab.</w:t>
      </w:r>
    </w:p>
    <w:p w14:paraId="71D4B6BD" w14:textId="2E566E91" w:rsidR="00B33B72" w:rsidRDefault="00B33B72" w:rsidP="00B33B72">
      <w:pPr>
        <w:pStyle w:val="Heading1"/>
      </w:pPr>
      <w:r>
        <w:t>DUSC Consideration</w:t>
      </w:r>
    </w:p>
    <w:p w14:paraId="0BB10D3E" w14:textId="77777777" w:rsidR="00B33B72" w:rsidRPr="00B33B72" w:rsidRDefault="00B33B72" w:rsidP="00B33B72">
      <w:r w:rsidRPr="00B33B72">
        <w:t xml:space="preserve">DUSC recalled the submission for alemtuzumab from July 2014 was not considered by DUSC. DUSC noted the submission used an epidemiological approach to estimate the number of RRMS patients who should receive treatment with alemtuzumab. DUSC considered this was a reasonable approach to estimate utilisation, given that the RRMS treatment landscape was evolving at the time. However, DUSC highlighted that a number of the sources used in the epidemiological approach, while they may have been the best available evidence, introduced uncertainties, such as the use of survey data to identify treatment practice. </w:t>
      </w:r>
    </w:p>
    <w:p w14:paraId="4E57414A" w14:textId="77777777" w:rsidR="00B33B72" w:rsidRPr="00B33B72" w:rsidRDefault="00B33B72" w:rsidP="00B33B72">
      <w:r w:rsidRPr="00B33B72">
        <w:t xml:space="preserve">The PBS-listing of alemtuzumab in April 2015 had minimal effect on the overall RRMS market. Alemtuzumab was used considerably less than the other RRMS biologics, natalizumab and ocrelizumab. The actual number of patients, prescriptions and the </w:t>
      </w:r>
      <w:r w:rsidRPr="00B33B72">
        <w:lastRenderedPageBreak/>
        <w:t xml:space="preserve">corresponding expenditure for alemtuzumab was higher than predicted in Year 1 of listing but declined in the three subsequent years. The listing of ocrelizumab in February 2018 could have contributed to the lower than predicted number of patients treated with alemtuzumab in the most recent two listing years of alemtuzumab. Recent safety concerns due to rare but potentially serious side effects reported by international regulatory bodies may have also influenced the declining use of alemtuzumab. DUSC considered the safety concerns with alemtuzumab and PBS listing of new medicines for RRMS may have contributed to the declining use of alemtuzumab. In particular, DUSC noted the large number of patients treated with ocrelizumab from its time of listing in 2018. DUSC noted the number of prevalent patients supplied alemtuzumab is most likely underestimated in the analysis, as the Pre-Sub Committee Response (PSCR, p1) indicated Sanofi currently provides all additional courses of alemtuzumab free of charge to patients who require more than two courses of treatment via a compassionate access program.  </w:t>
      </w:r>
    </w:p>
    <w:p w14:paraId="700D6071" w14:textId="77777777" w:rsidR="00B33B72" w:rsidRPr="00B33B72" w:rsidRDefault="00B33B72" w:rsidP="00BB03D9">
      <w:pPr>
        <w:ind w:right="-257"/>
      </w:pPr>
      <w:r w:rsidRPr="00B33B72">
        <w:t xml:space="preserve">In October 2015, when considering the MS report, DUSC suggested that when more mature data were available for alemtuzumab that its potential use in combination with other RRMS medicines should be assessed. In November 2018, PBAC considered a resubmission seeking an increase in the price per vial based on a claim of extended clinical benefit from two years to six years for alemtuzumab; and reimbursement of up to two additional courses of treatment for patients who meet the proposed re-treatment criteria. The PBAC did not recommend the request and concluded that the clinical evidence presented in the resubmission was insufficient to support the claimed extended clinical benefit of alemtuzumab to six years. The current analysis showed that a small proportion of patients were supplied another PBS-listed medicine for RRMS during the one and two year follow up period after the initial prescription of alemtuzumab. Approximately 20% of patients were supplied another RRMS medicine within four years of initial treatment course of alemtuzumab. In the PSCR (p2), the Sponsor provided an estimated weighted durability of the treatment effect and considered it likely that as more data become available in Australia, the calculated durability of treatment effect from PBS data would increase to match the CARE MS extension data. DUSC considered the initiation of another medicine for RRMS within the accepted period of clinical benefit for alemtuzumab was a quality use of medicines and safety issue. DUSC suggested that future analyses include an analysis of time taken for the initiation of another RRMS medicine within the accepted period of clinical benefit. </w:t>
      </w:r>
    </w:p>
    <w:p w14:paraId="5E415FD8" w14:textId="77777777" w:rsidR="00B33B72" w:rsidRPr="00B33B72" w:rsidRDefault="00B33B72" w:rsidP="00B33B72">
      <w:r w:rsidRPr="00B33B72">
        <w:t xml:space="preserve">The product information for alemtuzumab outlines the need for safety follow-up of patients from initiation of the first treatment course of alemtuzumab to until 48 months after the last infusion. DUSC discussed the importance of this follow up and noted the absence of follow up data to ensure compliance with the above recommendation. </w:t>
      </w:r>
    </w:p>
    <w:p w14:paraId="5A1B0B87" w14:textId="77777777" w:rsidR="00B33B72" w:rsidRPr="00B33B72" w:rsidRDefault="00B33B72" w:rsidP="00B33B72">
      <w:r w:rsidRPr="00B33B72">
        <w:t>DUSC noted a small proportion of patients were supplied an additional third course of PBS subsidised alemtuzumab. In the PSCR (p1), the Sponsor explained that the clinical criteria for continuing treatment for PBS subsidised alemtuzumab does not explicitly state that a patient must not have more than two treatment courses in total. The Sponsor proposed that the PBS restriction for continuing alemtuzumab treatment be amended to make it clear to prescribers that a maximum of two courses of treatment per patient is subsidised via the PBS. Sanofi are prepared to work with the Restrictions Working Group on this restriction change.</w:t>
      </w:r>
    </w:p>
    <w:p w14:paraId="4DCFD0E1" w14:textId="77777777" w:rsidR="00B33B72" w:rsidRPr="00B33B72" w:rsidRDefault="00B33B72" w:rsidP="00B33B72">
      <w:r w:rsidRPr="00B33B72">
        <w:lastRenderedPageBreak/>
        <w:t xml:space="preserve">DUSC considered patients with multiple sclerosis (MS) are well informed and have good awareness of the disease and management options for MS. DUSC noted that better understanding of the patient experience would assist in understanding the management of MS and suggested seeking consumer input for future DUSC reviews on MS. </w:t>
      </w:r>
    </w:p>
    <w:p w14:paraId="1C41FA6D" w14:textId="77777777" w:rsidR="00B33B72" w:rsidRPr="00B33B72" w:rsidRDefault="00B33B72" w:rsidP="00B33B72">
      <w:r w:rsidRPr="00B33B72">
        <w:t xml:space="preserve">DUSC noted the PBS restriction for alemtuzumab requires that the patient must be treated by a neurologist and the restriction also includes a note specifying that neurologists prescribing PBS-subsidised alemtuzumab must be registered with the Lemtrada monitoring program. DUSC highlighted that 42% of patients initiating alemtuzumab did not have their first prescription written by a neurologist. DUSC queried whether all prescribers prescribing alemtuzumab were registered with the Lemtrada program. If not, it is unclear whether they would  be aware of the need for 48 month follow up and whether they would have received notification of the safety concerns. DUSC discussed whether the wording of the restriction should be changed to stipulate that alemtuzumab must be prescribed by a neurologist, but questioned if this would reduce access to alemtuzumab for patients living in rural and remotes areas with limited access to a neurologist. In future MS reports, DUSC considered there would be value in including a utilisation analysis by geographical location. </w:t>
      </w:r>
    </w:p>
    <w:p w14:paraId="1BA9B24A" w14:textId="75742184" w:rsidR="006855E4" w:rsidRDefault="006855E4" w:rsidP="006855E4">
      <w:pPr>
        <w:pStyle w:val="Heading1"/>
      </w:pPr>
      <w:r>
        <w:t>DUSC Actions</w:t>
      </w:r>
    </w:p>
    <w:p w14:paraId="252D0953" w14:textId="77777777" w:rsidR="006855E4" w:rsidRPr="006855E4" w:rsidRDefault="006855E4" w:rsidP="006855E4">
      <w:r w:rsidRPr="006855E4">
        <w:t xml:space="preserve">DUSC requested that the report be provided to the PBAC for consideration. </w:t>
      </w:r>
    </w:p>
    <w:p w14:paraId="0BD04A7D" w14:textId="282040A4" w:rsidR="006855E4" w:rsidRDefault="00D56188" w:rsidP="006855E4">
      <w:pPr>
        <w:pStyle w:val="Heading1"/>
      </w:pPr>
      <w:r>
        <w:t>Context for A</w:t>
      </w:r>
      <w:r w:rsidR="006855E4" w:rsidRPr="0092516A">
        <w:t>nalysis</w:t>
      </w:r>
    </w:p>
    <w:p w14:paraId="50C6457F" w14:textId="77777777" w:rsidR="006855E4" w:rsidRDefault="006855E4" w:rsidP="006855E4">
      <w:r>
        <w:t>The DUSC is a Sub Committee of the Pharmaceutical Benefits Advisory Committee (PBAC). The DUSC assesses estimates on projected usage and financial cost of medicines.</w:t>
      </w:r>
    </w:p>
    <w:p w14:paraId="6164F9CB" w14:textId="77777777" w:rsidR="006855E4" w:rsidRDefault="006855E4" w:rsidP="006855E4">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79CFC6B8" w14:textId="77777777" w:rsidR="006855E4" w:rsidRDefault="006855E4" w:rsidP="00D52D31">
      <w:pPr>
        <w:ind w:right="-115"/>
      </w:pPr>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33078937" w14:textId="77777777" w:rsidR="006855E4" w:rsidRDefault="006855E4" w:rsidP="00D52D31">
      <w:pPr>
        <w:ind w:right="-257"/>
      </w:pPr>
      <w:r>
        <w:t>The utilisation analysis report was provided to the pharmaceutical sponsors of each drug and comments on the report were provided to DUSC prior to its consideration of the analysis.</w:t>
      </w:r>
    </w:p>
    <w:p w14:paraId="42124EBA" w14:textId="79E582FC" w:rsidR="006855E4" w:rsidRDefault="006855E4" w:rsidP="006855E4">
      <w:pPr>
        <w:pStyle w:val="Heading1"/>
      </w:pPr>
      <w:r>
        <w:t>Sponsor</w:t>
      </w:r>
      <w:r w:rsidRPr="0092516A">
        <w:t>s</w:t>
      </w:r>
      <w:r>
        <w:t>’</w:t>
      </w:r>
      <w:r w:rsidRPr="0092516A">
        <w:t xml:space="preserve"> </w:t>
      </w:r>
      <w:r w:rsidR="00E1665D">
        <w:t>C</w:t>
      </w:r>
      <w:r w:rsidRPr="0092516A">
        <w:t>omments</w:t>
      </w:r>
    </w:p>
    <w:p w14:paraId="06AC84D1" w14:textId="2FED95B2" w:rsidR="002C01D3" w:rsidRDefault="002C01D3" w:rsidP="005C08F9">
      <w:pPr>
        <w:rPr>
          <w:color w:val="000000"/>
        </w:rPr>
      </w:pPr>
      <w:r>
        <w:rPr>
          <w:color w:val="000000"/>
        </w:rPr>
        <w:t>Sanofi has a well-established and robust risk management plan for Lemtrada in Australia. Sanofi can confirm that all health care practitioners (HCPs) who have indicated their intention to prescribe Lemtrada are required to complete a prescriber training program prior to administration of the first infusion and ar</w:t>
      </w:r>
      <w:bookmarkStart w:id="3" w:name="_GoBack"/>
      <w:bookmarkEnd w:id="3"/>
      <w:r>
        <w:rPr>
          <w:color w:val="000000"/>
        </w:rPr>
        <w:t xml:space="preserve">e also provided with educational </w:t>
      </w:r>
      <w:r>
        <w:rPr>
          <w:color w:val="000000"/>
        </w:rPr>
        <w:lastRenderedPageBreak/>
        <w:t>materials. This ensures that HCPs are well informed of the risks associated with Lemtrada and the importance of ongoing monthly monitoring for patients until 48 months after their last infusion.</w:t>
      </w:r>
    </w:p>
    <w:p w14:paraId="1B6CB425" w14:textId="77777777" w:rsidR="006855E4" w:rsidRDefault="006855E4" w:rsidP="006855E4">
      <w:pPr>
        <w:pStyle w:val="Heading1"/>
      </w:pPr>
      <w:r w:rsidRPr="00A4020E">
        <w:t>Disclaimer</w:t>
      </w:r>
    </w:p>
    <w:p w14:paraId="3447B49A" w14:textId="77777777" w:rsidR="006855E4" w:rsidRDefault="006855E4" w:rsidP="006855E4">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14:paraId="3DE84486" w14:textId="77777777" w:rsidR="006855E4" w:rsidRDefault="006855E4" w:rsidP="006855E4">
      <w:r>
        <w:t>The Department of Health (DoH)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14:paraId="12999496" w14:textId="77777777" w:rsidR="006855E4" w:rsidRDefault="006855E4" w:rsidP="006855E4">
      <w:r>
        <w:t xml:space="preserve">To the extent provided by law, DoH makes no warranties or representations as to accuracy or completeness of information contained in this report. </w:t>
      </w:r>
    </w:p>
    <w:p w14:paraId="28E5F20B" w14:textId="77777777" w:rsidR="006855E4" w:rsidRDefault="006855E4" w:rsidP="006855E4">
      <w:r>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0336AC5C" w14:textId="77777777" w:rsidR="006855E4" w:rsidRPr="006855E4" w:rsidRDefault="006855E4" w:rsidP="006855E4"/>
    <w:p w14:paraId="3D2F951E" w14:textId="77777777" w:rsidR="00D52D31" w:rsidRDefault="00D52D31">
      <w:pPr>
        <w:spacing w:line="276" w:lineRule="auto"/>
        <w:rPr>
          <w:b/>
          <w:sz w:val="28"/>
        </w:rPr>
      </w:pPr>
      <w:r>
        <w:rPr>
          <w:b/>
          <w:sz w:val="28"/>
        </w:rPr>
        <w:br w:type="page"/>
      </w:r>
    </w:p>
    <w:p w14:paraId="69665C8B" w14:textId="5637FE9C" w:rsidR="00996B1C" w:rsidRPr="00996B1C" w:rsidRDefault="009A537C" w:rsidP="00996B1C">
      <w:pPr>
        <w:rPr>
          <w:b/>
          <w:sz w:val="28"/>
        </w:rPr>
      </w:pPr>
      <w:r>
        <w:rPr>
          <w:b/>
          <w:sz w:val="28"/>
        </w:rPr>
        <w:lastRenderedPageBreak/>
        <w:t>Appendix</w:t>
      </w:r>
      <w:r w:rsidR="00A11394">
        <w:rPr>
          <w:b/>
          <w:sz w:val="28"/>
        </w:rPr>
        <w:t xml:space="preserve"> 1: </w:t>
      </w:r>
      <w:r w:rsidR="009D4AB7">
        <w:rPr>
          <w:b/>
          <w:sz w:val="28"/>
        </w:rPr>
        <w:t>Medicines listed on PBS for RRMS as at November 2019</w:t>
      </w:r>
    </w:p>
    <w:tbl>
      <w:tblPr>
        <w:tblStyle w:val="TableGrid"/>
        <w:tblW w:w="8926" w:type="dxa"/>
        <w:tblLook w:val="04A0" w:firstRow="1" w:lastRow="0" w:firstColumn="1" w:lastColumn="0" w:noHBand="0" w:noVBand="1"/>
        <w:tblCaption w:val="Appendix 1: Medicines listed on PBS for RRMS as at November 2019"/>
        <w:tblDescription w:val="Appendix 1: Medicines listed on PBS for RRMS as at November 2019"/>
      </w:tblPr>
      <w:tblGrid>
        <w:gridCol w:w="5382"/>
        <w:gridCol w:w="1772"/>
        <w:gridCol w:w="1772"/>
      </w:tblGrid>
      <w:tr w:rsidR="00961EE5" w:rsidRPr="00996B1C" w14:paraId="13E30611" w14:textId="77777777" w:rsidTr="00FF1AF6">
        <w:trPr>
          <w:tblHeader/>
        </w:trPr>
        <w:tc>
          <w:tcPr>
            <w:tcW w:w="5382" w:type="dxa"/>
            <w:shd w:val="clear" w:color="auto" w:fill="D9D9D9" w:themeFill="background1" w:themeFillShade="D9"/>
            <w:vAlign w:val="center"/>
          </w:tcPr>
          <w:p w14:paraId="16F922BB" w14:textId="6DA5F271" w:rsidR="00961EE5" w:rsidRPr="00996B1C" w:rsidRDefault="00961EE5" w:rsidP="005669E6">
            <w:pPr>
              <w:spacing w:before="60" w:after="60"/>
              <w:jc w:val="center"/>
              <w:rPr>
                <w:rFonts w:cstheme="minorHAnsi"/>
                <w:b/>
                <w:sz w:val="20"/>
                <w:szCs w:val="20"/>
              </w:rPr>
            </w:pPr>
            <w:r>
              <w:rPr>
                <w:b/>
                <w:sz w:val="20"/>
                <w:szCs w:val="20"/>
              </w:rPr>
              <w:t>Drug name, form and strength</w:t>
            </w:r>
          </w:p>
        </w:tc>
        <w:tc>
          <w:tcPr>
            <w:tcW w:w="1772" w:type="dxa"/>
            <w:shd w:val="clear" w:color="auto" w:fill="D9D9D9" w:themeFill="background1" w:themeFillShade="D9"/>
          </w:tcPr>
          <w:p w14:paraId="6EB6186D" w14:textId="5A524217" w:rsidR="00961EE5" w:rsidRPr="00996B1C" w:rsidRDefault="005E563D" w:rsidP="005669E6">
            <w:pPr>
              <w:spacing w:before="60" w:after="60"/>
              <w:jc w:val="center"/>
              <w:rPr>
                <w:rFonts w:cstheme="minorHAnsi"/>
                <w:b/>
                <w:sz w:val="20"/>
                <w:szCs w:val="20"/>
              </w:rPr>
            </w:pPr>
            <w:r>
              <w:rPr>
                <w:b/>
                <w:sz w:val="20"/>
                <w:szCs w:val="20"/>
              </w:rPr>
              <w:t>PBS Item code</w:t>
            </w:r>
          </w:p>
        </w:tc>
        <w:tc>
          <w:tcPr>
            <w:tcW w:w="1772" w:type="dxa"/>
            <w:shd w:val="clear" w:color="auto" w:fill="D9D9D9" w:themeFill="background1" w:themeFillShade="D9"/>
          </w:tcPr>
          <w:p w14:paraId="5AD40C26" w14:textId="3891E0C4" w:rsidR="00961EE5" w:rsidRPr="00996B1C" w:rsidRDefault="005E563D" w:rsidP="005669E6">
            <w:pPr>
              <w:spacing w:before="60" w:after="60"/>
              <w:jc w:val="center"/>
              <w:rPr>
                <w:rFonts w:cstheme="minorHAnsi"/>
                <w:b/>
                <w:sz w:val="20"/>
                <w:szCs w:val="20"/>
              </w:rPr>
            </w:pPr>
            <w:r>
              <w:rPr>
                <w:b/>
                <w:sz w:val="20"/>
                <w:szCs w:val="20"/>
              </w:rPr>
              <w:t>ATC Code</w:t>
            </w:r>
          </w:p>
        </w:tc>
      </w:tr>
      <w:tr w:rsidR="00B91315" w:rsidRPr="00A052EA" w14:paraId="6F9EE7B3" w14:textId="77777777" w:rsidTr="009D0597">
        <w:tc>
          <w:tcPr>
            <w:tcW w:w="5382" w:type="dxa"/>
          </w:tcPr>
          <w:p w14:paraId="1ED821C2" w14:textId="77777777" w:rsidR="00B91315" w:rsidRPr="00A052EA" w:rsidRDefault="00B91315" w:rsidP="00A052EA">
            <w:pPr>
              <w:spacing w:before="60" w:after="60"/>
              <w:rPr>
                <w:rFonts w:cstheme="minorHAnsi"/>
                <w:sz w:val="20"/>
                <w:szCs w:val="20"/>
              </w:rPr>
            </w:pPr>
            <w:r w:rsidRPr="00A052EA">
              <w:rPr>
                <w:rFonts w:cstheme="minorHAnsi"/>
                <w:sz w:val="20"/>
                <w:szCs w:val="20"/>
              </w:rPr>
              <w:t>alemtuzumab 12 mg/1.2 mL injection, 1.2 mL vial</w:t>
            </w:r>
          </w:p>
        </w:tc>
        <w:tc>
          <w:tcPr>
            <w:tcW w:w="1772" w:type="dxa"/>
          </w:tcPr>
          <w:p w14:paraId="6493BF5B" w14:textId="437C60E3" w:rsidR="00B91315" w:rsidRPr="00A052EA" w:rsidRDefault="00B91315" w:rsidP="005669E6">
            <w:pPr>
              <w:spacing w:before="60" w:after="60"/>
              <w:jc w:val="center"/>
              <w:rPr>
                <w:rFonts w:cstheme="minorHAnsi"/>
                <w:sz w:val="20"/>
                <w:szCs w:val="20"/>
              </w:rPr>
            </w:pPr>
            <w:r w:rsidRPr="00A052EA">
              <w:rPr>
                <w:rFonts w:cstheme="minorHAnsi"/>
                <w:sz w:val="20"/>
                <w:szCs w:val="20"/>
              </w:rPr>
              <w:t>10228H</w:t>
            </w:r>
          </w:p>
        </w:tc>
        <w:tc>
          <w:tcPr>
            <w:tcW w:w="1772" w:type="dxa"/>
          </w:tcPr>
          <w:p w14:paraId="1320E286" w14:textId="5CF70666" w:rsidR="00B91315" w:rsidRPr="00A052EA" w:rsidRDefault="00B91315" w:rsidP="005669E6">
            <w:pPr>
              <w:spacing w:before="60" w:after="60"/>
              <w:jc w:val="center"/>
              <w:rPr>
                <w:rFonts w:cstheme="minorHAnsi"/>
                <w:sz w:val="20"/>
                <w:szCs w:val="20"/>
              </w:rPr>
            </w:pPr>
            <w:r w:rsidRPr="00A052EA">
              <w:rPr>
                <w:rFonts w:cstheme="minorHAnsi"/>
                <w:sz w:val="20"/>
                <w:szCs w:val="20"/>
              </w:rPr>
              <w:t>L04AA34</w:t>
            </w:r>
          </w:p>
        </w:tc>
      </w:tr>
      <w:tr w:rsidR="00B91315" w:rsidRPr="00A052EA" w14:paraId="02F914A5" w14:textId="77777777" w:rsidTr="009D0597">
        <w:tc>
          <w:tcPr>
            <w:tcW w:w="5382" w:type="dxa"/>
          </w:tcPr>
          <w:p w14:paraId="3FA06872" w14:textId="0BBD59D0" w:rsidR="00B91315" w:rsidRPr="00A052EA" w:rsidRDefault="00B91315" w:rsidP="00A052EA">
            <w:pPr>
              <w:spacing w:before="60" w:after="60"/>
              <w:rPr>
                <w:rFonts w:cstheme="minorHAnsi"/>
                <w:sz w:val="20"/>
                <w:szCs w:val="20"/>
              </w:rPr>
            </w:pPr>
            <w:r w:rsidRPr="00A052EA">
              <w:rPr>
                <w:rFonts w:cstheme="minorHAnsi"/>
                <w:sz w:val="20"/>
                <w:szCs w:val="20"/>
              </w:rPr>
              <w:t>alemtuzumab 12 mg/1.2 mL injection, 1.2 mL vial</w:t>
            </w:r>
          </w:p>
        </w:tc>
        <w:tc>
          <w:tcPr>
            <w:tcW w:w="1772" w:type="dxa"/>
          </w:tcPr>
          <w:p w14:paraId="07D3B562" w14:textId="68C85AA9" w:rsidR="00B91315" w:rsidRPr="00A052EA" w:rsidRDefault="00B91315" w:rsidP="005669E6">
            <w:pPr>
              <w:spacing w:before="60" w:after="60"/>
              <w:jc w:val="center"/>
              <w:rPr>
                <w:rFonts w:cstheme="minorHAnsi"/>
                <w:sz w:val="20"/>
                <w:szCs w:val="20"/>
              </w:rPr>
            </w:pPr>
            <w:r w:rsidRPr="00A052EA">
              <w:rPr>
                <w:rFonts w:cstheme="minorHAnsi"/>
                <w:sz w:val="20"/>
                <w:szCs w:val="20"/>
              </w:rPr>
              <w:t>10232M</w:t>
            </w:r>
          </w:p>
        </w:tc>
        <w:tc>
          <w:tcPr>
            <w:tcW w:w="1772" w:type="dxa"/>
          </w:tcPr>
          <w:p w14:paraId="5FE22D84" w14:textId="7D539990" w:rsidR="00B91315" w:rsidRPr="00A052EA" w:rsidRDefault="00B91315" w:rsidP="005669E6">
            <w:pPr>
              <w:spacing w:before="60" w:after="60"/>
              <w:jc w:val="center"/>
              <w:rPr>
                <w:rFonts w:cstheme="minorHAnsi"/>
                <w:sz w:val="20"/>
                <w:szCs w:val="20"/>
              </w:rPr>
            </w:pPr>
            <w:r w:rsidRPr="00A052EA">
              <w:rPr>
                <w:rFonts w:cstheme="minorHAnsi"/>
                <w:sz w:val="20"/>
                <w:szCs w:val="20"/>
              </w:rPr>
              <w:t>L04AA34</w:t>
            </w:r>
          </w:p>
        </w:tc>
      </w:tr>
      <w:tr w:rsidR="00B91315" w:rsidRPr="00A052EA" w14:paraId="6DC24BD2" w14:textId="77777777" w:rsidTr="009D0597">
        <w:tc>
          <w:tcPr>
            <w:tcW w:w="5382" w:type="dxa"/>
          </w:tcPr>
          <w:p w14:paraId="7D458A16" w14:textId="0B371EE1" w:rsidR="00B91315" w:rsidRPr="00A052EA" w:rsidRDefault="00B91315" w:rsidP="00A052EA">
            <w:pPr>
              <w:spacing w:before="60" w:after="60"/>
              <w:rPr>
                <w:rFonts w:cstheme="minorHAnsi"/>
                <w:sz w:val="20"/>
                <w:szCs w:val="20"/>
              </w:rPr>
            </w:pPr>
            <w:r w:rsidRPr="00A052EA">
              <w:rPr>
                <w:rFonts w:cstheme="minorHAnsi"/>
                <w:sz w:val="20"/>
                <w:szCs w:val="20"/>
              </w:rPr>
              <w:t>alemtuzumab 12 mg/1.2 mL injection, 1.2 mL vial</w:t>
            </w:r>
          </w:p>
        </w:tc>
        <w:tc>
          <w:tcPr>
            <w:tcW w:w="1772" w:type="dxa"/>
          </w:tcPr>
          <w:p w14:paraId="6FCF6367" w14:textId="403ABCE9" w:rsidR="00B91315" w:rsidRPr="00A052EA" w:rsidRDefault="00B91315" w:rsidP="005669E6">
            <w:pPr>
              <w:spacing w:before="60" w:after="60"/>
              <w:jc w:val="center"/>
              <w:rPr>
                <w:rFonts w:cstheme="minorHAnsi"/>
                <w:sz w:val="20"/>
                <w:szCs w:val="20"/>
              </w:rPr>
            </w:pPr>
            <w:r w:rsidRPr="00A052EA">
              <w:rPr>
                <w:rFonts w:cstheme="minorHAnsi"/>
                <w:sz w:val="20"/>
                <w:szCs w:val="20"/>
              </w:rPr>
              <w:t>10243D</w:t>
            </w:r>
          </w:p>
        </w:tc>
        <w:tc>
          <w:tcPr>
            <w:tcW w:w="1772" w:type="dxa"/>
          </w:tcPr>
          <w:p w14:paraId="0225588A" w14:textId="22A62945" w:rsidR="00B91315" w:rsidRPr="00A052EA" w:rsidRDefault="00B91315" w:rsidP="005669E6">
            <w:pPr>
              <w:spacing w:before="60" w:after="60"/>
              <w:jc w:val="center"/>
              <w:rPr>
                <w:rFonts w:cstheme="minorHAnsi"/>
                <w:sz w:val="20"/>
                <w:szCs w:val="20"/>
              </w:rPr>
            </w:pPr>
            <w:r w:rsidRPr="00A052EA">
              <w:rPr>
                <w:rFonts w:cstheme="minorHAnsi"/>
                <w:sz w:val="20"/>
                <w:szCs w:val="20"/>
              </w:rPr>
              <w:t>L04AA34</w:t>
            </w:r>
          </w:p>
        </w:tc>
      </w:tr>
      <w:tr w:rsidR="00B91315" w:rsidRPr="00A052EA" w14:paraId="468BFA60" w14:textId="77777777" w:rsidTr="009D0597">
        <w:tc>
          <w:tcPr>
            <w:tcW w:w="5382" w:type="dxa"/>
          </w:tcPr>
          <w:p w14:paraId="62821F5E" w14:textId="5B8A0EDC" w:rsidR="00B91315" w:rsidRPr="00A052EA" w:rsidRDefault="00B91315" w:rsidP="00A052EA">
            <w:pPr>
              <w:spacing w:before="60" w:after="60"/>
              <w:rPr>
                <w:rFonts w:cstheme="minorHAnsi"/>
                <w:sz w:val="20"/>
                <w:szCs w:val="20"/>
              </w:rPr>
            </w:pPr>
            <w:r w:rsidRPr="00A052EA">
              <w:rPr>
                <w:rFonts w:cstheme="minorHAnsi"/>
                <w:sz w:val="20"/>
                <w:szCs w:val="20"/>
              </w:rPr>
              <w:t>alemtuzumab 12 mg/1.2 mL injection, 1.2 mL vial</w:t>
            </w:r>
          </w:p>
        </w:tc>
        <w:tc>
          <w:tcPr>
            <w:tcW w:w="1772" w:type="dxa"/>
          </w:tcPr>
          <w:p w14:paraId="34FA4904" w14:textId="09A92650" w:rsidR="00B91315" w:rsidRPr="00A052EA" w:rsidRDefault="00B91315" w:rsidP="005669E6">
            <w:pPr>
              <w:spacing w:before="60" w:after="60"/>
              <w:jc w:val="center"/>
              <w:rPr>
                <w:rFonts w:cstheme="minorHAnsi"/>
                <w:sz w:val="20"/>
                <w:szCs w:val="20"/>
              </w:rPr>
            </w:pPr>
            <w:r w:rsidRPr="00A052EA">
              <w:rPr>
                <w:rFonts w:cstheme="minorHAnsi"/>
                <w:sz w:val="20"/>
                <w:szCs w:val="20"/>
              </w:rPr>
              <w:t>10246G</w:t>
            </w:r>
          </w:p>
        </w:tc>
        <w:tc>
          <w:tcPr>
            <w:tcW w:w="1772" w:type="dxa"/>
          </w:tcPr>
          <w:p w14:paraId="00CFFF90" w14:textId="6CD1746B" w:rsidR="00B91315" w:rsidRPr="00A052EA" w:rsidRDefault="00B91315" w:rsidP="005669E6">
            <w:pPr>
              <w:spacing w:before="60" w:after="60"/>
              <w:jc w:val="center"/>
              <w:rPr>
                <w:rFonts w:cstheme="minorHAnsi"/>
                <w:sz w:val="20"/>
                <w:szCs w:val="20"/>
              </w:rPr>
            </w:pPr>
            <w:r w:rsidRPr="00A052EA">
              <w:rPr>
                <w:rFonts w:cstheme="minorHAnsi"/>
                <w:sz w:val="20"/>
                <w:szCs w:val="20"/>
              </w:rPr>
              <w:t>L04AA34</w:t>
            </w:r>
          </w:p>
        </w:tc>
      </w:tr>
      <w:tr w:rsidR="00B91315" w:rsidRPr="00A052EA" w14:paraId="69FC5F37" w14:textId="77777777" w:rsidTr="009D0597">
        <w:tc>
          <w:tcPr>
            <w:tcW w:w="5382" w:type="dxa"/>
          </w:tcPr>
          <w:p w14:paraId="076C821C" w14:textId="5E051D62" w:rsidR="00B91315" w:rsidRPr="00A052EA" w:rsidRDefault="00B91315" w:rsidP="00A052EA">
            <w:pPr>
              <w:spacing w:before="60" w:after="60"/>
              <w:rPr>
                <w:rFonts w:cstheme="minorHAnsi"/>
                <w:sz w:val="20"/>
                <w:szCs w:val="20"/>
              </w:rPr>
            </w:pPr>
            <w:r w:rsidRPr="00A052EA">
              <w:rPr>
                <w:rFonts w:cstheme="minorHAnsi"/>
                <w:sz w:val="20"/>
                <w:szCs w:val="20"/>
              </w:rPr>
              <w:t>cladribine 10 mg tablet, 1</w:t>
            </w:r>
          </w:p>
        </w:tc>
        <w:tc>
          <w:tcPr>
            <w:tcW w:w="1772" w:type="dxa"/>
          </w:tcPr>
          <w:p w14:paraId="68C82E08" w14:textId="45E9EA56" w:rsidR="00B91315" w:rsidRPr="00A052EA" w:rsidRDefault="00B91315" w:rsidP="005669E6">
            <w:pPr>
              <w:spacing w:before="60" w:after="60"/>
              <w:jc w:val="center"/>
              <w:rPr>
                <w:rFonts w:cstheme="minorHAnsi"/>
                <w:sz w:val="20"/>
                <w:szCs w:val="20"/>
              </w:rPr>
            </w:pPr>
            <w:r w:rsidRPr="00A052EA">
              <w:rPr>
                <w:rFonts w:cstheme="minorHAnsi"/>
                <w:sz w:val="20"/>
                <w:szCs w:val="20"/>
              </w:rPr>
              <w:t>11603Q</w:t>
            </w:r>
          </w:p>
        </w:tc>
        <w:tc>
          <w:tcPr>
            <w:tcW w:w="1772" w:type="dxa"/>
          </w:tcPr>
          <w:p w14:paraId="629ADC25" w14:textId="6FF6D06A" w:rsidR="00B91315" w:rsidRPr="00A052EA" w:rsidRDefault="00B91315" w:rsidP="005669E6">
            <w:pPr>
              <w:spacing w:before="60" w:after="60"/>
              <w:jc w:val="center"/>
              <w:rPr>
                <w:rFonts w:cstheme="minorHAnsi"/>
                <w:sz w:val="20"/>
                <w:szCs w:val="20"/>
              </w:rPr>
            </w:pPr>
            <w:r w:rsidRPr="00A052EA">
              <w:rPr>
                <w:rFonts w:cstheme="minorHAnsi"/>
                <w:sz w:val="20"/>
                <w:szCs w:val="20"/>
              </w:rPr>
              <w:t>L04AA40</w:t>
            </w:r>
          </w:p>
        </w:tc>
      </w:tr>
      <w:tr w:rsidR="00B91315" w:rsidRPr="00A052EA" w14:paraId="09E31D1E" w14:textId="77777777" w:rsidTr="009D0597">
        <w:tc>
          <w:tcPr>
            <w:tcW w:w="5382" w:type="dxa"/>
          </w:tcPr>
          <w:p w14:paraId="11DDB0C7" w14:textId="0AD9CC7E" w:rsidR="00B91315" w:rsidRPr="00A052EA" w:rsidRDefault="00B91315" w:rsidP="00A052EA">
            <w:pPr>
              <w:spacing w:before="60" w:after="60"/>
              <w:rPr>
                <w:rFonts w:cstheme="minorHAnsi"/>
                <w:sz w:val="20"/>
                <w:szCs w:val="20"/>
              </w:rPr>
            </w:pPr>
            <w:r w:rsidRPr="00A052EA">
              <w:rPr>
                <w:rFonts w:cstheme="minorHAnsi"/>
                <w:sz w:val="20"/>
                <w:szCs w:val="20"/>
              </w:rPr>
              <w:t>cladribine 10 mg tablet, 4</w:t>
            </w:r>
          </w:p>
        </w:tc>
        <w:tc>
          <w:tcPr>
            <w:tcW w:w="1772" w:type="dxa"/>
          </w:tcPr>
          <w:p w14:paraId="00D37613" w14:textId="28876A3A" w:rsidR="00B91315" w:rsidRPr="00A052EA" w:rsidRDefault="00B91315" w:rsidP="005669E6">
            <w:pPr>
              <w:spacing w:before="60" w:after="60"/>
              <w:jc w:val="center"/>
              <w:rPr>
                <w:rFonts w:cstheme="minorHAnsi"/>
                <w:sz w:val="20"/>
                <w:szCs w:val="20"/>
              </w:rPr>
            </w:pPr>
            <w:r w:rsidRPr="00A052EA">
              <w:rPr>
                <w:rFonts w:cstheme="minorHAnsi"/>
                <w:sz w:val="20"/>
                <w:szCs w:val="20"/>
              </w:rPr>
              <w:t>11604R</w:t>
            </w:r>
          </w:p>
        </w:tc>
        <w:tc>
          <w:tcPr>
            <w:tcW w:w="1772" w:type="dxa"/>
          </w:tcPr>
          <w:p w14:paraId="4B6557B8" w14:textId="053B8205" w:rsidR="00B91315" w:rsidRPr="00A052EA" w:rsidRDefault="00B91315" w:rsidP="005669E6">
            <w:pPr>
              <w:spacing w:before="60" w:after="60"/>
              <w:jc w:val="center"/>
              <w:rPr>
                <w:rFonts w:cstheme="minorHAnsi"/>
                <w:sz w:val="20"/>
                <w:szCs w:val="20"/>
              </w:rPr>
            </w:pPr>
            <w:r w:rsidRPr="00A052EA">
              <w:rPr>
                <w:rFonts w:cstheme="minorHAnsi"/>
                <w:sz w:val="20"/>
                <w:szCs w:val="20"/>
              </w:rPr>
              <w:t>L04AA40</w:t>
            </w:r>
          </w:p>
        </w:tc>
      </w:tr>
      <w:tr w:rsidR="00B91315" w:rsidRPr="00A052EA" w14:paraId="20718821" w14:textId="77777777" w:rsidTr="009D0597">
        <w:tc>
          <w:tcPr>
            <w:tcW w:w="5382" w:type="dxa"/>
          </w:tcPr>
          <w:p w14:paraId="68E0BCB9" w14:textId="7704E4D0" w:rsidR="00B91315" w:rsidRPr="00A052EA" w:rsidRDefault="00B91315" w:rsidP="00A052EA">
            <w:pPr>
              <w:spacing w:before="60" w:after="60"/>
              <w:rPr>
                <w:rFonts w:cstheme="minorHAnsi"/>
                <w:sz w:val="20"/>
                <w:szCs w:val="20"/>
              </w:rPr>
            </w:pPr>
            <w:r w:rsidRPr="00A052EA">
              <w:rPr>
                <w:rFonts w:cstheme="minorHAnsi"/>
                <w:sz w:val="20"/>
                <w:szCs w:val="20"/>
              </w:rPr>
              <w:t>cladribine 10 mg tablet, 6</w:t>
            </w:r>
          </w:p>
        </w:tc>
        <w:tc>
          <w:tcPr>
            <w:tcW w:w="1772" w:type="dxa"/>
          </w:tcPr>
          <w:p w14:paraId="10B4E139" w14:textId="305EBB02" w:rsidR="00B91315" w:rsidRPr="00A052EA" w:rsidRDefault="00B91315" w:rsidP="005669E6">
            <w:pPr>
              <w:spacing w:before="60" w:after="60"/>
              <w:jc w:val="center"/>
              <w:rPr>
                <w:rFonts w:cstheme="minorHAnsi"/>
                <w:sz w:val="20"/>
                <w:szCs w:val="20"/>
              </w:rPr>
            </w:pPr>
            <w:r w:rsidRPr="00A052EA">
              <w:rPr>
                <w:rFonts w:cstheme="minorHAnsi"/>
                <w:sz w:val="20"/>
                <w:szCs w:val="20"/>
              </w:rPr>
              <w:t>11611D</w:t>
            </w:r>
          </w:p>
        </w:tc>
        <w:tc>
          <w:tcPr>
            <w:tcW w:w="1772" w:type="dxa"/>
          </w:tcPr>
          <w:p w14:paraId="0630FD49" w14:textId="4FC12715" w:rsidR="00B91315" w:rsidRPr="00A052EA" w:rsidRDefault="00B91315" w:rsidP="005669E6">
            <w:pPr>
              <w:spacing w:before="60" w:after="60"/>
              <w:jc w:val="center"/>
              <w:rPr>
                <w:rFonts w:cstheme="minorHAnsi"/>
                <w:sz w:val="20"/>
                <w:szCs w:val="20"/>
              </w:rPr>
            </w:pPr>
            <w:r w:rsidRPr="00A052EA">
              <w:rPr>
                <w:rFonts w:cstheme="minorHAnsi"/>
                <w:sz w:val="20"/>
                <w:szCs w:val="20"/>
              </w:rPr>
              <w:t>L04AA40</w:t>
            </w:r>
          </w:p>
        </w:tc>
      </w:tr>
      <w:tr w:rsidR="00B91315" w:rsidRPr="00A052EA" w14:paraId="254C54E6" w14:textId="77777777" w:rsidTr="009D0597">
        <w:tc>
          <w:tcPr>
            <w:tcW w:w="5382" w:type="dxa"/>
          </w:tcPr>
          <w:p w14:paraId="3E800CB7" w14:textId="23549715" w:rsidR="00B91315" w:rsidRPr="00A052EA" w:rsidRDefault="00B91315" w:rsidP="00A052EA">
            <w:pPr>
              <w:spacing w:before="60" w:after="60"/>
              <w:rPr>
                <w:rFonts w:cstheme="minorHAnsi"/>
                <w:sz w:val="20"/>
                <w:szCs w:val="20"/>
              </w:rPr>
            </w:pPr>
            <w:r w:rsidRPr="00A052EA">
              <w:rPr>
                <w:rFonts w:cstheme="minorHAnsi"/>
                <w:sz w:val="20"/>
                <w:szCs w:val="20"/>
              </w:rPr>
              <w:t>dimethyl fumarate 120 mg enteric capsule, 14</w:t>
            </w:r>
          </w:p>
        </w:tc>
        <w:tc>
          <w:tcPr>
            <w:tcW w:w="1772" w:type="dxa"/>
          </w:tcPr>
          <w:p w14:paraId="5174A132" w14:textId="291B65DD" w:rsidR="00B91315" w:rsidRPr="00A052EA" w:rsidRDefault="00B91315" w:rsidP="005669E6">
            <w:pPr>
              <w:spacing w:before="60" w:after="60"/>
              <w:jc w:val="center"/>
              <w:rPr>
                <w:rFonts w:cstheme="minorHAnsi"/>
                <w:sz w:val="20"/>
                <w:szCs w:val="20"/>
              </w:rPr>
            </w:pPr>
            <w:r w:rsidRPr="00A052EA">
              <w:rPr>
                <w:rFonts w:cstheme="minorHAnsi"/>
                <w:sz w:val="20"/>
                <w:szCs w:val="20"/>
              </w:rPr>
              <w:t>2896K</w:t>
            </w:r>
          </w:p>
        </w:tc>
        <w:tc>
          <w:tcPr>
            <w:tcW w:w="1772" w:type="dxa"/>
          </w:tcPr>
          <w:p w14:paraId="0258D768" w14:textId="259A257A" w:rsidR="00B91315" w:rsidRPr="00A052EA" w:rsidRDefault="00B91315" w:rsidP="005669E6">
            <w:pPr>
              <w:spacing w:before="60" w:after="60"/>
              <w:jc w:val="center"/>
              <w:rPr>
                <w:rFonts w:cstheme="minorHAnsi"/>
                <w:sz w:val="20"/>
                <w:szCs w:val="20"/>
              </w:rPr>
            </w:pPr>
            <w:r w:rsidRPr="00A052EA">
              <w:rPr>
                <w:rFonts w:cstheme="minorHAnsi"/>
                <w:sz w:val="20"/>
                <w:szCs w:val="20"/>
              </w:rPr>
              <w:t>L04AX07</w:t>
            </w:r>
          </w:p>
        </w:tc>
      </w:tr>
      <w:tr w:rsidR="00B91315" w:rsidRPr="00A052EA" w14:paraId="18F01C3E" w14:textId="77777777" w:rsidTr="009D0597">
        <w:tc>
          <w:tcPr>
            <w:tcW w:w="5382" w:type="dxa"/>
          </w:tcPr>
          <w:p w14:paraId="7C61C429" w14:textId="7E375212" w:rsidR="00B91315" w:rsidRPr="00A052EA" w:rsidRDefault="00B91315" w:rsidP="00A052EA">
            <w:pPr>
              <w:spacing w:before="60" w:after="60"/>
              <w:rPr>
                <w:rFonts w:cstheme="minorHAnsi"/>
                <w:sz w:val="20"/>
                <w:szCs w:val="20"/>
              </w:rPr>
            </w:pPr>
            <w:r w:rsidRPr="00A052EA">
              <w:rPr>
                <w:rFonts w:cstheme="minorHAnsi"/>
                <w:sz w:val="20"/>
                <w:szCs w:val="20"/>
              </w:rPr>
              <w:t>dimethyl fumarate 120 mg enteric capsule, 14</w:t>
            </w:r>
          </w:p>
        </w:tc>
        <w:tc>
          <w:tcPr>
            <w:tcW w:w="1772" w:type="dxa"/>
          </w:tcPr>
          <w:p w14:paraId="4DAF4A1C" w14:textId="60F7F127" w:rsidR="00B91315" w:rsidRPr="00A052EA" w:rsidRDefault="00B91315" w:rsidP="005669E6">
            <w:pPr>
              <w:spacing w:before="60" w:after="60"/>
              <w:jc w:val="center"/>
              <w:rPr>
                <w:rFonts w:cstheme="minorHAnsi"/>
                <w:sz w:val="20"/>
                <w:szCs w:val="20"/>
              </w:rPr>
            </w:pPr>
            <w:r w:rsidRPr="00A052EA">
              <w:rPr>
                <w:rFonts w:cstheme="minorHAnsi"/>
                <w:sz w:val="20"/>
                <w:szCs w:val="20"/>
              </w:rPr>
              <w:t>2943X</w:t>
            </w:r>
          </w:p>
        </w:tc>
        <w:tc>
          <w:tcPr>
            <w:tcW w:w="1772" w:type="dxa"/>
          </w:tcPr>
          <w:p w14:paraId="58BAFFB1" w14:textId="36589BD7" w:rsidR="00B91315" w:rsidRPr="00A052EA" w:rsidRDefault="00B91315" w:rsidP="005669E6">
            <w:pPr>
              <w:spacing w:before="60" w:after="60"/>
              <w:jc w:val="center"/>
              <w:rPr>
                <w:rFonts w:cstheme="minorHAnsi"/>
                <w:sz w:val="20"/>
                <w:szCs w:val="20"/>
              </w:rPr>
            </w:pPr>
            <w:r w:rsidRPr="00A052EA">
              <w:rPr>
                <w:rFonts w:cstheme="minorHAnsi"/>
                <w:sz w:val="20"/>
                <w:szCs w:val="20"/>
              </w:rPr>
              <w:t>L04AX07</w:t>
            </w:r>
          </w:p>
        </w:tc>
      </w:tr>
      <w:tr w:rsidR="00B91315" w:rsidRPr="00A052EA" w14:paraId="10842FC8" w14:textId="77777777" w:rsidTr="009D0597">
        <w:tc>
          <w:tcPr>
            <w:tcW w:w="5382" w:type="dxa"/>
          </w:tcPr>
          <w:p w14:paraId="4E78426D" w14:textId="62767F5B" w:rsidR="00B91315" w:rsidRPr="00A052EA" w:rsidRDefault="00B91315" w:rsidP="00A052EA">
            <w:pPr>
              <w:spacing w:before="60" w:after="60"/>
              <w:rPr>
                <w:rFonts w:cstheme="minorHAnsi"/>
                <w:sz w:val="20"/>
                <w:szCs w:val="20"/>
              </w:rPr>
            </w:pPr>
            <w:r w:rsidRPr="00A052EA">
              <w:rPr>
                <w:rFonts w:cstheme="minorHAnsi"/>
                <w:sz w:val="20"/>
                <w:szCs w:val="20"/>
              </w:rPr>
              <w:t>dimethyl fumarate 240 mg enteric capsule, 56</w:t>
            </w:r>
          </w:p>
        </w:tc>
        <w:tc>
          <w:tcPr>
            <w:tcW w:w="1772" w:type="dxa"/>
          </w:tcPr>
          <w:p w14:paraId="76992982" w14:textId="71F40D37" w:rsidR="00B91315" w:rsidRPr="00A052EA" w:rsidRDefault="00B91315" w:rsidP="005669E6">
            <w:pPr>
              <w:spacing w:before="60" w:after="60"/>
              <w:jc w:val="center"/>
              <w:rPr>
                <w:rFonts w:cstheme="minorHAnsi"/>
                <w:sz w:val="20"/>
                <w:szCs w:val="20"/>
              </w:rPr>
            </w:pPr>
            <w:r w:rsidRPr="00A052EA">
              <w:rPr>
                <w:rFonts w:cstheme="minorHAnsi"/>
                <w:sz w:val="20"/>
                <w:szCs w:val="20"/>
              </w:rPr>
              <w:t>2966D</w:t>
            </w:r>
          </w:p>
        </w:tc>
        <w:tc>
          <w:tcPr>
            <w:tcW w:w="1772" w:type="dxa"/>
          </w:tcPr>
          <w:p w14:paraId="6CDA5F3A" w14:textId="73224D37" w:rsidR="00B91315" w:rsidRPr="00A052EA" w:rsidRDefault="00B91315" w:rsidP="005669E6">
            <w:pPr>
              <w:spacing w:before="60" w:after="60"/>
              <w:jc w:val="center"/>
              <w:rPr>
                <w:rFonts w:cstheme="minorHAnsi"/>
                <w:sz w:val="20"/>
                <w:szCs w:val="20"/>
              </w:rPr>
            </w:pPr>
            <w:r w:rsidRPr="00A052EA">
              <w:rPr>
                <w:rFonts w:cstheme="minorHAnsi"/>
                <w:sz w:val="20"/>
                <w:szCs w:val="20"/>
              </w:rPr>
              <w:t>L04AX07</w:t>
            </w:r>
          </w:p>
        </w:tc>
      </w:tr>
      <w:tr w:rsidR="00B91315" w:rsidRPr="00A052EA" w14:paraId="7EA4FBFB" w14:textId="77777777" w:rsidTr="009D0597">
        <w:tc>
          <w:tcPr>
            <w:tcW w:w="5382" w:type="dxa"/>
          </w:tcPr>
          <w:p w14:paraId="3A29BAF0" w14:textId="411AE209" w:rsidR="00B91315" w:rsidRPr="00A052EA" w:rsidRDefault="00B91315" w:rsidP="00A052EA">
            <w:pPr>
              <w:spacing w:before="60" w:after="60"/>
              <w:rPr>
                <w:rFonts w:cstheme="minorHAnsi"/>
                <w:sz w:val="20"/>
                <w:szCs w:val="20"/>
              </w:rPr>
            </w:pPr>
            <w:r w:rsidRPr="00A052EA">
              <w:rPr>
                <w:rFonts w:cstheme="minorHAnsi"/>
                <w:sz w:val="20"/>
                <w:szCs w:val="20"/>
              </w:rPr>
              <w:t>fingolimod 250 microgram capsule, 28</w:t>
            </w:r>
          </w:p>
        </w:tc>
        <w:tc>
          <w:tcPr>
            <w:tcW w:w="1772" w:type="dxa"/>
          </w:tcPr>
          <w:p w14:paraId="6DF55443" w14:textId="206A9537" w:rsidR="00B91315" w:rsidRPr="00A052EA" w:rsidRDefault="00B91315" w:rsidP="005669E6">
            <w:pPr>
              <w:spacing w:before="60" w:after="60"/>
              <w:jc w:val="center"/>
              <w:rPr>
                <w:rFonts w:cstheme="minorHAnsi"/>
                <w:sz w:val="20"/>
                <w:szCs w:val="20"/>
              </w:rPr>
            </w:pPr>
            <w:r w:rsidRPr="00A052EA">
              <w:rPr>
                <w:rFonts w:cstheme="minorHAnsi"/>
                <w:sz w:val="20"/>
                <w:szCs w:val="20"/>
              </w:rPr>
              <w:t>11818B</w:t>
            </w:r>
          </w:p>
        </w:tc>
        <w:tc>
          <w:tcPr>
            <w:tcW w:w="1772" w:type="dxa"/>
          </w:tcPr>
          <w:p w14:paraId="77AE8EB0" w14:textId="5FED191C" w:rsidR="00B91315" w:rsidRPr="00A052EA" w:rsidRDefault="00B91315" w:rsidP="005669E6">
            <w:pPr>
              <w:spacing w:before="60" w:after="60"/>
              <w:jc w:val="center"/>
              <w:rPr>
                <w:rFonts w:cstheme="minorHAnsi"/>
                <w:sz w:val="20"/>
                <w:szCs w:val="20"/>
              </w:rPr>
            </w:pPr>
            <w:r w:rsidRPr="00A052EA">
              <w:rPr>
                <w:rFonts w:cstheme="minorHAnsi"/>
                <w:sz w:val="20"/>
                <w:szCs w:val="20"/>
              </w:rPr>
              <w:t>L04AA27</w:t>
            </w:r>
          </w:p>
        </w:tc>
      </w:tr>
      <w:tr w:rsidR="00B91315" w:rsidRPr="00A052EA" w14:paraId="111E16F8" w14:textId="77777777" w:rsidTr="009D0597">
        <w:tc>
          <w:tcPr>
            <w:tcW w:w="5382" w:type="dxa"/>
          </w:tcPr>
          <w:p w14:paraId="1A63CABD" w14:textId="7CE35367" w:rsidR="00B91315" w:rsidRPr="00A052EA" w:rsidRDefault="00B91315" w:rsidP="00A052EA">
            <w:pPr>
              <w:spacing w:before="60" w:after="60"/>
              <w:rPr>
                <w:rFonts w:cstheme="minorHAnsi"/>
                <w:sz w:val="20"/>
                <w:szCs w:val="20"/>
              </w:rPr>
            </w:pPr>
            <w:r w:rsidRPr="00A052EA">
              <w:rPr>
                <w:rFonts w:cstheme="minorHAnsi"/>
                <w:sz w:val="20"/>
                <w:szCs w:val="20"/>
              </w:rPr>
              <w:t>fingolimod 500 microgram capsule, 28</w:t>
            </w:r>
          </w:p>
        </w:tc>
        <w:tc>
          <w:tcPr>
            <w:tcW w:w="1772" w:type="dxa"/>
          </w:tcPr>
          <w:p w14:paraId="01658690" w14:textId="7D14FF2A" w:rsidR="00B91315" w:rsidRPr="00A052EA" w:rsidRDefault="00B91315" w:rsidP="005669E6">
            <w:pPr>
              <w:spacing w:before="60" w:after="60"/>
              <w:jc w:val="center"/>
              <w:rPr>
                <w:rFonts w:cstheme="minorHAnsi"/>
                <w:sz w:val="20"/>
                <w:szCs w:val="20"/>
              </w:rPr>
            </w:pPr>
            <w:r w:rsidRPr="00A052EA">
              <w:rPr>
                <w:rFonts w:cstheme="minorHAnsi"/>
                <w:sz w:val="20"/>
                <w:szCs w:val="20"/>
              </w:rPr>
              <w:t>5262Y</w:t>
            </w:r>
          </w:p>
        </w:tc>
        <w:tc>
          <w:tcPr>
            <w:tcW w:w="1772" w:type="dxa"/>
          </w:tcPr>
          <w:p w14:paraId="2EE7E3E2" w14:textId="41CEBB8C" w:rsidR="00B91315" w:rsidRPr="00A052EA" w:rsidRDefault="00B91315" w:rsidP="005669E6">
            <w:pPr>
              <w:spacing w:before="60" w:after="60"/>
              <w:jc w:val="center"/>
              <w:rPr>
                <w:rFonts w:cstheme="minorHAnsi"/>
                <w:sz w:val="20"/>
                <w:szCs w:val="20"/>
              </w:rPr>
            </w:pPr>
            <w:r w:rsidRPr="00A052EA">
              <w:rPr>
                <w:rFonts w:cstheme="minorHAnsi"/>
                <w:sz w:val="20"/>
                <w:szCs w:val="20"/>
              </w:rPr>
              <w:t>L04AA27</w:t>
            </w:r>
          </w:p>
        </w:tc>
      </w:tr>
      <w:tr w:rsidR="00B91315" w:rsidRPr="00A052EA" w14:paraId="1EB1E996" w14:textId="77777777" w:rsidTr="009D0597">
        <w:tc>
          <w:tcPr>
            <w:tcW w:w="5382" w:type="dxa"/>
          </w:tcPr>
          <w:p w14:paraId="4A63DA1C" w14:textId="4C189DE6" w:rsidR="00B91315" w:rsidRPr="00A052EA" w:rsidRDefault="00B91315" w:rsidP="00A052EA">
            <w:pPr>
              <w:spacing w:before="60" w:after="60"/>
              <w:rPr>
                <w:rFonts w:cstheme="minorHAnsi"/>
                <w:sz w:val="20"/>
                <w:szCs w:val="20"/>
              </w:rPr>
            </w:pPr>
            <w:r w:rsidRPr="00A052EA">
              <w:rPr>
                <w:rFonts w:cstheme="minorHAnsi"/>
                <w:sz w:val="20"/>
                <w:szCs w:val="20"/>
              </w:rPr>
              <w:t>glatiramer acetate 40 mg/mL injection, 12 x 1 mL syringes</w:t>
            </w:r>
          </w:p>
        </w:tc>
        <w:tc>
          <w:tcPr>
            <w:tcW w:w="1772" w:type="dxa"/>
          </w:tcPr>
          <w:p w14:paraId="73B3343B" w14:textId="0E7D92A7" w:rsidR="00B91315" w:rsidRPr="00A052EA" w:rsidRDefault="00B91315" w:rsidP="005669E6">
            <w:pPr>
              <w:spacing w:before="60" w:after="60"/>
              <w:jc w:val="center"/>
              <w:rPr>
                <w:rFonts w:cstheme="minorHAnsi"/>
                <w:sz w:val="20"/>
                <w:szCs w:val="20"/>
              </w:rPr>
            </w:pPr>
            <w:r w:rsidRPr="00A052EA">
              <w:rPr>
                <w:rFonts w:cstheme="minorHAnsi"/>
                <w:sz w:val="20"/>
                <w:szCs w:val="20"/>
              </w:rPr>
              <w:t>10416F</w:t>
            </w:r>
          </w:p>
        </w:tc>
        <w:tc>
          <w:tcPr>
            <w:tcW w:w="1772" w:type="dxa"/>
          </w:tcPr>
          <w:p w14:paraId="3CE7ABAD" w14:textId="15E12450" w:rsidR="00B91315" w:rsidRPr="00A052EA" w:rsidRDefault="00B91315" w:rsidP="005669E6">
            <w:pPr>
              <w:spacing w:before="60" w:after="60"/>
              <w:jc w:val="center"/>
              <w:rPr>
                <w:rFonts w:cstheme="minorHAnsi"/>
                <w:sz w:val="20"/>
                <w:szCs w:val="20"/>
              </w:rPr>
            </w:pPr>
            <w:r w:rsidRPr="00A052EA">
              <w:rPr>
                <w:rFonts w:cstheme="minorHAnsi"/>
                <w:sz w:val="20"/>
                <w:szCs w:val="20"/>
              </w:rPr>
              <w:t>L03AX13</w:t>
            </w:r>
          </w:p>
        </w:tc>
      </w:tr>
      <w:tr w:rsidR="00B91315" w:rsidRPr="00A052EA" w14:paraId="29A66293" w14:textId="77777777" w:rsidTr="009D0597">
        <w:tc>
          <w:tcPr>
            <w:tcW w:w="5382" w:type="dxa"/>
          </w:tcPr>
          <w:p w14:paraId="2A5ADBE3" w14:textId="609B1366" w:rsidR="00B91315" w:rsidRPr="00A052EA" w:rsidRDefault="00B91315" w:rsidP="00A052EA">
            <w:pPr>
              <w:spacing w:before="60" w:after="60"/>
              <w:rPr>
                <w:rFonts w:cstheme="minorHAnsi"/>
                <w:sz w:val="20"/>
                <w:szCs w:val="20"/>
              </w:rPr>
            </w:pPr>
            <w:r w:rsidRPr="00A052EA">
              <w:rPr>
                <w:rFonts w:cstheme="minorHAnsi"/>
                <w:sz w:val="20"/>
                <w:szCs w:val="20"/>
              </w:rPr>
              <w:t>interferon beta-1a 12 million units (44 microgram)/0.5 mL injection, 12 x 0.5 mL pen devices</w:t>
            </w:r>
          </w:p>
        </w:tc>
        <w:tc>
          <w:tcPr>
            <w:tcW w:w="1772" w:type="dxa"/>
          </w:tcPr>
          <w:p w14:paraId="7AB2565F" w14:textId="2708532C" w:rsidR="00B91315" w:rsidRPr="00A052EA" w:rsidRDefault="00B91315" w:rsidP="005669E6">
            <w:pPr>
              <w:spacing w:before="60" w:after="60"/>
              <w:jc w:val="center"/>
              <w:rPr>
                <w:rFonts w:cstheme="minorHAnsi"/>
                <w:sz w:val="20"/>
                <w:szCs w:val="20"/>
              </w:rPr>
            </w:pPr>
            <w:r w:rsidRPr="00A052EA">
              <w:rPr>
                <w:rFonts w:cstheme="minorHAnsi"/>
                <w:sz w:val="20"/>
                <w:szCs w:val="20"/>
              </w:rPr>
              <w:t>8968B</w:t>
            </w:r>
          </w:p>
        </w:tc>
        <w:tc>
          <w:tcPr>
            <w:tcW w:w="1772" w:type="dxa"/>
          </w:tcPr>
          <w:p w14:paraId="26A88295" w14:textId="0AAD7585" w:rsidR="00B91315" w:rsidRPr="00A052EA" w:rsidRDefault="00B91315" w:rsidP="005669E6">
            <w:pPr>
              <w:spacing w:before="60" w:after="60"/>
              <w:jc w:val="center"/>
              <w:rPr>
                <w:rFonts w:cstheme="minorHAnsi"/>
                <w:sz w:val="20"/>
                <w:szCs w:val="20"/>
              </w:rPr>
            </w:pPr>
            <w:r w:rsidRPr="00A052EA">
              <w:rPr>
                <w:rFonts w:cstheme="minorHAnsi"/>
                <w:sz w:val="20"/>
                <w:szCs w:val="20"/>
              </w:rPr>
              <w:t>L03AB07</w:t>
            </w:r>
          </w:p>
        </w:tc>
      </w:tr>
      <w:tr w:rsidR="00B91315" w:rsidRPr="00A052EA" w14:paraId="72CA4577" w14:textId="77777777" w:rsidTr="009D0597">
        <w:tc>
          <w:tcPr>
            <w:tcW w:w="5382" w:type="dxa"/>
          </w:tcPr>
          <w:p w14:paraId="6F207013" w14:textId="0A2D1B0B" w:rsidR="00B91315" w:rsidRPr="00A052EA" w:rsidRDefault="00B91315" w:rsidP="00A052EA">
            <w:pPr>
              <w:spacing w:before="60" w:after="60"/>
              <w:rPr>
                <w:rFonts w:cstheme="minorHAnsi"/>
                <w:sz w:val="20"/>
                <w:szCs w:val="20"/>
              </w:rPr>
            </w:pPr>
            <w:r w:rsidRPr="00A052EA">
              <w:rPr>
                <w:rFonts w:cstheme="minorHAnsi"/>
                <w:sz w:val="20"/>
                <w:szCs w:val="20"/>
              </w:rPr>
              <w:t>interferon beta-1a 12 million units (44 microgram)/0.5 mL injection, 12 x 0.5 mL syringes</w:t>
            </w:r>
          </w:p>
        </w:tc>
        <w:tc>
          <w:tcPr>
            <w:tcW w:w="1772" w:type="dxa"/>
          </w:tcPr>
          <w:p w14:paraId="4A787E77" w14:textId="7FDEBBE2" w:rsidR="00B91315" w:rsidRPr="00A052EA" w:rsidRDefault="00B91315" w:rsidP="005669E6">
            <w:pPr>
              <w:spacing w:before="60" w:after="60"/>
              <w:jc w:val="center"/>
              <w:rPr>
                <w:rFonts w:cstheme="minorHAnsi"/>
                <w:sz w:val="20"/>
                <w:szCs w:val="20"/>
              </w:rPr>
            </w:pPr>
            <w:r w:rsidRPr="00A052EA">
              <w:rPr>
                <w:rFonts w:cstheme="minorHAnsi"/>
                <w:sz w:val="20"/>
                <w:szCs w:val="20"/>
              </w:rPr>
              <w:t>8403G</w:t>
            </w:r>
          </w:p>
        </w:tc>
        <w:tc>
          <w:tcPr>
            <w:tcW w:w="1772" w:type="dxa"/>
          </w:tcPr>
          <w:p w14:paraId="0B9874EC" w14:textId="4C2DEDA2" w:rsidR="00B91315" w:rsidRPr="00A052EA" w:rsidRDefault="00B91315" w:rsidP="005669E6">
            <w:pPr>
              <w:spacing w:before="60" w:after="60"/>
              <w:jc w:val="center"/>
              <w:rPr>
                <w:rFonts w:cstheme="minorHAnsi"/>
                <w:sz w:val="20"/>
                <w:szCs w:val="20"/>
              </w:rPr>
            </w:pPr>
            <w:r w:rsidRPr="00A052EA">
              <w:rPr>
                <w:rFonts w:cstheme="minorHAnsi"/>
                <w:sz w:val="20"/>
                <w:szCs w:val="20"/>
              </w:rPr>
              <w:t>L03AB07</w:t>
            </w:r>
          </w:p>
        </w:tc>
      </w:tr>
      <w:tr w:rsidR="00B91315" w:rsidRPr="00A052EA" w14:paraId="112F72E6" w14:textId="77777777" w:rsidTr="009D0597">
        <w:tc>
          <w:tcPr>
            <w:tcW w:w="5382" w:type="dxa"/>
          </w:tcPr>
          <w:p w14:paraId="54D7EE39" w14:textId="05692D1B" w:rsidR="00B91315" w:rsidRPr="00A052EA" w:rsidRDefault="00B91315" w:rsidP="00A052EA">
            <w:pPr>
              <w:spacing w:before="60" w:after="60"/>
              <w:rPr>
                <w:rFonts w:cstheme="minorHAnsi"/>
                <w:sz w:val="20"/>
                <w:szCs w:val="20"/>
              </w:rPr>
            </w:pPr>
            <w:r w:rsidRPr="00A052EA">
              <w:rPr>
                <w:rFonts w:cstheme="minorHAnsi"/>
                <w:sz w:val="20"/>
                <w:szCs w:val="20"/>
              </w:rPr>
              <w:t>interferon beta-1a 36 million units (132 microgram)/1.5 mL injection, 4 x 1.5 mL cartridges</w:t>
            </w:r>
          </w:p>
        </w:tc>
        <w:tc>
          <w:tcPr>
            <w:tcW w:w="1772" w:type="dxa"/>
          </w:tcPr>
          <w:p w14:paraId="7ADAF49E" w14:textId="65E153DA" w:rsidR="00B91315" w:rsidRPr="00A052EA" w:rsidRDefault="00B91315" w:rsidP="005669E6">
            <w:pPr>
              <w:spacing w:before="60" w:after="60"/>
              <w:jc w:val="center"/>
              <w:rPr>
                <w:rFonts w:cstheme="minorHAnsi"/>
                <w:sz w:val="20"/>
                <w:szCs w:val="20"/>
              </w:rPr>
            </w:pPr>
            <w:r w:rsidRPr="00A052EA">
              <w:rPr>
                <w:rFonts w:cstheme="minorHAnsi"/>
                <w:sz w:val="20"/>
                <w:szCs w:val="20"/>
              </w:rPr>
              <w:t>9332E</w:t>
            </w:r>
          </w:p>
        </w:tc>
        <w:tc>
          <w:tcPr>
            <w:tcW w:w="1772" w:type="dxa"/>
          </w:tcPr>
          <w:p w14:paraId="3CE75187" w14:textId="05B116F7" w:rsidR="00B91315" w:rsidRPr="00A052EA" w:rsidRDefault="00B91315" w:rsidP="005669E6">
            <w:pPr>
              <w:spacing w:before="60" w:after="60"/>
              <w:jc w:val="center"/>
              <w:rPr>
                <w:rFonts w:cstheme="minorHAnsi"/>
                <w:sz w:val="20"/>
                <w:szCs w:val="20"/>
              </w:rPr>
            </w:pPr>
            <w:r w:rsidRPr="00A052EA">
              <w:rPr>
                <w:rFonts w:cstheme="minorHAnsi"/>
                <w:sz w:val="20"/>
                <w:szCs w:val="20"/>
              </w:rPr>
              <w:t>L03AB07</w:t>
            </w:r>
          </w:p>
        </w:tc>
      </w:tr>
      <w:tr w:rsidR="00B91315" w:rsidRPr="00A052EA" w14:paraId="74F70467" w14:textId="77777777" w:rsidTr="009D0597">
        <w:tc>
          <w:tcPr>
            <w:tcW w:w="5382" w:type="dxa"/>
          </w:tcPr>
          <w:p w14:paraId="6457A6A3" w14:textId="7D5CDB00" w:rsidR="00B91315" w:rsidRPr="00A052EA" w:rsidRDefault="00B91315" w:rsidP="00A052EA">
            <w:pPr>
              <w:spacing w:before="60" w:after="60"/>
              <w:rPr>
                <w:rFonts w:cstheme="minorHAnsi"/>
                <w:sz w:val="20"/>
                <w:szCs w:val="20"/>
              </w:rPr>
            </w:pPr>
            <w:r w:rsidRPr="00A052EA">
              <w:rPr>
                <w:rFonts w:cstheme="minorHAnsi"/>
                <w:sz w:val="20"/>
                <w:szCs w:val="20"/>
              </w:rPr>
              <w:t>interferon beta-1a 6 million units (30 microgram)/0.5 mL injection, 4 x 0.5 mL syringes</w:t>
            </w:r>
          </w:p>
        </w:tc>
        <w:tc>
          <w:tcPr>
            <w:tcW w:w="1772" w:type="dxa"/>
          </w:tcPr>
          <w:p w14:paraId="11A0A731" w14:textId="3AF7AB93" w:rsidR="00B91315" w:rsidRPr="00A052EA" w:rsidRDefault="00B91315" w:rsidP="005669E6">
            <w:pPr>
              <w:spacing w:before="60" w:after="60"/>
              <w:jc w:val="center"/>
              <w:rPr>
                <w:rFonts w:cstheme="minorHAnsi"/>
                <w:sz w:val="20"/>
                <w:szCs w:val="20"/>
              </w:rPr>
            </w:pPr>
            <w:r w:rsidRPr="00A052EA">
              <w:rPr>
                <w:rFonts w:cstheme="minorHAnsi"/>
                <w:sz w:val="20"/>
                <w:szCs w:val="20"/>
              </w:rPr>
              <w:t>8805K</w:t>
            </w:r>
          </w:p>
        </w:tc>
        <w:tc>
          <w:tcPr>
            <w:tcW w:w="1772" w:type="dxa"/>
          </w:tcPr>
          <w:p w14:paraId="5B3AAC76" w14:textId="5B444594" w:rsidR="00B91315" w:rsidRPr="00A052EA" w:rsidRDefault="00B91315" w:rsidP="005669E6">
            <w:pPr>
              <w:spacing w:before="60" w:after="60"/>
              <w:jc w:val="center"/>
              <w:rPr>
                <w:rFonts w:cstheme="minorHAnsi"/>
                <w:sz w:val="20"/>
                <w:szCs w:val="20"/>
              </w:rPr>
            </w:pPr>
            <w:r w:rsidRPr="00A052EA">
              <w:rPr>
                <w:rFonts w:cstheme="minorHAnsi"/>
                <w:sz w:val="20"/>
                <w:szCs w:val="20"/>
              </w:rPr>
              <w:t>L03AB07</w:t>
            </w:r>
          </w:p>
        </w:tc>
      </w:tr>
      <w:tr w:rsidR="00B91315" w:rsidRPr="00A052EA" w14:paraId="2C0D6FC6" w14:textId="77777777" w:rsidTr="009D0597">
        <w:tc>
          <w:tcPr>
            <w:tcW w:w="5382" w:type="dxa"/>
          </w:tcPr>
          <w:p w14:paraId="4370E5F1" w14:textId="36896BED" w:rsidR="00B91315" w:rsidRPr="00A052EA" w:rsidRDefault="00B91315" w:rsidP="00A052EA">
            <w:pPr>
              <w:spacing w:before="60" w:after="60"/>
              <w:rPr>
                <w:rFonts w:cstheme="minorHAnsi"/>
                <w:sz w:val="20"/>
                <w:szCs w:val="20"/>
              </w:rPr>
            </w:pPr>
            <w:r w:rsidRPr="00A052EA">
              <w:rPr>
                <w:rFonts w:cstheme="minorHAnsi"/>
                <w:sz w:val="20"/>
                <w:szCs w:val="20"/>
              </w:rPr>
              <w:t>interferon beta-1b 8 million international units (250 microgram) injection [15 x 250 microgram vials] (&amp;) inert substance diluent [15 x 1.2 mL syringes], 1 pack</w:t>
            </w:r>
          </w:p>
        </w:tc>
        <w:tc>
          <w:tcPr>
            <w:tcW w:w="1772" w:type="dxa"/>
          </w:tcPr>
          <w:p w14:paraId="5D323893" w14:textId="44801458" w:rsidR="00B91315" w:rsidRPr="00A052EA" w:rsidRDefault="00B91315" w:rsidP="005669E6">
            <w:pPr>
              <w:spacing w:before="60" w:after="60"/>
              <w:jc w:val="center"/>
              <w:rPr>
                <w:rFonts w:cstheme="minorHAnsi"/>
                <w:sz w:val="20"/>
                <w:szCs w:val="20"/>
              </w:rPr>
            </w:pPr>
            <w:r w:rsidRPr="00A052EA">
              <w:rPr>
                <w:rFonts w:cstheme="minorHAnsi"/>
                <w:sz w:val="20"/>
                <w:szCs w:val="20"/>
              </w:rPr>
              <w:t>8101J</w:t>
            </w:r>
          </w:p>
        </w:tc>
        <w:tc>
          <w:tcPr>
            <w:tcW w:w="1772" w:type="dxa"/>
          </w:tcPr>
          <w:p w14:paraId="6AB13A10" w14:textId="11C12D1A" w:rsidR="00B91315" w:rsidRPr="00A052EA" w:rsidRDefault="00B91315" w:rsidP="005669E6">
            <w:pPr>
              <w:spacing w:before="60" w:after="60"/>
              <w:jc w:val="center"/>
              <w:rPr>
                <w:rFonts w:cstheme="minorHAnsi"/>
                <w:sz w:val="20"/>
                <w:szCs w:val="20"/>
              </w:rPr>
            </w:pPr>
            <w:r w:rsidRPr="00A052EA">
              <w:rPr>
                <w:rFonts w:cstheme="minorHAnsi"/>
                <w:sz w:val="20"/>
                <w:szCs w:val="20"/>
              </w:rPr>
              <w:t>L03AB08</w:t>
            </w:r>
          </w:p>
        </w:tc>
      </w:tr>
      <w:tr w:rsidR="00B91315" w:rsidRPr="00A052EA" w14:paraId="0C005B61" w14:textId="77777777" w:rsidTr="009D0597">
        <w:tc>
          <w:tcPr>
            <w:tcW w:w="5382" w:type="dxa"/>
          </w:tcPr>
          <w:p w14:paraId="1A85D15A" w14:textId="0A33B653" w:rsidR="00B91315" w:rsidRPr="00A052EA" w:rsidRDefault="00B91315" w:rsidP="00A052EA">
            <w:pPr>
              <w:spacing w:before="60" w:after="60"/>
              <w:rPr>
                <w:rFonts w:cstheme="minorHAnsi"/>
                <w:sz w:val="20"/>
                <w:szCs w:val="20"/>
              </w:rPr>
            </w:pPr>
            <w:r w:rsidRPr="00A052EA">
              <w:rPr>
                <w:rFonts w:cstheme="minorHAnsi"/>
                <w:sz w:val="20"/>
                <w:szCs w:val="20"/>
              </w:rPr>
              <w:t>natalizumab 300 mg/15 mL injection, 15 mL vial</w:t>
            </w:r>
          </w:p>
        </w:tc>
        <w:tc>
          <w:tcPr>
            <w:tcW w:w="1772" w:type="dxa"/>
          </w:tcPr>
          <w:p w14:paraId="1ABD3C0B" w14:textId="270EFF12" w:rsidR="00B91315" w:rsidRPr="00A052EA" w:rsidRDefault="00B91315" w:rsidP="005669E6">
            <w:pPr>
              <w:spacing w:before="60" w:after="60"/>
              <w:jc w:val="center"/>
              <w:rPr>
                <w:rFonts w:cstheme="minorHAnsi"/>
                <w:sz w:val="20"/>
                <w:szCs w:val="20"/>
              </w:rPr>
            </w:pPr>
            <w:r w:rsidRPr="00A052EA">
              <w:rPr>
                <w:rFonts w:cstheme="minorHAnsi"/>
                <w:sz w:val="20"/>
                <w:szCs w:val="20"/>
              </w:rPr>
              <w:t>9505G</w:t>
            </w:r>
          </w:p>
        </w:tc>
        <w:tc>
          <w:tcPr>
            <w:tcW w:w="1772" w:type="dxa"/>
          </w:tcPr>
          <w:p w14:paraId="68B53D5F" w14:textId="37FDA2AD" w:rsidR="00B91315" w:rsidRPr="00A052EA" w:rsidRDefault="00B91315" w:rsidP="005669E6">
            <w:pPr>
              <w:spacing w:before="60" w:after="60"/>
              <w:jc w:val="center"/>
              <w:rPr>
                <w:rFonts w:cstheme="minorHAnsi"/>
                <w:sz w:val="20"/>
                <w:szCs w:val="20"/>
              </w:rPr>
            </w:pPr>
            <w:r w:rsidRPr="00A052EA">
              <w:rPr>
                <w:rFonts w:cstheme="minorHAnsi"/>
                <w:sz w:val="20"/>
                <w:szCs w:val="20"/>
              </w:rPr>
              <w:t>L04AA23</w:t>
            </w:r>
          </w:p>
        </w:tc>
      </w:tr>
      <w:tr w:rsidR="00B91315" w:rsidRPr="00A052EA" w14:paraId="3D3FE12E" w14:textId="77777777" w:rsidTr="009D0597">
        <w:tc>
          <w:tcPr>
            <w:tcW w:w="5382" w:type="dxa"/>
          </w:tcPr>
          <w:p w14:paraId="04BE4101" w14:textId="4D511DC4" w:rsidR="00B91315" w:rsidRPr="00A052EA" w:rsidRDefault="00B91315" w:rsidP="00A052EA">
            <w:pPr>
              <w:spacing w:before="60" w:after="60"/>
              <w:rPr>
                <w:rFonts w:cstheme="minorHAnsi"/>
                <w:sz w:val="20"/>
                <w:szCs w:val="20"/>
              </w:rPr>
            </w:pPr>
            <w:r w:rsidRPr="00A052EA">
              <w:rPr>
                <w:rFonts w:cstheme="minorHAnsi"/>
                <w:sz w:val="20"/>
                <w:szCs w:val="20"/>
              </w:rPr>
              <w:t>natalizumab 300 mg/15 mL injection, 15 mL vial</w:t>
            </w:r>
          </w:p>
        </w:tc>
        <w:tc>
          <w:tcPr>
            <w:tcW w:w="1772" w:type="dxa"/>
          </w:tcPr>
          <w:p w14:paraId="11D06FA6" w14:textId="78726BF9" w:rsidR="00B91315" w:rsidRPr="00A052EA" w:rsidRDefault="00B91315" w:rsidP="005669E6">
            <w:pPr>
              <w:spacing w:before="60" w:after="60"/>
              <w:jc w:val="center"/>
              <w:rPr>
                <w:rFonts w:cstheme="minorHAnsi"/>
                <w:sz w:val="20"/>
                <w:szCs w:val="20"/>
              </w:rPr>
            </w:pPr>
            <w:r w:rsidRPr="00A052EA">
              <w:rPr>
                <w:rFonts w:cstheme="minorHAnsi"/>
                <w:sz w:val="20"/>
                <w:szCs w:val="20"/>
              </w:rPr>
              <w:t>9624M</w:t>
            </w:r>
          </w:p>
        </w:tc>
        <w:tc>
          <w:tcPr>
            <w:tcW w:w="1772" w:type="dxa"/>
          </w:tcPr>
          <w:p w14:paraId="0457F432" w14:textId="55A366D0" w:rsidR="00B91315" w:rsidRPr="00A052EA" w:rsidRDefault="00B91315" w:rsidP="005669E6">
            <w:pPr>
              <w:spacing w:before="60" w:after="60"/>
              <w:jc w:val="center"/>
              <w:rPr>
                <w:rFonts w:cstheme="minorHAnsi"/>
                <w:sz w:val="20"/>
                <w:szCs w:val="20"/>
              </w:rPr>
            </w:pPr>
            <w:r w:rsidRPr="00A052EA">
              <w:rPr>
                <w:rFonts w:cstheme="minorHAnsi"/>
                <w:sz w:val="20"/>
                <w:szCs w:val="20"/>
              </w:rPr>
              <w:t>L04AA23</w:t>
            </w:r>
          </w:p>
        </w:tc>
      </w:tr>
      <w:tr w:rsidR="00B91315" w:rsidRPr="00A052EA" w14:paraId="33A84491" w14:textId="77777777" w:rsidTr="009D0597">
        <w:tc>
          <w:tcPr>
            <w:tcW w:w="5382" w:type="dxa"/>
          </w:tcPr>
          <w:p w14:paraId="56AE7255" w14:textId="7B2696F6" w:rsidR="00B91315" w:rsidRPr="00A052EA" w:rsidRDefault="00B91315" w:rsidP="00A052EA">
            <w:pPr>
              <w:spacing w:before="60" w:after="60"/>
              <w:rPr>
                <w:rFonts w:cstheme="minorHAnsi"/>
                <w:sz w:val="20"/>
                <w:szCs w:val="20"/>
              </w:rPr>
            </w:pPr>
            <w:r w:rsidRPr="00A052EA">
              <w:rPr>
                <w:rFonts w:cstheme="minorHAnsi"/>
                <w:sz w:val="20"/>
                <w:szCs w:val="20"/>
              </w:rPr>
              <w:t>ocrelizumab 300 mg/10 mL injection, 10 mL vial</w:t>
            </w:r>
          </w:p>
        </w:tc>
        <w:tc>
          <w:tcPr>
            <w:tcW w:w="1772" w:type="dxa"/>
          </w:tcPr>
          <w:p w14:paraId="7D6511CC" w14:textId="7751ED3C" w:rsidR="00B91315" w:rsidRPr="00A052EA" w:rsidRDefault="00B91315" w:rsidP="005669E6">
            <w:pPr>
              <w:spacing w:before="60" w:after="60"/>
              <w:jc w:val="center"/>
              <w:rPr>
                <w:rFonts w:cstheme="minorHAnsi"/>
                <w:sz w:val="20"/>
                <w:szCs w:val="20"/>
              </w:rPr>
            </w:pPr>
            <w:r w:rsidRPr="00A052EA">
              <w:rPr>
                <w:rFonts w:cstheme="minorHAnsi"/>
                <w:sz w:val="20"/>
                <w:szCs w:val="20"/>
              </w:rPr>
              <w:t>11237K</w:t>
            </w:r>
          </w:p>
        </w:tc>
        <w:tc>
          <w:tcPr>
            <w:tcW w:w="1772" w:type="dxa"/>
          </w:tcPr>
          <w:p w14:paraId="2968C708" w14:textId="358E3B5D" w:rsidR="00B91315" w:rsidRPr="00A052EA" w:rsidRDefault="00B91315" w:rsidP="005669E6">
            <w:pPr>
              <w:spacing w:before="60" w:after="60"/>
              <w:jc w:val="center"/>
              <w:rPr>
                <w:rFonts w:cstheme="minorHAnsi"/>
                <w:sz w:val="20"/>
                <w:szCs w:val="20"/>
              </w:rPr>
            </w:pPr>
            <w:r w:rsidRPr="00A052EA">
              <w:rPr>
                <w:rFonts w:cstheme="minorHAnsi"/>
                <w:sz w:val="20"/>
                <w:szCs w:val="20"/>
              </w:rPr>
              <w:t>L04AA36</w:t>
            </w:r>
          </w:p>
        </w:tc>
      </w:tr>
      <w:tr w:rsidR="00B91315" w:rsidRPr="00A052EA" w14:paraId="269A6C2C" w14:textId="77777777" w:rsidTr="009D0597">
        <w:tc>
          <w:tcPr>
            <w:tcW w:w="5382" w:type="dxa"/>
          </w:tcPr>
          <w:p w14:paraId="595B2D2A" w14:textId="0013CDC2" w:rsidR="00B91315" w:rsidRPr="00A052EA" w:rsidRDefault="00B91315" w:rsidP="00A052EA">
            <w:pPr>
              <w:spacing w:before="60" w:after="60"/>
              <w:rPr>
                <w:rFonts w:cstheme="minorHAnsi"/>
                <w:sz w:val="20"/>
                <w:szCs w:val="20"/>
              </w:rPr>
            </w:pPr>
            <w:r w:rsidRPr="00A052EA">
              <w:rPr>
                <w:rFonts w:cstheme="minorHAnsi"/>
                <w:sz w:val="20"/>
                <w:szCs w:val="20"/>
              </w:rPr>
              <w:t>ocrelizumab 300 mg/10 mL injection, 10 mL vial</w:t>
            </w:r>
          </w:p>
        </w:tc>
        <w:tc>
          <w:tcPr>
            <w:tcW w:w="1772" w:type="dxa"/>
          </w:tcPr>
          <w:p w14:paraId="19E090D5" w14:textId="4EFF371D" w:rsidR="00B91315" w:rsidRPr="00A052EA" w:rsidRDefault="00B91315" w:rsidP="005669E6">
            <w:pPr>
              <w:spacing w:before="60" w:after="60"/>
              <w:jc w:val="center"/>
              <w:rPr>
                <w:rFonts w:cstheme="minorHAnsi"/>
                <w:sz w:val="20"/>
                <w:szCs w:val="20"/>
              </w:rPr>
            </w:pPr>
            <w:r w:rsidRPr="00A052EA">
              <w:rPr>
                <w:rFonts w:cstheme="minorHAnsi"/>
                <w:sz w:val="20"/>
                <w:szCs w:val="20"/>
              </w:rPr>
              <w:t>11242Q</w:t>
            </w:r>
          </w:p>
        </w:tc>
        <w:tc>
          <w:tcPr>
            <w:tcW w:w="1772" w:type="dxa"/>
          </w:tcPr>
          <w:p w14:paraId="5720F66C" w14:textId="7917A1BE" w:rsidR="00B91315" w:rsidRPr="00A052EA" w:rsidRDefault="00B91315" w:rsidP="005669E6">
            <w:pPr>
              <w:spacing w:before="60" w:after="60"/>
              <w:jc w:val="center"/>
              <w:rPr>
                <w:rFonts w:cstheme="minorHAnsi"/>
                <w:sz w:val="20"/>
                <w:szCs w:val="20"/>
              </w:rPr>
            </w:pPr>
            <w:r w:rsidRPr="00A052EA">
              <w:rPr>
                <w:rFonts w:cstheme="minorHAnsi"/>
                <w:sz w:val="20"/>
                <w:szCs w:val="20"/>
              </w:rPr>
              <w:t>L04AA36</w:t>
            </w:r>
          </w:p>
        </w:tc>
      </w:tr>
      <w:tr w:rsidR="00B91315" w:rsidRPr="00A052EA" w14:paraId="3A744F4D" w14:textId="77777777" w:rsidTr="009D0597">
        <w:tc>
          <w:tcPr>
            <w:tcW w:w="5382" w:type="dxa"/>
          </w:tcPr>
          <w:p w14:paraId="0D348CC9" w14:textId="4461AE02" w:rsidR="00B91315" w:rsidRPr="00A052EA" w:rsidRDefault="00B91315" w:rsidP="00A052EA">
            <w:pPr>
              <w:spacing w:before="60" w:after="60"/>
              <w:rPr>
                <w:rFonts w:cstheme="minorHAnsi"/>
                <w:sz w:val="20"/>
                <w:szCs w:val="20"/>
              </w:rPr>
            </w:pPr>
            <w:r w:rsidRPr="00A052EA">
              <w:rPr>
                <w:rFonts w:cstheme="minorHAnsi"/>
                <w:sz w:val="20"/>
                <w:szCs w:val="20"/>
              </w:rPr>
              <w:t>peginterferon beta-1a 125 microgram/0.5 mL injection, 2 x 0.5 mL pen devices</w:t>
            </w:r>
          </w:p>
        </w:tc>
        <w:tc>
          <w:tcPr>
            <w:tcW w:w="1772" w:type="dxa"/>
          </w:tcPr>
          <w:p w14:paraId="3409A25C" w14:textId="036FCFF2" w:rsidR="00B91315" w:rsidRPr="00A052EA" w:rsidRDefault="00B91315" w:rsidP="005669E6">
            <w:pPr>
              <w:spacing w:before="60" w:after="60"/>
              <w:jc w:val="center"/>
              <w:rPr>
                <w:rFonts w:cstheme="minorHAnsi"/>
                <w:sz w:val="20"/>
                <w:szCs w:val="20"/>
              </w:rPr>
            </w:pPr>
            <w:r w:rsidRPr="00A052EA">
              <w:rPr>
                <w:rFonts w:cstheme="minorHAnsi"/>
                <w:sz w:val="20"/>
                <w:szCs w:val="20"/>
              </w:rPr>
              <w:t>10212L</w:t>
            </w:r>
          </w:p>
        </w:tc>
        <w:tc>
          <w:tcPr>
            <w:tcW w:w="1772" w:type="dxa"/>
          </w:tcPr>
          <w:p w14:paraId="70A664C2" w14:textId="70378F7B" w:rsidR="00B91315" w:rsidRPr="00A052EA" w:rsidRDefault="00B91315" w:rsidP="005669E6">
            <w:pPr>
              <w:spacing w:before="60" w:after="60"/>
              <w:jc w:val="center"/>
              <w:rPr>
                <w:rFonts w:cstheme="minorHAnsi"/>
                <w:sz w:val="20"/>
                <w:szCs w:val="20"/>
              </w:rPr>
            </w:pPr>
            <w:r w:rsidRPr="00A052EA">
              <w:rPr>
                <w:rFonts w:cstheme="minorHAnsi"/>
                <w:sz w:val="20"/>
                <w:szCs w:val="20"/>
              </w:rPr>
              <w:t>L03AB13</w:t>
            </w:r>
          </w:p>
        </w:tc>
      </w:tr>
      <w:tr w:rsidR="00B91315" w:rsidRPr="00A052EA" w14:paraId="1AB1F9D5" w14:textId="77777777" w:rsidTr="009D0597">
        <w:tc>
          <w:tcPr>
            <w:tcW w:w="5382" w:type="dxa"/>
          </w:tcPr>
          <w:p w14:paraId="1B131B4F" w14:textId="6E9C302E" w:rsidR="00B91315" w:rsidRPr="00A052EA" w:rsidRDefault="00B91315" w:rsidP="00A052EA">
            <w:pPr>
              <w:spacing w:before="60" w:after="60"/>
              <w:rPr>
                <w:rFonts w:cstheme="minorHAnsi"/>
                <w:i/>
                <w:sz w:val="20"/>
                <w:szCs w:val="20"/>
              </w:rPr>
            </w:pPr>
            <w:r w:rsidRPr="00A052EA">
              <w:rPr>
                <w:rFonts w:cstheme="minorHAnsi"/>
                <w:sz w:val="20"/>
                <w:szCs w:val="20"/>
              </w:rPr>
              <w:t xml:space="preserve">peginterferon beta-1a 125 microgram/0.5 mL injection, 2 x 0.5 mL pen devices </w:t>
            </w:r>
          </w:p>
        </w:tc>
        <w:tc>
          <w:tcPr>
            <w:tcW w:w="1772" w:type="dxa"/>
          </w:tcPr>
          <w:p w14:paraId="470B737A" w14:textId="58E9B9A7" w:rsidR="00B91315" w:rsidRPr="00A052EA" w:rsidRDefault="00B91315" w:rsidP="005669E6">
            <w:pPr>
              <w:spacing w:before="60" w:after="60"/>
              <w:jc w:val="center"/>
              <w:rPr>
                <w:rFonts w:cstheme="minorHAnsi"/>
                <w:sz w:val="20"/>
                <w:szCs w:val="20"/>
              </w:rPr>
            </w:pPr>
            <w:r w:rsidRPr="00A052EA">
              <w:rPr>
                <w:rFonts w:cstheme="minorHAnsi"/>
                <w:sz w:val="20"/>
                <w:szCs w:val="20"/>
              </w:rPr>
              <w:t>10220X</w:t>
            </w:r>
          </w:p>
        </w:tc>
        <w:tc>
          <w:tcPr>
            <w:tcW w:w="1772" w:type="dxa"/>
          </w:tcPr>
          <w:p w14:paraId="1D59D7A1" w14:textId="7E814822" w:rsidR="00B91315" w:rsidRPr="00A052EA" w:rsidRDefault="00B91315" w:rsidP="005669E6">
            <w:pPr>
              <w:spacing w:before="60" w:after="60"/>
              <w:jc w:val="center"/>
              <w:rPr>
                <w:rFonts w:cstheme="minorHAnsi"/>
                <w:sz w:val="20"/>
                <w:szCs w:val="20"/>
              </w:rPr>
            </w:pPr>
            <w:r w:rsidRPr="00A052EA">
              <w:rPr>
                <w:rFonts w:cstheme="minorHAnsi"/>
                <w:sz w:val="20"/>
                <w:szCs w:val="20"/>
              </w:rPr>
              <w:t>L03AB13</w:t>
            </w:r>
          </w:p>
        </w:tc>
      </w:tr>
      <w:tr w:rsidR="00B91315" w:rsidRPr="00A052EA" w14:paraId="4637C3DB" w14:textId="77777777" w:rsidTr="009D0597">
        <w:tc>
          <w:tcPr>
            <w:tcW w:w="5382" w:type="dxa"/>
          </w:tcPr>
          <w:p w14:paraId="38CA18A7" w14:textId="1BC0B26D" w:rsidR="00B91315" w:rsidRPr="00A052EA" w:rsidRDefault="00B91315" w:rsidP="00A052EA">
            <w:pPr>
              <w:spacing w:before="60" w:after="60"/>
              <w:rPr>
                <w:rFonts w:cstheme="minorHAnsi"/>
                <w:sz w:val="20"/>
                <w:szCs w:val="20"/>
              </w:rPr>
            </w:pPr>
            <w:r w:rsidRPr="00A052EA">
              <w:rPr>
                <w:rFonts w:cstheme="minorHAnsi"/>
                <w:sz w:val="20"/>
                <w:szCs w:val="20"/>
              </w:rPr>
              <w:t>peginterferon beta-1a 63 microgram/0.5 mL injection [0.5 mL pen device] (&amp;) peginterferon beta-1a 94 microgram/0.5 mL injection [0.5 mL pen device], 1 pack</w:t>
            </w:r>
          </w:p>
        </w:tc>
        <w:tc>
          <w:tcPr>
            <w:tcW w:w="1772" w:type="dxa"/>
          </w:tcPr>
          <w:p w14:paraId="3C2081F4" w14:textId="1FB610EE" w:rsidR="00B91315" w:rsidRPr="00A052EA" w:rsidRDefault="00B91315" w:rsidP="005669E6">
            <w:pPr>
              <w:spacing w:before="60" w:after="60"/>
              <w:jc w:val="center"/>
              <w:rPr>
                <w:rFonts w:cstheme="minorHAnsi"/>
                <w:sz w:val="20"/>
                <w:szCs w:val="20"/>
              </w:rPr>
            </w:pPr>
            <w:r w:rsidRPr="00A052EA">
              <w:rPr>
                <w:rFonts w:cstheme="minorHAnsi"/>
                <w:sz w:val="20"/>
                <w:szCs w:val="20"/>
              </w:rPr>
              <w:t>10218T</w:t>
            </w:r>
          </w:p>
        </w:tc>
        <w:tc>
          <w:tcPr>
            <w:tcW w:w="1772" w:type="dxa"/>
          </w:tcPr>
          <w:p w14:paraId="46264BD3" w14:textId="6BEB23FC" w:rsidR="00B91315" w:rsidRPr="00A052EA" w:rsidRDefault="00B91315" w:rsidP="005669E6">
            <w:pPr>
              <w:spacing w:before="60" w:after="60"/>
              <w:jc w:val="center"/>
              <w:rPr>
                <w:rFonts w:cstheme="minorHAnsi"/>
                <w:sz w:val="20"/>
                <w:szCs w:val="20"/>
              </w:rPr>
            </w:pPr>
            <w:r w:rsidRPr="00A052EA">
              <w:rPr>
                <w:rFonts w:cstheme="minorHAnsi"/>
                <w:sz w:val="20"/>
                <w:szCs w:val="20"/>
              </w:rPr>
              <w:t>L03AB13</w:t>
            </w:r>
          </w:p>
        </w:tc>
      </w:tr>
      <w:tr w:rsidR="00B91315" w:rsidRPr="00A052EA" w14:paraId="230F9E74" w14:textId="77777777" w:rsidTr="009D0597">
        <w:tc>
          <w:tcPr>
            <w:tcW w:w="5382" w:type="dxa"/>
          </w:tcPr>
          <w:p w14:paraId="6461791B" w14:textId="577981F6" w:rsidR="00B91315" w:rsidRPr="00A052EA" w:rsidRDefault="00C2053D" w:rsidP="00A052EA">
            <w:pPr>
              <w:spacing w:before="60" w:after="60"/>
              <w:rPr>
                <w:rFonts w:cstheme="minorHAnsi"/>
                <w:sz w:val="20"/>
                <w:szCs w:val="20"/>
              </w:rPr>
            </w:pPr>
            <w:r>
              <w:rPr>
                <w:rFonts w:cstheme="minorHAnsi"/>
                <w:sz w:val="20"/>
                <w:szCs w:val="20"/>
              </w:rPr>
              <w:t>t</w:t>
            </w:r>
            <w:r w:rsidR="00B91315" w:rsidRPr="00A052EA">
              <w:rPr>
                <w:rFonts w:cstheme="minorHAnsi"/>
                <w:sz w:val="20"/>
                <w:szCs w:val="20"/>
              </w:rPr>
              <w:t>eriflunomide 14 mg tablet, 28</w:t>
            </w:r>
          </w:p>
        </w:tc>
        <w:tc>
          <w:tcPr>
            <w:tcW w:w="1772" w:type="dxa"/>
          </w:tcPr>
          <w:p w14:paraId="0A6FE4C4" w14:textId="014D1BBC" w:rsidR="00B91315" w:rsidRPr="00A052EA" w:rsidRDefault="00B91315" w:rsidP="005669E6">
            <w:pPr>
              <w:spacing w:before="60" w:after="60"/>
              <w:jc w:val="center"/>
              <w:rPr>
                <w:rFonts w:cstheme="minorHAnsi"/>
                <w:sz w:val="20"/>
                <w:szCs w:val="20"/>
              </w:rPr>
            </w:pPr>
            <w:r w:rsidRPr="00A052EA">
              <w:rPr>
                <w:rFonts w:cstheme="minorHAnsi"/>
                <w:sz w:val="20"/>
                <w:szCs w:val="20"/>
              </w:rPr>
              <w:t>2898M</w:t>
            </w:r>
          </w:p>
        </w:tc>
        <w:tc>
          <w:tcPr>
            <w:tcW w:w="1772" w:type="dxa"/>
          </w:tcPr>
          <w:p w14:paraId="01A7F286" w14:textId="2096DF1D" w:rsidR="00B91315" w:rsidRPr="00A052EA" w:rsidRDefault="00B91315" w:rsidP="005669E6">
            <w:pPr>
              <w:spacing w:before="60" w:after="60"/>
              <w:jc w:val="center"/>
              <w:rPr>
                <w:rFonts w:cstheme="minorHAnsi"/>
                <w:sz w:val="20"/>
                <w:szCs w:val="20"/>
              </w:rPr>
            </w:pPr>
            <w:r w:rsidRPr="00A052EA">
              <w:rPr>
                <w:rFonts w:cstheme="minorHAnsi"/>
                <w:sz w:val="20"/>
                <w:szCs w:val="20"/>
              </w:rPr>
              <w:t>L04AA31</w:t>
            </w:r>
          </w:p>
        </w:tc>
      </w:tr>
    </w:tbl>
    <w:p w14:paraId="0C3444DA" w14:textId="3F01B7C7" w:rsidR="00996B1C" w:rsidRPr="00A052EA" w:rsidRDefault="00996B1C" w:rsidP="00A052EA">
      <w:pPr>
        <w:spacing w:before="60" w:after="60"/>
        <w:rPr>
          <w:rFonts w:cstheme="minorHAnsi"/>
          <w:sz w:val="20"/>
          <w:szCs w:val="20"/>
        </w:rPr>
      </w:pPr>
    </w:p>
    <w:sectPr w:rsidR="00996B1C" w:rsidRPr="00A052EA" w:rsidSect="00DD188C">
      <w:footerReference w:type="even" r:id="rId22"/>
      <w:footerReference w:type="default" r:id="rId23"/>
      <w:footerReference w:type="first" r:id="rId24"/>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50FC2" w14:textId="77777777" w:rsidR="005C08F9" w:rsidRDefault="005C08F9" w:rsidP="00A35800">
      <w:r>
        <w:separator/>
      </w:r>
    </w:p>
  </w:endnote>
  <w:endnote w:type="continuationSeparator" w:id="0">
    <w:p w14:paraId="45A4A8C8" w14:textId="77777777" w:rsidR="005C08F9" w:rsidRDefault="005C08F9"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9D5E5" w14:textId="77777777" w:rsidR="005C08F9" w:rsidRDefault="005C08F9"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5C08F9" w:rsidRDefault="005C08F9"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14:paraId="3E2264D6" w14:textId="02E8AF01" w:rsidR="005C08F9" w:rsidRPr="005C08F9" w:rsidRDefault="005C08F9" w:rsidP="000E72C6">
            <w:pPr>
              <w:pStyle w:val="Footer"/>
              <w:jc w:val="center"/>
              <w:rPr>
                <w:i/>
                <w:sz w:val="20"/>
                <w:szCs w:val="20"/>
              </w:rPr>
            </w:pPr>
            <w:r w:rsidRPr="005C08F9">
              <w:rPr>
                <w:i/>
                <w:sz w:val="20"/>
                <w:szCs w:val="20"/>
              </w:rPr>
              <w:t>Public Release Document, February 2020 DUSC Meeting</w:t>
            </w:r>
          </w:p>
          <w:p w14:paraId="10292A9A" w14:textId="210F3642" w:rsidR="005C08F9" w:rsidRDefault="005C08F9" w:rsidP="000E72C6">
            <w:pPr>
              <w:pStyle w:val="Footer"/>
              <w:jc w:val="center"/>
              <w:rPr>
                <w:rStyle w:val="PageNumber"/>
              </w:rPr>
            </w:pPr>
            <w:r w:rsidRPr="005C08F9">
              <w:rPr>
                <w:i/>
                <w:sz w:val="20"/>
                <w:szCs w:val="20"/>
              </w:rPr>
              <w:t xml:space="preserve">Page </w:t>
            </w:r>
            <w:r w:rsidRPr="005C08F9">
              <w:rPr>
                <w:bCs/>
                <w:i/>
                <w:sz w:val="20"/>
                <w:szCs w:val="20"/>
              </w:rPr>
              <w:fldChar w:fldCharType="begin"/>
            </w:r>
            <w:r w:rsidRPr="005C08F9">
              <w:rPr>
                <w:bCs/>
                <w:i/>
                <w:sz w:val="20"/>
                <w:szCs w:val="20"/>
              </w:rPr>
              <w:instrText xml:space="preserve"> PAGE </w:instrText>
            </w:r>
            <w:r w:rsidRPr="005C08F9">
              <w:rPr>
                <w:bCs/>
                <w:i/>
                <w:sz w:val="20"/>
                <w:szCs w:val="20"/>
              </w:rPr>
              <w:fldChar w:fldCharType="separate"/>
            </w:r>
            <w:r w:rsidR="005142E5">
              <w:rPr>
                <w:bCs/>
                <w:i/>
                <w:noProof/>
                <w:sz w:val="20"/>
                <w:szCs w:val="20"/>
              </w:rPr>
              <w:t>22</w:t>
            </w:r>
            <w:r w:rsidRPr="005C08F9">
              <w:rPr>
                <w:bCs/>
                <w:i/>
                <w:sz w:val="20"/>
                <w:szCs w:val="20"/>
              </w:rPr>
              <w:fldChar w:fldCharType="end"/>
            </w:r>
            <w:r w:rsidRPr="005C08F9">
              <w:rPr>
                <w:i/>
                <w:sz w:val="20"/>
                <w:szCs w:val="20"/>
              </w:rPr>
              <w:t xml:space="preserve"> of </w:t>
            </w:r>
            <w:r w:rsidRPr="005C08F9">
              <w:rPr>
                <w:bCs/>
                <w:i/>
                <w:sz w:val="20"/>
                <w:szCs w:val="20"/>
              </w:rPr>
              <w:fldChar w:fldCharType="begin"/>
            </w:r>
            <w:r w:rsidRPr="005C08F9">
              <w:rPr>
                <w:bCs/>
                <w:i/>
                <w:sz w:val="20"/>
                <w:szCs w:val="20"/>
              </w:rPr>
              <w:instrText xml:space="preserve"> NUMPAGES  </w:instrText>
            </w:r>
            <w:r w:rsidRPr="005C08F9">
              <w:rPr>
                <w:bCs/>
                <w:i/>
                <w:sz w:val="20"/>
                <w:szCs w:val="20"/>
              </w:rPr>
              <w:fldChar w:fldCharType="separate"/>
            </w:r>
            <w:r w:rsidR="005142E5">
              <w:rPr>
                <w:bCs/>
                <w:i/>
                <w:noProof/>
                <w:sz w:val="20"/>
                <w:szCs w:val="20"/>
              </w:rPr>
              <w:t>23</w:t>
            </w:r>
            <w:r w:rsidRPr="005C08F9">
              <w:rPr>
                <w:bCs/>
                <w:i/>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22E1F" w14:textId="77777777" w:rsidR="005C08F9" w:rsidRDefault="005C08F9" w:rsidP="007A5733">
    <w:pPr>
      <w:pStyle w:val="Footer"/>
      <w:jc w:val="center"/>
      <w:rPr>
        <w:rStyle w:val="PageNumber"/>
      </w:rPr>
    </w:pPr>
    <w:r>
      <w:rPr>
        <w:rStyle w:val="PageNumber"/>
      </w:rPr>
      <w:t>Committee-in-Confidence</w:t>
    </w:r>
  </w:p>
  <w:p w14:paraId="3CE6880B" w14:textId="77777777" w:rsidR="005C08F9" w:rsidRDefault="005C08F9"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5EEDE" w14:textId="77777777" w:rsidR="005C08F9" w:rsidRDefault="005C08F9" w:rsidP="00A35800">
      <w:r>
        <w:separator/>
      </w:r>
    </w:p>
  </w:footnote>
  <w:footnote w:type="continuationSeparator" w:id="0">
    <w:p w14:paraId="7E2CA1E4" w14:textId="77777777" w:rsidR="005C08F9" w:rsidRDefault="005C08F9" w:rsidP="00A35800">
      <w:r>
        <w:continuationSeparator/>
      </w:r>
    </w:p>
  </w:footnote>
  <w:footnote w:id="1">
    <w:p w14:paraId="59602EEC" w14:textId="7BEF28F8" w:rsidR="005C08F9" w:rsidRDefault="005C08F9" w:rsidP="00EF2581">
      <w:pPr>
        <w:pStyle w:val="FootnoteText"/>
      </w:pPr>
      <w:r>
        <w:rPr>
          <w:rStyle w:val="FootnoteReference"/>
        </w:rPr>
        <w:footnoteRef/>
      </w:r>
      <w:r>
        <w:t xml:space="preserve"> Broadley SA, Barnett MH, Boggild M et al. A new era in the treatment of multiple sclerosis. MJA. 2015 Aug 3; 203(3):139-41.</w:t>
      </w:r>
    </w:p>
  </w:footnote>
  <w:footnote w:id="2">
    <w:p w14:paraId="44442F8F" w14:textId="168BC65F" w:rsidR="005C08F9" w:rsidRDefault="005C08F9">
      <w:pPr>
        <w:pStyle w:val="FootnoteText"/>
      </w:pPr>
      <w:r>
        <w:rPr>
          <w:rStyle w:val="FootnoteReference"/>
        </w:rPr>
        <w:footnoteRef/>
      </w:r>
      <w:r>
        <w:t xml:space="preserve"> </w:t>
      </w:r>
      <w:r w:rsidRPr="006E0F3B">
        <w:rPr>
          <w:szCs w:val="18"/>
        </w:rPr>
        <w:t>MS Australia (Internet). Understanding</w:t>
      </w:r>
      <w:r>
        <w:rPr>
          <w:szCs w:val="18"/>
        </w:rPr>
        <w:t xml:space="preserve"> multiple sclerosis an</w:t>
      </w:r>
      <w:r w:rsidRPr="006E0F3B">
        <w:rPr>
          <w:szCs w:val="18"/>
        </w:rPr>
        <w:t xml:space="preserve"> introductory guide</w:t>
      </w:r>
      <w:r>
        <w:rPr>
          <w:szCs w:val="18"/>
        </w:rPr>
        <w:t xml:space="preserve">. </w:t>
      </w:r>
      <w:r w:rsidRPr="006E0F3B">
        <w:rPr>
          <w:szCs w:val="18"/>
        </w:rPr>
        <w:t>Accessed on 28 November 2019, Available from: https://www.msaustralia.org.au/what-ms</w:t>
      </w:r>
    </w:p>
  </w:footnote>
  <w:footnote w:id="3">
    <w:p w14:paraId="0CD3CD71" w14:textId="7E9B46E5" w:rsidR="005C08F9" w:rsidRDefault="005C08F9" w:rsidP="00DF78A2">
      <w:pPr>
        <w:pStyle w:val="FootnoteText"/>
      </w:pPr>
      <w:r>
        <w:rPr>
          <w:rStyle w:val="FootnoteReference"/>
        </w:rPr>
        <w:footnoteRef/>
      </w:r>
      <w:r>
        <w:t xml:space="preserve"> </w:t>
      </w:r>
      <w:r w:rsidRPr="00DF78A2">
        <w:t>MS Australia (Internet).</w:t>
      </w:r>
      <w:r>
        <w:t xml:space="preserve"> Key facts and figures about multiple sclerosis (u</w:t>
      </w:r>
      <w:r w:rsidRPr="00DF78A2">
        <w:t>pdated June 2019</w:t>
      </w:r>
      <w:r>
        <w:t>). Accessed on 5 December 2019, Available from:</w:t>
      </w:r>
      <w:r w:rsidRPr="00DF78A2">
        <w:t xml:space="preserve"> https://www.msaustralia.org.au/about-ms/information-sheets</w:t>
      </w:r>
    </w:p>
  </w:footnote>
  <w:footnote w:id="4">
    <w:p w14:paraId="4CA8D70E" w14:textId="02AE0239" w:rsidR="005C08F9" w:rsidRDefault="005C08F9" w:rsidP="001F2424">
      <w:pPr>
        <w:pStyle w:val="FootnoteText"/>
      </w:pPr>
      <w:r>
        <w:rPr>
          <w:rStyle w:val="FootnoteReference"/>
        </w:rPr>
        <w:footnoteRef/>
      </w:r>
      <w:r>
        <w:t xml:space="preserve"> </w:t>
      </w:r>
      <w:r w:rsidRPr="001F2424">
        <w:t>LEMTRADA®</w:t>
      </w:r>
      <w:r>
        <w:t xml:space="preserve"> (</w:t>
      </w:r>
      <w:r w:rsidRPr="001F2424">
        <w:t>Alemtuzumab</w:t>
      </w:r>
      <w:r>
        <w:t>). Australian Approved Product Information. NSW: s</w:t>
      </w:r>
      <w:r w:rsidRPr="001F2424">
        <w:t>anofi-aventis pty ltd</w:t>
      </w:r>
      <w:r>
        <w:t>. Approved 18 December 2013. Most recent revision</w:t>
      </w:r>
      <w:r w:rsidRPr="001F2424">
        <w:t xml:space="preserve"> </w:t>
      </w:r>
      <w:r>
        <w:t xml:space="preserve">28 June 2019. Available from </w:t>
      </w:r>
      <w:r w:rsidRPr="001F2424">
        <w:t>https://www.ebs.tga.gov.au/ebs/picmi/picmirepository.nsf/pdf?OpenAgent&amp;id=CP-2013-PI-02549-1&amp;d=201911281016933</w:t>
      </w:r>
    </w:p>
  </w:footnote>
  <w:footnote w:id="5">
    <w:p w14:paraId="7F069F25" w14:textId="4531A0B6" w:rsidR="005C08F9" w:rsidRDefault="005C08F9" w:rsidP="006E0F3B">
      <w:pPr>
        <w:pStyle w:val="FootnoteText"/>
      </w:pPr>
      <w:r>
        <w:rPr>
          <w:rStyle w:val="FootnoteReference"/>
        </w:rPr>
        <w:footnoteRef/>
      </w:r>
      <w:r>
        <w:t xml:space="preserve"> MS </w:t>
      </w:r>
      <w:r w:rsidRPr="006E0F3B">
        <w:t xml:space="preserve">Australia (Internet). </w:t>
      </w:r>
      <w:r>
        <w:t>Treatments for MS: Lemtrada® (alemtuzumab).</w:t>
      </w:r>
      <w:r w:rsidRPr="006E0F3B">
        <w:t xml:space="preserve">Accessed on 28 November 2019, Available from: </w:t>
      </w:r>
      <w:r w:rsidRPr="00F640ED">
        <w:t>https://www.msaustralia.org.au/sites/default/files/Lemtrada%20%28alemtuzumab%29_0.pdf</w:t>
      </w:r>
    </w:p>
  </w:footnote>
  <w:footnote w:id="6">
    <w:p w14:paraId="4FC41BEC" w14:textId="16DA0403" w:rsidR="005C08F9" w:rsidRDefault="005C08F9">
      <w:pPr>
        <w:pStyle w:val="FootnoteText"/>
      </w:pPr>
      <w:r>
        <w:rPr>
          <w:rStyle w:val="FootnoteReference"/>
        </w:rPr>
        <w:footnoteRef/>
      </w:r>
      <w:r>
        <w:t xml:space="preserve"> </w:t>
      </w:r>
      <w:r w:rsidRPr="002D7B10">
        <w:t xml:space="preserve">Food and Drug Administration (FDA) (Internet). Accessed on 03 December 2019, Available from: </w:t>
      </w:r>
      <w:hyperlink r:id="rId1" w:history="1">
        <w:r w:rsidRPr="00864736">
          <w:rPr>
            <w:rStyle w:val="Hyperlink"/>
            <w:color w:val="auto"/>
          </w:rPr>
          <w:t>https://www.fda.gov/drugs/drug-safety-and-availability/fda-warns-about-rare-serious-risks-stroke-and-blood-vessel-wall-tears-multiple-sclerosis-drug</w:t>
        </w:r>
      </w:hyperlink>
    </w:p>
  </w:footnote>
  <w:footnote w:id="7">
    <w:p w14:paraId="1A76C390" w14:textId="1570E994" w:rsidR="005C08F9" w:rsidRDefault="005C08F9">
      <w:pPr>
        <w:pStyle w:val="FootnoteText"/>
      </w:pPr>
      <w:r>
        <w:rPr>
          <w:rStyle w:val="FootnoteReference"/>
        </w:rPr>
        <w:footnoteRef/>
      </w:r>
      <w:r>
        <w:t xml:space="preserve"> </w:t>
      </w:r>
      <w:r w:rsidRPr="002D7B10">
        <w:t>The European Medicines Agency (EMA). Accessed on 03 December 2019, Available from: https://www.ema.europa.eu/en/medicines/human/referrals/lemtrada</w:t>
      </w:r>
    </w:p>
  </w:footnote>
  <w:footnote w:id="8">
    <w:p w14:paraId="177AECB9" w14:textId="4411BA04" w:rsidR="005C08F9" w:rsidRDefault="005C08F9">
      <w:pPr>
        <w:pStyle w:val="FootnoteText"/>
      </w:pPr>
      <w:r>
        <w:rPr>
          <w:rStyle w:val="FootnoteReference"/>
        </w:rPr>
        <w:footnoteRef/>
      </w:r>
      <w:r>
        <w:t xml:space="preserve"> </w:t>
      </w:r>
      <w:r w:rsidRPr="00B02F2E">
        <w:t>Therapeutic Goods Administration (TGA</w:t>
      </w:r>
      <w:r>
        <w:t>) email correspondence:</w:t>
      </w:r>
      <w:r w:rsidRPr="00B02F2E">
        <w:t xml:space="preserve"> Alemtuzumab for RRMS</w:t>
      </w:r>
      <w:r>
        <w:t>. E-mail to DUSC secretariat 2019 December 12 (cited 2019 December 12)</w:t>
      </w:r>
    </w:p>
  </w:footnote>
  <w:footnote w:id="9">
    <w:p w14:paraId="78B318BE" w14:textId="51EEF079" w:rsidR="005C08F9" w:rsidRDefault="005C08F9">
      <w:pPr>
        <w:pStyle w:val="FootnoteText"/>
      </w:pPr>
      <w:r>
        <w:rPr>
          <w:rStyle w:val="FootnoteReference"/>
        </w:rPr>
        <w:footnoteRef/>
      </w:r>
      <w:r>
        <w:t xml:space="preserve"> </w:t>
      </w:r>
      <w:r w:rsidRPr="00FA36D5">
        <w:t>PBS statistics. Australian Government Department of Human Services Medicare. Canberra. Available from http://medicarestatistics.humanservices.gov.au/statistics/pbs_item.jsp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7027"/>
    <w:multiLevelType w:val="hybridMultilevel"/>
    <w:tmpl w:val="89D8A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862908"/>
    <w:multiLevelType w:val="hybridMultilevel"/>
    <w:tmpl w:val="358A5548"/>
    <w:lvl w:ilvl="0" w:tplc="5C10586A">
      <w:numFmt w:val="bullet"/>
      <w:lvlText w:val="•"/>
      <w:lvlJc w:val="left"/>
      <w:pPr>
        <w:ind w:left="360" w:hanging="360"/>
      </w:pPr>
      <w:rPr>
        <w:rFonts w:ascii="Calibri" w:eastAsiaTheme="minorEastAs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B1E7359"/>
    <w:multiLevelType w:val="hybridMultilevel"/>
    <w:tmpl w:val="EACC3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A14C97"/>
    <w:multiLevelType w:val="hybridMultilevel"/>
    <w:tmpl w:val="E57A1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656627"/>
    <w:multiLevelType w:val="hybridMultilevel"/>
    <w:tmpl w:val="4CF0F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8F50FD"/>
    <w:multiLevelType w:val="hybridMultilevel"/>
    <w:tmpl w:val="96E8A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96505F"/>
    <w:multiLevelType w:val="hybridMultilevel"/>
    <w:tmpl w:val="36BC2F2E"/>
    <w:lvl w:ilvl="0" w:tplc="1E0657D0">
      <w:start w:val="19"/>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CE62A0"/>
    <w:multiLevelType w:val="hybridMultilevel"/>
    <w:tmpl w:val="B7E8E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0D5AC8"/>
    <w:multiLevelType w:val="hybridMultilevel"/>
    <w:tmpl w:val="6456C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6911622"/>
    <w:multiLevelType w:val="hybridMultilevel"/>
    <w:tmpl w:val="82020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6A467C9"/>
    <w:multiLevelType w:val="hybridMultilevel"/>
    <w:tmpl w:val="5F3A95FA"/>
    <w:lvl w:ilvl="0" w:tplc="B90C835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880EB7"/>
    <w:multiLevelType w:val="hybridMultilevel"/>
    <w:tmpl w:val="67E2B3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10"/>
  </w:num>
  <w:num w:numId="3">
    <w:abstractNumId w:val="3"/>
  </w:num>
  <w:num w:numId="4">
    <w:abstractNumId w:val="0"/>
  </w:num>
  <w:num w:numId="5">
    <w:abstractNumId w:val="5"/>
  </w:num>
  <w:num w:numId="6">
    <w:abstractNumId w:val="8"/>
  </w:num>
  <w:num w:numId="7">
    <w:abstractNumId w:val="12"/>
  </w:num>
  <w:num w:numId="8">
    <w:abstractNumId w:val="2"/>
  </w:num>
  <w:num w:numId="9">
    <w:abstractNumId w:val="7"/>
  </w:num>
  <w:num w:numId="10">
    <w:abstractNumId w:val="9"/>
  </w:num>
  <w:num w:numId="11">
    <w:abstractNumId w:val="11"/>
  </w:num>
  <w:num w:numId="12">
    <w:abstractNumId w:val="1"/>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1146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41"/>
    <w:rsid w:val="00001BB3"/>
    <w:rsid w:val="0000234A"/>
    <w:rsid w:val="0000500B"/>
    <w:rsid w:val="00006E56"/>
    <w:rsid w:val="00007E85"/>
    <w:rsid w:val="000116FF"/>
    <w:rsid w:val="00013465"/>
    <w:rsid w:val="000208C1"/>
    <w:rsid w:val="000226B3"/>
    <w:rsid w:val="000230E4"/>
    <w:rsid w:val="00023A87"/>
    <w:rsid w:val="00024334"/>
    <w:rsid w:val="00024549"/>
    <w:rsid w:val="00033318"/>
    <w:rsid w:val="000544B6"/>
    <w:rsid w:val="00054698"/>
    <w:rsid w:val="000604AF"/>
    <w:rsid w:val="00086C11"/>
    <w:rsid w:val="00091235"/>
    <w:rsid w:val="000920BE"/>
    <w:rsid w:val="00094DCF"/>
    <w:rsid w:val="000A6CFD"/>
    <w:rsid w:val="000B0982"/>
    <w:rsid w:val="000B796C"/>
    <w:rsid w:val="000C46BB"/>
    <w:rsid w:val="000C4D9D"/>
    <w:rsid w:val="000C4EFA"/>
    <w:rsid w:val="000C7C4B"/>
    <w:rsid w:val="000C7D8B"/>
    <w:rsid w:val="000D445E"/>
    <w:rsid w:val="000D46E2"/>
    <w:rsid w:val="000D50D1"/>
    <w:rsid w:val="000E248B"/>
    <w:rsid w:val="000E485D"/>
    <w:rsid w:val="000E71E2"/>
    <w:rsid w:val="000E72C6"/>
    <w:rsid w:val="000F1893"/>
    <w:rsid w:val="000F2F51"/>
    <w:rsid w:val="001038F7"/>
    <w:rsid w:val="00112934"/>
    <w:rsid w:val="00113CF8"/>
    <w:rsid w:val="00113D74"/>
    <w:rsid w:val="00114B5E"/>
    <w:rsid w:val="00117C5C"/>
    <w:rsid w:val="001310AE"/>
    <w:rsid w:val="001420B3"/>
    <w:rsid w:val="001460C4"/>
    <w:rsid w:val="00147542"/>
    <w:rsid w:val="001502D5"/>
    <w:rsid w:val="00152573"/>
    <w:rsid w:val="001535B5"/>
    <w:rsid w:val="0015691C"/>
    <w:rsid w:val="001621F7"/>
    <w:rsid w:val="001624D7"/>
    <w:rsid w:val="0017123C"/>
    <w:rsid w:val="00173964"/>
    <w:rsid w:val="00174B96"/>
    <w:rsid w:val="001762F7"/>
    <w:rsid w:val="00177B86"/>
    <w:rsid w:val="00182585"/>
    <w:rsid w:val="00191182"/>
    <w:rsid w:val="0019235D"/>
    <w:rsid w:val="00192524"/>
    <w:rsid w:val="0019664D"/>
    <w:rsid w:val="00197601"/>
    <w:rsid w:val="001A6103"/>
    <w:rsid w:val="001B09BC"/>
    <w:rsid w:val="001B5D37"/>
    <w:rsid w:val="001B6A6F"/>
    <w:rsid w:val="001C2940"/>
    <w:rsid w:val="001C36DC"/>
    <w:rsid w:val="001C4016"/>
    <w:rsid w:val="001C548D"/>
    <w:rsid w:val="001C6A5D"/>
    <w:rsid w:val="001D50D0"/>
    <w:rsid w:val="001E31A6"/>
    <w:rsid w:val="001E42C7"/>
    <w:rsid w:val="001E4CAB"/>
    <w:rsid w:val="001F0A4E"/>
    <w:rsid w:val="001F2424"/>
    <w:rsid w:val="001F2AF8"/>
    <w:rsid w:val="001F2F3E"/>
    <w:rsid w:val="001F4906"/>
    <w:rsid w:val="001F7C4A"/>
    <w:rsid w:val="00203652"/>
    <w:rsid w:val="0020578A"/>
    <w:rsid w:val="00207631"/>
    <w:rsid w:val="002078C0"/>
    <w:rsid w:val="00214013"/>
    <w:rsid w:val="002178AD"/>
    <w:rsid w:val="00220FC1"/>
    <w:rsid w:val="00221F4E"/>
    <w:rsid w:val="00222E9A"/>
    <w:rsid w:val="00225061"/>
    <w:rsid w:val="00225E9D"/>
    <w:rsid w:val="00226F9F"/>
    <w:rsid w:val="0023179D"/>
    <w:rsid w:val="002344D8"/>
    <w:rsid w:val="0025389D"/>
    <w:rsid w:val="00253C84"/>
    <w:rsid w:val="00254E02"/>
    <w:rsid w:val="00260E7D"/>
    <w:rsid w:val="0026265F"/>
    <w:rsid w:val="002713C4"/>
    <w:rsid w:val="0028457E"/>
    <w:rsid w:val="00286C3A"/>
    <w:rsid w:val="002930F5"/>
    <w:rsid w:val="00294A13"/>
    <w:rsid w:val="002957DC"/>
    <w:rsid w:val="002A06B7"/>
    <w:rsid w:val="002B1DA6"/>
    <w:rsid w:val="002B63E1"/>
    <w:rsid w:val="002C01D3"/>
    <w:rsid w:val="002C6E0C"/>
    <w:rsid w:val="002D144A"/>
    <w:rsid w:val="002D200C"/>
    <w:rsid w:val="002D7B10"/>
    <w:rsid w:val="002E19A3"/>
    <w:rsid w:val="002E212B"/>
    <w:rsid w:val="002E3144"/>
    <w:rsid w:val="002E3337"/>
    <w:rsid w:val="002E6D03"/>
    <w:rsid w:val="002F1994"/>
    <w:rsid w:val="002F49A8"/>
    <w:rsid w:val="002F527D"/>
    <w:rsid w:val="002F5E66"/>
    <w:rsid w:val="002F61CA"/>
    <w:rsid w:val="002F7A0B"/>
    <w:rsid w:val="0030010D"/>
    <w:rsid w:val="00302952"/>
    <w:rsid w:val="00304079"/>
    <w:rsid w:val="00305D0C"/>
    <w:rsid w:val="00315509"/>
    <w:rsid w:val="00320CDE"/>
    <w:rsid w:val="0033504C"/>
    <w:rsid w:val="00336816"/>
    <w:rsid w:val="003370D0"/>
    <w:rsid w:val="003372BA"/>
    <w:rsid w:val="00337355"/>
    <w:rsid w:val="003402E4"/>
    <w:rsid w:val="00340F95"/>
    <w:rsid w:val="00345008"/>
    <w:rsid w:val="003531ED"/>
    <w:rsid w:val="0035534A"/>
    <w:rsid w:val="00360B9A"/>
    <w:rsid w:val="003661E9"/>
    <w:rsid w:val="00370725"/>
    <w:rsid w:val="003717A9"/>
    <w:rsid w:val="0037282C"/>
    <w:rsid w:val="00374E65"/>
    <w:rsid w:val="003768FC"/>
    <w:rsid w:val="003844E1"/>
    <w:rsid w:val="003851AD"/>
    <w:rsid w:val="00386C43"/>
    <w:rsid w:val="0039017F"/>
    <w:rsid w:val="00394AEE"/>
    <w:rsid w:val="003978AA"/>
    <w:rsid w:val="003A394C"/>
    <w:rsid w:val="003A4EA6"/>
    <w:rsid w:val="003B18B3"/>
    <w:rsid w:val="003B4B5E"/>
    <w:rsid w:val="003B7EFE"/>
    <w:rsid w:val="003C2D98"/>
    <w:rsid w:val="003C374E"/>
    <w:rsid w:val="003C5818"/>
    <w:rsid w:val="003D1E71"/>
    <w:rsid w:val="003D2668"/>
    <w:rsid w:val="003D3A96"/>
    <w:rsid w:val="003D3B9C"/>
    <w:rsid w:val="003D5777"/>
    <w:rsid w:val="003F0A24"/>
    <w:rsid w:val="003F30BC"/>
    <w:rsid w:val="003F6DC3"/>
    <w:rsid w:val="003F7EC4"/>
    <w:rsid w:val="00400D5D"/>
    <w:rsid w:val="00404F03"/>
    <w:rsid w:val="00405809"/>
    <w:rsid w:val="00412051"/>
    <w:rsid w:val="00420556"/>
    <w:rsid w:val="00423B94"/>
    <w:rsid w:val="004315F7"/>
    <w:rsid w:val="00436377"/>
    <w:rsid w:val="00451942"/>
    <w:rsid w:val="00463731"/>
    <w:rsid w:val="00463ACA"/>
    <w:rsid w:val="0046400A"/>
    <w:rsid w:val="00465EF1"/>
    <w:rsid w:val="004660CC"/>
    <w:rsid w:val="00466265"/>
    <w:rsid w:val="00467B25"/>
    <w:rsid w:val="00481108"/>
    <w:rsid w:val="00481D94"/>
    <w:rsid w:val="0049042B"/>
    <w:rsid w:val="00493F68"/>
    <w:rsid w:val="00495473"/>
    <w:rsid w:val="00497CCE"/>
    <w:rsid w:val="004A458E"/>
    <w:rsid w:val="004A7D37"/>
    <w:rsid w:val="004B23E7"/>
    <w:rsid w:val="004B306F"/>
    <w:rsid w:val="004C1881"/>
    <w:rsid w:val="004C3186"/>
    <w:rsid w:val="004C5042"/>
    <w:rsid w:val="004C68C1"/>
    <w:rsid w:val="004E3F7E"/>
    <w:rsid w:val="004E4422"/>
    <w:rsid w:val="00500C2A"/>
    <w:rsid w:val="00503998"/>
    <w:rsid w:val="0050623B"/>
    <w:rsid w:val="00507089"/>
    <w:rsid w:val="005101FF"/>
    <w:rsid w:val="005131E1"/>
    <w:rsid w:val="005142E5"/>
    <w:rsid w:val="00523181"/>
    <w:rsid w:val="00524D13"/>
    <w:rsid w:val="005300B5"/>
    <w:rsid w:val="00532A55"/>
    <w:rsid w:val="005339F6"/>
    <w:rsid w:val="00545256"/>
    <w:rsid w:val="00556902"/>
    <w:rsid w:val="00564E99"/>
    <w:rsid w:val="005669E6"/>
    <w:rsid w:val="00572FE7"/>
    <w:rsid w:val="00576583"/>
    <w:rsid w:val="00576B18"/>
    <w:rsid w:val="00585881"/>
    <w:rsid w:val="00587724"/>
    <w:rsid w:val="00591512"/>
    <w:rsid w:val="00597647"/>
    <w:rsid w:val="005A17F5"/>
    <w:rsid w:val="005A58F4"/>
    <w:rsid w:val="005A59BF"/>
    <w:rsid w:val="005B2D91"/>
    <w:rsid w:val="005B48B4"/>
    <w:rsid w:val="005B62A2"/>
    <w:rsid w:val="005B6506"/>
    <w:rsid w:val="005B7031"/>
    <w:rsid w:val="005C08F9"/>
    <w:rsid w:val="005C46C4"/>
    <w:rsid w:val="005C6661"/>
    <w:rsid w:val="005C6E3B"/>
    <w:rsid w:val="005C72D1"/>
    <w:rsid w:val="005D474B"/>
    <w:rsid w:val="005D5607"/>
    <w:rsid w:val="005E085C"/>
    <w:rsid w:val="005E147D"/>
    <w:rsid w:val="005E22C2"/>
    <w:rsid w:val="005E3BAA"/>
    <w:rsid w:val="005E563D"/>
    <w:rsid w:val="005E57BB"/>
    <w:rsid w:val="005F0017"/>
    <w:rsid w:val="005F3D23"/>
    <w:rsid w:val="00601414"/>
    <w:rsid w:val="006014F1"/>
    <w:rsid w:val="0060781A"/>
    <w:rsid w:val="0061357B"/>
    <w:rsid w:val="00614A7D"/>
    <w:rsid w:val="00622BB3"/>
    <w:rsid w:val="00625CAC"/>
    <w:rsid w:val="0063631C"/>
    <w:rsid w:val="0063757B"/>
    <w:rsid w:val="006377CE"/>
    <w:rsid w:val="00646F83"/>
    <w:rsid w:val="006507FC"/>
    <w:rsid w:val="006532B9"/>
    <w:rsid w:val="006537D9"/>
    <w:rsid w:val="0066335F"/>
    <w:rsid w:val="00664A48"/>
    <w:rsid w:val="00665DEF"/>
    <w:rsid w:val="00675703"/>
    <w:rsid w:val="00675BB1"/>
    <w:rsid w:val="006775F1"/>
    <w:rsid w:val="00677E54"/>
    <w:rsid w:val="0068492A"/>
    <w:rsid w:val="006855E4"/>
    <w:rsid w:val="006859F9"/>
    <w:rsid w:val="00686F58"/>
    <w:rsid w:val="00692AA7"/>
    <w:rsid w:val="0069458C"/>
    <w:rsid w:val="00694F35"/>
    <w:rsid w:val="0069544F"/>
    <w:rsid w:val="00697FEC"/>
    <w:rsid w:val="006A175F"/>
    <w:rsid w:val="006A3A81"/>
    <w:rsid w:val="006A44F5"/>
    <w:rsid w:val="006A4AA7"/>
    <w:rsid w:val="006A611D"/>
    <w:rsid w:val="006A6CF0"/>
    <w:rsid w:val="006B4537"/>
    <w:rsid w:val="006B50FF"/>
    <w:rsid w:val="006B5F85"/>
    <w:rsid w:val="006B6281"/>
    <w:rsid w:val="006B6929"/>
    <w:rsid w:val="006B709B"/>
    <w:rsid w:val="006B7360"/>
    <w:rsid w:val="006C25B0"/>
    <w:rsid w:val="006C54AF"/>
    <w:rsid w:val="006D10B0"/>
    <w:rsid w:val="006D411C"/>
    <w:rsid w:val="006E0181"/>
    <w:rsid w:val="006E0F3B"/>
    <w:rsid w:val="00700C0E"/>
    <w:rsid w:val="00705DAD"/>
    <w:rsid w:val="007138C3"/>
    <w:rsid w:val="00722519"/>
    <w:rsid w:val="007247B9"/>
    <w:rsid w:val="00727D85"/>
    <w:rsid w:val="007346C7"/>
    <w:rsid w:val="00736041"/>
    <w:rsid w:val="007408C7"/>
    <w:rsid w:val="007465DA"/>
    <w:rsid w:val="007526D1"/>
    <w:rsid w:val="00752C7F"/>
    <w:rsid w:val="007548CD"/>
    <w:rsid w:val="00775D10"/>
    <w:rsid w:val="00776598"/>
    <w:rsid w:val="00780FEC"/>
    <w:rsid w:val="00785D19"/>
    <w:rsid w:val="00787915"/>
    <w:rsid w:val="00792594"/>
    <w:rsid w:val="00792948"/>
    <w:rsid w:val="0079332B"/>
    <w:rsid w:val="00793AEE"/>
    <w:rsid w:val="00796E84"/>
    <w:rsid w:val="007A07DD"/>
    <w:rsid w:val="007A3ADE"/>
    <w:rsid w:val="007A5733"/>
    <w:rsid w:val="007A5774"/>
    <w:rsid w:val="007B53C2"/>
    <w:rsid w:val="007C4E76"/>
    <w:rsid w:val="007C64C8"/>
    <w:rsid w:val="007D1A93"/>
    <w:rsid w:val="007D7623"/>
    <w:rsid w:val="007E4EAD"/>
    <w:rsid w:val="007E7CD2"/>
    <w:rsid w:val="00801E74"/>
    <w:rsid w:val="0080485E"/>
    <w:rsid w:val="008070E6"/>
    <w:rsid w:val="008142B4"/>
    <w:rsid w:val="008166EB"/>
    <w:rsid w:val="00824787"/>
    <w:rsid w:val="00832324"/>
    <w:rsid w:val="00835337"/>
    <w:rsid w:val="0084075C"/>
    <w:rsid w:val="00846DCD"/>
    <w:rsid w:val="008473EE"/>
    <w:rsid w:val="00851D85"/>
    <w:rsid w:val="00854B1E"/>
    <w:rsid w:val="00860CCB"/>
    <w:rsid w:val="00864736"/>
    <w:rsid w:val="00865AE5"/>
    <w:rsid w:val="008740A3"/>
    <w:rsid w:val="0089297B"/>
    <w:rsid w:val="0089561F"/>
    <w:rsid w:val="00897FC8"/>
    <w:rsid w:val="008A4A3F"/>
    <w:rsid w:val="008B5CB5"/>
    <w:rsid w:val="008C36CA"/>
    <w:rsid w:val="008D4E6F"/>
    <w:rsid w:val="008E3C92"/>
    <w:rsid w:val="008E3F8C"/>
    <w:rsid w:val="008E7F80"/>
    <w:rsid w:val="008F1709"/>
    <w:rsid w:val="008F192B"/>
    <w:rsid w:val="00902FD0"/>
    <w:rsid w:val="009053D3"/>
    <w:rsid w:val="0090691F"/>
    <w:rsid w:val="0091418D"/>
    <w:rsid w:val="0093111F"/>
    <w:rsid w:val="00935689"/>
    <w:rsid w:val="009378EF"/>
    <w:rsid w:val="00940B0E"/>
    <w:rsid w:val="009413B5"/>
    <w:rsid w:val="00944956"/>
    <w:rsid w:val="0095303B"/>
    <w:rsid w:val="00961EE5"/>
    <w:rsid w:val="009663B6"/>
    <w:rsid w:val="0096654C"/>
    <w:rsid w:val="00972C79"/>
    <w:rsid w:val="00973517"/>
    <w:rsid w:val="00973E3F"/>
    <w:rsid w:val="00974A47"/>
    <w:rsid w:val="0097582A"/>
    <w:rsid w:val="00980286"/>
    <w:rsid w:val="00986A80"/>
    <w:rsid w:val="00987BC5"/>
    <w:rsid w:val="00990DCF"/>
    <w:rsid w:val="009912DB"/>
    <w:rsid w:val="009925D9"/>
    <w:rsid w:val="00996B1C"/>
    <w:rsid w:val="009A404E"/>
    <w:rsid w:val="009A4CD6"/>
    <w:rsid w:val="009A537C"/>
    <w:rsid w:val="009A673D"/>
    <w:rsid w:val="009C0886"/>
    <w:rsid w:val="009C19EE"/>
    <w:rsid w:val="009C28D0"/>
    <w:rsid w:val="009C35F2"/>
    <w:rsid w:val="009C6F6B"/>
    <w:rsid w:val="009C7782"/>
    <w:rsid w:val="009D0597"/>
    <w:rsid w:val="009D1ED5"/>
    <w:rsid w:val="009D2527"/>
    <w:rsid w:val="009D4AB7"/>
    <w:rsid w:val="009D4C13"/>
    <w:rsid w:val="009E0B99"/>
    <w:rsid w:val="009E21A7"/>
    <w:rsid w:val="009E6991"/>
    <w:rsid w:val="009E70E0"/>
    <w:rsid w:val="00A049A6"/>
    <w:rsid w:val="00A04B2E"/>
    <w:rsid w:val="00A052EA"/>
    <w:rsid w:val="00A103ED"/>
    <w:rsid w:val="00A11394"/>
    <w:rsid w:val="00A13C60"/>
    <w:rsid w:val="00A15134"/>
    <w:rsid w:val="00A22696"/>
    <w:rsid w:val="00A271E3"/>
    <w:rsid w:val="00A31762"/>
    <w:rsid w:val="00A341A3"/>
    <w:rsid w:val="00A35800"/>
    <w:rsid w:val="00A44C20"/>
    <w:rsid w:val="00A52918"/>
    <w:rsid w:val="00A547B3"/>
    <w:rsid w:val="00A61ACC"/>
    <w:rsid w:val="00A70E82"/>
    <w:rsid w:val="00A84CAD"/>
    <w:rsid w:val="00A90E50"/>
    <w:rsid w:val="00A932D4"/>
    <w:rsid w:val="00A95021"/>
    <w:rsid w:val="00A95FA5"/>
    <w:rsid w:val="00A96D92"/>
    <w:rsid w:val="00A96F1A"/>
    <w:rsid w:val="00AA0597"/>
    <w:rsid w:val="00AA7770"/>
    <w:rsid w:val="00AB02BF"/>
    <w:rsid w:val="00AB199C"/>
    <w:rsid w:val="00AB3733"/>
    <w:rsid w:val="00AB501E"/>
    <w:rsid w:val="00AB588C"/>
    <w:rsid w:val="00AB7897"/>
    <w:rsid w:val="00AC0127"/>
    <w:rsid w:val="00AC47BA"/>
    <w:rsid w:val="00AC5054"/>
    <w:rsid w:val="00AE4BAC"/>
    <w:rsid w:val="00AE61BC"/>
    <w:rsid w:val="00AF14BE"/>
    <w:rsid w:val="00AF6250"/>
    <w:rsid w:val="00B02770"/>
    <w:rsid w:val="00B02F2E"/>
    <w:rsid w:val="00B034FC"/>
    <w:rsid w:val="00B05310"/>
    <w:rsid w:val="00B055F6"/>
    <w:rsid w:val="00B07F90"/>
    <w:rsid w:val="00B10A0B"/>
    <w:rsid w:val="00B24294"/>
    <w:rsid w:val="00B25C74"/>
    <w:rsid w:val="00B30B53"/>
    <w:rsid w:val="00B30D85"/>
    <w:rsid w:val="00B33B72"/>
    <w:rsid w:val="00B35A4A"/>
    <w:rsid w:val="00B370DF"/>
    <w:rsid w:val="00B4009D"/>
    <w:rsid w:val="00B4374A"/>
    <w:rsid w:val="00B453CF"/>
    <w:rsid w:val="00B51739"/>
    <w:rsid w:val="00B63FD7"/>
    <w:rsid w:val="00B66D5A"/>
    <w:rsid w:val="00B76C12"/>
    <w:rsid w:val="00B816D9"/>
    <w:rsid w:val="00B83E6F"/>
    <w:rsid w:val="00B9120F"/>
    <w:rsid w:val="00B91315"/>
    <w:rsid w:val="00B9216C"/>
    <w:rsid w:val="00B924A4"/>
    <w:rsid w:val="00BA3C08"/>
    <w:rsid w:val="00BA5B70"/>
    <w:rsid w:val="00BB03D9"/>
    <w:rsid w:val="00BB0D1A"/>
    <w:rsid w:val="00BB1D3B"/>
    <w:rsid w:val="00BB4D7D"/>
    <w:rsid w:val="00BC35ED"/>
    <w:rsid w:val="00BD531E"/>
    <w:rsid w:val="00BE1B52"/>
    <w:rsid w:val="00BE205A"/>
    <w:rsid w:val="00BE3802"/>
    <w:rsid w:val="00BF238E"/>
    <w:rsid w:val="00BF2F4A"/>
    <w:rsid w:val="00BF544D"/>
    <w:rsid w:val="00C0076F"/>
    <w:rsid w:val="00C009F7"/>
    <w:rsid w:val="00C0301C"/>
    <w:rsid w:val="00C03A27"/>
    <w:rsid w:val="00C050B6"/>
    <w:rsid w:val="00C06D98"/>
    <w:rsid w:val="00C10F12"/>
    <w:rsid w:val="00C2053D"/>
    <w:rsid w:val="00C21441"/>
    <w:rsid w:val="00C245EA"/>
    <w:rsid w:val="00C256F6"/>
    <w:rsid w:val="00C30317"/>
    <w:rsid w:val="00C3097E"/>
    <w:rsid w:val="00C35ECC"/>
    <w:rsid w:val="00C361A8"/>
    <w:rsid w:val="00C41246"/>
    <w:rsid w:val="00C435EA"/>
    <w:rsid w:val="00C45E5F"/>
    <w:rsid w:val="00C46291"/>
    <w:rsid w:val="00C517EA"/>
    <w:rsid w:val="00C56511"/>
    <w:rsid w:val="00C57708"/>
    <w:rsid w:val="00C63412"/>
    <w:rsid w:val="00C64BB2"/>
    <w:rsid w:val="00C714D0"/>
    <w:rsid w:val="00C75D53"/>
    <w:rsid w:val="00C84579"/>
    <w:rsid w:val="00C90EF4"/>
    <w:rsid w:val="00C91CB7"/>
    <w:rsid w:val="00C9674C"/>
    <w:rsid w:val="00CA015A"/>
    <w:rsid w:val="00CC1AA3"/>
    <w:rsid w:val="00CC33EF"/>
    <w:rsid w:val="00CC66FC"/>
    <w:rsid w:val="00CC7902"/>
    <w:rsid w:val="00CD4486"/>
    <w:rsid w:val="00CE365D"/>
    <w:rsid w:val="00CE36AE"/>
    <w:rsid w:val="00CF35C4"/>
    <w:rsid w:val="00CF515A"/>
    <w:rsid w:val="00CF5E22"/>
    <w:rsid w:val="00CF6A3E"/>
    <w:rsid w:val="00D0024D"/>
    <w:rsid w:val="00D030FE"/>
    <w:rsid w:val="00D06A44"/>
    <w:rsid w:val="00D151EB"/>
    <w:rsid w:val="00D300E0"/>
    <w:rsid w:val="00D374CD"/>
    <w:rsid w:val="00D41094"/>
    <w:rsid w:val="00D52D31"/>
    <w:rsid w:val="00D56188"/>
    <w:rsid w:val="00D650CE"/>
    <w:rsid w:val="00D71719"/>
    <w:rsid w:val="00D74E2B"/>
    <w:rsid w:val="00D768D6"/>
    <w:rsid w:val="00D776DA"/>
    <w:rsid w:val="00D83A9F"/>
    <w:rsid w:val="00D841B4"/>
    <w:rsid w:val="00D8758B"/>
    <w:rsid w:val="00D942B3"/>
    <w:rsid w:val="00D94863"/>
    <w:rsid w:val="00DA7D09"/>
    <w:rsid w:val="00DB15E3"/>
    <w:rsid w:val="00DB6D7B"/>
    <w:rsid w:val="00DB72C9"/>
    <w:rsid w:val="00DC2630"/>
    <w:rsid w:val="00DC49E9"/>
    <w:rsid w:val="00DC55E4"/>
    <w:rsid w:val="00DC7D71"/>
    <w:rsid w:val="00DD188C"/>
    <w:rsid w:val="00DD1BCC"/>
    <w:rsid w:val="00DD29A3"/>
    <w:rsid w:val="00DD48EE"/>
    <w:rsid w:val="00DE0B96"/>
    <w:rsid w:val="00DE10B9"/>
    <w:rsid w:val="00DF0B13"/>
    <w:rsid w:val="00DF2EB8"/>
    <w:rsid w:val="00DF4A94"/>
    <w:rsid w:val="00DF6003"/>
    <w:rsid w:val="00DF78A2"/>
    <w:rsid w:val="00E00095"/>
    <w:rsid w:val="00E066C3"/>
    <w:rsid w:val="00E10D8C"/>
    <w:rsid w:val="00E1353A"/>
    <w:rsid w:val="00E1544C"/>
    <w:rsid w:val="00E1564B"/>
    <w:rsid w:val="00E1665D"/>
    <w:rsid w:val="00E208A0"/>
    <w:rsid w:val="00E25B49"/>
    <w:rsid w:val="00E371EA"/>
    <w:rsid w:val="00E46A7B"/>
    <w:rsid w:val="00E54B3F"/>
    <w:rsid w:val="00E604FA"/>
    <w:rsid w:val="00E64429"/>
    <w:rsid w:val="00E677DD"/>
    <w:rsid w:val="00E71DD3"/>
    <w:rsid w:val="00E7594B"/>
    <w:rsid w:val="00E84AD9"/>
    <w:rsid w:val="00E865D2"/>
    <w:rsid w:val="00E9091E"/>
    <w:rsid w:val="00EA6EE3"/>
    <w:rsid w:val="00EB4688"/>
    <w:rsid w:val="00EB6C07"/>
    <w:rsid w:val="00EC028D"/>
    <w:rsid w:val="00EC6733"/>
    <w:rsid w:val="00EC7CF6"/>
    <w:rsid w:val="00ED633B"/>
    <w:rsid w:val="00ED7EFD"/>
    <w:rsid w:val="00EE2BBB"/>
    <w:rsid w:val="00EE478C"/>
    <w:rsid w:val="00EF2581"/>
    <w:rsid w:val="00F00992"/>
    <w:rsid w:val="00F07C80"/>
    <w:rsid w:val="00F10D5F"/>
    <w:rsid w:val="00F112BA"/>
    <w:rsid w:val="00F1132C"/>
    <w:rsid w:val="00F15DD5"/>
    <w:rsid w:val="00F1656C"/>
    <w:rsid w:val="00F17D4B"/>
    <w:rsid w:val="00F23139"/>
    <w:rsid w:val="00F256FD"/>
    <w:rsid w:val="00F36421"/>
    <w:rsid w:val="00F64019"/>
    <w:rsid w:val="00F640ED"/>
    <w:rsid w:val="00F65587"/>
    <w:rsid w:val="00F66CD5"/>
    <w:rsid w:val="00F676C9"/>
    <w:rsid w:val="00F67A9A"/>
    <w:rsid w:val="00F700C3"/>
    <w:rsid w:val="00F70F4E"/>
    <w:rsid w:val="00F71893"/>
    <w:rsid w:val="00F73113"/>
    <w:rsid w:val="00F75FC4"/>
    <w:rsid w:val="00F764FC"/>
    <w:rsid w:val="00F85981"/>
    <w:rsid w:val="00F86DD6"/>
    <w:rsid w:val="00F87263"/>
    <w:rsid w:val="00F93725"/>
    <w:rsid w:val="00F93C16"/>
    <w:rsid w:val="00FA36D5"/>
    <w:rsid w:val="00FA4890"/>
    <w:rsid w:val="00FB4D03"/>
    <w:rsid w:val="00FB77FA"/>
    <w:rsid w:val="00FC0091"/>
    <w:rsid w:val="00FC3C70"/>
    <w:rsid w:val="00FC4A73"/>
    <w:rsid w:val="00FC559C"/>
    <w:rsid w:val="00FC7F0D"/>
    <w:rsid w:val="00FD2090"/>
    <w:rsid w:val="00FE3581"/>
    <w:rsid w:val="00FE645A"/>
    <w:rsid w:val="00FE684E"/>
    <w:rsid w:val="00FF01FF"/>
    <w:rsid w:val="00FF1AF6"/>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4689"/>
    <o:shapelayout v:ext="edit">
      <o:idmap v:ext="edit" data="1"/>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394"/>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nhideWhenUsed/>
    <w:rsid w:val="00E677DD"/>
    <w:rPr>
      <w:b/>
      <w:bCs/>
    </w:rPr>
  </w:style>
  <w:style w:type="character" w:customStyle="1" w:styleId="CommentSubjectChar">
    <w:name w:val="Comment Subject Char"/>
    <w:basedOn w:val="CommentTextChar"/>
    <w:link w:val="CommentSubject"/>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table" w:customStyle="1" w:styleId="TableGrid1">
    <w:name w:val="Table Grid1"/>
    <w:basedOn w:val="TableNormal"/>
    <w:next w:val="TableGrid"/>
    <w:uiPriority w:val="39"/>
    <w:rsid w:val="001F2AF8"/>
    <w:pPr>
      <w:spacing w:after="0" w:line="240" w:lineRule="auto"/>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71893"/>
    <w:rPr>
      <w:color w:val="800080" w:themeColor="followedHyperlink"/>
      <w:u w:val="single"/>
    </w:rPr>
  </w:style>
  <w:style w:type="table" w:customStyle="1" w:styleId="TableGrid2">
    <w:name w:val="Table Grid2"/>
    <w:basedOn w:val="TableNormal"/>
    <w:next w:val="TableGrid"/>
    <w:rsid w:val="007E7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282C"/>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96453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s.gov.au/medicine/item/10228H-10232M-10243D-10246G" TargetMode="External"/><Relationship Id="rId13" Type="http://schemas.openxmlformats.org/officeDocument/2006/relationships/hyperlink" Target="http://www.pbs.gov.au/info/industry/listing/participants/public-release-docs/2015-10/multiple-sclerosis-dusc-prd-2015-10-abstract" TargetMode="External"/><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hyperlink" Target="http://www.pbs.gov.au/industry/listing/elements/dusc-meetings/dos/dusc-dos-jun-2013.pdf" TargetMode="External"/><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bs.gov.au/info/industry/listing/elements/pbac-meetings/psd/public-summary-documents-by-product"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2.xml"/><Relationship Id="rId10" Type="http://schemas.openxmlformats.org/officeDocument/2006/relationships/hyperlink" Target="http://www.pbs.gov.au/medicine/item/10228H-10232M-10243D-10246G" TargetMode="Externa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http://www.pbs.gov.au/medicine/item/10228H-10232M-10243D-10246G" TargetMode="External"/><Relationship Id="rId14" Type="http://schemas.openxmlformats.org/officeDocument/2006/relationships/chart" Target="charts/chart1.xm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da.gov/drugs/drug-safety-and-availability/fda-warns-about-rare-serious-risks-stroke-and-blood-vessel-wall-tears-multiple-sclerosis-drug"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entral.health\dfsuserenv\Users\User_01\PETERN\Desktop\DUSC\DUSC%20Feb%202020\Alemtuzumab\Data\Copy%20of%20D1200%20-%20alemtuzumab.xlsx%2026112019.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entral.health\dfsuserenv\Users\User_01\PETERN\Documents\Offline%20Records%20(A7)\Drug%20~%20BENEFITS%20&amp;%20ACCESS%20-%20Reporting(7)\Copy%20of%20D1200%20-%20alemtuzumab.xlsx%2026112019.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entral.health\dfsuserenv\Users\User_01\PETERN\Desktop\DUSC\DUSC%20Feb%202020\Alemtuzumab\Data\Copy%20of%20D1200%20-%20alemtuzumab.xlsx%2026112019.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entral.health\dfsuserenv\Users\User_01\PETERN\Desktop\DUSC\DUSC%20Feb%202020\Alemtuzumab\Data\Copy%20of%20D1200%20-%20alemtuzumab.xlsx%2026112019.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entral.health\dfsuserenv\Users\User_01\PETERN\Desktop\DUSC\DUSC%20Feb%202020\Alemtuzumab\Data\Copy%20of%20D1200%20-%20alemtuzumab.xlsx%2026112019.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entral.health\dfsuserenv\Users\User_01\PETERN\Desktop\DUSC\DUSC%20Feb%202020\Alemtuzumab\Data\Copy%20of%20D1200%20-%20alemtuzumab.xlsx%2026112019.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entral.health\dfsuserenv\Users\User_01\PETERN\Documents\Offline%20Records%20(A7)\Drug%20~%20BENEFITS%20&amp;%20ACCESS%20-%20Reporting(7)\Copy%20of%20D1200%20-%20alemtuzumab.xlsx%2026112019.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entral.health\dfsuserenv\Users\User_01\PETERN\Documents\Offline%20Records%20(A7)\Drug%20~%20BENEFITS%20&amp;%20ACCESS%20-%20Reporting(7)\Copy%20of%20D1200%20-%20alemtuzumab.xlsx%202611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[Copy of D1200 - alemtuzumab.xlsx 26112019.xlsx]F1Stacked graph- total market!PivotTable1</c:name>
    <c:fmtId val="4"/>
  </c:pivotSource>
  <c:chart>
    <c:autoTitleDeleted val="0"/>
    <c:pivotFmts>
      <c:pivotFmt>
        <c:idx val="0"/>
        <c:spPr>
          <a:solidFill>
            <a:schemeClr val="accent1"/>
          </a:solidFill>
          <a:ln>
            <a:noFill/>
          </a:ln>
          <a:effectLst/>
        </c:spPr>
        <c:marker>
          <c:symbol val="none"/>
        </c:marker>
      </c:pivotFmt>
      <c:pivotFmt>
        <c:idx val="1"/>
        <c:spPr>
          <a:solidFill>
            <a:schemeClr val="accent1"/>
          </a:solidFill>
          <a:ln w="25400">
            <a:noFill/>
          </a:ln>
          <a:effectLst/>
        </c:spPr>
        <c:marker>
          <c:symbol val="none"/>
        </c:marker>
      </c:pivotFmt>
      <c:pivotFmt>
        <c:idx val="2"/>
        <c:spPr>
          <a:solidFill>
            <a:schemeClr val="accent1"/>
          </a:solidFill>
          <a:ln w="25400">
            <a:noFill/>
          </a:ln>
          <a:effectLst/>
        </c:spPr>
        <c:marker>
          <c:symbol val="none"/>
        </c:marker>
      </c:pivotFmt>
      <c:pivotFmt>
        <c:idx val="3"/>
        <c:spPr>
          <a:solidFill>
            <a:schemeClr val="accent1"/>
          </a:solidFill>
          <a:ln w="25400">
            <a:noFill/>
          </a:ln>
          <a:effectLst/>
        </c:spPr>
        <c:marker>
          <c:symbol val="none"/>
        </c:marker>
      </c:pivotFmt>
      <c:pivotFmt>
        <c:idx val="4"/>
        <c:spPr>
          <a:solidFill>
            <a:schemeClr val="accent1"/>
          </a:solidFill>
          <a:ln w="25400">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w="25400">
            <a:noFill/>
          </a:ln>
          <a:effectLst/>
        </c:spPr>
        <c:marker>
          <c:symbol val="none"/>
        </c:marker>
      </c:pivotFmt>
      <c:pivotFmt>
        <c:idx val="7"/>
        <c:spPr>
          <a:solidFill>
            <a:schemeClr val="accent1"/>
          </a:solidFill>
          <a:ln w="25400">
            <a:noFill/>
          </a:ln>
          <a:effectLst/>
        </c:spPr>
        <c:marker>
          <c:symbol val="none"/>
        </c:marker>
      </c:pivotFmt>
      <c:pivotFmt>
        <c:idx val="8"/>
        <c:spPr>
          <a:solidFill>
            <a:schemeClr val="accent1"/>
          </a:solidFill>
          <a:ln w="25400">
            <a:noFill/>
          </a:ln>
          <a:effectLst/>
        </c:spPr>
        <c:marker>
          <c:symbol val="none"/>
        </c:marker>
      </c:pivotFmt>
      <c:pivotFmt>
        <c:idx val="9"/>
        <c:spPr>
          <a:solidFill>
            <a:schemeClr val="accent1"/>
          </a:solidFill>
          <a:ln w="25400">
            <a:noFill/>
          </a:ln>
          <a:effectLst/>
        </c:spPr>
        <c:marker>
          <c:symbol val="none"/>
        </c:marker>
      </c:pivotFmt>
      <c:pivotFmt>
        <c:idx val="10"/>
        <c:spPr>
          <a:solidFill>
            <a:schemeClr val="accent1"/>
          </a:solidFill>
          <a:ln w="25400">
            <a:noFill/>
          </a:ln>
          <a:effectLst/>
        </c:spPr>
        <c:marker>
          <c:symbol val="none"/>
        </c:marker>
      </c:pivotFmt>
    </c:pivotFmts>
    <c:plotArea>
      <c:layout>
        <c:manualLayout>
          <c:layoutTarget val="inner"/>
          <c:xMode val="edge"/>
          <c:yMode val="edge"/>
          <c:x val="0.14600791206302041"/>
          <c:y val="6.1504783400446288E-2"/>
          <c:w val="0.77420412627093393"/>
          <c:h val="0.70840329209355246"/>
        </c:manualLayout>
      </c:layout>
      <c:areaChart>
        <c:grouping val="stacked"/>
        <c:varyColors val="0"/>
        <c:ser>
          <c:idx val="0"/>
          <c:order val="0"/>
          <c:tx>
            <c:strRef>
              <c:f>'F1Stacked graph- total market'!$B$3</c:f>
              <c:strCache>
                <c:ptCount val="1"/>
                <c:pt idx="0">
                  <c:v>All PBS listed medicines for RRMS (except for alemtuzumab)</c:v>
                </c:pt>
              </c:strCache>
            </c:strRef>
          </c:tx>
          <c:spPr>
            <a:solidFill>
              <a:schemeClr val="accent1"/>
            </a:solidFill>
            <a:ln w="25400">
              <a:noFill/>
            </a:ln>
            <a:effectLst/>
          </c:spPr>
          <c:cat>
            <c:strRef>
              <c:f>'F1Stacked graph- total market'!$A$4:$A$11</c:f>
              <c:strCache>
                <c:ptCount val="7"/>
                <c:pt idx="0">
                  <c:v>2013</c:v>
                </c:pt>
                <c:pt idx="1">
                  <c:v>2014</c:v>
                </c:pt>
                <c:pt idx="2">
                  <c:v>2015</c:v>
                </c:pt>
                <c:pt idx="3">
                  <c:v>2016</c:v>
                </c:pt>
                <c:pt idx="4">
                  <c:v>2017</c:v>
                </c:pt>
                <c:pt idx="5">
                  <c:v>2018</c:v>
                </c:pt>
                <c:pt idx="6">
                  <c:v>2019</c:v>
                </c:pt>
              </c:strCache>
            </c:strRef>
          </c:cat>
          <c:val>
            <c:numRef>
              <c:f>'F1Stacked graph- total market'!$B$4:$B$11</c:f>
              <c:numCache>
                <c:formatCode>General</c:formatCode>
                <c:ptCount val="7"/>
                <c:pt idx="0">
                  <c:v>11783</c:v>
                </c:pt>
                <c:pt idx="1">
                  <c:v>13747</c:v>
                </c:pt>
                <c:pt idx="2">
                  <c:v>15243</c:v>
                </c:pt>
                <c:pt idx="3">
                  <c:v>16356</c:v>
                </c:pt>
                <c:pt idx="4">
                  <c:v>16955</c:v>
                </c:pt>
                <c:pt idx="5">
                  <c:v>18256</c:v>
                </c:pt>
                <c:pt idx="6">
                  <c:v>19326</c:v>
                </c:pt>
              </c:numCache>
            </c:numRef>
          </c:val>
          <c:extLst>
            <c:ext xmlns:c16="http://schemas.microsoft.com/office/drawing/2014/chart" uri="{C3380CC4-5D6E-409C-BE32-E72D297353CC}">
              <c16:uniqueId val="{00000000-7025-4DC1-A290-F6C0421FD3FD}"/>
            </c:ext>
          </c:extLst>
        </c:ser>
        <c:ser>
          <c:idx val="1"/>
          <c:order val="1"/>
          <c:tx>
            <c:strRef>
              <c:f>'F1Stacked graph- total market'!$C$3</c:f>
              <c:strCache>
                <c:ptCount val="1"/>
                <c:pt idx="0">
                  <c:v>Alemtuzumab</c:v>
                </c:pt>
              </c:strCache>
            </c:strRef>
          </c:tx>
          <c:spPr>
            <a:solidFill>
              <a:schemeClr val="accent2"/>
            </a:solidFill>
            <a:ln w="25400">
              <a:noFill/>
            </a:ln>
            <a:effectLst/>
          </c:spPr>
          <c:cat>
            <c:strRef>
              <c:f>'F1Stacked graph- total market'!$A$4:$A$11</c:f>
              <c:strCache>
                <c:ptCount val="7"/>
                <c:pt idx="0">
                  <c:v>2013</c:v>
                </c:pt>
                <c:pt idx="1">
                  <c:v>2014</c:v>
                </c:pt>
                <c:pt idx="2">
                  <c:v>2015</c:v>
                </c:pt>
                <c:pt idx="3">
                  <c:v>2016</c:v>
                </c:pt>
                <c:pt idx="4">
                  <c:v>2017</c:v>
                </c:pt>
                <c:pt idx="5">
                  <c:v>2018</c:v>
                </c:pt>
                <c:pt idx="6">
                  <c:v>2019</c:v>
                </c:pt>
              </c:strCache>
            </c:strRef>
          </c:cat>
          <c:val>
            <c:numRef>
              <c:f>'F1Stacked graph- total market'!$C$4:$C$11</c:f>
              <c:numCache>
                <c:formatCode>General</c:formatCode>
                <c:ptCount val="7"/>
                <c:pt idx="0">
                  <c:v>0</c:v>
                </c:pt>
                <c:pt idx="1">
                  <c:v>0</c:v>
                </c:pt>
                <c:pt idx="2">
                  <c:v>423</c:v>
                </c:pt>
                <c:pt idx="3">
                  <c:v>830</c:v>
                </c:pt>
                <c:pt idx="4">
                  <c:v>748</c:v>
                </c:pt>
                <c:pt idx="5">
                  <c:v>459</c:v>
                </c:pt>
                <c:pt idx="6">
                  <c:v>230</c:v>
                </c:pt>
              </c:numCache>
            </c:numRef>
          </c:val>
          <c:extLst>
            <c:ext xmlns:c16="http://schemas.microsoft.com/office/drawing/2014/chart" uri="{C3380CC4-5D6E-409C-BE32-E72D297353CC}">
              <c16:uniqueId val="{00000001-7025-4DC1-A290-F6C0421FD3FD}"/>
            </c:ext>
          </c:extLst>
        </c:ser>
        <c:dLbls>
          <c:showLegendKey val="0"/>
          <c:showVal val="0"/>
          <c:showCatName val="0"/>
          <c:showSerName val="0"/>
          <c:showPercent val="0"/>
          <c:showBubbleSize val="0"/>
        </c:dLbls>
        <c:axId val="379636056"/>
        <c:axId val="379639992"/>
      </c:areaChart>
      <c:catAx>
        <c:axId val="3796360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0"/>
                  <a:t>Calendar Year </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639992"/>
        <c:crosses val="autoZero"/>
        <c:auto val="1"/>
        <c:lblAlgn val="ctr"/>
        <c:lblOffset val="100"/>
        <c:noMultiLvlLbl val="0"/>
      </c:catAx>
      <c:valAx>
        <c:axId val="3796399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0"/>
                  <a:t>Number of patients</a:t>
                </a:r>
              </a:p>
            </c:rich>
          </c:tx>
          <c:layout>
            <c:manualLayout>
              <c:xMode val="edge"/>
              <c:yMode val="edge"/>
              <c:x val="2.2726255183940863E-2"/>
              <c:y val="0.2685507238671465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636056"/>
        <c:crosses val="autoZero"/>
        <c:crossBetween val="midCat"/>
      </c:valAx>
      <c:spPr>
        <a:noFill/>
        <a:ln>
          <a:noFill/>
        </a:ln>
        <a:effectLst/>
      </c:spPr>
    </c:plotArea>
    <c:legend>
      <c:legendPos val="r"/>
      <c:layout>
        <c:manualLayout>
          <c:xMode val="edge"/>
          <c:yMode val="edge"/>
          <c:x val="0.12712554680664917"/>
          <c:y val="0.90933055353896375"/>
          <c:w val="0.72102260134149898"/>
          <c:h val="6.392360529401909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[Copy of D1200 - alemtuzumab.xlsx 26112019.XLSX]F2 VM Px by drug bio!PivotTable5</c:name>
    <c:fmtId val="9"/>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w="28575" cap="rnd">
            <a:solidFill>
              <a:schemeClr val="accent1"/>
            </a:solidFill>
            <a:round/>
          </a:ln>
          <a:effectLst/>
        </c:spPr>
        <c:marker>
          <c:symbol val="none"/>
        </c:marker>
      </c:pivotFmt>
      <c:pivotFmt>
        <c:idx val="12"/>
        <c:spPr>
          <a:solidFill>
            <a:schemeClr val="accent1"/>
          </a:solidFill>
          <a:ln w="28575" cap="rnd">
            <a:solidFill>
              <a:schemeClr val="accent1"/>
            </a:solidFill>
            <a:round/>
          </a:ln>
          <a:effectLst/>
        </c:spPr>
        <c:marker>
          <c:symbol val="none"/>
        </c:marker>
      </c:pivotFmt>
      <c:pivotFmt>
        <c:idx val="13"/>
        <c:spPr>
          <a:solidFill>
            <a:schemeClr val="accent1"/>
          </a:solidFill>
          <a:ln w="28575" cap="rnd">
            <a:solidFill>
              <a:schemeClr val="accent1"/>
            </a:solidFill>
            <a:round/>
          </a:ln>
          <a:effectLst/>
        </c:spPr>
        <c:marker>
          <c:symbol val="none"/>
        </c:marker>
      </c:pivotFmt>
      <c:pivotFmt>
        <c:idx val="14"/>
        <c:spPr>
          <a:solidFill>
            <a:schemeClr val="accent1"/>
          </a:solidFill>
          <a:ln w="28575" cap="rnd">
            <a:solidFill>
              <a:schemeClr val="accent1"/>
            </a:solidFill>
            <a:round/>
          </a:ln>
          <a:effectLst/>
        </c:spPr>
        <c:marker>
          <c:symbol val="none"/>
        </c:marker>
      </c:pivotFmt>
      <c:pivotFmt>
        <c:idx val="15"/>
        <c:spPr>
          <a:solidFill>
            <a:schemeClr val="accent1"/>
          </a:solidFill>
          <a:ln w="28575" cap="rnd">
            <a:solidFill>
              <a:schemeClr val="accent1"/>
            </a:solidFill>
            <a:round/>
          </a:ln>
          <a:effectLst/>
        </c:spPr>
        <c:marker>
          <c:symbol val="none"/>
        </c:marker>
      </c:pivotFmt>
      <c:pivotFmt>
        <c:idx val="16"/>
        <c:spPr>
          <a:solidFill>
            <a:schemeClr val="accent1"/>
          </a:solidFill>
          <a:ln w="28575" cap="rnd">
            <a:solidFill>
              <a:schemeClr val="accent1"/>
            </a:solidFill>
            <a:round/>
          </a:ln>
          <a:effectLst/>
        </c:spPr>
        <c:marker>
          <c:symbol val="none"/>
        </c:marker>
      </c:pivotFmt>
      <c:pivotFmt>
        <c:idx val="17"/>
        <c:spPr>
          <a:solidFill>
            <a:schemeClr val="accent1"/>
          </a:solidFill>
          <a:ln w="28575" cap="rnd">
            <a:solidFill>
              <a:schemeClr val="accent1"/>
            </a:solidFill>
            <a:round/>
          </a:ln>
          <a:effectLst/>
        </c:spPr>
        <c:marker>
          <c:symbol val="none"/>
        </c:marker>
      </c:pivotFmt>
      <c:pivotFmt>
        <c:idx val="18"/>
        <c:spPr>
          <a:solidFill>
            <a:schemeClr val="accent1"/>
          </a:solidFill>
          <a:ln w="28575" cap="rnd">
            <a:solidFill>
              <a:schemeClr val="accent1"/>
            </a:solidFill>
            <a:round/>
          </a:ln>
          <a:effectLst/>
        </c:spPr>
        <c:marker>
          <c:symbol val="none"/>
        </c:marker>
      </c:pivotFmt>
      <c:pivotFmt>
        <c:idx val="19"/>
        <c:spPr>
          <a:solidFill>
            <a:schemeClr val="accent1"/>
          </a:solidFill>
          <a:ln w="28575" cap="rnd">
            <a:solidFill>
              <a:schemeClr val="accent1"/>
            </a:solidFill>
            <a:round/>
          </a:ln>
          <a:effectLst/>
        </c:spPr>
        <c:marker>
          <c:symbol val="none"/>
        </c:marker>
      </c:pivotFmt>
      <c:pivotFmt>
        <c:idx val="20"/>
        <c:spPr>
          <a:solidFill>
            <a:schemeClr val="accent1"/>
          </a:solidFill>
          <a:ln w="28575" cap="rnd">
            <a:solidFill>
              <a:schemeClr val="accent1"/>
            </a:solidFill>
            <a:round/>
          </a:ln>
          <a:effectLst/>
        </c:spPr>
        <c:marker>
          <c:symbol val="none"/>
        </c:marker>
      </c:pivotFmt>
      <c:pivotFmt>
        <c:idx val="21"/>
        <c:spPr>
          <a:solidFill>
            <a:schemeClr val="accent1"/>
          </a:solidFill>
          <a:ln w="28575" cap="rnd">
            <a:solidFill>
              <a:schemeClr val="accent1"/>
            </a:solidFill>
            <a:round/>
          </a:ln>
          <a:effectLst/>
        </c:spPr>
        <c:marker>
          <c:symbol val="none"/>
        </c:marker>
      </c:pivotFmt>
      <c:pivotFmt>
        <c:idx val="22"/>
        <c:spPr>
          <a:solidFill>
            <a:schemeClr val="accent1"/>
          </a:solidFill>
          <a:ln w="28575" cap="rnd">
            <a:solidFill>
              <a:schemeClr val="accent1"/>
            </a:solidFill>
            <a:round/>
          </a:ln>
          <a:effectLst/>
        </c:spPr>
        <c:marker>
          <c:symbol val="none"/>
        </c:marker>
      </c:pivotFmt>
      <c:pivotFmt>
        <c:idx val="23"/>
        <c:spPr>
          <a:solidFill>
            <a:schemeClr val="accent1"/>
          </a:solidFill>
          <a:ln w="28575" cap="rnd">
            <a:solidFill>
              <a:schemeClr val="accent1"/>
            </a:solidFill>
            <a:round/>
          </a:ln>
          <a:effectLst/>
        </c:spPr>
        <c:marker>
          <c:symbol val="none"/>
        </c:marker>
      </c:pivotFmt>
      <c:pivotFmt>
        <c:idx val="24"/>
        <c:spPr>
          <a:solidFill>
            <a:schemeClr val="accent1"/>
          </a:solidFill>
          <a:ln w="28575" cap="rnd">
            <a:solidFill>
              <a:schemeClr val="accent1"/>
            </a:solidFill>
            <a:round/>
          </a:ln>
          <a:effectLst/>
        </c:spPr>
        <c:marker>
          <c:symbol val="none"/>
        </c:marker>
      </c:pivotFmt>
      <c:pivotFmt>
        <c:idx val="25"/>
        <c:spPr>
          <a:solidFill>
            <a:schemeClr val="accent1"/>
          </a:solidFill>
          <a:ln w="28575" cap="rnd">
            <a:solidFill>
              <a:schemeClr val="accent1"/>
            </a:solidFill>
            <a:round/>
          </a:ln>
          <a:effectLst/>
        </c:spPr>
        <c:marker>
          <c:symbol val="none"/>
        </c:marker>
      </c:pivotFmt>
      <c:pivotFmt>
        <c:idx val="26"/>
        <c:spPr>
          <a:solidFill>
            <a:schemeClr val="accent1"/>
          </a:solidFill>
          <a:ln w="28575" cap="rnd">
            <a:solidFill>
              <a:schemeClr val="accent1"/>
            </a:solidFill>
            <a:round/>
          </a:ln>
          <a:effectLst/>
        </c:spPr>
        <c:marker>
          <c:symbol val="none"/>
        </c:marker>
      </c:pivotFmt>
      <c:pivotFmt>
        <c:idx val="27"/>
        <c:spPr>
          <a:solidFill>
            <a:schemeClr val="accent1"/>
          </a:solidFill>
          <a:ln w="28575" cap="rnd">
            <a:solidFill>
              <a:schemeClr val="accent1"/>
            </a:solidFill>
            <a:round/>
          </a:ln>
          <a:effectLst/>
        </c:spPr>
        <c:marker>
          <c:symbol val="none"/>
        </c:marker>
      </c:pivotFmt>
      <c:pivotFmt>
        <c:idx val="28"/>
        <c:spPr>
          <a:solidFill>
            <a:schemeClr val="accent1"/>
          </a:solidFill>
          <a:ln w="28575" cap="rnd">
            <a:solidFill>
              <a:schemeClr val="accent1"/>
            </a:solidFill>
            <a:round/>
          </a:ln>
          <a:effectLst/>
        </c:spPr>
        <c:marker>
          <c:symbol val="none"/>
        </c:marker>
      </c:pivotFmt>
      <c:pivotFmt>
        <c:idx val="29"/>
        <c:spPr>
          <a:solidFill>
            <a:schemeClr val="accent1"/>
          </a:solidFill>
          <a:ln w="28575" cap="rnd">
            <a:solidFill>
              <a:schemeClr val="accent1"/>
            </a:solidFill>
            <a:round/>
          </a:ln>
          <a:effectLst/>
        </c:spPr>
        <c:marker>
          <c:symbol val="none"/>
        </c:marker>
      </c:pivotFmt>
      <c:pivotFmt>
        <c:idx val="30"/>
        <c:spPr>
          <a:solidFill>
            <a:schemeClr val="accent1"/>
          </a:solidFill>
          <a:ln w="28575" cap="rnd">
            <a:solidFill>
              <a:schemeClr val="accent1"/>
            </a:solidFill>
            <a:round/>
          </a:ln>
          <a:effectLst/>
        </c:spPr>
        <c:marker>
          <c:symbol val="none"/>
        </c:marker>
      </c:pivotFmt>
      <c:pivotFmt>
        <c:idx val="31"/>
        <c:spPr>
          <a:solidFill>
            <a:schemeClr val="accent1"/>
          </a:solidFill>
          <a:ln w="28575" cap="rnd">
            <a:solidFill>
              <a:schemeClr val="accent1"/>
            </a:solidFill>
            <a:round/>
          </a:ln>
          <a:effectLst/>
        </c:spPr>
        <c:marker>
          <c:symbol val="none"/>
        </c:marker>
      </c:pivotFmt>
      <c:pivotFmt>
        <c:idx val="32"/>
        <c:spPr>
          <a:solidFill>
            <a:schemeClr val="accent1"/>
          </a:solidFill>
          <a:ln w="28575" cap="rnd">
            <a:solidFill>
              <a:schemeClr val="accent1"/>
            </a:solidFill>
            <a:round/>
          </a:ln>
          <a:effectLst/>
        </c:spPr>
        <c:marker>
          <c:symbol val="none"/>
        </c:marker>
      </c:pivotFmt>
      <c:pivotFmt>
        <c:idx val="33"/>
        <c:spPr>
          <a:solidFill>
            <a:schemeClr val="accent1"/>
          </a:solidFill>
          <a:ln>
            <a:noFill/>
          </a:ln>
          <a:effectLst/>
        </c:spPr>
        <c:marker>
          <c:symbol val="none"/>
        </c:marker>
      </c:pivotFmt>
      <c:pivotFmt>
        <c:idx val="34"/>
        <c:spPr>
          <a:solidFill>
            <a:schemeClr val="accent1"/>
          </a:solidFill>
          <a:ln>
            <a:noFill/>
          </a:ln>
          <a:effectLst/>
        </c:spPr>
        <c:marker>
          <c:symbol val="none"/>
        </c:marker>
      </c:pivotFmt>
      <c:pivotFmt>
        <c:idx val="35"/>
        <c:spPr>
          <a:solidFill>
            <a:schemeClr val="accent1"/>
          </a:solidFill>
          <a:ln>
            <a:noFill/>
          </a:ln>
          <a:effectLst/>
        </c:spPr>
        <c:marker>
          <c:symbol val="none"/>
        </c:marker>
      </c:pivotFmt>
      <c:pivotFmt>
        <c:idx val="36"/>
        <c:spPr>
          <a:solidFill>
            <a:schemeClr val="accent1"/>
          </a:solidFill>
          <a:ln>
            <a:noFill/>
          </a:ln>
          <a:effectLst/>
        </c:spPr>
        <c:marker>
          <c:symbol val="none"/>
        </c:marker>
      </c:pivotFmt>
      <c:pivotFmt>
        <c:idx val="37"/>
        <c:spPr>
          <a:solidFill>
            <a:schemeClr val="accent1"/>
          </a:solidFill>
          <a:ln>
            <a:noFill/>
          </a:ln>
          <a:effectLst/>
        </c:spPr>
        <c:marker>
          <c:symbol val="none"/>
        </c:marker>
      </c:pivotFmt>
      <c:pivotFmt>
        <c:idx val="38"/>
        <c:spPr>
          <a:solidFill>
            <a:schemeClr val="accent1"/>
          </a:solidFill>
          <a:ln>
            <a:noFill/>
          </a:ln>
          <a:effectLst/>
        </c:spPr>
        <c:marker>
          <c:symbol val="none"/>
        </c:marker>
      </c:pivotFmt>
      <c:pivotFmt>
        <c:idx val="39"/>
        <c:spPr>
          <a:solidFill>
            <a:schemeClr val="accent1"/>
          </a:solidFill>
          <a:ln>
            <a:noFill/>
          </a:ln>
          <a:effectLst/>
        </c:spPr>
        <c:marker>
          <c:symbol val="none"/>
        </c:marker>
      </c:pivotFmt>
      <c:pivotFmt>
        <c:idx val="40"/>
        <c:spPr>
          <a:solidFill>
            <a:schemeClr val="accent1"/>
          </a:solidFill>
          <a:ln>
            <a:noFill/>
          </a:ln>
          <a:effectLst/>
        </c:spPr>
        <c:marker>
          <c:symbol val="none"/>
        </c:marker>
      </c:pivotFmt>
      <c:pivotFmt>
        <c:idx val="41"/>
        <c:spPr>
          <a:solidFill>
            <a:schemeClr val="accent1"/>
          </a:solidFill>
          <a:ln>
            <a:noFill/>
          </a:ln>
          <a:effectLst/>
        </c:spPr>
        <c:marker>
          <c:symbol val="none"/>
        </c:marker>
      </c:pivotFmt>
      <c:pivotFmt>
        <c:idx val="42"/>
        <c:spPr>
          <a:solidFill>
            <a:schemeClr val="accent1"/>
          </a:solidFill>
          <a:ln>
            <a:noFill/>
          </a:ln>
          <a:effectLst/>
        </c:spPr>
        <c:marker>
          <c:symbol val="none"/>
        </c:marker>
      </c:pivotFmt>
      <c:pivotFmt>
        <c:idx val="43"/>
        <c:spPr>
          <a:solidFill>
            <a:schemeClr val="accent1"/>
          </a:solidFill>
          <a:ln>
            <a:noFill/>
          </a:ln>
          <a:effectLst/>
        </c:spPr>
        <c:marker>
          <c:symbol val="none"/>
        </c:marker>
      </c:pivotFmt>
      <c:pivotFmt>
        <c:idx val="44"/>
        <c:spPr>
          <a:solidFill>
            <a:schemeClr val="accent1"/>
          </a:solidFill>
          <a:ln w="28575" cap="rnd">
            <a:solidFill>
              <a:schemeClr val="accent1"/>
            </a:solidFill>
            <a:round/>
          </a:ln>
          <a:effectLst/>
        </c:spPr>
        <c:marker>
          <c:symbol val="none"/>
        </c:marker>
      </c:pivotFmt>
      <c:pivotFmt>
        <c:idx val="45"/>
        <c:spPr>
          <a:solidFill>
            <a:schemeClr val="accent1"/>
          </a:solidFill>
          <a:ln w="28575" cap="rnd">
            <a:solidFill>
              <a:schemeClr val="accent1"/>
            </a:solidFill>
            <a:round/>
          </a:ln>
          <a:effectLst/>
        </c:spPr>
        <c:marker>
          <c:symbol val="none"/>
        </c:marker>
      </c:pivotFmt>
      <c:pivotFmt>
        <c:idx val="46"/>
        <c:spPr>
          <a:solidFill>
            <a:schemeClr val="accent1"/>
          </a:solidFill>
          <a:ln w="28575" cap="rnd">
            <a:solidFill>
              <a:schemeClr val="accent1"/>
            </a:solidFill>
            <a:round/>
          </a:ln>
          <a:effectLst/>
        </c:spPr>
        <c:marker>
          <c:symbol val="none"/>
        </c:marker>
      </c:pivotFmt>
      <c:pivotFmt>
        <c:idx val="47"/>
        <c:spPr>
          <a:solidFill>
            <a:schemeClr val="accent1"/>
          </a:solidFill>
          <a:ln w="28575" cap="rnd">
            <a:solidFill>
              <a:schemeClr val="accent1"/>
            </a:solidFill>
            <a:round/>
          </a:ln>
          <a:effectLst/>
        </c:spPr>
        <c:marker>
          <c:symbol val="none"/>
        </c:marker>
      </c:pivotFmt>
      <c:pivotFmt>
        <c:idx val="48"/>
        <c:spPr>
          <a:solidFill>
            <a:schemeClr val="accent1"/>
          </a:solidFill>
          <a:ln w="28575" cap="rnd">
            <a:solidFill>
              <a:schemeClr val="accent1"/>
            </a:solidFill>
            <a:round/>
          </a:ln>
          <a:effectLst/>
        </c:spPr>
        <c:marker>
          <c:symbol val="none"/>
        </c:marker>
      </c:pivotFmt>
      <c:pivotFmt>
        <c:idx val="49"/>
        <c:spPr>
          <a:solidFill>
            <a:schemeClr val="accent1"/>
          </a:solidFill>
          <a:ln w="28575" cap="rnd">
            <a:solidFill>
              <a:schemeClr val="accent1"/>
            </a:solidFill>
            <a:round/>
          </a:ln>
          <a:effectLst/>
        </c:spPr>
        <c:marker>
          <c:symbol val="none"/>
        </c:marker>
      </c:pivotFmt>
      <c:pivotFmt>
        <c:idx val="50"/>
        <c:spPr>
          <a:solidFill>
            <a:schemeClr val="accent1"/>
          </a:solidFill>
          <a:ln w="28575" cap="rnd">
            <a:solidFill>
              <a:schemeClr val="accent1"/>
            </a:solidFill>
            <a:round/>
          </a:ln>
          <a:effectLst/>
        </c:spPr>
        <c:marker>
          <c:symbol val="none"/>
        </c:marker>
      </c:pivotFmt>
      <c:pivotFmt>
        <c:idx val="51"/>
        <c:spPr>
          <a:solidFill>
            <a:schemeClr val="accent1"/>
          </a:solidFill>
          <a:ln w="28575" cap="rnd">
            <a:solidFill>
              <a:schemeClr val="accent1"/>
            </a:solidFill>
            <a:round/>
          </a:ln>
          <a:effectLst/>
        </c:spPr>
        <c:marker>
          <c:symbol val="none"/>
        </c:marker>
      </c:pivotFmt>
      <c:pivotFmt>
        <c:idx val="52"/>
        <c:spPr>
          <a:solidFill>
            <a:schemeClr val="accent1"/>
          </a:solidFill>
          <a:ln w="28575" cap="rnd">
            <a:solidFill>
              <a:schemeClr val="accent1"/>
            </a:solidFill>
            <a:round/>
          </a:ln>
          <a:effectLst/>
        </c:spPr>
        <c:marker>
          <c:symbol val="none"/>
        </c:marker>
      </c:pivotFmt>
      <c:pivotFmt>
        <c:idx val="53"/>
        <c:spPr>
          <a:solidFill>
            <a:schemeClr val="accent1"/>
          </a:solidFill>
          <a:ln w="28575" cap="rnd">
            <a:solidFill>
              <a:schemeClr val="accent1"/>
            </a:solidFill>
            <a:round/>
          </a:ln>
          <a:effectLst/>
        </c:spPr>
        <c:marker>
          <c:symbol val="none"/>
        </c:marker>
      </c:pivotFmt>
      <c:pivotFmt>
        <c:idx val="54"/>
        <c:spPr>
          <a:solidFill>
            <a:schemeClr val="accent1"/>
          </a:solidFill>
          <a:ln w="28575" cap="rnd">
            <a:solidFill>
              <a:schemeClr val="accent1"/>
            </a:solidFill>
            <a:round/>
          </a:ln>
          <a:effectLst/>
        </c:spPr>
        <c:marker>
          <c:symbol val="none"/>
        </c:marker>
      </c:pivotFmt>
      <c:pivotFmt>
        <c:idx val="55"/>
        <c:spPr>
          <a:solidFill>
            <a:schemeClr val="accent1"/>
          </a:solidFill>
          <a:ln w="28575" cap="rnd">
            <a:solidFill>
              <a:schemeClr val="accent1"/>
            </a:solidFill>
            <a:round/>
          </a:ln>
          <a:effectLst/>
        </c:spPr>
        <c:marker>
          <c:symbol val="none"/>
        </c:marker>
      </c:pivotFmt>
      <c:pivotFmt>
        <c:idx val="56"/>
        <c:spPr>
          <a:solidFill>
            <a:schemeClr val="accent1"/>
          </a:solidFill>
          <a:ln w="28575" cap="rnd">
            <a:solidFill>
              <a:schemeClr val="accent1"/>
            </a:solidFill>
            <a:round/>
          </a:ln>
          <a:effectLst/>
        </c:spPr>
        <c:marker>
          <c:symbol val="none"/>
        </c:marker>
      </c:pivotFmt>
      <c:pivotFmt>
        <c:idx val="57"/>
        <c:spPr>
          <a:solidFill>
            <a:schemeClr val="accent1"/>
          </a:solidFill>
          <a:ln w="28575" cap="rnd">
            <a:solidFill>
              <a:schemeClr val="accent1"/>
            </a:solidFill>
            <a:round/>
          </a:ln>
          <a:effectLst/>
        </c:spPr>
        <c:marker>
          <c:symbol val="none"/>
        </c:marker>
      </c:pivotFmt>
      <c:pivotFmt>
        <c:idx val="58"/>
        <c:spPr>
          <a:solidFill>
            <a:schemeClr val="accent1"/>
          </a:solidFill>
          <a:ln w="28575" cap="rnd">
            <a:solidFill>
              <a:schemeClr val="accent1"/>
            </a:solidFill>
            <a:round/>
          </a:ln>
          <a:effectLst/>
        </c:spPr>
        <c:marker>
          <c:symbol val="none"/>
        </c:marker>
      </c:pivotFmt>
      <c:pivotFmt>
        <c:idx val="59"/>
        <c:spPr>
          <a:solidFill>
            <a:schemeClr val="accent1"/>
          </a:solidFill>
          <a:ln w="28575" cap="rnd">
            <a:solidFill>
              <a:schemeClr val="accent1"/>
            </a:solidFill>
            <a:round/>
          </a:ln>
          <a:effectLst/>
        </c:spPr>
        <c:marker>
          <c:symbol val="none"/>
        </c:marker>
      </c:pivotFmt>
      <c:pivotFmt>
        <c:idx val="60"/>
        <c:spPr>
          <a:solidFill>
            <a:schemeClr val="accent1"/>
          </a:solidFill>
          <a:ln w="28575" cap="rnd">
            <a:solidFill>
              <a:schemeClr val="accent1"/>
            </a:solidFill>
            <a:round/>
          </a:ln>
          <a:effectLst/>
        </c:spPr>
        <c:marker>
          <c:symbol val="none"/>
        </c:marker>
      </c:pivotFmt>
      <c:pivotFmt>
        <c:idx val="61"/>
        <c:spPr>
          <a:solidFill>
            <a:schemeClr val="accent1"/>
          </a:solidFill>
          <a:ln w="28575" cap="rnd">
            <a:solidFill>
              <a:schemeClr val="accent1"/>
            </a:solidFill>
            <a:round/>
          </a:ln>
          <a:effectLst/>
        </c:spPr>
        <c:marker>
          <c:symbol val="none"/>
        </c:marker>
      </c:pivotFmt>
      <c:pivotFmt>
        <c:idx val="62"/>
        <c:spPr>
          <a:solidFill>
            <a:schemeClr val="accent1"/>
          </a:solidFill>
          <a:ln w="28575" cap="rnd">
            <a:solidFill>
              <a:schemeClr val="accent1"/>
            </a:solidFill>
            <a:round/>
          </a:ln>
          <a:effectLst/>
        </c:spPr>
        <c:marker>
          <c:symbol val="none"/>
        </c:marker>
      </c:pivotFmt>
      <c:pivotFmt>
        <c:idx val="63"/>
        <c:spPr>
          <a:solidFill>
            <a:schemeClr val="accent1"/>
          </a:solidFill>
          <a:ln w="28575" cap="rnd">
            <a:solidFill>
              <a:schemeClr val="accent1"/>
            </a:solidFill>
            <a:round/>
          </a:ln>
          <a:effectLst/>
        </c:spPr>
        <c:marker>
          <c:symbol val="none"/>
        </c:marker>
      </c:pivotFmt>
      <c:pivotFmt>
        <c:idx val="64"/>
        <c:spPr>
          <a:solidFill>
            <a:schemeClr val="accent1"/>
          </a:solidFill>
          <a:ln w="28575" cap="rnd">
            <a:solidFill>
              <a:schemeClr val="accent1"/>
            </a:solidFill>
            <a:round/>
          </a:ln>
          <a:effectLst/>
        </c:spPr>
        <c:marker>
          <c:symbol val="none"/>
        </c:marker>
      </c:pivotFmt>
      <c:pivotFmt>
        <c:idx val="65"/>
        <c:spPr>
          <a:solidFill>
            <a:schemeClr val="accent1"/>
          </a:solidFill>
          <a:ln w="28575" cap="rnd">
            <a:solidFill>
              <a:schemeClr val="accent1"/>
            </a:solidFill>
            <a:round/>
          </a:ln>
          <a:effectLst/>
        </c:spPr>
        <c:marker>
          <c:symbol val="none"/>
        </c:marker>
      </c:pivotFmt>
      <c:pivotFmt>
        <c:idx val="66"/>
        <c:spPr>
          <a:solidFill>
            <a:schemeClr val="accent1"/>
          </a:solidFill>
          <a:ln w="28575" cap="rnd">
            <a:solidFill>
              <a:schemeClr val="accent1"/>
            </a:solidFill>
            <a:round/>
          </a:ln>
          <a:effectLst/>
        </c:spPr>
        <c:marker>
          <c:symbol val="none"/>
        </c:marker>
      </c:pivotFmt>
      <c:pivotFmt>
        <c:idx val="67"/>
        <c:spPr>
          <a:solidFill>
            <a:schemeClr val="accent1"/>
          </a:solidFill>
          <a:ln w="28575" cap="rnd">
            <a:solidFill>
              <a:schemeClr val="accent1"/>
            </a:solidFill>
            <a:round/>
          </a:ln>
          <a:effectLst/>
        </c:spPr>
        <c:marker>
          <c:symbol val="none"/>
        </c:marker>
      </c:pivotFmt>
      <c:pivotFmt>
        <c:idx val="68"/>
        <c:spPr>
          <a:solidFill>
            <a:schemeClr val="accent1"/>
          </a:solidFill>
          <a:ln w="28575" cap="rnd">
            <a:solidFill>
              <a:schemeClr val="accent1"/>
            </a:solidFill>
            <a:round/>
          </a:ln>
          <a:effectLst/>
        </c:spPr>
        <c:marker>
          <c:symbol val="none"/>
        </c:marker>
      </c:pivotFmt>
      <c:pivotFmt>
        <c:idx val="69"/>
        <c:spPr>
          <a:solidFill>
            <a:schemeClr val="accent1"/>
          </a:solidFill>
          <a:ln w="28575" cap="rnd">
            <a:solidFill>
              <a:schemeClr val="accent1"/>
            </a:solidFill>
            <a:round/>
          </a:ln>
          <a:effectLst/>
        </c:spPr>
        <c:marker>
          <c:symbol val="none"/>
        </c:marker>
      </c:pivotFmt>
      <c:pivotFmt>
        <c:idx val="70"/>
        <c:spPr>
          <a:solidFill>
            <a:schemeClr val="accent1"/>
          </a:solidFill>
          <a:ln w="28575" cap="rnd">
            <a:solidFill>
              <a:schemeClr val="accent1"/>
            </a:solidFill>
            <a:round/>
          </a:ln>
          <a:effectLst/>
        </c:spPr>
        <c:marker>
          <c:symbol val="none"/>
        </c:marker>
      </c:pivotFmt>
      <c:pivotFmt>
        <c:idx val="71"/>
        <c:spPr>
          <a:solidFill>
            <a:schemeClr val="accent1"/>
          </a:solidFill>
          <a:ln w="28575" cap="rnd">
            <a:solidFill>
              <a:schemeClr val="accent1"/>
            </a:solidFill>
            <a:round/>
          </a:ln>
          <a:effectLst/>
        </c:spPr>
        <c:marker>
          <c:symbol val="none"/>
        </c:marker>
      </c:pivotFmt>
    </c:pivotFmts>
    <c:plotArea>
      <c:layout>
        <c:manualLayout>
          <c:layoutTarget val="inner"/>
          <c:xMode val="edge"/>
          <c:yMode val="edge"/>
          <c:x val="0.11721539988848544"/>
          <c:y val="4.7649989170457006E-2"/>
          <c:w val="0.77260464689323161"/>
          <c:h val="0.65739828101597797"/>
        </c:manualLayout>
      </c:layout>
      <c:lineChart>
        <c:grouping val="standard"/>
        <c:varyColors val="0"/>
        <c:ser>
          <c:idx val="0"/>
          <c:order val="0"/>
          <c:tx>
            <c:strRef>
              <c:f>'F2 VM Px by drug bio'!$B$1:$B$2</c:f>
              <c:strCache>
                <c:ptCount val="1"/>
                <c:pt idx="0">
                  <c:v>ALEMTUZUMAB</c:v>
                </c:pt>
              </c:strCache>
            </c:strRef>
          </c:tx>
          <c:spPr>
            <a:ln w="28575" cap="rnd">
              <a:solidFill>
                <a:srgbClr val="F79646"/>
              </a:solidFill>
              <a:round/>
            </a:ln>
            <a:effectLst/>
          </c:spPr>
          <c:marker>
            <c:symbol val="circle"/>
            <c:size val="5"/>
            <c:spPr>
              <a:solidFill>
                <a:srgbClr val="F79646"/>
              </a:solidFill>
              <a:ln w="9525">
                <a:solidFill>
                  <a:srgbClr val="F79646"/>
                </a:solidFill>
              </a:ln>
              <a:effectLst/>
            </c:spPr>
          </c:marker>
          <c:cat>
            <c:strRef>
              <c:f>'F2 VM Px by drug bio'!$A$3:$A$15</c:f>
              <c:strCach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strCache>
            </c:strRef>
          </c:cat>
          <c:val>
            <c:numRef>
              <c:f>'F2 VM Px by drug bio'!$B$3:$B$15</c:f>
              <c:numCache>
                <c:formatCode>General</c:formatCode>
                <c:ptCount val="12"/>
                <c:pt idx="7">
                  <c:v>423</c:v>
                </c:pt>
                <c:pt idx="8">
                  <c:v>830</c:v>
                </c:pt>
                <c:pt idx="9">
                  <c:v>748</c:v>
                </c:pt>
                <c:pt idx="10">
                  <c:v>459</c:v>
                </c:pt>
                <c:pt idx="11">
                  <c:v>230</c:v>
                </c:pt>
              </c:numCache>
            </c:numRef>
          </c:val>
          <c:smooth val="0"/>
          <c:extLst>
            <c:ext xmlns:c16="http://schemas.microsoft.com/office/drawing/2014/chart" uri="{C3380CC4-5D6E-409C-BE32-E72D297353CC}">
              <c16:uniqueId val="{00000000-1DC6-4596-8E7B-CFB89F46F8F2}"/>
            </c:ext>
          </c:extLst>
        </c:ser>
        <c:ser>
          <c:idx val="1"/>
          <c:order val="1"/>
          <c:tx>
            <c:strRef>
              <c:f>'F2 VM Px by drug bio'!$C$1:$C$2</c:f>
              <c:strCache>
                <c:ptCount val="1"/>
                <c:pt idx="0">
                  <c:v>OCRELIZUMAB</c:v>
                </c:pt>
              </c:strCache>
            </c:strRef>
          </c:tx>
          <c:spPr>
            <a:ln w="28575" cap="rnd">
              <a:solidFill>
                <a:srgbClr val="9BBB59"/>
              </a:solidFill>
              <a:round/>
            </a:ln>
            <a:effectLst/>
          </c:spPr>
          <c:marker>
            <c:symbol val="circle"/>
            <c:size val="5"/>
            <c:spPr>
              <a:solidFill>
                <a:srgbClr val="9BBB59"/>
              </a:solidFill>
              <a:ln w="9525">
                <a:solidFill>
                  <a:srgbClr val="9BBB59"/>
                </a:solidFill>
              </a:ln>
              <a:effectLst/>
            </c:spPr>
          </c:marker>
          <c:cat>
            <c:strRef>
              <c:f>'F2 VM Px by drug bio'!$A$3:$A$15</c:f>
              <c:strCach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strCache>
            </c:strRef>
          </c:cat>
          <c:val>
            <c:numRef>
              <c:f>'F2 VM Px by drug bio'!$C$3:$C$15</c:f>
              <c:numCache>
                <c:formatCode>General</c:formatCode>
                <c:ptCount val="12"/>
                <c:pt idx="10">
                  <c:v>2764</c:v>
                </c:pt>
                <c:pt idx="11">
                  <c:v>3790</c:v>
                </c:pt>
              </c:numCache>
            </c:numRef>
          </c:val>
          <c:smooth val="0"/>
          <c:extLst>
            <c:ext xmlns:c16="http://schemas.microsoft.com/office/drawing/2014/chart" uri="{C3380CC4-5D6E-409C-BE32-E72D297353CC}">
              <c16:uniqueId val="{00000001-1DC6-4596-8E7B-CFB89F46F8F2}"/>
            </c:ext>
          </c:extLst>
        </c:ser>
        <c:ser>
          <c:idx val="2"/>
          <c:order val="2"/>
          <c:tx>
            <c:strRef>
              <c:f>'F2 VM Px by drug bio'!$D$1:$D$2</c:f>
              <c:strCache>
                <c:ptCount val="1"/>
                <c:pt idx="0">
                  <c:v>NATALIZUMAB</c:v>
                </c:pt>
              </c:strCache>
            </c:strRef>
          </c:tx>
          <c:spPr>
            <a:ln w="28575" cap="rnd">
              <a:solidFill>
                <a:srgbClr val="4F81BD"/>
              </a:solidFill>
              <a:round/>
            </a:ln>
            <a:effectLst/>
          </c:spPr>
          <c:marker>
            <c:symbol val="circle"/>
            <c:size val="5"/>
            <c:spPr>
              <a:solidFill>
                <a:srgbClr val="4F81BD"/>
              </a:solidFill>
              <a:ln w="9525">
                <a:solidFill>
                  <a:srgbClr val="4F81BD"/>
                </a:solidFill>
              </a:ln>
              <a:effectLst/>
            </c:spPr>
          </c:marker>
          <c:cat>
            <c:strRef>
              <c:f>'F2 VM Px by drug bio'!$A$3:$A$15</c:f>
              <c:strCach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strCache>
            </c:strRef>
          </c:cat>
          <c:val>
            <c:numRef>
              <c:f>'F2 VM Px by drug bio'!$D$3:$D$15</c:f>
              <c:numCache>
                <c:formatCode>General</c:formatCode>
                <c:ptCount val="12"/>
                <c:pt idx="0">
                  <c:v>254</c:v>
                </c:pt>
                <c:pt idx="1">
                  <c:v>339</c:v>
                </c:pt>
                <c:pt idx="2">
                  <c:v>412</c:v>
                </c:pt>
                <c:pt idx="3">
                  <c:v>913</c:v>
                </c:pt>
                <c:pt idx="4">
                  <c:v>1294</c:v>
                </c:pt>
                <c:pt idx="5">
                  <c:v>2157</c:v>
                </c:pt>
                <c:pt idx="6">
                  <c:v>2342</c:v>
                </c:pt>
                <c:pt idx="7">
                  <c:v>2583</c:v>
                </c:pt>
                <c:pt idx="8">
                  <c:v>2781</c:v>
                </c:pt>
                <c:pt idx="9">
                  <c:v>3162</c:v>
                </c:pt>
                <c:pt idx="10">
                  <c:v>3029</c:v>
                </c:pt>
                <c:pt idx="11">
                  <c:v>2679</c:v>
                </c:pt>
              </c:numCache>
            </c:numRef>
          </c:val>
          <c:smooth val="0"/>
          <c:extLst>
            <c:ext xmlns:c16="http://schemas.microsoft.com/office/drawing/2014/chart" uri="{C3380CC4-5D6E-409C-BE32-E72D297353CC}">
              <c16:uniqueId val="{00000002-1DC6-4596-8E7B-CFB89F46F8F2}"/>
            </c:ext>
          </c:extLst>
        </c:ser>
        <c:dLbls>
          <c:showLegendKey val="0"/>
          <c:showVal val="0"/>
          <c:showCatName val="0"/>
          <c:showSerName val="0"/>
          <c:showPercent val="0"/>
          <c:showBubbleSize val="0"/>
        </c:dLbls>
        <c:marker val="1"/>
        <c:smooth val="0"/>
        <c:axId val="693968384"/>
        <c:axId val="693969696"/>
      </c:lineChart>
      <c:catAx>
        <c:axId val="6939683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0"/>
                  <a:t>Calendar Year</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969696"/>
        <c:crosses val="autoZero"/>
        <c:auto val="1"/>
        <c:lblAlgn val="ctr"/>
        <c:lblOffset val="100"/>
        <c:noMultiLvlLbl val="0"/>
      </c:catAx>
      <c:valAx>
        <c:axId val="693969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0"/>
                  <a:t>Number of patients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968384"/>
        <c:crosses val="autoZero"/>
        <c:crossBetween val="between"/>
      </c:valAx>
      <c:spPr>
        <a:noFill/>
        <a:ln>
          <a:noFill/>
        </a:ln>
        <a:effectLst/>
      </c:spPr>
    </c:plotArea>
    <c:legend>
      <c:legendPos val="r"/>
      <c:layout>
        <c:manualLayout>
          <c:xMode val="edge"/>
          <c:yMode val="edge"/>
          <c:x val="9.9664606367209266E-2"/>
          <c:y val="0.89860324779844514"/>
          <c:w val="0.78807287204384424"/>
          <c:h val="0.1013967522015549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[Copy of D1200 - alemtuzumab.xlsx 26112019.xlsx]F2 ini and prev to alemtuzumab!PivotTable2</c:name>
    <c:fmtId val="5"/>
  </c:pivotSource>
  <c:chart>
    <c:autoTitleDeleted val="0"/>
    <c:pivotFmts>
      <c:pivotFmt>
        <c:idx val="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
        <c:spPr>
          <a:solidFill>
            <a:schemeClr val="accent1"/>
          </a:solidFill>
          <a:ln w="28575" cap="rnd">
            <a:solidFill>
              <a:schemeClr val="accent6"/>
            </a:solidFill>
            <a:round/>
          </a:ln>
          <a:effectLst/>
        </c:spPr>
        <c:marker>
          <c:symbol val="circle"/>
          <c:size val="5"/>
          <c:spPr>
            <a:solidFill>
              <a:schemeClr val="accent6"/>
            </a:solidFill>
            <a:ln w="9525">
              <a:solidFill>
                <a:schemeClr val="accent6"/>
              </a:solidFill>
            </a:ln>
            <a:effectLst/>
          </c:spPr>
        </c:marker>
      </c:pivotFmt>
      <c:pivotFmt>
        <c:idx val="2"/>
        <c:spPr>
          <a:solidFill>
            <a:schemeClr val="accent1"/>
          </a:solidFill>
          <a:ln w="28575" cap="rnd">
            <a:solidFill>
              <a:srgbClr val="C00000"/>
            </a:solidFill>
            <a:round/>
          </a:ln>
          <a:effectLst/>
        </c:spPr>
        <c:marker>
          <c:symbol val="circle"/>
          <c:size val="5"/>
          <c:spPr>
            <a:solidFill>
              <a:srgbClr val="C00000"/>
            </a:solidFill>
            <a:ln w="9525">
              <a:solidFill>
                <a:srgbClr val="C00000"/>
              </a:solidFill>
            </a:ln>
            <a:effectLst/>
          </c:spPr>
        </c:marker>
      </c:pivotFmt>
      <c:pivotFmt>
        <c:idx val="3"/>
        <c:spPr>
          <a:solidFill>
            <a:schemeClr val="accent1"/>
          </a:solidFill>
          <a:ln w="28575" cap="rnd">
            <a:solidFill>
              <a:schemeClr val="accent6"/>
            </a:solidFill>
            <a:round/>
          </a:ln>
          <a:effectLst/>
        </c:spPr>
        <c:marker>
          <c:symbol val="circle"/>
          <c:size val="5"/>
          <c:spPr>
            <a:solidFill>
              <a:schemeClr val="accent6"/>
            </a:solidFill>
            <a:ln w="9525">
              <a:solidFill>
                <a:schemeClr val="accent6"/>
              </a:solidFill>
            </a:ln>
            <a:effectLst/>
          </c:spPr>
        </c:marker>
      </c:pivotFmt>
      <c:pivotFmt>
        <c:idx val="4"/>
        <c:spPr>
          <a:solidFill>
            <a:schemeClr val="accent1"/>
          </a:solidFill>
          <a:ln w="28575" cap="rnd">
            <a:solidFill>
              <a:srgbClr val="C00000"/>
            </a:solidFill>
            <a:round/>
          </a:ln>
          <a:effectLst/>
        </c:spPr>
        <c:marker>
          <c:symbol val="circle"/>
          <c:size val="5"/>
          <c:spPr>
            <a:solidFill>
              <a:srgbClr val="C00000"/>
            </a:solidFill>
            <a:ln w="9525">
              <a:solidFill>
                <a:srgbClr val="C00000"/>
              </a:solidFill>
            </a:ln>
            <a:effectLst/>
          </c:spPr>
        </c:marker>
      </c:pivotFmt>
    </c:pivotFmts>
    <c:plotArea>
      <c:layout>
        <c:manualLayout>
          <c:layoutTarget val="inner"/>
          <c:xMode val="edge"/>
          <c:yMode val="edge"/>
          <c:x val="9.9667681820333587E-2"/>
          <c:y val="4.6402217094464397E-2"/>
          <c:w val="0.86622580705541763"/>
          <c:h val="0.76958952616130083"/>
        </c:manualLayout>
      </c:layout>
      <c:lineChart>
        <c:grouping val="standard"/>
        <c:varyColors val="0"/>
        <c:ser>
          <c:idx val="0"/>
          <c:order val="0"/>
          <c:tx>
            <c:strRef>
              <c:f>'F2 ini and prev to alemtuzumab'!$B$3</c:f>
              <c:strCache>
                <c:ptCount val="1"/>
                <c:pt idx="0">
                  <c:v>Initiating patients</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'F2 ini and prev to alemtuzumab'!$A$4:$A$9</c:f>
              <c:strCache>
                <c:ptCount val="5"/>
                <c:pt idx="0">
                  <c:v>2015</c:v>
                </c:pt>
                <c:pt idx="1">
                  <c:v>2016</c:v>
                </c:pt>
                <c:pt idx="2">
                  <c:v>2017</c:v>
                </c:pt>
                <c:pt idx="3">
                  <c:v>2018</c:v>
                </c:pt>
                <c:pt idx="4">
                  <c:v>2019</c:v>
                </c:pt>
              </c:strCache>
            </c:strRef>
          </c:cat>
          <c:val>
            <c:numRef>
              <c:f>'F2 ini and prev to alemtuzumab'!$B$4:$B$9</c:f>
              <c:numCache>
                <c:formatCode>General</c:formatCode>
                <c:ptCount val="5"/>
                <c:pt idx="0">
                  <c:v>423</c:v>
                </c:pt>
                <c:pt idx="1">
                  <c:v>457</c:v>
                </c:pt>
                <c:pt idx="2">
                  <c:v>305</c:v>
                </c:pt>
                <c:pt idx="3">
                  <c:v>173</c:v>
                </c:pt>
                <c:pt idx="4">
                  <c:v>93</c:v>
                </c:pt>
              </c:numCache>
            </c:numRef>
          </c:val>
          <c:smooth val="0"/>
          <c:extLst>
            <c:ext xmlns:c16="http://schemas.microsoft.com/office/drawing/2014/chart" uri="{C3380CC4-5D6E-409C-BE32-E72D297353CC}">
              <c16:uniqueId val="{00000000-C690-4704-813A-2B91D7D13F89}"/>
            </c:ext>
          </c:extLst>
        </c:ser>
        <c:ser>
          <c:idx val="1"/>
          <c:order val="1"/>
          <c:tx>
            <c:strRef>
              <c:f>'F2 ini and prev to alemtuzumab'!$C$3</c:f>
              <c:strCache>
                <c:ptCount val="1"/>
                <c:pt idx="0">
                  <c:v>Prevalent patients</c:v>
                </c:pt>
              </c:strCache>
            </c:strRef>
          </c:tx>
          <c:spPr>
            <a:ln w="28575" cap="rnd">
              <a:solidFill>
                <a:srgbClr val="C00000"/>
              </a:solidFill>
              <a:round/>
            </a:ln>
            <a:effectLst/>
          </c:spPr>
          <c:marker>
            <c:symbol val="circle"/>
            <c:size val="5"/>
            <c:spPr>
              <a:solidFill>
                <a:srgbClr val="C00000"/>
              </a:solidFill>
              <a:ln w="9525">
                <a:solidFill>
                  <a:srgbClr val="C00000"/>
                </a:solidFill>
              </a:ln>
              <a:effectLst/>
            </c:spPr>
          </c:marker>
          <c:cat>
            <c:strRef>
              <c:f>'F2 ini and prev to alemtuzumab'!$A$4:$A$9</c:f>
              <c:strCache>
                <c:ptCount val="5"/>
                <c:pt idx="0">
                  <c:v>2015</c:v>
                </c:pt>
                <c:pt idx="1">
                  <c:v>2016</c:v>
                </c:pt>
                <c:pt idx="2">
                  <c:v>2017</c:v>
                </c:pt>
                <c:pt idx="3">
                  <c:v>2018</c:v>
                </c:pt>
                <c:pt idx="4">
                  <c:v>2019</c:v>
                </c:pt>
              </c:strCache>
            </c:strRef>
          </c:cat>
          <c:val>
            <c:numRef>
              <c:f>'F2 ini and prev to alemtuzumab'!$C$4:$C$9</c:f>
              <c:numCache>
                <c:formatCode>General</c:formatCode>
                <c:ptCount val="5"/>
                <c:pt idx="0">
                  <c:v>423</c:v>
                </c:pt>
                <c:pt idx="1">
                  <c:v>830</c:v>
                </c:pt>
                <c:pt idx="2">
                  <c:v>748</c:v>
                </c:pt>
                <c:pt idx="3">
                  <c:v>459</c:v>
                </c:pt>
                <c:pt idx="4">
                  <c:v>230</c:v>
                </c:pt>
              </c:numCache>
            </c:numRef>
          </c:val>
          <c:smooth val="0"/>
          <c:extLst>
            <c:ext xmlns:c16="http://schemas.microsoft.com/office/drawing/2014/chart" uri="{C3380CC4-5D6E-409C-BE32-E72D297353CC}">
              <c16:uniqueId val="{00000001-C690-4704-813A-2B91D7D13F89}"/>
            </c:ext>
          </c:extLst>
        </c:ser>
        <c:dLbls>
          <c:showLegendKey val="0"/>
          <c:showVal val="0"/>
          <c:showCatName val="0"/>
          <c:showSerName val="0"/>
          <c:showPercent val="0"/>
          <c:showBubbleSize val="0"/>
        </c:dLbls>
        <c:marker val="1"/>
        <c:smooth val="0"/>
        <c:axId val="762372784"/>
        <c:axId val="762377704"/>
      </c:lineChart>
      <c:catAx>
        <c:axId val="7623727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0"/>
                  <a:t>Calendar Year </a:t>
                </a:r>
              </a:p>
            </c:rich>
          </c:tx>
          <c:layout>
            <c:manualLayout>
              <c:xMode val="edge"/>
              <c:yMode val="edge"/>
              <c:x val="0.40000808650147834"/>
              <c:y val="0.8836212318874342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2377704"/>
        <c:crosses val="autoZero"/>
        <c:auto val="1"/>
        <c:lblAlgn val="ctr"/>
        <c:lblOffset val="100"/>
        <c:noMultiLvlLbl val="0"/>
      </c:catAx>
      <c:valAx>
        <c:axId val="762377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0"/>
                  <a:t>Number of patients</a:t>
                </a:r>
              </a:p>
            </c:rich>
          </c:tx>
          <c:layout>
            <c:manualLayout>
              <c:xMode val="edge"/>
              <c:yMode val="edge"/>
              <c:x val="1.2084592145015106E-2"/>
              <c:y val="0.2248997521143190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2372784"/>
        <c:crosses val="autoZero"/>
        <c:crossBetween val="between"/>
      </c:valAx>
      <c:spPr>
        <a:noFill/>
        <a:ln>
          <a:noFill/>
        </a:ln>
        <a:effectLst/>
      </c:spPr>
    </c:plotArea>
    <c:legend>
      <c:legendPos val="r"/>
      <c:layout>
        <c:manualLayout>
          <c:xMode val="edge"/>
          <c:yMode val="edge"/>
          <c:x val="0.11312129790422722"/>
          <c:y val="0.94700026167423934"/>
          <c:w val="0.74589179373726322"/>
          <c:h val="4.901753217403715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[Copy of D1200 - alemtuzumab.xlsx 26112019.xlsx]F3 script vs cal yr by tx c!PivotTable4</c:name>
    <c:fmtId val="10"/>
  </c:pivotSource>
  <c:chart>
    <c:autoTitleDeleted val="1"/>
    <c:pivotFmts>
      <c:pivotFmt>
        <c:idx val="0"/>
        <c:spPr>
          <a:solidFill>
            <a:schemeClr val="accent1"/>
          </a:solidFill>
          <a:ln>
            <a:noFill/>
          </a:ln>
          <a:effectLst/>
        </c:spPr>
        <c:marker>
          <c:spPr>
            <a:solidFill>
              <a:schemeClr val="accent1"/>
            </a:solidFill>
            <a:ln w="9525">
              <a:solidFill>
                <a:schemeClr val="accent1"/>
              </a:solidFill>
            </a:ln>
            <a:effectLst/>
          </c:spPr>
        </c:marker>
      </c:pivotFmt>
      <c:pivotFmt>
        <c:idx val="1"/>
        <c:spPr>
          <a:solidFill>
            <a:schemeClr val="accent1"/>
          </a:solidFill>
          <a:ln>
            <a:noFill/>
          </a:ln>
          <a:effectLst/>
        </c:spPr>
        <c:marker>
          <c:spPr>
            <a:solidFill>
              <a:schemeClr val="accent1"/>
            </a:solidFill>
            <a:ln w="9525">
              <a:solidFill>
                <a:schemeClr val="accent1"/>
              </a:solidFill>
            </a:ln>
            <a:effectLst/>
          </c:spPr>
        </c:marker>
      </c:pivotFmt>
      <c:pivotFmt>
        <c:idx val="2"/>
        <c:spPr>
          <a:solidFill>
            <a:schemeClr val="accent1"/>
          </a:solidFill>
          <a:ln>
            <a:noFill/>
          </a:ln>
          <a:effectLst/>
        </c:spPr>
        <c:marker>
          <c:spPr>
            <a:solidFill>
              <a:schemeClr val="accent1"/>
            </a:solidFill>
            <a:ln w="9525">
              <a:solidFill>
                <a:schemeClr val="accent1"/>
              </a:solidFill>
            </a:ln>
            <a:effectLst/>
          </c:spPr>
        </c:marker>
      </c:pivotFmt>
      <c:pivotFmt>
        <c:idx val="3"/>
        <c:spPr>
          <a:solidFill>
            <a:schemeClr val="accent1"/>
          </a:solidFill>
          <a:ln>
            <a:noFill/>
          </a:ln>
          <a:effectLst/>
        </c:spPr>
        <c:marker>
          <c:spPr>
            <a:solidFill>
              <a:schemeClr val="accent1"/>
            </a:solidFill>
            <a:ln w="9525">
              <a:solidFill>
                <a:schemeClr val="accent1"/>
              </a:solidFill>
            </a:ln>
            <a:effectLst/>
          </c:spPr>
        </c:marker>
      </c:pivotFmt>
      <c:pivotFmt>
        <c:idx val="4"/>
        <c:spPr>
          <a:solidFill>
            <a:schemeClr val="accent1"/>
          </a:solidFill>
          <a:ln w="28575" cap="rnd">
            <a:solidFill>
              <a:schemeClr val="accent1"/>
            </a:solidFill>
            <a:round/>
          </a:ln>
          <a:effectLst/>
        </c:spPr>
      </c:pivotFmt>
      <c:pivotFmt>
        <c:idx val="5"/>
        <c:spPr>
          <a:solidFill>
            <a:schemeClr val="accent1"/>
          </a:solidFill>
          <a:ln w="28575" cap="rnd">
            <a:solidFill>
              <a:schemeClr val="accent1"/>
            </a:solidFill>
            <a:round/>
          </a:ln>
          <a:effectLst/>
        </c:spPr>
      </c:pivotFmt>
      <c:pivotFmt>
        <c:idx val="6"/>
        <c:spPr>
          <a:solidFill>
            <a:schemeClr val="accent1"/>
          </a:solidFill>
          <a:ln w="28575" cap="rnd">
            <a:solidFill>
              <a:schemeClr val="accent1"/>
            </a:solidFill>
            <a:round/>
          </a:ln>
          <a:effectLst/>
        </c:spPr>
      </c:pivotFmt>
      <c:pivotFmt>
        <c:idx val="7"/>
        <c:spPr>
          <a:solidFill>
            <a:schemeClr val="accent1"/>
          </a:solidFill>
          <a:ln w="28575" cap="rnd">
            <a:solidFill>
              <a:schemeClr val="accent1"/>
            </a:solidFill>
            <a:round/>
          </a:ln>
          <a:effectLst/>
        </c:spPr>
      </c:pivotFmt>
      <c:pivotFmt>
        <c:idx val="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1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3"/>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s>
    <c:plotArea>
      <c:layout>
        <c:manualLayout>
          <c:layoutTarget val="inner"/>
          <c:xMode val="edge"/>
          <c:yMode val="edge"/>
          <c:x val="0.11129948132112892"/>
          <c:y val="4.1283542878588854E-2"/>
          <c:w val="0.80226132357825863"/>
          <c:h val="0.72512292030441805"/>
        </c:manualLayout>
      </c:layout>
      <c:lineChart>
        <c:grouping val="standard"/>
        <c:varyColors val="0"/>
        <c:ser>
          <c:idx val="0"/>
          <c:order val="0"/>
          <c:tx>
            <c:strRef>
              <c:f>'F3 script vs cal yr by tx c'!$B$3:$B$4</c:f>
              <c:strCache>
                <c:ptCount val="1"/>
                <c:pt idx="0">
                  <c:v>Initial treatment</c:v>
                </c:pt>
              </c:strCache>
            </c:strRef>
          </c:tx>
          <c:spPr>
            <a:ln w="28575" cap="rnd">
              <a:solidFill>
                <a:srgbClr val="377952"/>
              </a:solidFill>
              <a:round/>
            </a:ln>
            <a:effectLst/>
          </c:spPr>
          <c:marker>
            <c:symbol val="circle"/>
            <c:size val="5"/>
            <c:spPr>
              <a:solidFill>
                <a:srgbClr val="377952"/>
              </a:solidFill>
              <a:ln w="9525">
                <a:solidFill>
                  <a:srgbClr val="377952"/>
                </a:solidFill>
              </a:ln>
              <a:effectLst/>
            </c:spPr>
          </c:marker>
          <c:cat>
            <c:strRef>
              <c:f>'F3 script vs cal yr by tx c'!$A$5:$A$9</c:f>
              <c:strCache>
                <c:ptCount val="4"/>
                <c:pt idx="0">
                  <c:v>2015</c:v>
                </c:pt>
                <c:pt idx="1">
                  <c:v>2016</c:v>
                </c:pt>
                <c:pt idx="2">
                  <c:v>2017</c:v>
                </c:pt>
                <c:pt idx="3">
                  <c:v>2018</c:v>
                </c:pt>
              </c:strCache>
            </c:strRef>
          </c:cat>
          <c:val>
            <c:numRef>
              <c:f>'F3 script vs cal yr by tx c'!$B$5:$B$9</c:f>
              <c:numCache>
                <c:formatCode>General</c:formatCode>
                <c:ptCount val="4"/>
                <c:pt idx="0">
                  <c:v>441</c:v>
                </c:pt>
                <c:pt idx="1">
                  <c:v>479</c:v>
                </c:pt>
                <c:pt idx="2">
                  <c:v>320</c:v>
                </c:pt>
                <c:pt idx="3">
                  <c:v>184</c:v>
                </c:pt>
              </c:numCache>
            </c:numRef>
          </c:val>
          <c:smooth val="0"/>
          <c:extLst>
            <c:ext xmlns:c16="http://schemas.microsoft.com/office/drawing/2014/chart" uri="{C3380CC4-5D6E-409C-BE32-E72D297353CC}">
              <c16:uniqueId val="{00000000-62F0-4F77-B43A-7B7942F5E565}"/>
            </c:ext>
          </c:extLst>
        </c:ser>
        <c:ser>
          <c:idx val="1"/>
          <c:order val="1"/>
          <c:tx>
            <c:strRef>
              <c:f>'F3 script vs cal yr by tx c'!$C$3:$C$4</c:f>
              <c:strCache>
                <c:ptCount val="1"/>
                <c:pt idx="0">
                  <c:v>Continuing Treatment</c:v>
                </c:pt>
              </c:strCache>
            </c:strRef>
          </c:tx>
          <c:spPr>
            <a:ln w="28575" cap="rnd">
              <a:solidFill>
                <a:srgbClr val="6A4BC3"/>
              </a:solidFill>
              <a:round/>
            </a:ln>
            <a:effectLst/>
          </c:spPr>
          <c:marker>
            <c:symbol val="circle"/>
            <c:size val="5"/>
            <c:spPr>
              <a:solidFill>
                <a:srgbClr val="6A4BC3"/>
              </a:solidFill>
              <a:ln w="9525">
                <a:solidFill>
                  <a:srgbClr val="6A4BC3"/>
                </a:solidFill>
              </a:ln>
              <a:effectLst/>
            </c:spPr>
          </c:marker>
          <c:cat>
            <c:strRef>
              <c:f>'F3 script vs cal yr by tx c'!$A$5:$A$9</c:f>
              <c:strCache>
                <c:ptCount val="4"/>
                <c:pt idx="0">
                  <c:v>2015</c:v>
                </c:pt>
                <c:pt idx="1">
                  <c:v>2016</c:v>
                </c:pt>
                <c:pt idx="2">
                  <c:v>2017</c:v>
                </c:pt>
                <c:pt idx="3">
                  <c:v>2018</c:v>
                </c:pt>
              </c:strCache>
            </c:strRef>
          </c:cat>
          <c:val>
            <c:numRef>
              <c:f>'F3 script vs cal yr by tx c'!$C$5:$C$9</c:f>
              <c:numCache>
                <c:formatCode>General</c:formatCode>
                <c:ptCount val="4"/>
                <c:pt idx="0">
                  <c:v>5</c:v>
                </c:pt>
                <c:pt idx="1">
                  <c:v>361</c:v>
                </c:pt>
                <c:pt idx="2">
                  <c:v>443</c:v>
                </c:pt>
                <c:pt idx="3">
                  <c:v>287</c:v>
                </c:pt>
              </c:numCache>
            </c:numRef>
          </c:val>
          <c:smooth val="0"/>
          <c:extLst>
            <c:ext xmlns:c16="http://schemas.microsoft.com/office/drawing/2014/chart" uri="{C3380CC4-5D6E-409C-BE32-E72D297353CC}">
              <c16:uniqueId val="{00000001-62F0-4F77-B43A-7B7942F5E565}"/>
            </c:ext>
          </c:extLst>
        </c:ser>
        <c:dLbls>
          <c:showLegendKey val="0"/>
          <c:showVal val="0"/>
          <c:showCatName val="0"/>
          <c:showSerName val="0"/>
          <c:showPercent val="0"/>
          <c:showBubbleSize val="0"/>
        </c:dLbls>
        <c:marker val="1"/>
        <c:smooth val="0"/>
        <c:axId val="857079544"/>
        <c:axId val="857078888"/>
      </c:lineChart>
      <c:catAx>
        <c:axId val="8570795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0"/>
                  <a:t>Calendar</a:t>
                </a:r>
                <a:r>
                  <a:rPr lang="en-AU" b="0" baseline="0"/>
                  <a:t> Year </a:t>
                </a:r>
                <a:endParaRPr lang="en-AU" b="0"/>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7078888"/>
        <c:crosses val="autoZero"/>
        <c:auto val="1"/>
        <c:lblAlgn val="ctr"/>
        <c:lblOffset val="100"/>
        <c:noMultiLvlLbl val="0"/>
      </c:catAx>
      <c:valAx>
        <c:axId val="857078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0"/>
                  <a:t>Number</a:t>
                </a:r>
                <a:r>
                  <a:rPr lang="en-AU" b="0" baseline="0"/>
                  <a:t> of prescriptions</a:t>
                </a:r>
                <a:endParaRPr lang="en-AU" b="0"/>
              </a:p>
            </c:rich>
          </c:tx>
          <c:layout>
            <c:manualLayout>
              <c:xMode val="edge"/>
              <c:yMode val="edge"/>
              <c:x val="1.1189437171310284E-2"/>
              <c:y val="0.2243386815141831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7079544"/>
        <c:crosses val="autoZero"/>
        <c:crossBetween val="between"/>
      </c:valAx>
      <c:spPr>
        <a:noFill/>
        <a:ln>
          <a:noFill/>
        </a:ln>
        <a:effectLst/>
      </c:spPr>
    </c:plotArea>
    <c:legend>
      <c:legendPos val="r"/>
      <c:layout>
        <c:manualLayout>
          <c:xMode val="edge"/>
          <c:yMode val="edge"/>
          <c:x val="4.9736255274233733E-2"/>
          <c:y val="0.93322412941060195"/>
          <c:w val="0.89655444630347692"/>
          <c:h val="4.924429216222449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[Copy of D1200 - alemtuzumab.xlsx 26112019.xlsx]Bar graph-Number of courses!PivotTable9</c:name>
    <c:fmtId val="10"/>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5"/>
          </a:solidFill>
          <a:ln>
            <a:noFill/>
          </a:ln>
          <a:effectLst/>
        </c:spPr>
      </c:pivotFmt>
      <c:pivotFmt>
        <c:idx val="3"/>
        <c:spPr>
          <a:solidFill>
            <a:srgbClr val="FFC000"/>
          </a:solidFill>
          <a:ln>
            <a:noFill/>
          </a:ln>
          <a:effectLst/>
        </c:spPr>
      </c:pivotFmt>
      <c:pivotFmt>
        <c:idx val="4"/>
        <c:spPr>
          <a:solidFill>
            <a:srgbClr val="00B050"/>
          </a:solidFill>
          <a:ln>
            <a:noFill/>
          </a:ln>
          <a:effectLst/>
        </c:spPr>
      </c:pivotFmt>
      <c:pivotFmt>
        <c:idx val="5"/>
        <c:spPr>
          <a:solidFill>
            <a:srgbClr val="FFC000"/>
          </a:solidFill>
          <a:ln>
            <a:noFill/>
          </a:ln>
          <a:effectLst/>
        </c:spPr>
        <c:marker>
          <c:symbol val="none"/>
        </c:marker>
      </c:pivotFmt>
      <c:pivotFmt>
        <c:idx val="6"/>
        <c:spPr>
          <a:solidFill>
            <a:schemeClr val="accent5"/>
          </a:solidFill>
          <a:ln>
            <a:noFill/>
          </a:ln>
          <a:effectLst/>
        </c:spPr>
        <c:marker>
          <c:symbol val="none"/>
        </c:marker>
      </c:pivotFmt>
      <c:pivotFmt>
        <c:idx val="7"/>
        <c:spPr>
          <a:solidFill>
            <a:srgbClr val="00B050"/>
          </a:solidFill>
          <a:ln>
            <a:noFill/>
          </a:ln>
          <a:effectLst/>
        </c:spPr>
        <c:marker>
          <c:symbol val="none"/>
        </c:marker>
      </c:pivotFmt>
      <c:pivotFmt>
        <c:idx val="8"/>
        <c:spPr>
          <a:solidFill>
            <a:srgbClr val="FFC000"/>
          </a:solidFill>
          <a:ln>
            <a:noFill/>
          </a:ln>
          <a:effectLst/>
        </c:spPr>
        <c:marker>
          <c:symbol val="none"/>
        </c:marker>
      </c:pivotFmt>
      <c:pivotFmt>
        <c:idx val="9"/>
        <c:spPr>
          <a:solidFill>
            <a:schemeClr val="accent5"/>
          </a:solidFill>
          <a:ln>
            <a:noFill/>
          </a:ln>
          <a:effectLst/>
        </c:spPr>
        <c:marker>
          <c:symbol val="none"/>
        </c:marker>
      </c:pivotFmt>
      <c:pivotFmt>
        <c:idx val="10"/>
        <c:spPr>
          <a:solidFill>
            <a:srgbClr val="00B050"/>
          </a:solidFill>
          <a:ln>
            <a:noFill/>
          </a:ln>
          <a:effectLst/>
        </c:spPr>
        <c:marker>
          <c:symbol val="none"/>
        </c:marker>
      </c:pivotFmt>
    </c:pivotFmts>
    <c:plotArea>
      <c:layout/>
      <c:barChart>
        <c:barDir val="bar"/>
        <c:grouping val="percentStacked"/>
        <c:varyColors val="0"/>
        <c:ser>
          <c:idx val="0"/>
          <c:order val="0"/>
          <c:tx>
            <c:strRef>
              <c:f>'Bar graph-Number of courses'!$B$3:$B$4</c:f>
              <c:strCache>
                <c:ptCount val="1"/>
                <c:pt idx="0">
                  <c:v>1</c:v>
                </c:pt>
              </c:strCache>
            </c:strRef>
          </c:tx>
          <c:spPr>
            <a:solidFill>
              <a:srgbClr val="FFC000"/>
            </a:solidFill>
            <a:ln>
              <a:noFill/>
            </a:ln>
            <a:effectLst/>
          </c:spPr>
          <c:invertIfNegative val="0"/>
          <c:cat>
            <c:strRef>
              <c:f>'Bar graph-Number of courses'!$A$5</c:f>
              <c:strCache>
                <c:ptCount val="1"/>
                <c:pt idx="0">
                  <c:v>Total</c:v>
                </c:pt>
              </c:strCache>
            </c:strRef>
          </c:cat>
          <c:val>
            <c:numRef>
              <c:f>'Bar graph-Number of courses'!$B$5</c:f>
              <c:numCache>
                <c:formatCode>General</c:formatCode>
                <c:ptCount val="1"/>
                <c:pt idx="0">
                  <c:v>99</c:v>
                </c:pt>
              </c:numCache>
            </c:numRef>
          </c:val>
          <c:extLst>
            <c:ext xmlns:c16="http://schemas.microsoft.com/office/drawing/2014/chart" uri="{C3380CC4-5D6E-409C-BE32-E72D297353CC}">
              <c16:uniqueId val="{00000000-3F28-46AD-8D57-F90F6E2A3769}"/>
            </c:ext>
          </c:extLst>
        </c:ser>
        <c:ser>
          <c:idx val="1"/>
          <c:order val="1"/>
          <c:tx>
            <c:strRef>
              <c:f>'Bar graph-Number of courses'!$C$3:$C$4</c:f>
              <c:strCache>
                <c:ptCount val="1"/>
                <c:pt idx="0">
                  <c:v>2</c:v>
                </c:pt>
              </c:strCache>
            </c:strRef>
          </c:tx>
          <c:spPr>
            <a:solidFill>
              <a:schemeClr val="accent5"/>
            </a:solidFill>
            <a:ln>
              <a:noFill/>
            </a:ln>
            <a:effectLst/>
          </c:spPr>
          <c:invertIfNegative val="0"/>
          <c:cat>
            <c:strRef>
              <c:f>'Bar graph-Number of courses'!$A$5</c:f>
              <c:strCache>
                <c:ptCount val="1"/>
                <c:pt idx="0">
                  <c:v>Total</c:v>
                </c:pt>
              </c:strCache>
            </c:strRef>
          </c:cat>
          <c:val>
            <c:numRef>
              <c:f>'Bar graph-Number of courses'!$C$5</c:f>
              <c:numCache>
                <c:formatCode>General</c:formatCode>
                <c:ptCount val="1"/>
                <c:pt idx="0">
                  <c:v>1026</c:v>
                </c:pt>
              </c:numCache>
            </c:numRef>
          </c:val>
          <c:extLst>
            <c:ext xmlns:c16="http://schemas.microsoft.com/office/drawing/2014/chart" uri="{C3380CC4-5D6E-409C-BE32-E72D297353CC}">
              <c16:uniqueId val="{00000001-3F28-46AD-8D57-F90F6E2A3769}"/>
            </c:ext>
          </c:extLst>
        </c:ser>
        <c:ser>
          <c:idx val="2"/>
          <c:order val="2"/>
          <c:tx>
            <c:strRef>
              <c:f>'Bar graph-Number of courses'!$D$3:$D$4</c:f>
              <c:strCache>
                <c:ptCount val="1"/>
                <c:pt idx="0">
                  <c:v>3</c:v>
                </c:pt>
              </c:strCache>
            </c:strRef>
          </c:tx>
          <c:spPr>
            <a:solidFill>
              <a:srgbClr val="00B050"/>
            </a:solidFill>
            <a:ln>
              <a:noFill/>
            </a:ln>
            <a:effectLst/>
          </c:spPr>
          <c:invertIfNegative val="0"/>
          <c:cat>
            <c:strRef>
              <c:f>'Bar graph-Number of courses'!$A$5</c:f>
              <c:strCache>
                <c:ptCount val="1"/>
                <c:pt idx="0">
                  <c:v>Total</c:v>
                </c:pt>
              </c:strCache>
            </c:strRef>
          </c:cat>
          <c:val>
            <c:numRef>
              <c:f>'Bar graph-Number of courses'!$D$5</c:f>
              <c:numCache>
                <c:formatCode>General</c:formatCode>
                <c:ptCount val="1"/>
                <c:pt idx="0">
                  <c:v>15</c:v>
                </c:pt>
              </c:numCache>
            </c:numRef>
          </c:val>
          <c:extLst>
            <c:ext xmlns:c16="http://schemas.microsoft.com/office/drawing/2014/chart" uri="{C3380CC4-5D6E-409C-BE32-E72D297353CC}">
              <c16:uniqueId val="{00000002-3F28-46AD-8D57-F90F6E2A3769}"/>
            </c:ext>
          </c:extLst>
        </c:ser>
        <c:dLbls>
          <c:showLegendKey val="0"/>
          <c:showVal val="0"/>
          <c:showCatName val="0"/>
          <c:showSerName val="0"/>
          <c:showPercent val="0"/>
          <c:showBubbleSize val="0"/>
        </c:dLbls>
        <c:gapWidth val="219"/>
        <c:overlap val="100"/>
        <c:axId val="392790760"/>
        <c:axId val="392791088"/>
      </c:barChart>
      <c:catAx>
        <c:axId val="392790760"/>
        <c:scaling>
          <c:orientation val="minMax"/>
        </c:scaling>
        <c:delete val="1"/>
        <c:axPos val="l"/>
        <c:numFmt formatCode="General" sourceLinked="1"/>
        <c:majorTickMark val="out"/>
        <c:minorTickMark val="none"/>
        <c:tickLblPos val="nextTo"/>
        <c:crossAx val="392791088"/>
        <c:crosses val="autoZero"/>
        <c:auto val="1"/>
        <c:lblAlgn val="ctr"/>
        <c:lblOffset val="100"/>
        <c:noMultiLvlLbl val="0"/>
      </c:catAx>
      <c:valAx>
        <c:axId val="3927910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0" baseline="0"/>
                  <a:t>Percentage of patients</a:t>
                </a:r>
                <a:endParaRPr lang="en-AU" b="0"/>
              </a:p>
            </c:rich>
          </c:tx>
          <c:layout>
            <c:manualLayout>
              <c:xMode val="edge"/>
              <c:yMode val="edge"/>
              <c:x val="0.42891698658243804"/>
              <c:y val="0.8566855927258477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790760"/>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[Copy of D1200 - alemtuzumab.xlsx 26112019.xlsx]resupply scripts!PivotTable1</c:name>
    <c:fmtId val="10"/>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s>
    <c:plotArea>
      <c:layout/>
      <c:barChart>
        <c:barDir val="col"/>
        <c:grouping val="clustered"/>
        <c:varyColors val="0"/>
        <c:ser>
          <c:idx val="0"/>
          <c:order val="0"/>
          <c:tx>
            <c:strRef>
              <c:f>'resupply scripts'!$Y$1</c:f>
              <c:strCache>
                <c:ptCount val="1"/>
                <c:pt idx="0">
                  <c:v>Total</c:v>
                </c:pt>
              </c:strCache>
            </c:strRef>
          </c:tx>
          <c:spPr>
            <a:solidFill>
              <a:schemeClr val="accent1"/>
            </a:solidFill>
            <a:ln>
              <a:noFill/>
            </a:ln>
            <a:effectLst/>
          </c:spPr>
          <c:invertIfNegative val="0"/>
          <c:cat>
            <c:strRef>
              <c:f>'resupply scripts'!$X$2:$X$965</c:f>
              <c:strCache>
                <c:ptCount val="96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pt idx="350">
                  <c:v>351</c:v>
                </c:pt>
                <c:pt idx="351">
                  <c:v>352</c:v>
                </c:pt>
                <c:pt idx="352">
                  <c:v>353</c:v>
                </c:pt>
                <c:pt idx="353">
                  <c:v>354</c:v>
                </c:pt>
                <c:pt idx="354">
                  <c:v>355</c:v>
                </c:pt>
                <c:pt idx="355">
                  <c:v>356</c:v>
                </c:pt>
                <c:pt idx="356">
                  <c:v>357</c:v>
                </c:pt>
                <c:pt idx="357">
                  <c:v>358</c:v>
                </c:pt>
                <c:pt idx="358">
                  <c:v>359</c:v>
                </c:pt>
                <c:pt idx="359">
                  <c:v>360</c:v>
                </c:pt>
                <c:pt idx="360">
                  <c:v>361</c:v>
                </c:pt>
                <c:pt idx="361">
                  <c:v>362</c:v>
                </c:pt>
                <c:pt idx="362">
                  <c:v>363</c:v>
                </c:pt>
                <c:pt idx="363">
                  <c:v>364</c:v>
                </c:pt>
                <c:pt idx="364">
                  <c:v>365</c:v>
                </c:pt>
                <c:pt idx="365">
                  <c:v>366</c:v>
                </c:pt>
                <c:pt idx="366">
                  <c:v>367</c:v>
                </c:pt>
                <c:pt idx="367">
                  <c:v>368</c:v>
                </c:pt>
                <c:pt idx="368">
                  <c:v>369</c:v>
                </c:pt>
                <c:pt idx="369">
                  <c:v>370</c:v>
                </c:pt>
                <c:pt idx="370">
                  <c:v>371</c:v>
                </c:pt>
                <c:pt idx="371">
                  <c:v>372</c:v>
                </c:pt>
                <c:pt idx="372">
                  <c:v>373</c:v>
                </c:pt>
                <c:pt idx="373">
                  <c:v>374</c:v>
                </c:pt>
                <c:pt idx="374">
                  <c:v>375</c:v>
                </c:pt>
                <c:pt idx="375">
                  <c:v>376</c:v>
                </c:pt>
                <c:pt idx="376">
                  <c:v>377</c:v>
                </c:pt>
                <c:pt idx="377">
                  <c:v>378</c:v>
                </c:pt>
                <c:pt idx="378">
                  <c:v>379</c:v>
                </c:pt>
                <c:pt idx="379">
                  <c:v>380</c:v>
                </c:pt>
                <c:pt idx="380">
                  <c:v>381</c:v>
                </c:pt>
                <c:pt idx="381">
                  <c:v>382</c:v>
                </c:pt>
                <c:pt idx="382">
                  <c:v>383</c:v>
                </c:pt>
                <c:pt idx="383">
                  <c:v>384</c:v>
                </c:pt>
                <c:pt idx="384">
                  <c:v>385</c:v>
                </c:pt>
                <c:pt idx="385">
                  <c:v>386</c:v>
                </c:pt>
                <c:pt idx="386">
                  <c:v>387</c:v>
                </c:pt>
                <c:pt idx="387">
                  <c:v>388</c:v>
                </c:pt>
                <c:pt idx="388">
                  <c:v>389</c:v>
                </c:pt>
                <c:pt idx="389">
                  <c:v>390</c:v>
                </c:pt>
                <c:pt idx="390">
                  <c:v>391</c:v>
                </c:pt>
                <c:pt idx="391">
                  <c:v>392</c:v>
                </c:pt>
                <c:pt idx="392">
                  <c:v>393</c:v>
                </c:pt>
                <c:pt idx="393">
                  <c:v>394</c:v>
                </c:pt>
                <c:pt idx="394">
                  <c:v>395</c:v>
                </c:pt>
                <c:pt idx="395">
                  <c:v>396</c:v>
                </c:pt>
                <c:pt idx="396">
                  <c:v>397</c:v>
                </c:pt>
                <c:pt idx="397">
                  <c:v>398</c:v>
                </c:pt>
                <c:pt idx="398">
                  <c:v>399</c:v>
                </c:pt>
                <c:pt idx="399">
                  <c:v>400</c:v>
                </c:pt>
                <c:pt idx="400">
                  <c:v>401</c:v>
                </c:pt>
                <c:pt idx="401">
                  <c:v>402</c:v>
                </c:pt>
                <c:pt idx="402">
                  <c:v>403</c:v>
                </c:pt>
                <c:pt idx="403">
                  <c:v>404</c:v>
                </c:pt>
                <c:pt idx="404">
                  <c:v>405</c:v>
                </c:pt>
                <c:pt idx="405">
                  <c:v>406</c:v>
                </c:pt>
                <c:pt idx="406">
                  <c:v>407</c:v>
                </c:pt>
                <c:pt idx="407">
                  <c:v>408</c:v>
                </c:pt>
                <c:pt idx="408">
                  <c:v>409</c:v>
                </c:pt>
                <c:pt idx="409">
                  <c:v>410</c:v>
                </c:pt>
                <c:pt idx="410">
                  <c:v>411</c:v>
                </c:pt>
                <c:pt idx="411">
                  <c:v>412</c:v>
                </c:pt>
                <c:pt idx="412">
                  <c:v>413</c:v>
                </c:pt>
                <c:pt idx="413">
                  <c:v>414</c:v>
                </c:pt>
                <c:pt idx="414">
                  <c:v>415</c:v>
                </c:pt>
                <c:pt idx="415">
                  <c:v>416</c:v>
                </c:pt>
                <c:pt idx="416">
                  <c:v>417</c:v>
                </c:pt>
                <c:pt idx="417">
                  <c:v>418</c:v>
                </c:pt>
                <c:pt idx="418">
                  <c:v>419</c:v>
                </c:pt>
                <c:pt idx="419">
                  <c:v>420</c:v>
                </c:pt>
                <c:pt idx="420">
                  <c:v>421</c:v>
                </c:pt>
                <c:pt idx="421">
                  <c:v>422</c:v>
                </c:pt>
                <c:pt idx="422">
                  <c:v>423</c:v>
                </c:pt>
                <c:pt idx="423">
                  <c:v>424</c:v>
                </c:pt>
                <c:pt idx="424">
                  <c:v>425</c:v>
                </c:pt>
                <c:pt idx="425">
                  <c:v>426</c:v>
                </c:pt>
                <c:pt idx="426">
                  <c:v>427</c:v>
                </c:pt>
                <c:pt idx="427">
                  <c:v>428</c:v>
                </c:pt>
                <c:pt idx="428">
                  <c:v>429</c:v>
                </c:pt>
                <c:pt idx="429">
                  <c:v>430</c:v>
                </c:pt>
                <c:pt idx="430">
                  <c:v>431</c:v>
                </c:pt>
                <c:pt idx="431">
                  <c:v>432</c:v>
                </c:pt>
                <c:pt idx="432">
                  <c:v>433</c:v>
                </c:pt>
                <c:pt idx="433">
                  <c:v>434</c:v>
                </c:pt>
                <c:pt idx="434">
                  <c:v>435</c:v>
                </c:pt>
                <c:pt idx="435">
                  <c:v>436</c:v>
                </c:pt>
                <c:pt idx="436">
                  <c:v>437</c:v>
                </c:pt>
                <c:pt idx="437">
                  <c:v>438</c:v>
                </c:pt>
                <c:pt idx="438">
                  <c:v>439</c:v>
                </c:pt>
                <c:pt idx="439">
                  <c:v>440</c:v>
                </c:pt>
                <c:pt idx="440">
                  <c:v>441</c:v>
                </c:pt>
                <c:pt idx="441">
                  <c:v>442</c:v>
                </c:pt>
                <c:pt idx="442">
                  <c:v>443</c:v>
                </c:pt>
                <c:pt idx="443">
                  <c:v>444</c:v>
                </c:pt>
                <c:pt idx="444">
                  <c:v>445</c:v>
                </c:pt>
                <c:pt idx="445">
                  <c:v>446</c:v>
                </c:pt>
                <c:pt idx="446">
                  <c:v>447</c:v>
                </c:pt>
                <c:pt idx="447">
                  <c:v>448</c:v>
                </c:pt>
                <c:pt idx="448">
                  <c:v>449</c:v>
                </c:pt>
                <c:pt idx="449">
                  <c:v>450</c:v>
                </c:pt>
                <c:pt idx="450">
                  <c:v>451</c:v>
                </c:pt>
                <c:pt idx="451">
                  <c:v>452</c:v>
                </c:pt>
                <c:pt idx="452">
                  <c:v>453</c:v>
                </c:pt>
                <c:pt idx="453">
                  <c:v>454</c:v>
                </c:pt>
                <c:pt idx="454">
                  <c:v>455</c:v>
                </c:pt>
                <c:pt idx="455">
                  <c:v>456</c:v>
                </c:pt>
                <c:pt idx="456">
                  <c:v>457</c:v>
                </c:pt>
                <c:pt idx="457">
                  <c:v>458</c:v>
                </c:pt>
                <c:pt idx="458">
                  <c:v>459</c:v>
                </c:pt>
                <c:pt idx="459">
                  <c:v>460</c:v>
                </c:pt>
                <c:pt idx="460">
                  <c:v>461</c:v>
                </c:pt>
                <c:pt idx="461">
                  <c:v>462</c:v>
                </c:pt>
                <c:pt idx="462">
                  <c:v>463</c:v>
                </c:pt>
                <c:pt idx="463">
                  <c:v>464</c:v>
                </c:pt>
                <c:pt idx="464">
                  <c:v>465</c:v>
                </c:pt>
                <c:pt idx="465">
                  <c:v>466</c:v>
                </c:pt>
                <c:pt idx="466">
                  <c:v>467</c:v>
                </c:pt>
                <c:pt idx="467">
                  <c:v>468</c:v>
                </c:pt>
                <c:pt idx="468">
                  <c:v>469</c:v>
                </c:pt>
                <c:pt idx="469">
                  <c:v>470</c:v>
                </c:pt>
                <c:pt idx="470">
                  <c:v>471</c:v>
                </c:pt>
                <c:pt idx="471">
                  <c:v>472</c:v>
                </c:pt>
                <c:pt idx="472">
                  <c:v>473</c:v>
                </c:pt>
                <c:pt idx="473">
                  <c:v>474</c:v>
                </c:pt>
                <c:pt idx="474">
                  <c:v>475</c:v>
                </c:pt>
                <c:pt idx="475">
                  <c:v>476</c:v>
                </c:pt>
                <c:pt idx="476">
                  <c:v>477</c:v>
                </c:pt>
                <c:pt idx="477">
                  <c:v>478</c:v>
                </c:pt>
                <c:pt idx="478">
                  <c:v>479</c:v>
                </c:pt>
                <c:pt idx="479">
                  <c:v>480</c:v>
                </c:pt>
                <c:pt idx="480">
                  <c:v>481</c:v>
                </c:pt>
                <c:pt idx="481">
                  <c:v>482</c:v>
                </c:pt>
                <c:pt idx="482">
                  <c:v>483</c:v>
                </c:pt>
                <c:pt idx="483">
                  <c:v>484</c:v>
                </c:pt>
                <c:pt idx="484">
                  <c:v>485</c:v>
                </c:pt>
                <c:pt idx="485">
                  <c:v>486</c:v>
                </c:pt>
                <c:pt idx="486">
                  <c:v>487</c:v>
                </c:pt>
                <c:pt idx="487">
                  <c:v>488</c:v>
                </c:pt>
                <c:pt idx="488">
                  <c:v>489</c:v>
                </c:pt>
                <c:pt idx="489">
                  <c:v>490</c:v>
                </c:pt>
                <c:pt idx="490">
                  <c:v>491</c:v>
                </c:pt>
                <c:pt idx="491">
                  <c:v>492</c:v>
                </c:pt>
                <c:pt idx="492">
                  <c:v>493</c:v>
                </c:pt>
                <c:pt idx="493">
                  <c:v>494</c:v>
                </c:pt>
                <c:pt idx="494">
                  <c:v>495</c:v>
                </c:pt>
                <c:pt idx="495">
                  <c:v>496</c:v>
                </c:pt>
                <c:pt idx="496">
                  <c:v>497</c:v>
                </c:pt>
                <c:pt idx="497">
                  <c:v>498</c:v>
                </c:pt>
                <c:pt idx="498">
                  <c:v>499</c:v>
                </c:pt>
                <c:pt idx="499">
                  <c:v>500</c:v>
                </c:pt>
                <c:pt idx="500">
                  <c:v>501</c:v>
                </c:pt>
                <c:pt idx="501">
                  <c:v>502</c:v>
                </c:pt>
                <c:pt idx="502">
                  <c:v>503</c:v>
                </c:pt>
                <c:pt idx="503">
                  <c:v>504</c:v>
                </c:pt>
                <c:pt idx="504">
                  <c:v>505</c:v>
                </c:pt>
                <c:pt idx="505">
                  <c:v>506</c:v>
                </c:pt>
                <c:pt idx="506">
                  <c:v>507</c:v>
                </c:pt>
                <c:pt idx="507">
                  <c:v>508</c:v>
                </c:pt>
                <c:pt idx="508">
                  <c:v>509</c:v>
                </c:pt>
                <c:pt idx="509">
                  <c:v>510</c:v>
                </c:pt>
                <c:pt idx="510">
                  <c:v>511</c:v>
                </c:pt>
                <c:pt idx="511">
                  <c:v>512</c:v>
                </c:pt>
                <c:pt idx="512">
                  <c:v>513</c:v>
                </c:pt>
                <c:pt idx="513">
                  <c:v>514</c:v>
                </c:pt>
                <c:pt idx="514">
                  <c:v>515</c:v>
                </c:pt>
                <c:pt idx="515">
                  <c:v>516</c:v>
                </c:pt>
                <c:pt idx="516">
                  <c:v>517</c:v>
                </c:pt>
                <c:pt idx="517">
                  <c:v>518</c:v>
                </c:pt>
                <c:pt idx="518">
                  <c:v>519</c:v>
                </c:pt>
                <c:pt idx="519">
                  <c:v>520</c:v>
                </c:pt>
                <c:pt idx="520">
                  <c:v>521</c:v>
                </c:pt>
                <c:pt idx="521">
                  <c:v>522</c:v>
                </c:pt>
                <c:pt idx="522">
                  <c:v>523</c:v>
                </c:pt>
                <c:pt idx="523">
                  <c:v>524</c:v>
                </c:pt>
                <c:pt idx="524">
                  <c:v>525</c:v>
                </c:pt>
                <c:pt idx="525">
                  <c:v>526</c:v>
                </c:pt>
                <c:pt idx="526">
                  <c:v>527</c:v>
                </c:pt>
                <c:pt idx="527">
                  <c:v>528</c:v>
                </c:pt>
                <c:pt idx="528">
                  <c:v>529</c:v>
                </c:pt>
                <c:pt idx="529">
                  <c:v>530</c:v>
                </c:pt>
                <c:pt idx="530">
                  <c:v>531</c:v>
                </c:pt>
                <c:pt idx="531">
                  <c:v>532</c:v>
                </c:pt>
                <c:pt idx="532">
                  <c:v>533</c:v>
                </c:pt>
                <c:pt idx="533">
                  <c:v>534</c:v>
                </c:pt>
                <c:pt idx="534">
                  <c:v>535</c:v>
                </c:pt>
                <c:pt idx="535">
                  <c:v>536</c:v>
                </c:pt>
                <c:pt idx="536">
                  <c:v>537</c:v>
                </c:pt>
                <c:pt idx="537">
                  <c:v>538</c:v>
                </c:pt>
                <c:pt idx="538">
                  <c:v>539</c:v>
                </c:pt>
                <c:pt idx="539">
                  <c:v>540</c:v>
                </c:pt>
                <c:pt idx="540">
                  <c:v>541</c:v>
                </c:pt>
                <c:pt idx="541">
                  <c:v>542</c:v>
                </c:pt>
                <c:pt idx="542">
                  <c:v>543</c:v>
                </c:pt>
                <c:pt idx="543">
                  <c:v>544</c:v>
                </c:pt>
                <c:pt idx="544">
                  <c:v>545</c:v>
                </c:pt>
                <c:pt idx="545">
                  <c:v>546</c:v>
                </c:pt>
                <c:pt idx="546">
                  <c:v>547</c:v>
                </c:pt>
                <c:pt idx="547">
                  <c:v>548</c:v>
                </c:pt>
                <c:pt idx="548">
                  <c:v>549</c:v>
                </c:pt>
                <c:pt idx="549">
                  <c:v>550</c:v>
                </c:pt>
                <c:pt idx="550">
                  <c:v>551</c:v>
                </c:pt>
                <c:pt idx="551">
                  <c:v>552</c:v>
                </c:pt>
                <c:pt idx="552">
                  <c:v>553</c:v>
                </c:pt>
                <c:pt idx="553">
                  <c:v>554</c:v>
                </c:pt>
                <c:pt idx="554">
                  <c:v>555</c:v>
                </c:pt>
                <c:pt idx="555">
                  <c:v>556</c:v>
                </c:pt>
                <c:pt idx="556">
                  <c:v>557</c:v>
                </c:pt>
                <c:pt idx="557">
                  <c:v>558</c:v>
                </c:pt>
                <c:pt idx="558">
                  <c:v>559</c:v>
                </c:pt>
                <c:pt idx="559">
                  <c:v>560</c:v>
                </c:pt>
                <c:pt idx="560">
                  <c:v>561</c:v>
                </c:pt>
                <c:pt idx="561">
                  <c:v>562</c:v>
                </c:pt>
                <c:pt idx="562">
                  <c:v>563</c:v>
                </c:pt>
                <c:pt idx="563">
                  <c:v>564</c:v>
                </c:pt>
                <c:pt idx="564">
                  <c:v>565</c:v>
                </c:pt>
                <c:pt idx="565">
                  <c:v>566</c:v>
                </c:pt>
                <c:pt idx="566">
                  <c:v>567</c:v>
                </c:pt>
                <c:pt idx="567">
                  <c:v>568</c:v>
                </c:pt>
                <c:pt idx="568">
                  <c:v>569</c:v>
                </c:pt>
                <c:pt idx="569">
                  <c:v>570</c:v>
                </c:pt>
                <c:pt idx="570">
                  <c:v>571</c:v>
                </c:pt>
                <c:pt idx="571">
                  <c:v>572</c:v>
                </c:pt>
                <c:pt idx="572">
                  <c:v>573</c:v>
                </c:pt>
                <c:pt idx="573">
                  <c:v>574</c:v>
                </c:pt>
                <c:pt idx="574">
                  <c:v>575</c:v>
                </c:pt>
                <c:pt idx="575">
                  <c:v>576</c:v>
                </c:pt>
                <c:pt idx="576">
                  <c:v>577</c:v>
                </c:pt>
                <c:pt idx="577">
                  <c:v>578</c:v>
                </c:pt>
                <c:pt idx="578">
                  <c:v>579</c:v>
                </c:pt>
                <c:pt idx="579">
                  <c:v>580</c:v>
                </c:pt>
                <c:pt idx="580">
                  <c:v>581</c:v>
                </c:pt>
                <c:pt idx="581">
                  <c:v>582</c:v>
                </c:pt>
                <c:pt idx="582">
                  <c:v>583</c:v>
                </c:pt>
                <c:pt idx="583">
                  <c:v>584</c:v>
                </c:pt>
                <c:pt idx="584">
                  <c:v>585</c:v>
                </c:pt>
                <c:pt idx="585">
                  <c:v>586</c:v>
                </c:pt>
                <c:pt idx="586">
                  <c:v>587</c:v>
                </c:pt>
                <c:pt idx="587">
                  <c:v>588</c:v>
                </c:pt>
                <c:pt idx="588">
                  <c:v>589</c:v>
                </c:pt>
                <c:pt idx="589">
                  <c:v>590</c:v>
                </c:pt>
                <c:pt idx="590">
                  <c:v>591</c:v>
                </c:pt>
                <c:pt idx="591">
                  <c:v>592</c:v>
                </c:pt>
                <c:pt idx="592">
                  <c:v>593</c:v>
                </c:pt>
                <c:pt idx="593">
                  <c:v>594</c:v>
                </c:pt>
                <c:pt idx="594">
                  <c:v>595</c:v>
                </c:pt>
                <c:pt idx="595">
                  <c:v>596</c:v>
                </c:pt>
                <c:pt idx="596">
                  <c:v>597</c:v>
                </c:pt>
                <c:pt idx="597">
                  <c:v>598</c:v>
                </c:pt>
                <c:pt idx="598">
                  <c:v>599</c:v>
                </c:pt>
                <c:pt idx="599">
                  <c:v>600</c:v>
                </c:pt>
                <c:pt idx="600">
                  <c:v>601</c:v>
                </c:pt>
                <c:pt idx="601">
                  <c:v>602</c:v>
                </c:pt>
                <c:pt idx="602">
                  <c:v>603</c:v>
                </c:pt>
                <c:pt idx="603">
                  <c:v>604</c:v>
                </c:pt>
                <c:pt idx="604">
                  <c:v>605</c:v>
                </c:pt>
                <c:pt idx="605">
                  <c:v>606</c:v>
                </c:pt>
                <c:pt idx="606">
                  <c:v>607</c:v>
                </c:pt>
                <c:pt idx="607">
                  <c:v>608</c:v>
                </c:pt>
                <c:pt idx="608">
                  <c:v>609</c:v>
                </c:pt>
                <c:pt idx="609">
                  <c:v>610</c:v>
                </c:pt>
                <c:pt idx="610">
                  <c:v>611</c:v>
                </c:pt>
                <c:pt idx="611">
                  <c:v>612</c:v>
                </c:pt>
                <c:pt idx="612">
                  <c:v>613</c:v>
                </c:pt>
                <c:pt idx="613">
                  <c:v>614</c:v>
                </c:pt>
                <c:pt idx="614">
                  <c:v>615</c:v>
                </c:pt>
                <c:pt idx="615">
                  <c:v>616</c:v>
                </c:pt>
                <c:pt idx="616">
                  <c:v>617</c:v>
                </c:pt>
                <c:pt idx="617">
                  <c:v>618</c:v>
                </c:pt>
                <c:pt idx="618">
                  <c:v>619</c:v>
                </c:pt>
                <c:pt idx="619">
                  <c:v>620</c:v>
                </c:pt>
                <c:pt idx="620">
                  <c:v>621</c:v>
                </c:pt>
                <c:pt idx="621">
                  <c:v>622</c:v>
                </c:pt>
                <c:pt idx="622">
                  <c:v>623</c:v>
                </c:pt>
                <c:pt idx="623">
                  <c:v>624</c:v>
                </c:pt>
                <c:pt idx="624">
                  <c:v>625</c:v>
                </c:pt>
                <c:pt idx="625">
                  <c:v>626</c:v>
                </c:pt>
                <c:pt idx="626">
                  <c:v>627</c:v>
                </c:pt>
                <c:pt idx="627">
                  <c:v>628</c:v>
                </c:pt>
                <c:pt idx="628">
                  <c:v>629</c:v>
                </c:pt>
                <c:pt idx="629">
                  <c:v>630</c:v>
                </c:pt>
                <c:pt idx="630">
                  <c:v>631</c:v>
                </c:pt>
                <c:pt idx="631">
                  <c:v>632</c:v>
                </c:pt>
                <c:pt idx="632">
                  <c:v>633</c:v>
                </c:pt>
                <c:pt idx="633">
                  <c:v>634</c:v>
                </c:pt>
                <c:pt idx="634">
                  <c:v>635</c:v>
                </c:pt>
                <c:pt idx="635">
                  <c:v>636</c:v>
                </c:pt>
                <c:pt idx="636">
                  <c:v>637</c:v>
                </c:pt>
                <c:pt idx="637">
                  <c:v>638</c:v>
                </c:pt>
                <c:pt idx="638">
                  <c:v>639</c:v>
                </c:pt>
                <c:pt idx="639">
                  <c:v>640</c:v>
                </c:pt>
                <c:pt idx="640">
                  <c:v>641</c:v>
                </c:pt>
                <c:pt idx="641">
                  <c:v>642</c:v>
                </c:pt>
                <c:pt idx="642">
                  <c:v>643</c:v>
                </c:pt>
                <c:pt idx="643">
                  <c:v>644</c:v>
                </c:pt>
                <c:pt idx="644">
                  <c:v>645</c:v>
                </c:pt>
                <c:pt idx="645">
                  <c:v>646</c:v>
                </c:pt>
                <c:pt idx="646">
                  <c:v>647</c:v>
                </c:pt>
                <c:pt idx="647">
                  <c:v>648</c:v>
                </c:pt>
                <c:pt idx="648">
                  <c:v>649</c:v>
                </c:pt>
                <c:pt idx="649">
                  <c:v>650</c:v>
                </c:pt>
                <c:pt idx="650">
                  <c:v>651</c:v>
                </c:pt>
                <c:pt idx="651">
                  <c:v>652</c:v>
                </c:pt>
                <c:pt idx="652">
                  <c:v>653</c:v>
                </c:pt>
                <c:pt idx="653">
                  <c:v>654</c:v>
                </c:pt>
                <c:pt idx="654">
                  <c:v>655</c:v>
                </c:pt>
                <c:pt idx="655">
                  <c:v>656</c:v>
                </c:pt>
                <c:pt idx="656">
                  <c:v>657</c:v>
                </c:pt>
                <c:pt idx="657">
                  <c:v>658</c:v>
                </c:pt>
                <c:pt idx="658">
                  <c:v>659</c:v>
                </c:pt>
                <c:pt idx="659">
                  <c:v>660</c:v>
                </c:pt>
                <c:pt idx="660">
                  <c:v>661</c:v>
                </c:pt>
                <c:pt idx="661">
                  <c:v>662</c:v>
                </c:pt>
                <c:pt idx="662">
                  <c:v>663</c:v>
                </c:pt>
                <c:pt idx="663">
                  <c:v>664</c:v>
                </c:pt>
                <c:pt idx="664">
                  <c:v>665</c:v>
                </c:pt>
                <c:pt idx="665">
                  <c:v>666</c:v>
                </c:pt>
                <c:pt idx="666">
                  <c:v>667</c:v>
                </c:pt>
                <c:pt idx="667">
                  <c:v>668</c:v>
                </c:pt>
                <c:pt idx="668">
                  <c:v>669</c:v>
                </c:pt>
                <c:pt idx="669">
                  <c:v>670</c:v>
                </c:pt>
                <c:pt idx="670">
                  <c:v>671</c:v>
                </c:pt>
                <c:pt idx="671">
                  <c:v>672</c:v>
                </c:pt>
                <c:pt idx="672">
                  <c:v>673</c:v>
                </c:pt>
                <c:pt idx="673">
                  <c:v>674</c:v>
                </c:pt>
                <c:pt idx="674">
                  <c:v>675</c:v>
                </c:pt>
                <c:pt idx="675">
                  <c:v>676</c:v>
                </c:pt>
                <c:pt idx="676">
                  <c:v>677</c:v>
                </c:pt>
                <c:pt idx="677">
                  <c:v>678</c:v>
                </c:pt>
                <c:pt idx="678">
                  <c:v>679</c:v>
                </c:pt>
                <c:pt idx="679">
                  <c:v>680</c:v>
                </c:pt>
                <c:pt idx="680">
                  <c:v>681</c:v>
                </c:pt>
                <c:pt idx="681">
                  <c:v>682</c:v>
                </c:pt>
                <c:pt idx="682">
                  <c:v>683</c:v>
                </c:pt>
                <c:pt idx="683">
                  <c:v>684</c:v>
                </c:pt>
                <c:pt idx="684">
                  <c:v>685</c:v>
                </c:pt>
                <c:pt idx="685">
                  <c:v>686</c:v>
                </c:pt>
                <c:pt idx="686">
                  <c:v>687</c:v>
                </c:pt>
                <c:pt idx="687">
                  <c:v>688</c:v>
                </c:pt>
                <c:pt idx="688">
                  <c:v>689</c:v>
                </c:pt>
                <c:pt idx="689">
                  <c:v>690</c:v>
                </c:pt>
                <c:pt idx="690">
                  <c:v>691</c:v>
                </c:pt>
                <c:pt idx="691">
                  <c:v>692</c:v>
                </c:pt>
                <c:pt idx="692">
                  <c:v>693</c:v>
                </c:pt>
                <c:pt idx="693">
                  <c:v>694</c:v>
                </c:pt>
                <c:pt idx="694">
                  <c:v>695</c:v>
                </c:pt>
                <c:pt idx="695">
                  <c:v>696</c:v>
                </c:pt>
                <c:pt idx="696">
                  <c:v>697</c:v>
                </c:pt>
                <c:pt idx="697">
                  <c:v>698</c:v>
                </c:pt>
                <c:pt idx="698">
                  <c:v>699</c:v>
                </c:pt>
                <c:pt idx="699">
                  <c:v>700</c:v>
                </c:pt>
                <c:pt idx="700">
                  <c:v>701</c:v>
                </c:pt>
                <c:pt idx="701">
                  <c:v>702</c:v>
                </c:pt>
                <c:pt idx="702">
                  <c:v>703</c:v>
                </c:pt>
                <c:pt idx="703">
                  <c:v>704</c:v>
                </c:pt>
                <c:pt idx="704">
                  <c:v>705</c:v>
                </c:pt>
                <c:pt idx="705">
                  <c:v>706</c:v>
                </c:pt>
                <c:pt idx="706">
                  <c:v>707</c:v>
                </c:pt>
                <c:pt idx="707">
                  <c:v>708</c:v>
                </c:pt>
                <c:pt idx="708">
                  <c:v>709</c:v>
                </c:pt>
                <c:pt idx="709">
                  <c:v>710</c:v>
                </c:pt>
                <c:pt idx="710">
                  <c:v>711</c:v>
                </c:pt>
                <c:pt idx="711">
                  <c:v>712</c:v>
                </c:pt>
                <c:pt idx="712">
                  <c:v>713</c:v>
                </c:pt>
                <c:pt idx="713">
                  <c:v>714</c:v>
                </c:pt>
                <c:pt idx="714">
                  <c:v>715</c:v>
                </c:pt>
                <c:pt idx="715">
                  <c:v>716</c:v>
                </c:pt>
                <c:pt idx="716">
                  <c:v>717</c:v>
                </c:pt>
                <c:pt idx="717">
                  <c:v>718</c:v>
                </c:pt>
                <c:pt idx="718">
                  <c:v>719</c:v>
                </c:pt>
                <c:pt idx="719">
                  <c:v>720</c:v>
                </c:pt>
                <c:pt idx="720">
                  <c:v>721</c:v>
                </c:pt>
                <c:pt idx="721">
                  <c:v>722</c:v>
                </c:pt>
                <c:pt idx="722">
                  <c:v>723</c:v>
                </c:pt>
                <c:pt idx="723">
                  <c:v>724</c:v>
                </c:pt>
                <c:pt idx="724">
                  <c:v>725</c:v>
                </c:pt>
                <c:pt idx="725">
                  <c:v>726</c:v>
                </c:pt>
                <c:pt idx="726">
                  <c:v>727</c:v>
                </c:pt>
                <c:pt idx="727">
                  <c:v>728</c:v>
                </c:pt>
                <c:pt idx="728">
                  <c:v>729</c:v>
                </c:pt>
                <c:pt idx="729">
                  <c:v>730</c:v>
                </c:pt>
                <c:pt idx="730">
                  <c:v>731</c:v>
                </c:pt>
                <c:pt idx="731">
                  <c:v>732</c:v>
                </c:pt>
                <c:pt idx="732">
                  <c:v>733</c:v>
                </c:pt>
                <c:pt idx="733">
                  <c:v>734</c:v>
                </c:pt>
                <c:pt idx="734">
                  <c:v>735</c:v>
                </c:pt>
                <c:pt idx="735">
                  <c:v>736</c:v>
                </c:pt>
                <c:pt idx="736">
                  <c:v>737</c:v>
                </c:pt>
                <c:pt idx="737">
                  <c:v>738</c:v>
                </c:pt>
                <c:pt idx="738">
                  <c:v>739</c:v>
                </c:pt>
                <c:pt idx="739">
                  <c:v>740</c:v>
                </c:pt>
                <c:pt idx="740">
                  <c:v>741</c:v>
                </c:pt>
                <c:pt idx="741">
                  <c:v>742</c:v>
                </c:pt>
                <c:pt idx="742">
                  <c:v>743</c:v>
                </c:pt>
                <c:pt idx="743">
                  <c:v>744</c:v>
                </c:pt>
                <c:pt idx="744">
                  <c:v>745</c:v>
                </c:pt>
                <c:pt idx="745">
                  <c:v>746</c:v>
                </c:pt>
                <c:pt idx="746">
                  <c:v>747</c:v>
                </c:pt>
                <c:pt idx="747">
                  <c:v>748</c:v>
                </c:pt>
                <c:pt idx="748">
                  <c:v>749</c:v>
                </c:pt>
                <c:pt idx="749">
                  <c:v>750</c:v>
                </c:pt>
                <c:pt idx="750">
                  <c:v>751</c:v>
                </c:pt>
                <c:pt idx="751">
                  <c:v>752</c:v>
                </c:pt>
                <c:pt idx="752">
                  <c:v>753</c:v>
                </c:pt>
                <c:pt idx="753">
                  <c:v>754</c:v>
                </c:pt>
                <c:pt idx="754">
                  <c:v>755</c:v>
                </c:pt>
                <c:pt idx="755">
                  <c:v>756</c:v>
                </c:pt>
                <c:pt idx="756">
                  <c:v>757</c:v>
                </c:pt>
                <c:pt idx="757">
                  <c:v>758</c:v>
                </c:pt>
                <c:pt idx="758">
                  <c:v>759</c:v>
                </c:pt>
                <c:pt idx="759">
                  <c:v>760</c:v>
                </c:pt>
                <c:pt idx="760">
                  <c:v>761</c:v>
                </c:pt>
                <c:pt idx="761">
                  <c:v>762</c:v>
                </c:pt>
                <c:pt idx="762">
                  <c:v>763</c:v>
                </c:pt>
                <c:pt idx="763">
                  <c:v>764</c:v>
                </c:pt>
                <c:pt idx="764">
                  <c:v>765</c:v>
                </c:pt>
                <c:pt idx="765">
                  <c:v>766</c:v>
                </c:pt>
                <c:pt idx="766">
                  <c:v>767</c:v>
                </c:pt>
                <c:pt idx="767">
                  <c:v>768</c:v>
                </c:pt>
                <c:pt idx="768">
                  <c:v>769</c:v>
                </c:pt>
                <c:pt idx="769">
                  <c:v>770</c:v>
                </c:pt>
                <c:pt idx="770">
                  <c:v>771</c:v>
                </c:pt>
                <c:pt idx="771">
                  <c:v>772</c:v>
                </c:pt>
                <c:pt idx="772">
                  <c:v>773</c:v>
                </c:pt>
                <c:pt idx="773">
                  <c:v>774</c:v>
                </c:pt>
                <c:pt idx="774">
                  <c:v>775</c:v>
                </c:pt>
                <c:pt idx="775">
                  <c:v>776</c:v>
                </c:pt>
                <c:pt idx="776">
                  <c:v>777</c:v>
                </c:pt>
                <c:pt idx="777">
                  <c:v>778</c:v>
                </c:pt>
                <c:pt idx="778">
                  <c:v>779</c:v>
                </c:pt>
                <c:pt idx="779">
                  <c:v>780</c:v>
                </c:pt>
                <c:pt idx="780">
                  <c:v>781</c:v>
                </c:pt>
                <c:pt idx="781">
                  <c:v>782</c:v>
                </c:pt>
                <c:pt idx="782">
                  <c:v>783</c:v>
                </c:pt>
                <c:pt idx="783">
                  <c:v>784</c:v>
                </c:pt>
                <c:pt idx="784">
                  <c:v>785</c:v>
                </c:pt>
                <c:pt idx="785">
                  <c:v>786</c:v>
                </c:pt>
                <c:pt idx="786">
                  <c:v>787</c:v>
                </c:pt>
                <c:pt idx="787">
                  <c:v>788</c:v>
                </c:pt>
                <c:pt idx="788">
                  <c:v>789</c:v>
                </c:pt>
                <c:pt idx="789">
                  <c:v>790</c:v>
                </c:pt>
                <c:pt idx="790">
                  <c:v>791</c:v>
                </c:pt>
                <c:pt idx="791">
                  <c:v>792</c:v>
                </c:pt>
                <c:pt idx="792">
                  <c:v>793</c:v>
                </c:pt>
                <c:pt idx="793">
                  <c:v>794</c:v>
                </c:pt>
                <c:pt idx="794">
                  <c:v>795</c:v>
                </c:pt>
                <c:pt idx="795">
                  <c:v>796</c:v>
                </c:pt>
                <c:pt idx="796">
                  <c:v>797</c:v>
                </c:pt>
                <c:pt idx="797">
                  <c:v>798</c:v>
                </c:pt>
                <c:pt idx="798">
                  <c:v>799</c:v>
                </c:pt>
                <c:pt idx="799">
                  <c:v>800</c:v>
                </c:pt>
                <c:pt idx="800">
                  <c:v>801</c:v>
                </c:pt>
                <c:pt idx="801">
                  <c:v>802</c:v>
                </c:pt>
                <c:pt idx="802">
                  <c:v>803</c:v>
                </c:pt>
                <c:pt idx="803">
                  <c:v>804</c:v>
                </c:pt>
                <c:pt idx="804">
                  <c:v>805</c:v>
                </c:pt>
                <c:pt idx="805">
                  <c:v>806</c:v>
                </c:pt>
                <c:pt idx="806">
                  <c:v>807</c:v>
                </c:pt>
                <c:pt idx="807">
                  <c:v>808</c:v>
                </c:pt>
                <c:pt idx="808">
                  <c:v>809</c:v>
                </c:pt>
                <c:pt idx="809">
                  <c:v>810</c:v>
                </c:pt>
                <c:pt idx="810">
                  <c:v>811</c:v>
                </c:pt>
                <c:pt idx="811">
                  <c:v>812</c:v>
                </c:pt>
                <c:pt idx="812">
                  <c:v>813</c:v>
                </c:pt>
                <c:pt idx="813">
                  <c:v>814</c:v>
                </c:pt>
                <c:pt idx="814">
                  <c:v>815</c:v>
                </c:pt>
                <c:pt idx="815">
                  <c:v>816</c:v>
                </c:pt>
                <c:pt idx="816">
                  <c:v>817</c:v>
                </c:pt>
                <c:pt idx="817">
                  <c:v>818</c:v>
                </c:pt>
                <c:pt idx="818">
                  <c:v>819</c:v>
                </c:pt>
                <c:pt idx="819">
                  <c:v>820</c:v>
                </c:pt>
                <c:pt idx="820">
                  <c:v>821</c:v>
                </c:pt>
                <c:pt idx="821">
                  <c:v>822</c:v>
                </c:pt>
                <c:pt idx="822">
                  <c:v>823</c:v>
                </c:pt>
                <c:pt idx="823">
                  <c:v>824</c:v>
                </c:pt>
                <c:pt idx="824">
                  <c:v>825</c:v>
                </c:pt>
                <c:pt idx="825">
                  <c:v>826</c:v>
                </c:pt>
                <c:pt idx="826">
                  <c:v>827</c:v>
                </c:pt>
                <c:pt idx="827">
                  <c:v>828</c:v>
                </c:pt>
                <c:pt idx="828">
                  <c:v>829</c:v>
                </c:pt>
                <c:pt idx="829">
                  <c:v>830</c:v>
                </c:pt>
                <c:pt idx="830">
                  <c:v>831</c:v>
                </c:pt>
                <c:pt idx="831">
                  <c:v>832</c:v>
                </c:pt>
                <c:pt idx="832">
                  <c:v>833</c:v>
                </c:pt>
                <c:pt idx="833">
                  <c:v>834</c:v>
                </c:pt>
                <c:pt idx="834">
                  <c:v>835</c:v>
                </c:pt>
                <c:pt idx="835">
                  <c:v>836</c:v>
                </c:pt>
                <c:pt idx="836">
                  <c:v>837</c:v>
                </c:pt>
                <c:pt idx="837">
                  <c:v>838</c:v>
                </c:pt>
                <c:pt idx="838">
                  <c:v>839</c:v>
                </c:pt>
                <c:pt idx="839">
                  <c:v>840</c:v>
                </c:pt>
                <c:pt idx="840">
                  <c:v>841</c:v>
                </c:pt>
                <c:pt idx="841">
                  <c:v>842</c:v>
                </c:pt>
                <c:pt idx="842">
                  <c:v>843</c:v>
                </c:pt>
                <c:pt idx="843">
                  <c:v>844</c:v>
                </c:pt>
                <c:pt idx="844">
                  <c:v>845</c:v>
                </c:pt>
                <c:pt idx="845">
                  <c:v>846</c:v>
                </c:pt>
                <c:pt idx="846">
                  <c:v>847</c:v>
                </c:pt>
                <c:pt idx="847">
                  <c:v>848</c:v>
                </c:pt>
                <c:pt idx="848">
                  <c:v>849</c:v>
                </c:pt>
                <c:pt idx="849">
                  <c:v>850</c:v>
                </c:pt>
                <c:pt idx="850">
                  <c:v>851</c:v>
                </c:pt>
                <c:pt idx="851">
                  <c:v>852</c:v>
                </c:pt>
                <c:pt idx="852">
                  <c:v>853</c:v>
                </c:pt>
                <c:pt idx="853">
                  <c:v>854</c:v>
                </c:pt>
                <c:pt idx="854">
                  <c:v>855</c:v>
                </c:pt>
                <c:pt idx="855">
                  <c:v>856</c:v>
                </c:pt>
                <c:pt idx="856">
                  <c:v>857</c:v>
                </c:pt>
                <c:pt idx="857">
                  <c:v>858</c:v>
                </c:pt>
                <c:pt idx="858">
                  <c:v>859</c:v>
                </c:pt>
                <c:pt idx="859">
                  <c:v>860</c:v>
                </c:pt>
                <c:pt idx="860">
                  <c:v>861</c:v>
                </c:pt>
                <c:pt idx="861">
                  <c:v>862</c:v>
                </c:pt>
                <c:pt idx="862">
                  <c:v>863</c:v>
                </c:pt>
                <c:pt idx="863">
                  <c:v>864</c:v>
                </c:pt>
                <c:pt idx="864">
                  <c:v>865</c:v>
                </c:pt>
                <c:pt idx="865">
                  <c:v>866</c:v>
                </c:pt>
                <c:pt idx="866">
                  <c:v>867</c:v>
                </c:pt>
                <c:pt idx="867">
                  <c:v>868</c:v>
                </c:pt>
                <c:pt idx="868">
                  <c:v>869</c:v>
                </c:pt>
                <c:pt idx="869">
                  <c:v>870</c:v>
                </c:pt>
                <c:pt idx="870">
                  <c:v>871</c:v>
                </c:pt>
                <c:pt idx="871">
                  <c:v>872</c:v>
                </c:pt>
                <c:pt idx="872">
                  <c:v>873</c:v>
                </c:pt>
                <c:pt idx="873">
                  <c:v>874</c:v>
                </c:pt>
                <c:pt idx="874">
                  <c:v>875</c:v>
                </c:pt>
                <c:pt idx="875">
                  <c:v>876</c:v>
                </c:pt>
                <c:pt idx="876">
                  <c:v>877</c:v>
                </c:pt>
                <c:pt idx="877">
                  <c:v>878</c:v>
                </c:pt>
                <c:pt idx="878">
                  <c:v>879</c:v>
                </c:pt>
                <c:pt idx="879">
                  <c:v>880</c:v>
                </c:pt>
                <c:pt idx="880">
                  <c:v>881</c:v>
                </c:pt>
                <c:pt idx="881">
                  <c:v>882</c:v>
                </c:pt>
                <c:pt idx="882">
                  <c:v>883</c:v>
                </c:pt>
                <c:pt idx="883">
                  <c:v>884</c:v>
                </c:pt>
                <c:pt idx="884">
                  <c:v>885</c:v>
                </c:pt>
                <c:pt idx="885">
                  <c:v>886</c:v>
                </c:pt>
                <c:pt idx="886">
                  <c:v>887</c:v>
                </c:pt>
                <c:pt idx="887">
                  <c:v>888</c:v>
                </c:pt>
                <c:pt idx="888">
                  <c:v>889</c:v>
                </c:pt>
                <c:pt idx="889">
                  <c:v>890</c:v>
                </c:pt>
                <c:pt idx="890">
                  <c:v>891</c:v>
                </c:pt>
                <c:pt idx="891">
                  <c:v>892</c:v>
                </c:pt>
                <c:pt idx="892">
                  <c:v>893</c:v>
                </c:pt>
                <c:pt idx="893">
                  <c:v>894</c:v>
                </c:pt>
                <c:pt idx="894">
                  <c:v>895</c:v>
                </c:pt>
                <c:pt idx="895">
                  <c:v>896</c:v>
                </c:pt>
                <c:pt idx="896">
                  <c:v>897</c:v>
                </c:pt>
                <c:pt idx="897">
                  <c:v>898</c:v>
                </c:pt>
                <c:pt idx="898">
                  <c:v>899</c:v>
                </c:pt>
                <c:pt idx="899">
                  <c:v>900</c:v>
                </c:pt>
                <c:pt idx="900">
                  <c:v>901</c:v>
                </c:pt>
                <c:pt idx="901">
                  <c:v>902</c:v>
                </c:pt>
                <c:pt idx="902">
                  <c:v>903</c:v>
                </c:pt>
                <c:pt idx="903">
                  <c:v>904</c:v>
                </c:pt>
                <c:pt idx="904">
                  <c:v>905</c:v>
                </c:pt>
                <c:pt idx="905">
                  <c:v>906</c:v>
                </c:pt>
                <c:pt idx="906">
                  <c:v>907</c:v>
                </c:pt>
                <c:pt idx="907">
                  <c:v>908</c:v>
                </c:pt>
                <c:pt idx="908">
                  <c:v>909</c:v>
                </c:pt>
                <c:pt idx="909">
                  <c:v>910</c:v>
                </c:pt>
                <c:pt idx="910">
                  <c:v>911</c:v>
                </c:pt>
                <c:pt idx="911">
                  <c:v>912</c:v>
                </c:pt>
                <c:pt idx="912">
                  <c:v>913</c:v>
                </c:pt>
                <c:pt idx="913">
                  <c:v>914</c:v>
                </c:pt>
                <c:pt idx="914">
                  <c:v>915</c:v>
                </c:pt>
                <c:pt idx="915">
                  <c:v>916</c:v>
                </c:pt>
                <c:pt idx="916">
                  <c:v>917</c:v>
                </c:pt>
                <c:pt idx="917">
                  <c:v>918</c:v>
                </c:pt>
                <c:pt idx="918">
                  <c:v>919</c:v>
                </c:pt>
                <c:pt idx="919">
                  <c:v>920</c:v>
                </c:pt>
                <c:pt idx="920">
                  <c:v>921</c:v>
                </c:pt>
                <c:pt idx="921">
                  <c:v>922</c:v>
                </c:pt>
                <c:pt idx="922">
                  <c:v>923</c:v>
                </c:pt>
                <c:pt idx="923">
                  <c:v>924</c:v>
                </c:pt>
                <c:pt idx="924">
                  <c:v>925</c:v>
                </c:pt>
                <c:pt idx="925">
                  <c:v>926</c:v>
                </c:pt>
                <c:pt idx="926">
                  <c:v>927</c:v>
                </c:pt>
                <c:pt idx="927">
                  <c:v>928</c:v>
                </c:pt>
                <c:pt idx="928">
                  <c:v>929</c:v>
                </c:pt>
                <c:pt idx="929">
                  <c:v>930</c:v>
                </c:pt>
                <c:pt idx="930">
                  <c:v>931</c:v>
                </c:pt>
                <c:pt idx="931">
                  <c:v>932</c:v>
                </c:pt>
                <c:pt idx="932">
                  <c:v>933</c:v>
                </c:pt>
                <c:pt idx="933">
                  <c:v>934</c:v>
                </c:pt>
                <c:pt idx="934">
                  <c:v>935</c:v>
                </c:pt>
                <c:pt idx="935">
                  <c:v>936</c:v>
                </c:pt>
                <c:pt idx="936">
                  <c:v>937</c:v>
                </c:pt>
                <c:pt idx="937">
                  <c:v>938</c:v>
                </c:pt>
                <c:pt idx="938">
                  <c:v>939</c:v>
                </c:pt>
                <c:pt idx="939">
                  <c:v>940</c:v>
                </c:pt>
                <c:pt idx="940">
                  <c:v>941</c:v>
                </c:pt>
                <c:pt idx="941">
                  <c:v>942</c:v>
                </c:pt>
                <c:pt idx="942">
                  <c:v>943</c:v>
                </c:pt>
                <c:pt idx="943">
                  <c:v>944</c:v>
                </c:pt>
                <c:pt idx="944">
                  <c:v>945</c:v>
                </c:pt>
                <c:pt idx="945">
                  <c:v>946</c:v>
                </c:pt>
                <c:pt idx="946">
                  <c:v>947</c:v>
                </c:pt>
                <c:pt idx="947">
                  <c:v>948</c:v>
                </c:pt>
                <c:pt idx="948">
                  <c:v>949</c:v>
                </c:pt>
                <c:pt idx="949">
                  <c:v>950</c:v>
                </c:pt>
                <c:pt idx="950">
                  <c:v>951</c:v>
                </c:pt>
                <c:pt idx="951">
                  <c:v>952</c:v>
                </c:pt>
                <c:pt idx="952">
                  <c:v>953</c:v>
                </c:pt>
                <c:pt idx="953">
                  <c:v>954</c:v>
                </c:pt>
                <c:pt idx="954">
                  <c:v>955</c:v>
                </c:pt>
                <c:pt idx="955">
                  <c:v>956</c:v>
                </c:pt>
                <c:pt idx="956">
                  <c:v>957</c:v>
                </c:pt>
                <c:pt idx="957">
                  <c:v>958</c:v>
                </c:pt>
                <c:pt idx="958">
                  <c:v>959</c:v>
                </c:pt>
                <c:pt idx="959">
                  <c:v>960</c:v>
                </c:pt>
                <c:pt idx="960">
                  <c:v>961</c:v>
                </c:pt>
                <c:pt idx="961">
                  <c:v>962</c:v>
                </c:pt>
                <c:pt idx="962">
                  <c:v>963</c:v>
                </c:pt>
              </c:strCache>
            </c:strRef>
          </c:cat>
          <c:val>
            <c:numRef>
              <c:f>'resupply scripts'!$Y$2:$Y$965</c:f>
              <c:numCache>
                <c:formatCode>General</c:formatCode>
                <c:ptCount val="963"/>
                <c:pt idx="0">
                  <c:v>7</c:v>
                </c:pt>
                <c:pt idx="1">
                  <c:v>6</c:v>
                </c:pt>
                <c:pt idx="2">
                  <c:v>1</c:v>
                </c:pt>
                <c:pt idx="3">
                  <c:v>0</c:v>
                </c:pt>
                <c:pt idx="4">
                  <c:v>1</c:v>
                </c:pt>
                <c:pt idx="5">
                  <c:v>0</c:v>
                </c:pt>
                <c:pt idx="6">
                  <c:v>4</c:v>
                </c:pt>
                <c:pt idx="7">
                  <c:v>0</c:v>
                </c:pt>
                <c:pt idx="8">
                  <c:v>0</c:v>
                </c:pt>
                <c:pt idx="9">
                  <c:v>0</c:v>
                </c:pt>
                <c:pt idx="10">
                  <c:v>0</c:v>
                </c:pt>
                <c:pt idx="11">
                  <c:v>0</c:v>
                </c:pt>
                <c:pt idx="12">
                  <c:v>0</c:v>
                </c:pt>
                <c:pt idx="13">
                  <c:v>0</c:v>
                </c:pt>
                <c:pt idx="14">
                  <c:v>2</c:v>
                </c:pt>
                <c:pt idx="15">
                  <c:v>0</c:v>
                </c:pt>
                <c:pt idx="16">
                  <c:v>0</c:v>
                </c:pt>
                <c:pt idx="17">
                  <c:v>1</c:v>
                </c:pt>
                <c:pt idx="18">
                  <c:v>0</c:v>
                </c:pt>
                <c:pt idx="19">
                  <c:v>1</c:v>
                </c:pt>
                <c:pt idx="20">
                  <c:v>0</c:v>
                </c:pt>
                <c:pt idx="21">
                  <c:v>0</c:v>
                </c:pt>
                <c:pt idx="22">
                  <c:v>1</c:v>
                </c:pt>
                <c:pt idx="23">
                  <c:v>0</c:v>
                </c:pt>
                <c:pt idx="24">
                  <c:v>1</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1</c:v>
                </c:pt>
                <c:pt idx="83">
                  <c:v>0</c:v>
                </c:pt>
                <c:pt idx="84">
                  <c:v>1</c:v>
                </c:pt>
                <c:pt idx="85">
                  <c:v>0</c:v>
                </c:pt>
                <c:pt idx="86">
                  <c:v>0</c:v>
                </c:pt>
                <c:pt idx="87">
                  <c:v>0</c:v>
                </c:pt>
                <c:pt idx="88">
                  <c:v>0</c:v>
                </c:pt>
                <c:pt idx="89">
                  <c:v>0</c:v>
                </c:pt>
                <c:pt idx="90">
                  <c:v>1</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1</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1</c:v>
                </c:pt>
                <c:pt idx="128">
                  <c:v>0</c:v>
                </c:pt>
                <c:pt idx="129">
                  <c:v>0</c:v>
                </c:pt>
                <c:pt idx="130">
                  <c:v>0</c:v>
                </c:pt>
                <c:pt idx="131">
                  <c:v>0</c:v>
                </c:pt>
                <c:pt idx="132">
                  <c:v>0</c:v>
                </c:pt>
                <c:pt idx="133">
                  <c:v>0</c:v>
                </c:pt>
                <c:pt idx="134">
                  <c:v>0</c:v>
                </c:pt>
                <c:pt idx="135">
                  <c:v>1</c:v>
                </c:pt>
                <c:pt idx="136">
                  <c:v>0</c:v>
                </c:pt>
                <c:pt idx="137">
                  <c:v>0</c:v>
                </c:pt>
                <c:pt idx="138">
                  <c:v>0</c:v>
                </c:pt>
                <c:pt idx="139">
                  <c:v>0</c:v>
                </c:pt>
                <c:pt idx="140">
                  <c:v>0</c:v>
                </c:pt>
                <c:pt idx="141">
                  <c:v>0</c:v>
                </c:pt>
                <c:pt idx="142">
                  <c:v>0</c:v>
                </c:pt>
                <c:pt idx="143">
                  <c:v>0</c:v>
                </c:pt>
                <c:pt idx="144">
                  <c:v>0</c:v>
                </c:pt>
                <c:pt idx="145">
                  <c:v>0</c:v>
                </c:pt>
                <c:pt idx="146">
                  <c:v>0</c:v>
                </c:pt>
                <c:pt idx="147">
                  <c:v>0</c:v>
                </c:pt>
                <c:pt idx="148">
                  <c:v>1</c:v>
                </c:pt>
                <c:pt idx="149">
                  <c:v>0</c:v>
                </c:pt>
                <c:pt idx="150">
                  <c:v>0</c:v>
                </c:pt>
                <c:pt idx="151">
                  <c:v>0</c:v>
                </c:pt>
                <c:pt idx="152">
                  <c:v>0</c:v>
                </c:pt>
                <c:pt idx="153">
                  <c:v>0</c:v>
                </c:pt>
                <c:pt idx="154">
                  <c:v>0</c:v>
                </c:pt>
                <c:pt idx="155">
                  <c:v>0</c:v>
                </c:pt>
                <c:pt idx="156">
                  <c:v>0</c:v>
                </c:pt>
                <c:pt idx="157">
                  <c:v>0</c:v>
                </c:pt>
                <c:pt idx="158">
                  <c:v>0</c:v>
                </c:pt>
                <c:pt idx="159">
                  <c:v>0</c:v>
                </c:pt>
                <c:pt idx="160">
                  <c:v>1</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1</c:v>
                </c:pt>
                <c:pt idx="185">
                  <c:v>0</c:v>
                </c:pt>
                <c:pt idx="186">
                  <c:v>0</c:v>
                </c:pt>
                <c:pt idx="187">
                  <c:v>0</c:v>
                </c:pt>
                <c:pt idx="188">
                  <c:v>0</c:v>
                </c:pt>
                <c:pt idx="189">
                  <c:v>1</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1</c:v>
                </c:pt>
                <c:pt idx="221">
                  <c:v>1</c:v>
                </c:pt>
                <c:pt idx="222">
                  <c:v>0</c:v>
                </c:pt>
                <c:pt idx="223">
                  <c:v>0</c:v>
                </c:pt>
                <c:pt idx="224">
                  <c:v>0</c:v>
                </c:pt>
                <c:pt idx="225">
                  <c:v>0</c:v>
                </c:pt>
                <c:pt idx="226">
                  <c:v>0</c:v>
                </c:pt>
                <c:pt idx="227">
                  <c:v>0</c:v>
                </c:pt>
                <c:pt idx="228">
                  <c:v>0</c:v>
                </c:pt>
                <c:pt idx="229">
                  <c:v>1</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1</c:v>
                </c:pt>
                <c:pt idx="266">
                  <c:v>0</c:v>
                </c:pt>
                <c:pt idx="267">
                  <c:v>0</c:v>
                </c:pt>
                <c:pt idx="268">
                  <c:v>0</c:v>
                </c:pt>
                <c:pt idx="269">
                  <c:v>2</c:v>
                </c:pt>
                <c:pt idx="270">
                  <c:v>0</c:v>
                </c:pt>
                <c:pt idx="271">
                  <c:v>0</c:v>
                </c:pt>
                <c:pt idx="272">
                  <c:v>0</c:v>
                </c:pt>
                <c:pt idx="273">
                  <c:v>1</c:v>
                </c:pt>
                <c:pt idx="274">
                  <c:v>0</c:v>
                </c:pt>
                <c:pt idx="275">
                  <c:v>0</c:v>
                </c:pt>
                <c:pt idx="276">
                  <c:v>0</c:v>
                </c:pt>
                <c:pt idx="277">
                  <c:v>0</c:v>
                </c:pt>
                <c:pt idx="278">
                  <c:v>0</c:v>
                </c:pt>
                <c:pt idx="279">
                  <c:v>0</c:v>
                </c:pt>
                <c:pt idx="280">
                  <c:v>0</c:v>
                </c:pt>
                <c:pt idx="281">
                  <c:v>0</c:v>
                </c:pt>
                <c:pt idx="282">
                  <c:v>0</c:v>
                </c:pt>
                <c:pt idx="283">
                  <c:v>1</c:v>
                </c:pt>
                <c:pt idx="284">
                  <c:v>0</c:v>
                </c:pt>
                <c:pt idx="285">
                  <c:v>1</c:v>
                </c:pt>
                <c:pt idx="286">
                  <c:v>0</c:v>
                </c:pt>
                <c:pt idx="287">
                  <c:v>0</c:v>
                </c:pt>
                <c:pt idx="288">
                  <c:v>0</c:v>
                </c:pt>
                <c:pt idx="289">
                  <c:v>1</c:v>
                </c:pt>
                <c:pt idx="290">
                  <c:v>2</c:v>
                </c:pt>
                <c:pt idx="291">
                  <c:v>0</c:v>
                </c:pt>
                <c:pt idx="292">
                  <c:v>2</c:v>
                </c:pt>
                <c:pt idx="293">
                  <c:v>1</c:v>
                </c:pt>
                <c:pt idx="294">
                  <c:v>1</c:v>
                </c:pt>
                <c:pt idx="295">
                  <c:v>0</c:v>
                </c:pt>
                <c:pt idx="296">
                  <c:v>0</c:v>
                </c:pt>
                <c:pt idx="297">
                  <c:v>1</c:v>
                </c:pt>
                <c:pt idx="298">
                  <c:v>0</c:v>
                </c:pt>
                <c:pt idx="299">
                  <c:v>1</c:v>
                </c:pt>
                <c:pt idx="300">
                  <c:v>1</c:v>
                </c:pt>
                <c:pt idx="301">
                  <c:v>1</c:v>
                </c:pt>
                <c:pt idx="302">
                  <c:v>0</c:v>
                </c:pt>
                <c:pt idx="303">
                  <c:v>0</c:v>
                </c:pt>
                <c:pt idx="304">
                  <c:v>0</c:v>
                </c:pt>
                <c:pt idx="305">
                  <c:v>0</c:v>
                </c:pt>
                <c:pt idx="306">
                  <c:v>0</c:v>
                </c:pt>
                <c:pt idx="307">
                  <c:v>1</c:v>
                </c:pt>
                <c:pt idx="308">
                  <c:v>2</c:v>
                </c:pt>
                <c:pt idx="309">
                  <c:v>1</c:v>
                </c:pt>
                <c:pt idx="310">
                  <c:v>5</c:v>
                </c:pt>
                <c:pt idx="311">
                  <c:v>2</c:v>
                </c:pt>
                <c:pt idx="312">
                  <c:v>0</c:v>
                </c:pt>
                <c:pt idx="313">
                  <c:v>2</c:v>
                </c:pt>
                <c:pt idx="314">
                  <c:v>1</c:v>
                </c:pt>
                <c:pt idx="315">
                  <c:v>1</c:v>
                </c:pt>
                <c:pt idx="316">
                  <c:v>0</c:v>
                </c:pt>
                <c:pt idx="317">
                  <c:v>0</c:v>
                </c:pt>
                <c:pt idx="318">
                  <c:v>0</c:v>
                </c:pt>
                <c:pt idx="319">
                  <c:v>2</c:v>
                </c:pt>
                <c:pt idx="320">
                  <c:v>1</c:v>
                </c:pt>
                <c:pt idx="321">
                  <c:v>2</c:v>
                </c:pt>
                <c:pt idx="322">
                  <c:v>3</c:v>
                </c:pt>
                <c:pt idx="323">
                  <c:v>3</c:v>
                </c:pt>
                <c:pt idx="324">
                  <c:v>3</c:v>
                </c:pt>
                <c:pt idx="325">
                  <c:v>2</c:v>
                </c:pt>
                <c:pt idx="326">
                  <c:v>1</c:v>
                </c:pt>
                <c:pt idx="327">
                  <c:v>2</c:v>
                </c:pt>
                <c:pt idx="328">
                  <c:v>2</c:v>
                </c:pt>
                <c:pt idx="329">
                  <c:v>2</c:v>
                </c:pt>
                <c:pt idx="330">
                  <c:v>1</c:v>
                </c:pt>
                <c:pt idx="331">
                  <c:v>0</c:v>
                </c:pt>
                <c:pt idx="332">
                  <c:v>2</c:v>
                </c:pt>
                <c:pt idx="333">
                  <c:v>2</c:v>
                </c:pt>
                <c:pt idx="334">
                  <c:v>3</c:v>
                </c:pt>
                <c:pt idx="335">
                  <c:v>4</c:v>
                </c:pt>
                <c:pt idx="336">
                  <c:v>3</c:v>
                </c:pt>
                <c:pt idx="337">
                  <c:v>4</c:v>
                </c:pt>
                <c:pt idx="338">
                  <c:v>6</c:v>
                </c:pt>
                <c:pt idx="339">
                  <c:v>3</c:v>
                </c:pt>
                <c:pt idx="340">
                  <c:v>3</c:v>
                </c:pt>
                <c:pt idx="341">
                  <c:v>0</c:v>
                </c:pt>
                <c:pt idx="342">
                  <c:v>4</c:v>
                </c:pt>
                <c:pt idx="343">
                  <c:v>8</c:v>
                </c:pt>
                <c:pt idx="344">
                  <c:v>5</c:v>
                </c:pt>
                <c:pt idx="345">
                  <c:v>3</c:v>
                </c:pt>
                <c:pt idx="346">
                  <c:v>3</c:v>
                </c:pt>
                <c:pt idx="347">
                  <c:v>3</c:v>
                </c:pt>
                <c:pt idx="348">
                  <c:v>9</c:v>
                </c:pt>
                <c:pt idx="349">
                  <c:v>13</c:v>
                </c:pt>
                <c:pt idx="350">
                  <c:v>14</c:v>
                </c:pt>
                <c:pt idx="351">
                  <c:v>10</c:v>
                </c:pt>
                <c:pt idx="352">
                  <c:v>10</c:v>
                </c:pt>
                <c:pt idx="353">
                  <c:v>16</c:v>
                </c:pt>
                <c:pt idx="354">
                  <c:v>9</c:v>
                </c:pt>
                <c:pt idx="355">
                  <c:v>8</c:v>
                </c:pt>
                <c:pt idx="356">
                  <c:v>26</c:v>
                </c:pt>
                <c:pt idx="357">
                  <c:v>16</c:v>
                </c:pt>
                <c:pt idx="358">
                  <c:v>19</c:v>
                </c:pt>
                <c:pt idx="359">
                  <c:v>21</c:v>
                </c:pt>
                <c:pt idx="360">
                  <c:v>45</c:v>
                </c:pt>
                <c:pt idx="361">
                  <c:v>33</c:v>
                </c:pt>
                <c:pt idx="362">
                  <c:v>47</c:v>
                </c:pt>
                <c:pt idx="363">
                  <c:v>119</c:v>
                </c:pt>
                <c:pt idx="364">
                  <c:v>52</c:v>
                </c:pt>
                <c:pt idx="365">
                  <c:v>46</c:v>
                </c:pt>
                <c:pt idx="366">
                  <c:v>47</c:v>
                </c:pt>
                <c:pt idx="367">
                  <c:v>50</c:v>
                </c:pt>
                <c:pt idx="368">
                  <c:v>19</c:v>
                </c:pt>
                <c:pt idx="369">
                  <c:v>33</c:v>
                </c:pt>
                <c:pt idx="370">
                  <c:v>59</c:v>
                </c:pt>
                <c:pt idx="371">
                  <c:v>28</c:v>
                </c:pt>
                <c:pt idx="372">
                  <c:v>19</c:v>
                </c:pt>
                <c:pt idx="373">
                  <c:v>16</c:v>
                </c:pt>
                <c:pt idx="374">
                  <c:v>24</c:v>
                </c:pt>
                <c:pt idx="375">
                  <c:v>17</c:v>
                </c:pt>
                <c:pt idx="376">
                  <c:v>14</c:v>
                </c:pt>
                <c:pt idx="377">
                  <c:v>19</c:v>
                </c:pt>
                <c:pt idx="378">
                  <c:v>16</c:v>
                </c:pt>
                <c:pt idx="379">
                  <c:v>13</c:v>
                </c:pt>
                <c:pt idx="380">
                  <c:v>9</c:v>
                </c:pt>
                <c:pt idx="381">
                  <c:v>12</c:v>
                </c:pt>
                <c:pt idx="382">
                  <c:v>8</c:v>
                </c:pt>
                <c:pt idx="383">
                  <c:v>12</c:v>
                </c:pt>
                <c:pt idx="384">
                  <c:v>15</c:v>
                </c:pt>
                <c:pt idx="385">
                  <c:v>6</c:v>
                </c:pt>
                <c:pt idx="386">
                  <c:v>4</c:v>
                </c:pt>
                <c:pt idx="387">
                  <c:v>5</c:v>
                </c:pt>
                <c:pt idx="388">
                  <c:v>6</c:v>
                </c:pt>
                <c:pt idx="389">
                  <c:v>6</c:v>
                </c:pt>
                <c:pt idx="390">
                  <c:v>3</c:v>
                </c:pt>
                <c:pt idx="391">
                  <c:v>4</c:v>
                </c:pt>
                <c:pt idx="392">
                  <c:v>6</c:v>
                </c:pt>
                <c:pt idx="393">
                  <c:v>8</c:v>
                </c:pt>
                <c:pt idx="394">
                  <c:v>3</c:v>
                </c:pt>
                <c:pt idx="395">
                  <c:v>2</c:v>
                </c:pt>
                <c:pt idx="396">
                  <c:v>2</c:v>
                </c:pt>
                <c:pt idx="397">
                  <c:v>7</c:v>
                </c:pt>
                <c:pt idx="398">
                  <c:v>9</c:v>
                </c:pt>
                <c:pt idx="399">
                  <c:v>5</c:v>
                </c:pt>
                <c:pt idx="400">
                  <c:v>5</c:v>
                </c:pt>
                <c:pt idx="401">
                  <c:v>3</c:v>
                </c:pt>
                <c:pt idx="402">
                  <c:v>3</c:v>
                </c:pt>
                <c:pt idx="403">
                  <c:v>3</c:v>
                </c:pt>
                <c:pt idx="404">
                  <c:v>0</c:v>
                </c:pt>
                <c:pt idx="405">
                  <c:v>4</c:v>
                </c:pt>
                <c:pt idx="406">
                  <c:v>1</c:v>
                </c:pt>
                <c:pt idx="407">
                  <c:v>5</c:v>
                </c:pt>
                <c:pt idx="408">
                  <c:v>2</c:v>
                </c:pt>
                <c:pt idx="409">
                  <c:v>0</c:v>
                </c:pt>
                <c:pt idx="410">
                  <c:v>2</c:v>
                </c:pt>
                <c:pt idx="411">
                  <c:v>3</c:v>
                </c:pt>
                <c:pt idx="412">
                  <c:v>5</c:v>
                </c:pt>
                <c:pt idx="413">
                  <c:v>3</c:v>
                </c:pt>
                <c:pt idx="414">
                  <c:v>0</c:v>
                </c:pt>
                <c:pt idx="415">
                  <c:v>1</c:v>
                </c:pt>
                <c:pt idx="416">
                  <c:v>2</c:v>
                </c:pt>
                <c:pt idx="417">
                  <c:v>1</c:v>
                </c:pt>
                <c:pt idx="418">
                  <c:v>1</c:v>
                </c:pt>
                <c:pt idx="419">
                  <c:v>4</c:v>
                </c:pt>
                <c:pt idx="420">
                  <c:v>2</c:v>
                </c:pt>
                <c:pt idx="421">
                  <c:v>0</c:v>
                </c:pt>
                <c:pt idx="422">
                  <c:v>2</c:v>
                </c:pt>
                <c:pt idx="423">
                  <c:v>2</c:v>
                </c:pt>
                <c:pt idx="424">
                  <c:v>1</c:v>
                </c:pt>
                <c:pt idx="425">
                  <c:v>0</c:v>
                </c:pt>
                <c:pt idx="426">
                  <c:v>2</c:v>
                </c:pt>
                <c:pt idx="427">
                  <c:v>0</c:v>
                </c:pt>
                <c:pt idx="428">
                  <c:v>0</c:v>
                </c:pt>
                <c:pt idx="429">
                  <c:v>0</c:v>
                </c:pt>
                <c:pt idx="430">
                  <c:v>0</c:v>
                </c:pt>
                <c:pt idx="431">
                  <c:v>0</c:v>
                </c:pt>
                <c:pt idx="432">
                  <c:v>1</c:v>
                </c:pt>
                <c:pt idx="433">
                  <c:v>0</c:v>
                </c:pt>
                <c:pt idx="434">
                  <c:v>0</c:v>
                </c:pt>
                <c:pt idx="435">
                  <c:v>0</c:v>
                </c:pt>
                <c:pt idx="436">
                  <c:v>2</c:v>
                </c:pt>
                <c:pt idx="437">
                  <c:v>0</c:v>
                </c:pt>
                <c:pt idx="438">
                  <c:v>0</c:v>
                </c:pt>
                <c:pt idx="439">
                  <c:v>2</c:v>
                </c:pt>
                <c:pt idx="440">
                  <c:v>0</c:v>
                </c:pt>
                <c:pt idx="441">
                  <c:v>0</c:v>
                </c:pt>
                <c:pt idx="442">
                  <c:v>0</c:v>
                </c:pt>
                <c:pt idx="443">
                  <c:v>0</c:v>
                </c:pt>
                <c:pt idx="444">
                  <c:v>1</c:v>
                </c:pt>
                <c:pt idx="445">
                  <c:v>2</c:v>
                </c:pt>
                <c:pt idx="446">
                  <c:v>2</c:v>
                </c:pt>
                <c:pt idx="447">
                  <c:v>2</c:v>
                </c:pt>
                <c:pt idx="448">
                  <c:v>0</c:v>
                </c:pt>
                <c:pt idx="449">
                  <c:v>1</c:v>
                </c:pt>
                <c:pt idx="450">
                  <c:v>1</c:v>
                </c:pt>
                <c:pt idx="451">
                  <c:v>0</c:v>
                </c:pt>
                <c:pt idx="452">
                  <c:v>0</c:v>
                </c:pt>
                <c:pt idx="453">
                  <c:v>0</c:v>
                </c:pt>
                <c:pt idx="454">
                  <c:v>0</c:v>
                </c:pt>
                <c:pt idx="455">
                  <c:v>0</c:v>
                </c:pt>
                <c:pt idx="456">
                  <c:v>0</c:v>
                </c:pt>
                <c:pt idx="457">
                  <c:v>1</c:v>
                </c:pt>
                <c:pt idx="458">
                  <c:v>1</c:v>
                </c:pt>
                <c:pt idx="459">
                  <c:v>0</c:v>
                </c:pt>
                <c:pt idx="460">
                  <c:v>1</c:v>
                </c:pt>
                <c:pt idx="461">
                  <c:v>0</c:v>
                </c:pt>
                <c:pt idx="462">
                  <c:v>1</c:v>
                </c:pt>
                <c:pt idx="463">
                  <c:v>0</c:v>
                </c:pt>
                <c:pt idx="464">
                  <c:v>1</c:v>
                </c:pt>
                <c:pt idx="465">
                  <c:v>0</c:v>
                </c:pt>
                <c:pt idx="466">
                  <c:v>0</c:v>
                </c:pt>
                <c:pt idx="467">
                  <c:v>0</c:v>
                </c:pt>
                <c:pt idx="468">
                  <c:v>1</c:v>
                </c:pt>
                <c:pt idx="469">
                  <c:v>0</c:v>
                </c:pt>
                <c:pt idx="470">
                  <c:v>0</c:v>
                </c:pt>
                <c:pt idx="471">
                  <c:v>0</c:v>
                </c:pt>
                <c:pt idx="472">
                  <c:v>0</c:v>
                </c:pt>
                <c:pt idx="473">
                  <c:v>0</c:v>
                </c:pt>
                <c:pt idx="474">
                  <c:v>0</c:v>
                </c:pt>
                <c:pt idx="475">
                  <c:v>0</c:v>
                </c:pt>
                <c:pt idx="476">
                  <c:v>1</c:v>
                </c:pt>
                <c:pt idx="477">
                  <c:v>0</c:v>
                </c:pt>
                <c:pt idx="478">
                  <c:v>0</c:v>
                </c:pt>
                <c:pt idx="479">
                  <c:v>0</c:v>
                </c:pt>
                <c:pt idx="480">
                  <c:v>1</c:v>
                </c:pt>
                <c:pt idx="481">
                  <c:v>1</c:v>
                </c:pt>
                <c:pt idx="482">
                  <c:v>0</c:v>
                </c:pt>
                <c:pt idx="483">
                  <c:v>0</c:v>
                </c:pt>
                <c:pt idx="484">
                  <c:v>0</c:v>
                </c:pt>
                <c:pt idx="485">
                  <c:v>0</c:v>
                </c:pt>
                <c:pt idx="486">
                  <c:v>0</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1</c:v>
                </c:pt>
                <c:pt idx="502">
                  <c:v>0</c:v>
                </c:pt>
                <c:pt idx="503">
                  <c:v>0</c:v>
                </c:pt>
                <c:pt idx="504">
                  <c:v>1</c:v>
                </c:pt>
                <c:pt idx="505">
                  <c:v>0</c:v>
                </c:pt>
                <c:pt idx="506">
                  <c:v>0</c:v>
                </c:pt>
                <c:pt idx="507">
                  <c:v>1</c:v>
                </c:pt>
                <c:pt idx="508">
                  <c:v>1</c:v>
                </c:pt>
                <c:pt idx="509">
                  <c:v>0</c:v>
                </c:pt>
                <c:pt idx="510">
                  <c:v>1</c:v>
                </c:pt>
                <c:pt idx="511">
                  <c:v>0</c:v>
                </c:pt>
                <c:pt idx="512">
                  <c:v>0</c:v>
                </c:pt>
                <c:pt idx="513">
                  <c:v>0</c:v>
                </c:pt>
                <c:pt idx="514">
                  <c:v>0</c:v>
                </c:pt>
                <c:pt idx="515">
                  <c:v>0</c:v>
                </c:pt>
                <c:pt idx="516">
                  <c:v>0</c:v>
                </c:pt>
                <c:pt idx="517">
                  <c:v>0</c:v>
                </c:pt>
                <c:pt idx="518">
                  <c:v>1</c:v>
                </c:pt>
                <c:pt idx="519">
                  <c:v>0</c:v>
                </c:pt>
                <c:pt idx="520">
                  <c:v>0</c:v>
                </c:pt>
                <c:pt idx="521">
                  <c:v>1</c:v>
                </c:pt>
                <c:pt idx="522">
                  <c:v>0</c:v>
                </c:pt>
                <c:pt idx="523">
                  <c:v>0</c:v>
                </c:pt>
                <c:pt idx="524">
                  <c:v>0</c:v>
                </c:pt>
                <c:pt idx="525">
                  <c:v>0</c:v>
                </c:pt>
                <c:pt idx="526">
                  <c:v>0</c:v>
                </c:pt>
                <c:pt idx="527">
                  <c:v>0</c:v>
                </c:pt>
                <c:pt idx="528">
                  <c:v>0</c:v>
                </c:pt>
                <c:pt idx="529">
                  <c:v>0</c:v>
                </c:pt>
                <c:pt idx="530">
                  <c:v>0</c:v>
                </c:pt>
                <c:pt idx="531">
                  <c:v>0</c:v>
                </c:pt>
                <c:pt idx="532">
                  <c:v>0</c:v>
                </c:pt>
                <c:pt idx="533">
                  <c:v>0</c:v>
                </c:pt>
                <c:pt idx="534">
                  <c:v>0</c:v>
                </c:pt>
                <c:pt idx="535">
                  <c:v>0</c:v>
                </c:pt>
                <c:pt idx="536">
                  <c:v>0</c:v>
                </c:pt>
                <c:pt idx="537">
                  <c:v>0</c:v>
                </c:pt>
                <c:pt idx="538">
                  <c:v>0</c:v>
                </c:pt>
                <c:pt idx="539">
                  <c:v>0</c:v>
                </c:pt>
                <c:pt idx="540">
                  <c:v>0</c:v>
                </c:pt>
                <c:pt idx="541">
                  <c:v>1</c:v>
                </c:pt>
                <c:pt idx="542">
                  <c:v>1</c:v>
                </c:pt>
                <c:pt idx="543">
                  <c:v>0</c:v>
                </c:pt>
                <c:pt idx="544">
                  <c:v>0</c:v>
                </c:pt>
                <c:pt idx="545">
                  <c:v>0</c:v>
                </c:pt>
                <c:pt idx="546">
                  <c:v>0</c:v>
                </c:pt>
                <c:pt idx="547">
                  <c:v>0</c:v>
                </c:pt>
                <c:pt idx="548">
                  <c:v>0</c:v>
                </c:pt>
                <c:pt idx="549">
                  <c:v>1</c:v>
                </c:pt>
                <c:pt idx="550">
                  <c:v>0</c:v>
                </c:pt>
                <c:pt idx="551">
                  <c:v>0</c:v>
                </c:pt>
                <c:pt idx="552">
                  <c:v>0</c:v>
                </c:pt>
                <c:pt idx="553">
                  <c:v>1</c:v>
                </c:pt>
                <c:pt idx="554">
                  <c:v>0</c:v>
                </c:pt>
                <c:pt idx="555">
                  <c:v>0</c:v>
                </c:pt>
                <c:pt idx="556">
                  <c:v>0</c:v>
                </c:pt>
                <c:pt idx="557">
                  <c:v>1</c:v>
                </c:pt>
                <c:pt idx="558">
                  <c:v>0</c:v>
                </c:pt>
                <c:pt idx="559">
                  <c:v>0</c:v>
                </c:pt>
                <c:pt idx="560">
                  <c:v>0</c:v>
                </c:pt>
                <c:pt idx="561">
                  <c:v>0</c:v>
                </c:pt>
                <c:pt idx="562">
                  <c:v>0</c:v>
                </c:pt>
                <c:pt idx="563">
                  <c:v>0</c:v>
                </c:pt>
                <c:pt idx="564">
                  <c:v>0</c:v>
                </c:pt>
                <c:pt idx="565">
                  <c:v>0</c:v>
                </c:pt>
                <c:pt idx="566">
                  <c:v>1</c:v>
                </c:pt>
                <c:pt idx="567">
                  <c:v>0</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0</c:v>
                </c:pt>
                <c:pt idx="584">
                  <c:v>0</c:v>
                </c:pt>
                <c:pt idx="585">
                  <c:v>0</c:v>
                </c:pt>
                <c:pt idx="586">
                  <c:v>0</c:v>
                </c:pt>
                <c:pt idx="587">
                  <c:v>1</c:v>
                </c:pt>
                <c:pt idx="588">
                  <c:v>0</c:v>
                </c:pt>
                <c:pt idx="589">
                  <c:v>0</c:v>
                </c:pt>
                <c:pt idx="590">
                  <c:v>1</c:v>
                </c:pt>
                <c:pt idx="591">
                  <c:v>0</c:v>
                </c:pt>
                <c:pt idx="592">
                  <c:v>0</c:v>
                </c:pt>
                <c:pt idx="593">
                  <c:v>0</c:v>
                </c:pt>
                <c:pt idx="594">
                  <c:v>0</c:v>
                </c:pt>
                <c:pt idx="595">
                  <c:v>0</c:v>
                </c:pt>
                <c:pt idx="596">
                  <c:v>0</c:v>
                </c:pt>
                <c:pt idx="597">
                  <c:v>0</c:v>
                </c:pt>
                <c:pt idx="598">
                  <c:v>0</c:v>
                </c:pt>
                <c:pt idx="599">
                  <c:v>0</c:v>
                </c:pt>
                <c:pt idx="600">
                  <c:v>0</c:v>
                </c:pt>
                <c:pt idx="601">
                  <c:v>0</c:v>
                </c:pt>
                <c:pt idx="602">
                  <c:v>0</c:v>
                </c:pt>
                <c:pt idx="603">
                  <c:v>0</c:v>
                </c:pt>
                <c:pt idx="604">
                  <c:v>0</c:v>
                </c:pt>
                <c:pt idx="605">
                  <c:v>0</c:v>
                </c:pt>
                <c:pt idx="606">
                  <c:v>0</c:v>
                </c:pt>
                <c:pt idx="607">
                  <c:v>0</c:v>
                </c:pt>
                <c:pt idx="608">
                  <c:v>0</c:v>
                </c:pt>
                <c:pt idx="609">
                  <c:v>1</c:v>
                </c:pt>
                <c:pt idx="610">
                  <c:v>0</c:v>
                </c:pt>
                <c:pt idx="611">
                  <c:v>0</c:v>
                </c:pt>
                <c:pt idx="612">
                  <c:v>0</c:v>
                </c:pt>
                <c:pt idx="613">
                  <c:v>0</c:v>
                </c:pt>
                <c:pt idx="614">
                  <c:v>0</c:v>
                </c:pt>
                <c:pt idx="615">
                  <c:v>1</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1</c:v>
                </c:pt>
                <c:pt idx="630">
                  <c:v>0</c:v>
                </c:pt>
                <c:pt idx="631">
                  <c:v>0</c:v>
                </c:pt>
                <c:pt idx="632">
                  <c:v>0</c:v>
                </c:pt>
                <c:pt idx="633">
                  <c:v>0</c:v>
                </c:pt>
                <c:pt idx="634">
                  <c:v>0</c:v>
                </c:pt>
                <c:pt idx="635">
                  <c:v>0</c:v>
                </c:pt>
                <c:pt idx="636">
                  <c:v>0</c:v>
                </c:pt>
                <c:pt idx="637">
                  <c:v>0</c:v>
                </c:pt>
                <c:pt idx="638">
                  <c:v>0</c:v>
                </c:pt>
                <c:pt idx="639">
                  <c:v>0</c:v>
                </c:pt>
                <c:pt idx="640">
                  <c:v>0</c:v>
                </c:pt>
                <c:pt idx="641">
                  <c:v>0</c:v>
                </c:pt>
                <c:pt idx="642">
                  <c:v>0</c:v>
                </c:pt>
                <c:pt idx="643">
                  <c:v>0</c:v>
                </c:pt>
                <c:pt idx="644">
                  <c:v>1</c:v>
                </c:pt>
                <c:pt idx="645">
                  <c:v>0</c:v>
                </c:pt>
                <c:pt idx="646">
                  <c:v>0</c:v>
                </c:pt>
                <c:pt idx="647">
                  <c:v>0</c:v>
                </c:pt>
                <c:pt idx="648">
                  <c:v>0</c:v>
                </c:pt>
                <c:pt idx="649">
                  <c:v>0</c:v>
                </c:pt>
                <c:pt idx="650">
                  <c:v>0</c:v>
                </c:pt>
                <c:pt idx="651">
                  <c:v>1</c:v>
                </c:pt>
                <c:pt idx="652">
                  <c:v>0</c:v>
                </c:pt>
                <c:pt idx="653">
                  <c:v>0</c:v>
                </c:pt>
                <c:pt idx="654">
                  <c:v>0</c:v>
                </c:pt>
                <c:pt idx="655">
                  <c:v>0</c:v>
                </c:pt>
                <c:pt idx="656">
                  <c:v>0</c:v>
                </c:pt>
                <c:pt idx="657">
                  <c:v>0</c:v>
                </c:pt>
                <c:pt idx="658">
                  <c:v>1</c:v>
                </c:pt>
                <c:pt idx="659">
                  <c:v>0</c:v>
                </c:pt>
                <c:pt idx="660">
                  <c:v>0</c:v>
                </c:pt>
                <c:pt idx="661">
                  <c:v>0</c:v>
                </c:pt>
                <c:pt idx="662">
                  <c:v>0</c:v>
                </c:pt>
                <c:pt idx="663">
                  <c:v>0</c:v>
                </c:pt>
                <c:pt idx="664">
                  <c:v>1</c:v>
                </c:pt>
                <c:pt idx="665">
                  <c:v>0</c:v>
                </c:pt>
                <c:pt idx="666">
                  <c:v>0</c:v>
                </c:pt>
                <c:pt idx="667">
                  <c:v>1</c:v>
                </c:pt>
                <c:pt idx="668">
                  <c:v>0</c:v>
                </c:pt>
                <c:pt idx="669">
                  <c:v>0</c:v>
                </c:pt>
                <c:pt idx="670">
                  <c:v>0</c:v>
                </c:pt>
                <c:pt idx="671">
                  <c:v>0</c:v>
                </c:pt>
                <c:pt idx="672">
                  <c:v>0</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pt idx="700">
                  <c:v>0</c:v>
                </c:pt>
                <c:pt idx="701">
                  <c:v>0</c:v>
                </c:pt>
                <c:pt idx="702">
                  <c:v>0</c:v>
                </c:pt>
                <c:pt idx="703">
                  <c:v>1</c:v>
                </c:pt>
                <c:pt idx="704">
                  <c:v>0</c:v>
                </c:pt>
                <c:pt idx="705">
                  <c:v>0</c:v>
                </c:pt>
                <c:pt idx="706">
                  <c:v>0</c:v>
                </c:pt>
                <c:pt idx="707">
                  <c:v>0</c:v>
                </c:pt>
                <c:pt idx="708">
                  <c:v>0</c:v>
                </c:pt>
                <c:pt idx="709">
                  <c:v>0</c:v>
                </c:pt>
                <c:pt idx="710">
                  <c:v>0</c:v>
                </c:pt>
                <c:pt idx="711">
                  <c:v>0</c:v>
                </c:pt>
                <c:pt idx="712">
                  <c:v>0</c:v>
                </c:pt>
                <c:pt idx="713">
                  <c:v>0</c:v>
                </c:pt>
                <c:pt idx="714">
                  <c:v>0</c:v>
                </c:pt>
                <c:pt idx="715">
                  <c:v>0</c:v>
                </c:pt>
                <c:pt idx="716">
                  <c:v>0</c:v>
                </c:pt>
                <c:pt idx="717">
                  <c:v>1</c:v>
                </c:pt>
                <c:pt idx="718">
                  <c:v>0</c:v>
                </c:pt>
                <c:pt idx="719">
                  <c:v>0</c:v>
                </c:pt>
                <c:pt idx="720">
                  <c:v>0</c:v>
                </c:pt>
                <c:pt idx="721">
                  <c:v>0</c:v>
                </c:pt>
                <c:pt idx="722">
                  <c:v>0</c:v>
                </c:pt>
                <c:pt idx="723">
                  <c:v>0</c:v>
                </c:pt>
                <c:pt idx="724">
                  <c:v>0</c:v>
                </c:pt>
                <c:pt idx="725">
                  <c:v>0</c:v>
                </c:pt>
                <c:pt idx="726">
                  <c:v>0</c:v>
                </c:pt>
                <c:pt idx="727">
                  <c:v>0</c:v>
                </c:pt>
                <c:pt idx="728">
                  <c:v>0</c:v>
                </c:pt>
                <c:pt idx="729">
                  <c:v>0</c:v>
                </c:pt>
                <c:pt idx="730">
                  <c:v>0</c:v>
                </c:pt>
                <c:pt idx="731">
                  <c:v>0</c:v>
                </c:pt>
                <c:pt idx="732">
                  <c:v>0</c:v>
                </c:pt>
                <c:pt idx="733">
                  <c:v>0</c:v>
                </c:pt>
                <c:pt idx="734">
                  <c:v>0</c:v>
                </c:pt>
                <c:pt idx="735">
                  <c:v>0</c:v>
                </c:pt>
                <c:pt idx="736">
                  <c:v>0</c:v>
                </c:pt>
                <c:pt idx="737">
                  <c:v>0</c:v>
                </c:pt>
                <c:pt idx="738">
                  <c:v>0</c:v>
                </c:pt>
                <c:pt idx="739">
                  <c:v>0</c:v>
                </c:pt>
                <c:pt idx="740">
                  <c:v>1</c:v>
                </c:pt>
                <c:pt idx="741">
                  <c:v>0</c:v>
                </c:pt>
                <c:pt idx="742">
                  <c:v>0</c:v>
                </c:pt>
                <c:pt idx="743">
                  <c:v>0</c:v>
                </c:pt>
                <c:pt idx="744">
                  <c:v>0</c:v>
                </c:pt>
                <c:pt idx="745">
                  <c:v>0</c:v>
                </c:pt>
                <c:pt idx="746">
                  <c:v>0</c:v>
                </c:pt>
                <c:pt idx="747">
                  <c:v>0</c:v>
                </c:pt>
                <c:pt idx="748">
                  <c:v>0</c:v>
                </c:pt>
                <c:pt idx="749">
                  <c:v>0</c:v>
                </c:pt>
                <c:pt idx="750">
                  <c:v>0</c:v>
                </c:pt>
                <c:pt idx="751">
                  <c:v>0</c:v>
                </c:pt>
                <c:pt idx="752">
                  <c:v>0</c:v>
                </c:pt>
                <c:pt idx="753">
                  <c:v>0</c:v>
                </c:pt>
                <c:pt idx="754">
                  <c:v>0</c:v>
                </c:pt>
                <c:pt idx="755">
                  <c:v>0</c:v>
                </c:pt>
                <c:pt idx="756">
                  <c:v>0</c:v>
                </c:pt>
                <c:pt idx="757">
                  <c:v>0</c:v>
                </c:pt>
                <c:pt idx="758">
                  <c:v>0</c:v>
                </c:pt>
                <c:pt idx="759">
                  <c:v>0</c:v>
                </c:pt>
                <c:pt idx="760">
                  <c:v>0</c:v>
                </c:pt>
                <c:pt idx="761">
                  <c:v>0</c:v>
                </c:pt>
                <c:pt idx="762">
                  <c:v>0</c:v>
                </c:pt>
                <c:pt idx="763">
                  <c:v>0</c:v>
                </c:pt>
                <c:pt idx="764">
                  <c:v>0</c:v>
                </c:pt>
                <c:pt idx="765">
                  <c:v>0</c:v>
                </c:pt>
                <c:pt idx="766">
                  <c:v>0</c:v>
                </c:pt>
                <c:pt idx="767">
                  <c:v>1</c:v>
                </c:pt>
                <c:pt idx="768">
                  <c:v>0</c:v>
                </c:pt>
                <c:pt idx="769">
                  <c:v>0</c:v>
                </c:pt>
                <c:pt idx="770">
                  <c:v>0</c:v>
                </c:pt>
                <c:pt idx="771">
                  <c:v>0</c:v>
                </c:pt>
                <c:pt idx="772">
                  <c:v>0</c:v>
                </c:pt>
                <c:pt idx="773">
                  <c:v>0</c:v>
                </c:pt>
                <c:pt idx="774">
                  <c:v>1</c:v>
                </c:pt>
                <c:pt idx="775">
                  <c:v>0</c:v>
                </c:pt>
                <c:pt idx="776">
                  <c:v>1</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0</c:v>
                </c:pt>
                <c:pt idx="796">
                  <c:v>1</c:v>
                </c:pt>
                <c:pt idx="797">
                  <c:v>0</c:v>
                </c:pt>
                <c:pt idx="798">
                  <c:v>0</c:v>
                </c:pt>
                <c:pt idx="799">
                  <c:v>0</c:v>
                </c:pt>
                <c:pt idx="800">
                  <c:v>0</c:v>
                </c:pt>
                <c:pt idx="801">
                  <c:v>0</c:v>
                </c:pt>
                <c:pt idx="802">
                  <c:v>0</c:v>
                </c:pt>
                <c:pt idx="803">
                  <c:v>0</c:v>
                </c:pt>
                <c:pt idx="804">
                  <c:v>0</c:v>
                </c:pt>
                <c:pt idx="805">
                  <c:v>0</c:v>
                </c:pt>
                <c:pt idx="806">
                  <c:v>0</c:v>
                </c:pt>
                <c:pt idx="807">
                  <c:v>0</c:v>
                </c:pt>
                <c:pt idx="808">
                  <c:v>0</c:v>
                </c:pt>
                <c:pt idx="809">
                  <c:v>1</c:v>
                </c:pt>
                <c:pt idx="810">
                  <c:v>0</c:v>
                </c:pt>
                <c:pt idx="811">
                  <c:v>0</c:v>
                </c:pt>
                <c:pt idx="812">
                  <c:v>0</c:v>
                </c:pt>
                <c:pt idx="813">
                  <c:v>0</c:v>
                </c:pt>
                <c:pt idx="814">
                  <c:v>0</c:v>
                </c:pt>
                <c:pt idx="815">
                  <c:v>0</c:v>
                </c:pt>
                <c:pt idx="816">
                  <c:v>0</c:v>
                </c:pt>
                <c:pt idx="817">
                  <c:v>0</c:v>
                </c:pt>
                <c:pt idx="818">
                  <c:v>0</c:v>
                </c:pt>
                <c:pt idx="819">
                  <c:v>0</c:v>
                </c:pt>
                <c:pt idx="820">
                  <c:v>0</c:v>
                </c:pt>
                <c:pt idx="821">
                  <c:v>1</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0</c:v>
                </c:pt>
                <c:pt idx="845">
                  <c:v>1</c:v>
                </c:pt>
                <c:pt idx="846">
                  <c:v>0</c:v>
                </c:pt>
                <c:pt idx="847">
                  <c:v>0</c:v>
                </c:pt>
                <c:pt idx="848">
                  <c:v>0</c:v>
                </c:pt>
                <c:pt idx="849">
                  <c:v>0</c:v>
                </c:pt>
                <c:pt idx="850">
                  <c:v>0</c:v>
                </c:pt>
                <c:pt idx="851">
                  <c:v>0</c:v>
                </c:pt>
                <c:pt idx="852">
                  <c:v>0</c:v>
                </c:pt>
                <c:pt idx="853">
                  <c:v>0</c:v>
                </c:pt>
                <c:pt idx="854">
                  <c:v>0</c:v>
                </c:pt>
                <c:pt idx="855">
                  <c:v>0</c:v>
                </c:pt>
                <c:pt idx="856">
                  <c:v>0</c:v>
                </c:pt>
                <c:pt idx="857">
                  <c:v>0</c:v>
                </c:pt>
                <c:pt idx="858">
                  <c:v>0</c:v>
                </c:pt>
                <c:pt idx="859">
                  <c:v>0</c:v>
                </c:pt>
                <c:pt idx="860">
                  <c:v>0</c:v>
                </c:pt>
                <c:pt idx="861">
                  <c:v>0</c:v>
                </c:pt>
                <c:pt idx="862">
                  <c:v>0</c:v>
                </c:pt>
                <c:pt idx="863">
                  <c:v>0</c:v>
                </c:pt>
                <c:pt idx="864">
                  <c:v>0</c:v>
                </c:pt>
                <c:pt idx="865">
                  <c:v>0</c:v>
                </c:pt>
                <c:pt idx="866">
                  <c:v>0</c:v>
                </c:pt>
                <c:pt idx="867">
                  <c:v>0</c:v>
                </c:pt>
                <c:pt idx="868">
                  <c:v>0</c:v>
                </c:pt>
                <c:pt idx="869">
                  <c:v>0</c:v>
                </c:pt>
                <c:pt idx="870">
                  <c:v>0</c:v>
                </c:pt>
                <c:pt idx="871">
                  <c:v>0</c:v>
                </c:pt>
                <c:pt idx="872">
                  <c:v>0</c:v>
                </c:pt>
                <c:pt idx="873">
                  <c:v>0</c:v>
                </c:pt>
                <c:pt idx="874">
                  <c:v>1</c:v>
                </c:pt>
                <c:pt idx="875">
                  <c:v>0</c:v>
                </c:pt>
                <c:pt idx="876">
                  <c:v>0</c:v>
                </c:pt>
                <c:pt idx="877">
                  <c:v>0</c:v>
                </c:pt>
                <c:pt idx="878">
                  <c:v>0</c:v>
                </c:pt>
                <c:pt idx="879">
                  <c:v>0</c:v>
                </c:pt>
                <c:pt idx="880">
                  <c:v>0</c:v>
                </c:pt>
                <c:pt idx="881">
                  <c:v>0</c:v>
                </c:pt>
                <c:pt idx="882">
                  <c:v>0</c:v>
                </c:pt>
                <c:pt idx="883">
                  <c:v>0</c:v>
                </c:pt>
                <c:pt idx="884">
                  <c:v>0</c:v>
                </c:pt>
                <c:pt idx="885">
                  <c:v>1</c:v>
                </c:pt>
                <c:pt idx="886">
                  <c:v>0</c:v>
                </c:pt>
                <c:pt idx="887">
                  <c:v>0</c:v>
                </c:pt>
                <c:pt idx="888">
                  <c:v>0</c:v>
                </c:pt>
                <c:pt idx="889">
                  <c:v>0</c:v>
                </c:pt>
                <c:pt idx="890">
                  <c:v>0</c:v>
                </c:pt>
                <c:pt idx="891">
                  <c:v>0</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0</c:v>
                </c:pt>
                <c:pt idx="940">
                  <c:v>0</c:v>
                </c:pt>
                <c:pt idx="941">
                  <c:v>0</c:v>
                </c:pt>
                <c:pt idx="942">
                  <c:v>0</c:v>
                </c:pt>
                <c:pt idx="943">
                  <c:v>0</c:v>
                </c:pt>
                <c:pt idx="944">
                  <c:v>0</c:v>
                </c:pt>
                <c:pt idx="945">
                  <c:v>0</c:v>
                </c:pt>
                <c:pt idx="946">
                  <c:v>0</c:v>
                </c:pt>
                <c:pt idx="947">
                  <c:v>0</c:v>
                </c:pt>
                <c:pt idx="948">
                  <c:v>0</c:v>
                </c:pt>
                <c:pt idx="949">
                  <c:v>0</c:v>
                </c:pt>
                <c:pt idx="950">
                  <c:v>0</c:v>
                </c:pt>
                <c:pt idx="951">
                  <c:v>0</c:v>
                </c:pt>
                <c:pt idx="952">
                  <c:v>0</c:v>
                </c:pt>
                <c:pt idx="953">
                  <c:v>0</c:v>
                </c:pt>
                <c:pt idx="954">
                  <c:v>0</c:v>
                </c:pt>
                <c:pt idx="955">
                  <c:v>0</c:v>
                </c:pt>
                <c:pt idx="956">
                  <c:v>0</c:v>
                </c:pt>
                <c:pt idx="957">
                  <c:v>0</c:v>
                </c:pt>
                <c:pt idx="958">
                  <c:v>0</c:v>
                </c:pt>
                <c:pt idx="959">
                  <c:v>0</c:v>
                </c:pt>
                <c:pt idx="960">
                  <c:v>0</c:v>
                </c:pt>
                <c:pt idx="961">
                  <c:v>0</c:v>
                </c:pt>
                <c:pt idx="962">
                  <c:v>1</c:v>
                </c:pt>
              </c:numCache>
            </c:numRef>
          </c:val>
          <c:extLst>
            <c:ext xmlns:c16="http://schemas.microsoft.com/office/drawing/2014/chart" uri="{C3380CC4-5D6E-409C-BE32-E72D297353CC}">
              <c16:uniqueId val="{00000000-D2E8-43B1-819B-6513582E5246}"/>
            </c:ext>
          </c:extLst>
        </c:ser>
        <c:dLbls>
          <c:showLegendKey val="0"/>
          <c:showVal val="0"/>
          <c:showCatName val="0"/>
          <c:showSerName val="0"/>
          <c:showPercent val="0"/>
          <c:showBubbleSize val="0"/>
        </c:dLbls>
        <c:gapWidth val="219"/>
        <c:overlap val="-27"/>
        <c:axId val="998134328"/>
        <c:axId val="998138264"/>
      </c:barChart>
      <c:catAx>
        <c:axId val="9981343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0"/>
                  <a:t>Number of</a:t>
                </a:r>
                <a:r>
                  <a:rPr lang="en-AU" b="0" baseline="0"/>
                  <a:t> days</a:t>
                </a:r>
                <a:endParaRPr lang="en-AU" b="0"/>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8138264"/>
        <c:crosses val="autoZero"/>
        <c:auto val="1"/>
        <c:lblAlgn val="ctr"/>
        <c:lblOffset val="100"/>
        <c:noMultiLvlLbl val="0"/>
      </c:catAx>
      <c:valAx>
        <c:axId val="9981382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0"/>
                  <a:t>Prescriptions</a:t>
                </a:r>
              </a:p>
            </c:rich>
          </c:tx>
          <c:layout>
            <c:manualLayout>
              <c:xMode val="edge"/>
              <c:yMode val="edge"/>
              <c:x val="1.2970168612191959E-2"/>
              <c:y val="0.2845886971468890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8134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'F7Bar graph- age&amp;gender'!$B$1</c:f>
              <c:strCache>
                <c:ptCount val="1"/>
                <c:pt idx="0">
                  <c:v>M</c:v>
                </c:pt>
              </c:strCache>
            </c:strRef>
          </c:tx>
          <c:spPr>
            <a:solidFill>
              <a:schemeClr val="accent1"/>
            </a:solidFill>
            <a:ln>
              <a:noFill/>
            </a:ln>
            <a:effectLst/>
          </c:spPr>
          <c:invertIfNegative val="0"/>
          <c:cat>
            <c:strRef>
              <c:f>'F7Bar graph- age&amp;gender'!$A$2:$A$13</c:f>
              <c:strCache>
                <c:ptCount val="12"/>
                <c:pt idx="0">
                  <c:v>15-19</c:v>
                </c:pt>
                <c:pt idx="1">
                  <c:v>20-24</c:v>
                </c:pt>
                <c:pt idx="2">
                  <c:v>25-29</c:v>
                </c:pt>
                <c:pt idx="3">
                  <c:v>30-34</c:v>
                </c:pt>
                <c:pt idx="4">
                  <c:v>35-39</c:v>
                </c:pt>
                <c:pt idx="5">
                  <c:v>40-44</c:v>
                </c:pt>
                <c:pt idx="6">
                  <c:v>45-49</c:v>
                </c:pt>
                <c:pt idx="7">
                  <c:v>50-54</c:v>
                </c:pt>
                <c:pt idx="8">
                  <c:v>55-59</c:v>
                </c:pt>
                <c:pt idx="9">
                  <c:v>60-64</c:v>
                </c:pt>
                <c:pt idx="10">
                  <c:v>65-69</c:v>
                </c:pt>
                <c:pt idx="11">
                  <c:v>70-74</c:v>
                </c:pt>
              </c:strCache>
            </c:strRef>
          </c:cat>
          <c:val>
            <c:numRef>
              <c:f>'F7Bar graph- age&amp;gender'!$B$2:$B$13</c:f>
              <c:numCache>
                <c:formatCode>General</c:formatCode>
                <c:ptCount val="12"/>
                <c:pt idx="0">
                  <c:v>4</c:v>
                </c:pt>
                <c:pt idx="1">
                  <c:v>14</c:v>
                </c:pt>
                <c:pt idx="2">
                  <c:v>49</c:v>
                </c:pt>
                <c:pt idx="3">
                  <c:v>67</c:v>
                </c:pt>
                <c:pt idx="4">
                  <c:v>66</c:v>
                </c:pt>
                <c:pt idx="5">
                  <c:v>79</c:v>
                </c:pt>
                <c:pt idx="6">
                  <c:v>52</c:v>
                </c:pt>
                <c:pt idx="7">
                  <c:v>44</c:v>
                </c:pt>
                <c:pt idx="8">
                  <c:v>22</c:v>
                </c:pt>
                <c:pt idx="9">
                  <c:v>4</c:v>
                </c:pt>
                <c:pt idx="10">
                  <c:v>1</c:v>
                </c:pt>
                <c:pt idx="11">
                  <c:v>1</c:v>
                </c:pt>
              </c:numCache>
            </c:numRef>
          </c:val>
          <c:extLst>
            <c:ext xmlns:c16="http://schemas.microsoft.com/office/drawing/2014/chart" uri="{C3380CC4-5D6E-409C-BE32-E72D297353CC}">
              <c16:uniqueId val="{00000000-0C9A-4F0B-85FC-7E514E240E27}"/>
            </c:ext>
          </c:extLst>
        </c:ser>
        <c:ser>
          <c:idx val="1"/>
          <c:order val="1"/>
          <c:tx>
            <c:strRef>
              <c:f>'F7Bar graph- age&amp;gender'!$C$1</c:f>
              <c:strCache>
                <c:ptCount val="1"/>
                <c:pt idx="0">
                  <c:v>F</c:v>
                </c:pt>
              </c:strCache>
            </c:strRef>
          </c:tx>
          <c:spPr>
            <a:solidFill>
              <a:schemeClr val="accent2"/>
            </a:solidFill>
            <a:ln>
              <a:noFill/>
            </a:ln>
            <a:effectLst/>
          </c:spPr>
          <c:invertIfNegative val="0"/>
          <c:cat>
            <c:strRef>
              <c:f>'F7Bar graph- age&amp;gender'!$A$2:$A$13</c:f>
              <c:strCache>
                <c:ptCount val="12"/>
                <c:pt idx="0">
                  <c:v>15-19</c:v>
                </c:pt>
                <c:pt idx="1">
                  <c:v>20-24</c:v>
                </c:pt>
                <c:pt idx="2">
                  <c:v>25-29</c:v>
                </c:pt>
                <c:pt idx="3">
                  <c:v>30-34</c:v>
                </c:pt>
                <c:pt idx="4">
                  <c:v>35-39</c:v>
                </c:pt>
                <c:pt idx="5">
                  <c:v>40-44</c:v>
                </c:pt>
                <c:pt idx="6">
                  <c:v>45-49</c:v>
                </c:pt>
                <c:pt idx="7">
                  <c:v>50-54</c:v>
                </c:pt>
                <c:pt idx="8">
                  <c:v>55-59</c:v>
                </c:pt>
                <c:pt idx="9">
                  <c:v>60-64</c:v>
                </c:pt>
                <c:pt idx="10">
                  <c:v>65-69</c:v>
                </c:pt>
                <c:pt idx="11">
                  <c:v>70-74</c:v>
                </c:pt>
              </c:strCache>
            </c:strRef>
          </c:cat>
          <c:val>
            <c:numRef>
              <c:f>'F7Bar graph- age&amp;gender'!$C$2:$C$13</c:f>
              <c:numCache>
                <c:formatCode>General</c:formatCode>
                <c:ptCount val="12"/>
                <c:pt idx="0">
                  <c:v>10</c:v>
                </c:pt>
                <c:pt idx="1">
                  <c:v>48</c:v>
                </c:pt>
                <c:pt idx="2">
                  <c:v>126</c:v>
                </c:pt>
                <c:pt idx="3">
                  <c:v>205</c:v>
                </c:pt>
                <c:pt idx="4">
                  <c:v>203</c:v>
                </c:pt>
                <c:pt idx="5">
                  <c:v>164</c:v>
                </c:pt>
                <c:pt idx="6">
                  <c:v>140</c:v>
                </c:pt>
                <c:pt idx="7">
                  <c:v>87</c:v>
                </c:pt>
                <c:pt idx="8">
                  <c:v>43</c:v>
                </c:pt>
                <c:pt idx="9">
                  <c:v>12</c:v>
                </c:pt>
                <c:pt idx="10">
                  <c:v>7</c:v>
                </c:pt>
                <c:pt idx="11">
                  <c:v>3</c:v>
                </c:pt>
              </c:numCache>
            </c:numRef>
          </c:val>
          <c:extLst>
            <c:ext xmlns:c16="http://schemas.microsoft.com/office/drawing/2014/chart" uri="{C3380CC4-5D6E-409C-BE32-E72D297353CC}">
              <c16:uniqueId val="{00000001-0C9A-4F0B-85FC-7E514E240E27}"/>
            </c:ext>
          </c:extLst>
        </c:ser>
        <c:dLbls>
          <c:showLegendKey val="0"/>
          <c:showVal val="0"/>
          <c:showCatName val="0"/>
          <c:showSerName val="0"/>
          <c:showPercent val="0"/>
          <c:showBubbleSize val="0"/>
        </c:dLbls>
        <c:gapWidth val="150"/>
        <c:axId val="654836560"/>
        <c:axId val="654834920"/>
      </c:barChart>
      <c:catAx>
        <c:axId val="6548365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0"/>
                  <a:t>Age (years) </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4834920"/>
        <c:crosses val="autoZero"/>
        <c:auto val="1"/>
        <c:lblAlgn val="ctr"/>
        <c:lblOffset val="100"/>
        <c:noMultiLvlLbl val="0"/>
      </c:catAx>
      <c:valAx>
        <c:axId val="6548349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0"/>
                  <a:t>Number of patients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48365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[Copy of D1200 - alemtuzumab.xlsx 26112019.XLSX]F8Bar graph- prescriber!PivotTable7</c:name>
    <c:fmtId val="9"/>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s>
    <c:plotArea>
      <c:layout>
        <c:manualLayout>
          <c:layoutTarget val="inner"/>
          <c:xMode val="edge"/>
          <c:yMode val="edge"/>
          <c:x val="7.3258597889314325E-2"/>
          <c:y val="5.1935788479697827E-2"/>
          <c:w val="0.8855354935737314"/>
          <c:h val="0.75827069066791586"/>
        </c:manualLayout>
      </c:layout>
      <c:barChart>
        <c:barDir val="bar"/>
        <c:grouping val="percentStacked"/>
        <c:varyColors val="0"/>
        <c:ser>
          <c:idx val="0"/>
          <c:order val="0"/>
          <c:tx>
            <c:strRef>
              <c:f>'F8Bar graph- prescriber'!$B$3:$B$4</c:f>
              <c:strCache>
                <c:ptCount val="1"/>
                <c:pt idx="0">
                  <c:v>Neurology</c:v>
                </c:pt>
              </c:strCache>
            </c:strRef>
          </c:tx>
          <c:spPr>
            <a:solidFill>
              <a:schemeClr val="accent1"/>
            </a:solidFill>
            <a:ln>
              <a:noFill/>
            </a:ln>
            <a:effectLst/>
          </c:spPr>
          <c:invertIfNegative val="0"/>
          <c:cat>
            <c:strRef>
              <c:f>'F8Bar graph- prescriber'!$A$5</c:f>
              <c:strCache>
                <c:ptCount val="1"/>
                <c:pt idx="0">
                  <c:v>Total</c:v>
                </c:pt>
              </c:strCache>
            </c:strRef>
          </c:cat>
          <c:val>
            <c:numRef>
              <c:f>'F8Bar graph- prescriber'!$B$5</c:f>
              <c:numCache>
                <c:formatCode>General</c:formatCode>
                <c:ptCount val="1"/>
                <c:pt idx="0">
                  <c:v>100</c:v>
                </c:pt>
              </c:numCache>
            </c:numRef>
          </c:val>
          <c:extLst>
            <c:ext xmlns:c16="http://schemas.microsoft.com/office/drawing/2014/chart" uri="{C3380CC4-5D6E-409C-BE32-E72D297353CC}">
              <c16:uniqueId val="{00000000-98FA-4E42-9FE3-81D74CA34CB4}"/>
            </c:ext>
          </c:extLst>
        </c:ser>
        <c:ser>
          <c:idx val="1"/>
          <c:order val="1"/>
          <c:tx>
            <c:strRef>
              <c:f>'F8Bar graph- prescriber'!$C$3:$C$4</c:f>
              <c:strCache>
                <c:ptCount val="1"/>
                <c:pt idx="0">
                  <c:v>GP</c:v>
                </c:pt>
              </c:strCache>
            </c:strRef>
          </c:tx>
          <c:spPr>
            <a:solidFill>
              <a:schemeClr val="accent2"/>
            </a:solidFill>
            <a:ln>
              <a:noFill/>
            </a:ln>
            <a:effectLst/>
          </c:spPr>
          <c:invertIfNegative val="0"/>
          <c:cat>
            <c:strRef>
              <c:f>'F8Bar graph- prescriber'!$A$5</c:f>
              <c:strCache>
                <c:ptCount val="1"/>
                <c:pt idx="0">
                  <c:v>Total</c:v>
                </c:pt>
              </c:strCache>
            </c:strRef>
          </c:cat>
          <c:val>
            <c:numRef>
              <c:f>'F8Bar graph- prescriber'!$C$5</c:f>
              <c:numCache>
                <c:formatCode>General</c:formatCode>
                <c:ptCount val="1"/>
                <c:pt idx="0">
                  <c:v>55</c:v>
                </c:pt>
              </c:numCache>
            </c:numRef>
          </c:val>
          <c:extLst>
            <c:ext xmlns:c16="http://schemas.microsoft.com/office/drawing/2014/chart" uri="{C3380CC4-5D6E-409C-BE32-E72D297353CC}">
              <c16:uniqueId val="{00000001-98FA-4E42-9FE3-81D74CA34CB4}"/>
            </c:ext>
          </c:extLst>
        </c:ser>
        <c:ser>
          <c:idx val="2"/>
          <c:order val="2"/>
          <c:tx>
            <c:strRef>
              <c:f>'F8Bar graph- prescriber'!$D$3:$D$4</c:f>
              <c:strCache>
                <c:ptCount val="1"/>
                <c:pt idx="0">
                  <c:v>Internal Medicine</c:v>
                </c:pt>
              </c:strCache>
            </c:strRef>
          </c:tx>
          <c:spPr>
            <a:solidFill>
              <a:schemeClr val="accent3"/>
            </a:solidFill>
            <a:ln>
              <a:noFill/>
            </a:ln>
            <a:effectLst/>
          </c:spPr>
          <c:invertIfNegative val="0"/>
          <c:cat>
            <c:strRef>
              <c:f>'F8Bar graph- prescriber'!$A$5</c:f>
              <c:strCache>
                <c:ptCount val="1"/>
                <c:pt idx="0">
                  <c:v>Total</c:v>
                </c:pt>
              </c:strCache>
            </c:strRef>
          </c:cat>
          <c:val>
            <c:numRef>
              <c:f>'F8Bar graph- prescriber'!$D$5</c:f>
              <c:numCache>
                <c:formatCode>General</c:formatCode>
                <c:ptCount val="1"/>
                <c:pt idx="0">
                  <c:v>15</c:v>
                </c:pt>
              </c:numCache>
            </c:numRef>
          </c:val>
          <c:extLst>
            <c:ext xmlns:c16="http://schemas.microsoft.com/office/drawing/2014/chart" uri="{C3380CC4-5D6E-409C-BE32-E72D297353CC}">
              <c16:uniqueId val="{00000002-98FA-4E42-9FE3-81D74CA34CB4}"/>
            </c:ext>
          </c:extLst>
        </c:ser>
        <c:ser>
          <c:idx val="3"/>
          <c:order val="3"/>
          <c:tx>
            <c:strRef>
              <c:f>'F8Bar graph- prescriber'!$E$3:$E$4</c:f>
              <c:strCache>
                <c:ptCount val="1"/>
                <c:pt idx="0">
                  <c:v>Other</c:v>
                </c:pt>
              </c:strCache>
            </c:strRef>
          </c:tx>
          <c:spPr>
            <a:solidFill>
              <a:schemeClr val="accent4"/>
            </a:solidFill>
            <a:ln>
              <a:noFill/>
            </a:ln>
            <a:effectLst/>
          </c:spPr>
          <c:invertIfNegative val="0"/>
          <c:cat>
            <c:strRef>
              <c:f>'F8Bar graph- prescriber'!$A$5</c:f>
              <c:strCache>
                <c:ptCount val="1"/>
                <c:pt idx="0">
                  <c:v>Total</c:v>
                </c:pt>
              </c:strCache>
            </c:strRef>
          </c:cat>
          <c:val>
            <c:numRef>
              <c:f>'F8Bar graph- prescriber'!$E$5</c:f>
              <c:numCache>
                <c:formatCode>General</c:formatCode>
                <c:ptCount val="1"/>
                <c:pt idx="0">
                  <c:v>3</c:v>
                </c:pt>
              </c:numCache>
            </c:numRef>
          </c:val>
          <c:extLst>
            <c:ext xmlns:c16="http://schemas.microsoft.com/office/drawing/2014/chart" uri="{C3380CC4-5D6E-409C-BE32-E72D297353CC}">
              <c16:uniqueId val="{00000003-98FA-4E42-9FE3-81D74CA34CB4}"/>
            </c:ext>
          </c:extLst>
        </c:ser>
        <c:dLbls>
          <c:showLegendKey val="0"/>
          <c:showVal val="0"/>
          <c:showCatName val="0"/>
          <c:showSerName val="0"/>
          <c:showPercent val="0"/>
          <c:showBubbleSize val="0"/>
        </c:dLbls>
        <c:gapWidth val="219"/>
        <c:overlap val="100"/>
        <c:axId val="389026192"/>
        <c:axId val="389026520"/>
      </c:barChart>
      <c:catAx>
        <c:axId val="389026192"/>
        <c:scaling>
          <c:orientation val="minMax"/>
        </c:scaling>
        <c:delete val="1"/>
        <c:axPos val="l"/>
        <c:numFmt formatCode="General" sourceLinked="1"/>
        <c:majorTickMark val="none"/>
        <c:minorTickMark val="none"/>
        <c:tickLblPos val="nextTo"/>
        <c:crossAx val="389026520"/>
        <c:crosses val="autoZero"/>
        <c:auto val="1"/>
        <c:lblAlgn val="ctr"/>
        <c:lblOffset val="100"/>
        <c:noMultiLvlLbl val="0"/>
      </c:catAx>
      <c:valAx>
        <c:axId val="3890265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9026192"/>
        <c:crosses val="autoZero"/>
        <c:crossBetween val="between"/>
      </c:valAx>
      <c:spPr>
        <a:noFill/>
        <a:ln>
          <a:noFill/>
        </a:ln>
        <a:effectLst/>
      </c:spPr>
    </c:plotArea>
    <c:legend>
      <c:legendPos val="r"/>
      <c:layout>
        <c:manualLayout>
          <c:xMode val="edge"/>
          <c:yMode val="edge"/>
          <c:x val="0.15540765966273978"/>
          <c:y val="0.87417263351996011"/>
          <c:w val="0.80068454670389033"/>
          <c:h val="0.1251202664822704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60D66-115D-4F90-89F1-BAAEAF927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6641</Words>
  <Characters>37858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2020-05-21T05:38:00Z</dcterms:created>
  <dcterms:modified xsi:type="dcterms:W3CDTF">2020-06-30T04:52:00Z</dcterms:modified>
</cp:coreProperties>
</file>