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3C130" w14:textId="4B86D574" w:rsidR="00832324" w:rsidRDefault="00864F50" w:rsidP="00F73113">
      <w:pPr>
        <w:pStyle w:val="Title"/>
      </w:pPr>
      <w:r>
        <w:t>Testosterone</w:t>
      </w:r>
      <w:r w:rsidR="001C4016">
        <w:t xml:space="preserve"> </w:t>
      </w:r>
    </w:p>
    <w:p w14:paraId="68F00614" w14:textId="799F8740" w:rsidR="00736041" w:rsidRDefault="009053D3" w:rsidP="00F73113">
      <w:pPr>
        <w:pStyle w:val="Title2"/>
      </w:pPr>
      <w:r>
        <w:t>D</w:t>
      </w:r>
      <w:r w:rsidR="00832324" w:rsidRPr="0063631C">
        <w:t xml:space="preserve">rug utilisation sub-committee </w:t>
      </w:r>
      <w:r w:rsidR="00832324">
        <w:t>(DUSC)</w:t>
      </w:r>
    </w:p>
    <w:p w14:paraId="78148839" w14:textId="527F73F7" w:rsidR="009053D3" w:rsidRPr="00F73113" w:rsidRDefault="00864F50" w:rsidP="00F73113">
      <w:pPr>
        <w:pStyle w:val="Meetingdate"/>
      </w:pPr>
      <w:r>
        <w:t>February 2020</w:t>
      </w:r>
    </w:p>
    <w:p w14:paraId="1494B8AD" w14:textId="77777777" w:rsidR="005C6661" w:rsidRPr="00CF5E22" w:rsidRDefault="005C6661" w:rsidP="00CF5E22">
      <w:pPr>
        <w:pStyle w:val="Heading2"/>
      </w:pPr>
      <w:r w:rsidRPr="00CF5E22">
        <w:t>Abstract</w:t>
      </w:r>
    </w:p>
    <w:p w14:paraId="287D7939" w14:textId="77777777" w:rsidR="005C6661" w:rsidRPr="00CF5E22" w:rsidRDefault="005C6661" w:rsidP="00CF5E22">
      <w:pPr>
        <w:pStyle w:val="Heading3"/>
      </w:pPr>
      <w:r w:rsidRPr="00CF5E22">
        <w:t>Purpose</w:t>
      </w:r>
    </w:p>
    <w:p w14:paraId="70A05845" w14:textId="5647A3C3" w:rsidR="005C6661" w:rsidRDefault="00864F50" w:rsidP="00AA7770">
      <w:r w:rsidRPr="00864F50">
        <w:t>DUSC requested to review the use of testosterone two years after a change to the restriction wording allowing general paediatricians to prescribe testosterone for androgen deficiency with established pituitary or testicular disorders. This change was recommended by the PBAC after a stakeholder request in response to the DUSC report in September 2016. DUSC considered it now timely to review the use of testosterone in relation to the previous report and also to assess the impact of restriction changes</w:t>
      </w:r>
      <w:r>
        <w:t xml:space="preserve"> that have occurred since April </w:t>
      </w:r>
      <w:r w:rsidRPr="00864F50">
        <w:t>2015.</w:t>
      </w:r>
    </w:p>
    <w:p w14:paraId="03538E7F" w14:textId="322BB850" w:rsidR="002D144A" w:rsidRDefault="002D144A" w:rsidP="00CF5E22">
      <w:pPr>
        <w:pStyle w:val="Heading3"/>
      </w:pPr>
      <w:r>
        <w:t>Date of listing on the P</w:t>
      </w:r>
      <w:r w:rsidR="00A95FA5">
        <w:t xml:space="preserve">harmaceutical </w:t>
      </w:r>
      <w:r>
        <w:t>B</w:t>
      </w:r>
      <w:r w:rsidR="00A95FA5">
        <w:t xml:space="preserve">enefits </w:t>
      </w:r>
      <w:r>
        <w:t>S</w:t>
      </w:r>
      <w:r w:rsidR="00A95FA5">
        <w:t>cheme (PBS)</w:t>
      </w:r>
    </w:p>
    <w:p w14:paraId="378E50B7" w14:textId="3DB9FC7A" w:rsidR="002D144A" w:rsidRPr="00864F50" w:rsidRDefault="00864F50" w:rsidP="002D144A">
      <w:r w:rsidRPr="00864F50">
        <w:t>There are a variety of listings and forms of testosterone on the PBS. The first wa</w:t>
      </w:r>
      <w:r w:rsidR="007B116B">
        <w:t>s listed prior to 1966.</w:t>
      </w:r>
    </w:p>
    <w:p w14:paraId="526743BB" w14:textId="77777777" w:rsidR="005C6661" w:rsidRDefault="005C6661" w:rsidP="00CF5E22">
      <w:pPr>
        <w:pStyle w:val="Heading3"/>
      </w:pPr>
      <w:r>
        <w:t>Data Source / methodology</w:t>
      </w:r>
    </w:p>
    <w:p w14:paraId="5E9E2FBA" w14:textId="122838E1" w:rsidR="005C6661" w:rsidRPr="00917306" w:rsidRDefault="00864F50" w:rsidP="005C6661">
      <w:pPr>
        <w:pStyle w:val="NoSpacing"/>
        <w:rPr>
          <w:i/>
        </w:rPr>
      </w:pPr>
      <w:r w:rsidRPr="00864F50">
        <w:t xml:space="preserve">Data were extracted from the Department of Human Services (DHS) prescription database from the earliest available data and continuing </w:t>
      </w:r>
      <w:r w:rsidRPr="00917306">
        <w:t xml:space="preserve">to </w:t>
      </w:r>
      <w:r w:rsidR="00917306" w:rsidRPr="00917306">
        <w:t>September</w:t>
      </w:r>
      <w:r w:rsidR="007B116B">
        <w:t xml:space="preserve"> 2019.</w:t>
      </w:r>
    </w:p>
    <w:p w14:paraId="7599E7C1" w14:textId="77777777" w:rsidR="005C6661" w:rsidRDefault="005C6661" w:rsidP="00CF5E22">
      <w:pPr>
        <w:pStyle w:val="Heading3"/>
      </w:pPr>
      <w:r>
        <w:t>Key Findings</w:t>
      </w:r>
    </w:p>
    <w:p w14:paraId="71853067" w14:textId="18CB5DCE" w:rsidR="00A35ABC" w:rsidRPr="00A35ABC" w:rsidRDefault="00A35ABC" w:rsidP="005C6661">
      <w:pPr>
        <w:pStyle w:val="NoSpacing"/>
        <w:numPr>
          <w:ilvl w:val="0"/>
          <w:numId w:val="1"/>
        </w:numPr>
      </w:pPr>
      <w:r w:rsidRPr="00A35ABC">
        <w:t>In 2018:</w:t>
      </w:r>
    </w:p>
    <w:p w14:paraId="3D086F26" w14:textId="3D62FF51" w:rsidR="00A35ABC" w:rsidRPr="00A35ABC" w:rsidRDefault="00A35ABC" w:rsidP="00A35ABC">
      <w:pPr>
        <w:pStyle w:val="NoSpacing"/>
        <w:numPr>
          <w:ilvl w:val="1"/>
          <w:numId w:val="1"/>
        </w:numPr>
      </w:pPr>
      <w:r w:rsidRPr="00A35ABC">
        <w:t>33,615 patients</w:t>
      </w:r>
      <w:r w:rsidR="005A0E90">
        <w:t xml:space="preserve"> were</w:t>
      </w:r>
      <w:r w:rsidRPr="00A35ABC">
        <w:t xml:space="preserve"> supplied testosterone; of whom 4,276 received their first testosterone supply in that year. </w:t>
      </w:r>
    </w:p>
    <w:p w14:paraId="46B81578" w14:textId="3DBEC432" w:rsidR="00A35ABC" w:rsidRDefault="00A35ABC" w:rsidP="00A35ABC">
      <w:pPr>
        <w:pStyle w:val="NoSpacing"/>
        <w:numPr>
          <w:ilvl w:val="1"/>
          <w:numId w:val="1"/>
        </w:numPr>
      </w:pPr>
      <w:r w:rsidRPr="00A35ABC">
        <w:t xml:space="preserve">156,259 subsidised testosterone prescriptions </w:t>
      </w:r>
      <w:r w:rsidR="005A0E90">
        <w:t xml:space="preserve">were </w:t>
      </w:r>
      <w:r w:rsidRPr="00A35ABC">
        <w:t>supplied</w:t>
      </w:r>
      <w:r w:rsidR="00DF67FB">
        <w:t>.</w:t>
      </w:r>
    </w:p>
    <w:p w14:paraId="2AD4DB7D" w14:textId="0AD73554" w:rsidR="00A35ABC" w:rsidRPr="00A35ABC" w:rsidRDefault="005A0E90" w:rsidP="00A35ABC">
      <w:pPr>
        <w:pStyle w:val="NoSpacing"/>
        <w:numPr>
          <w:ilvl w:val="1"/>
          <w:numId w:val="1"/>
        </w:numPr>
      </w:pPr>
      <w:proofErr w:type="gramStart"/>
      <w:r>
        <w:t>expenditure</w:t>
      </w:r>
      <w:proofErr w:type="gramEnd"/>
      <w:r>
        <w:t xml:space="preserve"> for testosterone supplied through the PBS was $13,079,019.</w:t>
      </w:r>
    </w:p>
    <w:p w14:paraId="013B8A7D" w14:textId="59B622CE" w:rsidR="005C6661" w:rsidRDefault="00A35ABC" w:rsidP="005C6661">
      <w:pPr>
        <w:pStyle w:val="NoSpacing"/>
        <w:numPr>
          <w:ilvl w:val="0"/>
          <w:numId w:val="1"/>
        </w:numPr>
      </w:pPr>
      <w:r w:rsidRPr="00A35ABC">
        <w:t>The number of initiating patients stabilised at around 5,000 per year from 2016 onwards, after the restriction change for the androgen deficiency listing</w:t>
      </w:r>
      <w:r w:rsidR="00543B09">
        <w:t xml:space="preserve"> in April 2015</w:t>
      </w:r>
      <w:r w:rsidR="007071AE">
        <w:t>.</w:t>
      </w:r>
    </w:p>
    <w:p w14:paraId="785A9503" w14:textId="5926DC60" w:rsidR="007071AE" w:rsidRPr="00273315" w:rsidRDefault="007071AE" w:rsidP="005C6661">
      <w:pPr>
        <w:pStyle w:val="NoSpacing"/>
        <w:numPr>
          <w:ilvl w:val="0"/>
          <w:numId w:val="1"/>
        </w:numPr>
      </w:pPr>
      <w:r>
        <w:t>The restriction changes</w:t>
      </w:r>
      <w:r w:rsidR="00543B09" w:rsidRPr="00543B09">
        <w:rPr>
          <w:b/>
        </w:rPr>
        <w:t xml:space="preserve"> </w:t>
      </w:r>
      <w:r w:rsidR="00543B09" w:rsidRPr="00543B09">
        <w:t>that have occurred since August 2015 have not affected the overall trend in testosterone use.</w:t>
      </w:r>
    </w:p>
    <w:p w14:paraId="02D29316" w14:textId="23FC8886" w:rsidR="00273315" w:rsidRPr="00A35ABC" w:rsidRDefault="00273315" w:rsidP="005C6661">
      <w:pPr>
        <w:pStyle w:val="NoSpacing"/>
        <w:numPr>
          <w:ilvl w:val="0"/>
          <w:numId w:val="1"/>
        </w:numPr>
      </w:pPr>
      <w:r>
        <w:t>Females accounted for more first initiations of testosterone in 2018 than males in the 15-19, 20-24 and 25-29 year age groups.</w:t>
      </w:r>
    </w:p>
    <w:p w14:paraId="38B57ECC" w14:textId="77777777" w:rsidR="00BB0D1A" w:rsidRDefault="00BB0D1A">
      <w:pPr>
        <w:spacing w:line="276" w:lineRule="auto"/>
        <w:rPr>
          <w:rFonts w:eastAsiaTheme="majorEastAsia" w:cstheme="majorBidi"/>
          <w:b/>
          <w:bCs/>
          <w:sz w:val="32"/>
          <w:szCs w:val="26"/>
        </w:rPr>
      </w:pPr>
      <w:r>
        <w:br w:type="page"/>
      </w:r>
    </w:p>
    <w:p w14:paraId="5B262047" w14:textId="525241DC" w:rsidR="00E677DD" w:rsidRPr="00CF5E22" w:rsidRDefault="00E677DD" w:rsidP="00CF5E22">
      <w:pPr>
        <w:pStyle w:val="Heading1"/>
      </w:pPr>
      <w:r w:rsidRPr="00CF5E22">
        <w:lastRenderedPageBreak/>
        <w:t xml:space="preserve">Purpose of </w:t>
      </w:r>
      <w:r w:rsidR="00D151EB" w:rsidRPr="00CF5E22">
        <w:t>analysis</w:t>
      </w:r>
    </w:p>
    <w:p w14:paraId="15B957F2" w14:textId="4AD67014" w:rsidR="00990DCF" w:rsidRPr="00AF10B8" w:rsidRDefault="00AF10B8" w:rsidP="00AF10B8">
      <w:r w:rsidRPr="00864F50">
        <w:t>DUSC requested to review the use of testosterone two years after a change to the restriction wording allowing general paediatricians to prescribe testosterone for androgen deficiency with established pituitary or testicular disorders. This change was recommended by the PBAC</w:t>
      </w:r>
      <w:r w:rsidR="00AE059D">
        <w:t xml:space="preserve"> in November 2016</w:t>
      </w:r>
      <w:r w:rsidRPr="00864F50">
        <w:t xml:space="preserve"> after a stakeholder request in response to the DUSC report in September 2016. </w:t>
      </w:r>
      <w:r>
        <w:t xml:space="preserve">The PBAC requested that DUSC conduct a further review of testosterone. </w:t>
      </w:r>
      <w:r w:rsidRPr="00864F50">
        <w:t>DUSC considered it now timely to review the use of testosterone in relation to the previous report and also to assess the impact of restriction changes</w:t>
      </w:r>
      <w:r>
        <w:t xml:space="preserve"> that have occurred since April </w:t>
      </w:r>
      <w:r w:rsidRPr="00864F50">
        <w:t>2015.</w:t>
      </w:r>
      <w:r>
        <w:rPr>
          <w:highlight w:val="yellow"/>
        </w:rPr>
        <w:t xml:space="preserve"> </w:t>
      </w:r>
    </w:p>
    <w:p w14:paraId="0A7F0B57" w14:textId="034D22D5" w:rsidR="006537D9" w:rsidRPr="005E22C2" w:rsidRDefault="00736041" w:rsidP="00CF5E22">
      <w:pPr>
        <w:pStyle w:val="Heading1"/>
      </w:pPr>
      <w:r w:rsidRPr="005E22C2">
        <w:t>Background</w:t>
      </w:r>
    </w:p>
    <w:p w14:paraId="1D5C6C77" w14:textId="77777777" w:rsidR="00AF10B8" w:rsidRDefault="00AF10B8" w:rsidP="000C50CE">
      <w:pPr>
        <w:pStyle w:val="Heading2"/>
      </w:pPr>
      <w:r>
        <w:t>Previous reviews by the DUSC</w:t>
      </w:r>
    </w:p>
    <w:p w14:paraId="3EEEDD0F" w14:textId="3C384C3E" w:rsidR="006421E8" w:rsidRDefault="006421E8" w:rsidP="006421E8">
      <w:pPr>
        <w:pStyle w:val="Heading3"/>
      </w:pPr>
      <w:r>
        <w:t>October 2012</w:t>
      </w:r>
    </w:p>
    <w:p w14:paraId="22A3B270" w14:textId="28401EEB" w:rsidR="006421E8" w:rsidRPr="006421E8" w:rsidRDefault="006421E8" w:rsidP="006421E8">
      <w:r w:rsidRPr="006421E8">
        <w:t>At its June 2012 meeting, the DUSC noted a recently published research article highlighted an increase in PBS-subsidised testosterone prescribing. The DUSC considered it timely to review the utilisation of testosterone and requested a report be prepared for consideration at its October 2012 meeting. The key findings of the report were:</w:t>
      </w:r>
    </w:p>
    <w:p w14:paraId="7D0133F2" w14:textId="2F5886B6" w:rsidR="006421E8" w:rsidRPr="006421E8" w:rsidRDefault="006421E8" w:rsidP="006421E8">
      <w:pPr>
        <w:pStyle w:val="NoSpacing"/>
        <w:numPr>
          <w:ilvl w:val="0"/>
          <w:numId w:val="4"/>
        </w:numPr>
      </w:pPr>
      <w:r w:rsidRPr="006421E8">
        <w:t xml:space="preserve">Utilisation of PBS-subsidised testosterone had doubled over the years 2007 to 2011. </w:t>
      </w:r>
    </w:p>
    <w:p w14:paraId="3232D323" w14:textId="626C5499" w:rsidR="006421E8" w:rsidRPr="006421E8" w:rsidRDefault="006421E8" w:rsidP="006421E8">
      <w:pPr>
        <w:pStyle w:val="NoSpacing"/>
        <w:numPr>
          <w:ilvl w:val="0"/>
          <w:numId w:val="4"/>
        </w:numPr>
      </w:pPr>
      <w:r w:rsidRPr="006421E8">
        <w:t xml:space="preserve">The listing of two products, testosterone transdermal gel and intramuscular injection 1000 mg, had driven the growth in the market. </w:t>
      </w:r>
    </w:p>
    <w:p w14:paraId="62DAA1E1" w14:textId="70F66412" w:rsidR="006421E8" w:rsidRPr="006421E8" w:rsidRDefault="006421E8" w:rsidP="006421E8">
      <w:pPr>
        <w:pStyle w:val="NoSpacing"/>
        <w:numPr>
          <w:ilvl w:val="0"/>
          <w:numId w:val="4"/>
        </w:numPr>
      </w:pPr>
      <w:r w:rsidRPr="006421E8">
        <w:t xml:space="preserve">There was a trend towards more GPs initiating therapy than specialists. </w:t>
      </w:r>
    </w:p>
    <w:p w14:paraId="78812F78" w14:textId="77AACDAA" w:rsidR="006421E8" w:rsidRPr="006421E8" w:rsidRDefault="006421E8" w:rsidP="006421E8">
      <w:pPr>
        <w:pStyle w:val="NoSpacing"/>
        <w:numPr>
          <w:ilvl w:val="0"/>
          <w:numId w:val="4"/>
        </w:numPr>
      </w:pPr>
      <w:r w:rsidRPr="006421E8">
        <w:t>In 2011, Government expenditure for test</w:t>
      </w:r>
      <w:r>
        <w:t>osterone preparations was $14.6 </w:t>
      </w:r>
      <w:r w:rsidRPr="006421E8">
        <w:t>million, up from $5.6 million in 2005. T</w:t>
      </w:r>
      <w:r>
        <w:t>his was a growth of 260% over 5 </w:t>
      </w:r>
      <w:r w:rsidRPr="006421E8">
        <w:t xml:space="preserve">years. </w:t>
      </w:r>
    </w:p>
    <w:p w14:paraId="0F06FCAB" w14:textId="1AE1B95F" w:rsidR="006421E8" w:rsidRDefault="006421E8" w:rsidP="006421E8">
      <w:pPr>
        <w:pStyle w:val="NoSpacing"/>
        <w:numPr>
          <w:ilvl w:val="0"/>
          <w:numId w:val="4"/>
        </w:numPr>
      </w:pPr>
      <w:r w:rsidRPr="006421E8">
        <w:t>Most initiations were for patients aged 40-79 years.</w:t>
      </w:r>
    </w:p>
    <w:p w14:paraId="60911EB1" w14:textId="77777777" w:rsidR="006421E8" w:rsidRPr="006421E8" w:rsidRDefault="006421E8" w:rsidP="006421E8">
      <w:pPr>
        <w:pStyle w:val="NoSpacing"/>
        <w:ind w:left="1080"/>
      </w:pPr>
    </w:p>
    <w:p w14:paraId="1A17D928" w14:textId="77777777" w:rsidR="006421E8" w:rsidRPr="006421E8" w:rsidRDefault="006421E8" w:rsidP="006421E8">
      <w:r w:rsidRPr="006421E8">
        <w:t>With regard to the testosterone PBS restrictions, the DUSC was concerned that a high degree of variability had been observed in measurement of testosterone levels depending on the assay methodology adopted. The DUSC suggested that the PBAC should review the testosterone restrictions and consider input from the various stakeholders.</w:t>
      </w:r>
    </w:p>
    <w:p w14:paraId="32740D04" w14:textId="510D7C8F" w:rsidR="006421E8" w:rsidRDefault="006421E8" w:rsidP="006421E8">
      <w:pPr>
        <w:pStyle w:val="Heading3"/>
      </w:pPr>
      <w:r>
        <w:t>September 2016</w:t>
      </w:r>
    </w:p>
    <w:p w14:paraId="5D49FACF" w14:textId="768272EE" w:rsidR="00203A14" w:rsidRDefault="00203A14" w:rsidP="000C50CE">
      <w:pPr>
        <w:rPr>
          <w:highlight w:val="yellow"/>
        </w:rPr>
      </w:pPr>
      <w:r>
        <w:t xml:space="preserve">At its </w:t>
      </w:r>
      <w:r w:rsidRPr="00203A14">
        <w:t>September 2016 meeting, DUSC considered a 12 month utilisation analysis of testosterone to assess the impact of restriction changes that occurred on 1 April 2015. The changes included involving a specialist in the treatment for all patients. For males with androgen deficiency who do not have an established pituitary or testicular disorder, the serum testosterone threshold was amended and patients with low serum testosterone due primarily to age, obesity, cardiovascular diseases, infertility or drugs were no longer eligible for PBS treatment.</w:t>
      </w:r>
      <w:r>
        <w:t xml:space="preserve"> </w:t>
      </w:r>
      <w:r w:rsidRPr="006421E8">
        <w:t>The key findings of the report were:</w:t>
      </w:r>
    </w:p>
    <w:p w14:paraId="0354AF71" w14:textId="77777777" w:rsidR="00203A14" w:rsidRPr="00364574" w:rsidRDefault="00203A14" w:rsidP="000C50CE">
      <w:pPr>
        <w:pStyle w:val="ListParagraph"/>
        <w:numPr>
          <w:ilvl w:val="0"/>
          <w:numId w:val="16"/>
        </w:numPr>
        <w:ind w:hanging="357"/>
      </w:pPr>
      <w:r w:rsidRPr="00364574">
        <w:lastRenderedPageBreak/>
        <w:t>The restriction change to testosterone on 1 April 2015 reduced the use of R/PBS subsidised testosterone.</w:t>
      </w:r>
    </w:p>
    <w:p w14:paraId="62DB40D7" w14:textId="77777777" w:rsidR="00203A14" w:rsidRPr="00364574" w:rsidRDefault="00203A14" w:rsidP="000C50CE">
      <w:pPr>
        <w:pStyle w:val="ListParagraph"/>
        <w:numPr>
          <w:ilvl w:val="0"/>
          <w:numId w:val="16"/>
        </w:numPr>
        <w:ind w:hanging="357"/>
      </w:pPr>
      <w:r w:rsidRPr="00364574">
        <w:t xml:space="preserve">In the year after the restriction change compared to the year before: </w:t>
      </w:r>
    </w:p>
    <w:p w14:paraId="10535A31" w14:textId="77777777" w:rsidR="00203A14" w:rsidRPr="00364574" w:rsidRDefault="00203A14" w:rsidP="000C50CE">
      <w:pPr>
        <w:pStyle w:val="ListParagraph"/>
        <w:numPr>
          <w:ilvl w:val="1"/>
          <w:numId w:val="17"/>
        </w:numPr>
        <w:ind w:hanging="357"/>
      </w:pPr>
      <w:r w:rsidRPr="00364574">
        <w:t xml:space="preserve">The number of patients initiating testosterone therapy was 60% lower. </w:t>
      </w:r>
    </w:p>
    <w:p w14:paraId="68B7CB5C" w14:textId="77777777" w:rsidR="00203A14" w:rsidRPr="00364574" w:rsidRDefault="00203A14" w:rsidP="000C50CE">
      <w:pPr>
        <w:pStyle w:val="ListParagraph"/>
        <w:numPr>
          <w:ilvl w:val="1"/>
          <w:numId w:val="17"/>
        </w:numPr>
        <w:ind w:hanging="357"/>
      </w:pPr>
      <w:r w:rsidRPr="00364574">
        <w:t>There was an 86% reduction in patients initiating testosterone under the non-established androgen deficiency restriction.</w:t>
      </w:r>
    </w:p>
    <w:p w14:paraId="6E018626" w14:textId="77777777" w:rsidR="00203A14" w:rsidRPr="00364574" w:rsidRDefault="00203A14" w:rsidP="000C50CE">
      <w:pPr>
        <w:pStyle w:val="ListParagraph"/>
        <w:numPr>
          <w:ilvl w:val="1"/>
          <w:numId w:val="17"/>
        </w:numPr>
        <w:ind w:hanging="357"/>
      </w:pPr>
      <w:r w:rsidRPr="00364574">
        <w:t>There was a reduction in the rate of people 40 years and over starting testosterone.</w:t>
      </w:r>
    </w:p>
    <w:p w14:paraId="4B845810" w14:textId="77777777" w:rsidR="00203A14" w:rsidRPr="00364574" w:rsidRDefault="00203A14" w:rsidP="000C50CE">
      <w:pPr>
        <w:pStyle w:val="ListParagraph"/>
        <w:numPr>
          <w:ilvl w:val="1"/>
          <w:numId w:val="17"/>
        </w:numPr>
        <w:ind w:hanging="357"/>
      </w:pPr>
      <w:r w:rsidRPr="00364574">
        <w:t xml:space="preserve">The number of prevalent patients was 20% lower. </w:t>
      </w:r>
    </w:p>
    <w:p w14:paraId="2F334C2F" w14:textId="77777777" w:rsidR="00203A14" w:rsidRPr="00364574" w:rsidRDefault="00203A14" w:rsidP="000C50CE">
      <w:pPr>
        <w:pStyle w:val="ListParagraph"/>
        <w:numPr>
          <w:ilvl w:val="1"/>
          <w:numId w:val="17"/>
        </w:numPr>
        <w:ind w:hanging="357"/>
      </w:pPr>
      <w:r w:rsidRPr="00364574">
        <w:t xml:space="preserve">The number of initiating patients where the first prescription was written by a GP reduced by 80%. </w:t>
      </w:r>
    </w:p>
    <w:p w14:paraId="7916CBCF" w14:textId="77777777" w:rsidR="00364574" w:rsidRDefault="00203A14" w:rsidP="000C50CE">
      <w:pPr>
        <w:pStyle w:val="ListParagraph"/>
        <w:numPr>
          <w:ilvl w:val="0"/>
          <w:numId w:val="16"/>
        </w:numPr>
        <w:ind w:hanging="357"/>
      </w:pPr>
      <w:r w:rsidRPr="00364574">
        <w:t>In 2015, the total number of supplied R/PBS-subsidised testosterone prescriptions was 17% less than in 2014. In 2015, Government expenditure in 2015 was $16.2 million, down 20% from 2014.</w:t>
      </w:r>
    </w:p>
    <w:p w14:paraId="271D1D81" w14:textId="77777777" w:rsidR="00364574" w:rsidRDefault="00364574" w:rsidP="00BC1AD4"/>
    <w:p w14:paraId="308F8FD8" w14:textId="5CF55656" w:rsidR="00364574" w:rsidRDefault="00364574" w:rsidP="00BC1AD4">
      <w:r w:rsidRPr="00364574">
        <w:t xml:space="preserve">Data obtained from </w:t>
      </w:r>
      <w:proofErr w:type="spellStart"/>
      <w:r w:rsidRPr="00364574">
        <w:t>MedicineInsight</w:t>
      </w:r>
      <w:proofErr w:type="spellEnd"/>
      <w:r w:rsidRPr="00364574">
        <w:t xml:space="preserve"> suggested that there had been a shift to the private market. However, considering both the PBS and private markets, the net result of the restriction changes was a reduction in the number of </w:t>
      </w:r>
      <w:r w:rsidR="000C50CE">
        <w:t>patients supplied testosterone.</w:t>
      </w:r>
    </w:p>
    <w:p w14:paraId="3D364C0A" w14:textId="601024D8" w:rsidR="00364574" w:rsidRDefault="00203A14" w:rsidP="00BC1AD4">
      <w:r w:rsidRPr="00364574">
        <w:t xml:space="preserve">A number of groups responded to the report debating the evidence of testosterone use in adult patients with and without established androgen deficiency. These concerns related to various clinical criteria in the restriction. </w:t>
      </w:r>
    </w:p>
    <w:p w14:paraId="3BEEA53C" w14:textId="6DA7EC63" w:rsidR="00364574" w:rsidRDefault="00203A14" w:rsidP="00BC1AD4">
      <w:r w:rsidRPr="00364574">
        <w:t xml:space="preserve">DUSC suggested that the effects of the restriction change to remove the word ‘male’ that occurred 1 October 2015 be monitored and considered for review at a later date. </w:t>
      </w:r>
    </w:p>
    <w:p w14:paraId="0BB81932" w14:textId="3087FC86" w:rsidR="00BC1AD4" w:rsidRDefault="00203A14" w:rsidP="00BC1AD4">
      <w:r w:rsidRPr="00D244C9">
        <w:t>DUSC requested that the PBAC consider whether to recommend the removal of specialist involvement, or to include general paediatricians, to the restriction for patients under 18 years of age with androgen deficiency due to established pituitary or testicular disorders.</w:t>
      </w:r>
      <w:r w:rsidR="006421E8" w:rsidRPr="00D244C9">
        <w:t xml:space="preserve"> </w:t>
      </w:r>
      <w:r w:rsidR="00847AA9" w:rsidRPr="00D244C9">
        <w:t xml:space="preserve">At its </w:t>
      </w:r>
      <w:r w:rsidR="00B41F5B" w:rsidRPr="00D244C9">
        <w:t>November 2016</w:t>
      </w:r>
      <w:r w:rsidR="00847AA9" w:rsidRPr="00D244C9">
        <w:t xml:space="preserve"> meeting, t</w:t>
      </w:r>
      <w:r w:rsidR="00E37733" w:rsidRPr="00D244C9">
        <w:t>he PBAC recommended</w:t>
      </w:r>
      <w:r w:rsidR="00847AA9" w:rsidRPr="00D244C9">
        <w:t xml:space="preserve"> to include specialist general paediatricians in the restriction and th</w:t>
      </w:r>
      <w:r w:rsidR="00B41F5B" w:rsidRPr="00D244C9">
        <w:t>e changes were implemented on 1 </w:t>
      </w:r>
      <w:r w:rsidR="00847AA9" w:rsidRPr="00D244C9">
        <w:t>June</w:t>
      </w:r>
      <w:r w:rsidR="00B41F5B" w:rsidRPr="00D244C9">
        <w:t> </w:t>
      </w:r>
      <w:r w:rsidR="00847AA9" w:rsidRPr="00D244C9">
        <w:t>2017.</w:t>
      </w:r>
    </w:p>
    <w:p w14:paraId="7E537171" w14:textId="39368893" w:rsidR="00BE4B03" w:rsidRDefault="00AF10B8" w:rsidP="00364574">
      <w:r>
        <w:t xml:space="preserve">For details of the DUSC consideration of testosterone, refer to the </w:t>
      </w:r>
      <w:hyperlink r:id="rId8" w:history="1">
        <w:r w:rsidRPr="00562F2F">
          <w:rPr>
            <w:rStyle w:val="Hyperlink"/>
          </w:rPr>
          <w:t>Public Release Document</w:t>
        </w:r>
      </w:hyperlink>
      <w:r>
        <w:t xml:space="preserve"> from the October 2012 DUSC meeting and the </w:t>
      </w:r>
      <w:hyperlink r:id="rId9" w:history="1">
        <w:r w:rsidRPr="00AF10B8">
          <w:rPr>
            <w:rStyle w:val="Hyperlink"/>
          </w:rPr>
          <w:t>Public Release Document</w:t>
        </w:r>
      </w:hyperlink>
      <w:r>
        <w:t xml:space="preserve"> from the September 2016 DUSC meeting.</w:t>
      </w:r>
    </w:p>
    <w:p w14:paraId="7C224292" w14:textId="77777777" w:rsidR="00BE4B03" w:rsidRDefault="00BE4B03">
      <w:pPr>
        <w:spacing w:line="276" w:lineRule="auto"/>
      </w:pPr>
      <w:r>
        <w:br w:type="page"/>
      </w:r>
    </w:p>
    <w:p w14:paraId="46E2BB42" w14:textId="3591473D" w:rsidR="00DF0B13" w:rsidRPr="007247B9" w:rsidDel="00EE2BBB" w:rsidRDefault="00DF0B13" w:rsidP="00CF5E22">
      <w:pPr>
        <w:pStyle w:val="Heading2"/>
      </w:pPr>
      <w:r w:rsidRPr="007247B9" w:rsidDel="00EE2BBB">
        <w:lastRenderedPageBreak/>
        <w:t>PBS listing details</w:t>
      </w:r>
      <w:r w:rsidR="00D151EB" w:rsidDel="00EE2BBB">
        <w:t xml:space="preserve"> (as at </w:t>
      </w:r>
      <w:r w:rsidR="00B03D1A">
        <w:t xml:space="preserve">December </w:t>
      </w:r>
      <w:r w:rsidR="00E84BFD">
        <w:t>2019)</w:t>
      </w:r>
    </w:p>
    <w:p w14:paraId="1D47784A" w14:textId="66C5F951" w:rsidR="001420B3" w:rsidRPr="001420B3" w:rsidDel="00EE2BBB" w:rsidRDefault="001420B3" w:rsidP="00CF5E22">
      <w:pPr>
        <w:pStyle w:val="Tabletitle"/>
      </w:pPr>
      <w:r w:rsidRPr="00862DFC" w:rsidDel="00EE2BBB">
        <w:t xml:space="preserve">Table </w:t>
      </w:r>
      <w:r w:rsidR="00862DFC" w:rsidRPr="00862DFC">
        <w:t>1</w:t>
      </w:r>
      <w:r w:rsidRPr="00862DFC" w:rsidDel="00EE2BBB">
        <w:t xml:space="preserve">: </w:t>
      </w:r>
      <w:r w:rsidR="009663B6" w:rsidRPr="00862DFC" w:rsidDel="00EE2BBB">
        <w:t>PB</w:t>
      </w:r>
      <w:r w:rsidR="00E84BFD" w:rsidRPr="00862DFC">
        <w:t>S listing of testosterone</w:t>
      </w:r>
      <w:r w:rsidR="00D151EB" w:rsidDel="00EE2BBB">
        <w:t xml:space="preserve"> </w:t>
      </w:r>
    </w:p>
    <w:tbl>
      <w:tblPr>
        <w:tblStyle w:val="TableGrid"/>
        <w:tblW w:w="9064" w:type="dxa"/>
        <w:tblLayout w:type="fixed"/>
        <w:tblLook w:val="04A0" w:firstRow="1" w:lastRow="0" w:firstColumn="1" w:lastColumn="0" w:noHBand="0" w:noVBand="1"/>
        <w:tblCaption w:val="Table 1: PBS listing of testosterone"/>
        <w:tblDescription w:val="Table 1: PBS listing of testosterone"/>
      </w:tblPr>
      <w:tblGrid>
        <w:gridCol w:w="969"/>
        <w:gridCol w:w="2400"/>
        <w:gridCol w:w="1701"/>
        <w:gridCol w:w="850"/>
        <w:gridCol w:w="1040"/>
        <w:gridCol w:w="2104"/>
      </w:tblGrid>
      <w:tr w:rsidR="00E84BFD" w:rsidRPr="00834305" w14:paraId="576CE0C7" w14:textId="77777777" w:rsidTr="003F1AB1">
        <w:trPr>
          <w:trHeight w:val="694"/>
          <w:tblHeader/>
        </w:trPr>
        <w:tc>
          <w:tcPr>
            <w:tcW w:w="969" w:type="dxa"/>
            <w:shd w:val="clear" w:color="auto" w:fill="BFBFBF" w:themeFill="background1" w:themeFillShade="BF"/>
          </w:tcPr>
          <w:p w14:paraId="706057A7" w14:textId="77777777" w:rsidR="00E84BFD" w:rsidRPr="00834305" w:rsidRDefault="00E84BFD" w:rsidP="005B7386">
            <w:pPr>
              <w:jc w:val="center"/>
              <w:rPr>
                <w:b/>
                <w:sz w:val="20"/>
                <w:szCs w:val="20"/>
              </w:rPr>
            </w:pPr>
            <w:r w:rsidRPr="00834305">
              <w:rPr>
                <w:b/>
                <w:sz w:val="20"/>
                <w:szCs w:val="20"/>
              </w:rPr>
              <w:t>Item</w:t>
            </w:r>
          </w:p>
        </w:tc>
        <w:tc>
          <w:tcPr>
            <w:tcW w:w="2400" w:type="dxa"/>
            <w:shd w:val="clear" w:color="auto" w:fill="BFBFBF" w:themeFill="background1" w:themeFillShade="BF"/>
          </w:tcPr>
          <w:p w14:paraId="3B0F9116" w14:textId="77777777" w:rsidR="00E84BFD" w:rsidRPr="00834305" w:rsidRDefault="00E84BFD" w:rsidP="005B7386">
            <w:pPr>
              <w:jc w:val="center"/>
              <w:rPr>
                <w:b/>
                <w:sz w:val="20"/>
                <w:szCs w:val="20"/>
              </w:rPr>
            </w:pPr>
            <w:r w:rsidRPr="00834305">
              <w:rPr>
                <w:b/>
                <w:sz w:val="20"/>
                <w:szCs w:val="20"/>
              </w:rPr>
              <w:t>Name, form &amp; strength, pack size</w:t>
            </w:r>
          </w:p>
        </w:tc>
        <w:tc>
          <w:tcPr>
            <w:tcW w:w="1701" w:type="dxa"/>
            <w:shd w:val="clear" w:color="auto" w:fill="BFBFBF" w:themeFill="background1" w:themeFillShade="BF"/>
          </w:tcPr>
          <w:p w14:paraId="5F3DD6BA" w14:textId="77777777" w:rsidR="00E84BFD" w:rsidRPr="00834305" w:rsidRDefault="00E84BFD" w:rsidP="005B7386">
            <w:pPr>
              <w:jc w:val="center"/>
              <w:rPr>
                <w:b/>
                <w:sz w:val="20"/>
                <w:szCs w:val="20"/>
              </w:rPr>
            </w:pPr>
            <w:r w:rsidRPr="00834305">
              <w:rPr>
                <w:b/>
                <w:sz w:val="20"/>
                <w:szCs w:val="20"/>
              </w:rPr>
              <w:t xml:space="preserve">Max. quant. </w:t>
            </w:r>
          </w:p>
        </w:tc>
        <w:tc>
          <w:tcPr>
            <w:tcW w:w="850" w:type="dxa"/>
            <w:shd w:val="clear" w:color="auto" w:fill="BFBFBF" w:themeFill="background1" w:themeFillShade="BF"/>
          </w:tcPr>
          <w:p w14:paraId="62638053" w14:textId="77777777" w:rsidR="00E84BFD" w:rsidRPr="00834305" w:rsidRDefault="00E84BFD" w:rsidP="005B7386">
            <w:pPr>
              <w:jc w:val="center"/>
              <w:rPr>
                <w:b/>
                <w:sz w:val="20"/>
                <w:szCs w:val="20"/>
              </w:rPr>
            </w:pPr>
            <w:proofErr w:type="spellStart"/>
            <w:r w:rsidRPr="00834305">
              <w:rPr>
                <w:b/>
                <w:sz w:val="20"/>
                <w:szCs w:val="20"/>
              </w:rPr>
              <w:t>Rpts</w:t>
            </w:r>
            <w:proofErr w:type="spellEnd"/>
            <w:r w:rsidRPr="00834305">
              <w:rPr>
                <w:b/>
                <w:sz w:val="20"/>
                <w:szCs w:val="20"/>
              </w:rPr>
              <w:t xml:space="preserve"> </w:t>
            </w:r>
          </w:p>
        </w:tc>
        <w:tc>
          <w:tcPr>
            <w:tcW w:w="1040" w:type="dxa"/>
            <w:shd w:val="clear" w:color="auto" w:fill="BFBFBF" w:themeFill="background1" w:themeFillShade="BF"/>
          </w:tcPr>
          <w:p w14:paraId="1E3ED96E" w14:textId="77777777" w:rsidR="00E84BFD" w:rsidRPr="00834305" w:rsidRDefault="00E84BFD" w:rsidP="005B7386">
            <w:pPr>
              <w:jc w:val="center"/>
              <w:rPr>
                <w:b/>
                <w:sz w:val="20"/>
                <w:szCs w:val="20"/>
              </w:rPr>
            </w:pPr>
            <w:r w:rsidRPr="00834305">
              <w:rPr>
                <w:b/>
                <w:sz w:val="20"/>
                <w:szCs w:val="20"/>
              </w:rPr>
              <w:t>DPMQ</w:t>
            </w:r>
          </w:p>
        </w:tc>
        <w:tc>
          <w:tcPr>
            <w:tcW w:w="2104" w:type="dxa"/>
            <w:shd w:val="clear" w:color="auto" w:fill="BFBFBF" w:themeFill="background1" w:themeFillShade="BF"/>
          </w:tcPr>
          <w:p w14:paraId="6C280C4D" w14:textId="77777777" w:rsidR="00E84BFD" w:rsidRPr="00834305" w:rsidRDefault="00E84BFD" w:rsidP="005B7386">
            <w:pPr>
              <w:jc w:val="center"/>
              <w:rPr>
                <w:b/>
                <w:sz w:val="20"/>
                <w:szCs w:val="20"/>
              </w:rPr>
            </w:pPr>
            <w:r w:rsidRPr="00834305">
              <w:rPr>
                <w:b/>
                <w:sz w:val="20"/>
                <w:szCs w:val="20"/>
              </w:rPr>
              <w:t>Brand name and manufacturer</w:t>
            </w:r>
          </w:p>
        </w:tc>
      </w:tr>
      <w:tr w:rsidR="00E84BFD" w:rsidRPr="00834305" w14:paraId="649874C4" w14:textId="77777777" w:rsidTr="003F1AB1">
        <w:trPr>
          <w:trHeight w:val="546"/>
          <w:tblHeader/>
        </w:trPr>
        <w:tc>
          <w:tcPr>
            <w:tcW w:w="969" w:type="dxa"/>
            <w:shd w:val="clear" w:color="auto" w:fill="auto"/>
          </w:tcPr>
          <w:p w14:paraId="3F3EB1C7" w14:textId="77777777" w:rsidR="00E84BFD" w:rsidRPr="000D154E" w:rsidRDefault="00E84BFD" w:rsidP="003F1AB1">
            <w:pPr>
              <w:rPr>
                <w:sz w:val="20"/>
                <w:szCs w:val="20"/>
              </w:rPr>
            </w:pPr>
            <w:r w:rsidRPr="000D154E">
              <w:rPr>
                <w:sz w:val="20"/>
                <w:szCs w:val="20"/>
              </w:rPr>
              <w:t>10205D</w:t>
            </w:r>
          </w:p>
        </w:tc>
        <w:tc>
          <w:tcPr>
            <w:tcW w:w="2400" w:type="dxa"/>
            <w:shd w:val="clear" w:color="auto" w:fill="auto"/>
          </w:tcPr>
          <w:p w14:paraId="6336EE7E" w14:textId="77777777" w:rsidR="00E84BFD" w:rsidRPr="007B116B" w:rsidRDefault="00E84BFD" w:rsidP="003F1AB1">
            <w:pPr>
              <w:rPr>
                <w:sz w:val="20"/>
                <w:szCs w:val="20"/>
              </w:rPr>
            </w:pPr>
            <w:r w:rsidRPr="007B116B">
              <w:rPr>
                <w:sz w:val="20"/>
                <w:szCs w:val="20"/>
              </w:rPr>
              <w:t xml:space="preserve">Testosterone </w:t>
            </w:r>
            <w:proofErr w:type="spellStart"/>
            <w:r w:rsidRPr="007B116B">
              <w:rPr>
                <w:sz w:val="20"/>
                <w:szCs w:val="20"/>
              </w:rPr>
              <w:t>undecanoate</w:t>
            </w:r>
            <w:proofErr w:type="spellEnd"/>
            <w:r w:rsidRPr="007B116B">
              <w:rPr>
                <w:sz w:val="20"/>
                <w:szCs w:val="20"/>
              </w:rPr>
              <w:t xml:space="preserve"> 1 g/4 mL injection, 4 mL vial</w:t>
            </w:r>
          </w:p>
        </w:tc>
        <w:tc>
          <w:tcPr>
            <w:tcW w:w="1701" w:type="dxa"/>
            <w:shd w:val="clear" w:color="auto" w:fill="auto"/>
          </w:tcPr>
          <w:p w14:paraId="4D683163" w14:textId="77777777" w:rsidR="00E84BFD" w:rsidRPr="007B116B" w:rsidRDefault="00E84BFD" w:rsidP="003F1AB1">
            <w:pPr>
              <w:rPr>
                <w:sz w:val="20"/>
                <w:szCs w:val="20"/>
              </w:rPr>
            </w:pPr>
            <w:r w:rsidRPr="007B116B">
              <w:rPr>
                <w:sz w:val="20"/>
                <w:szCs w:val="20"/>
              </w:rPr>
              <w:t>1</w:t>
            </w:r>
          </w:p>
        </w:tc>
        <w:tc>
          <w:tcPr>
            <w:tcW w:w="850" w:type="dxa"/>
            <w:shd w:val="clear" w:color="auto" w:fill="auto"/>
          </w:tcPr>
          <w:p w14:paraId="313B8619" w14:textId="77777777" w:rsidR="00E84BFD" w:rsidRPr="007B116B" w:rsidRDefault="00E84BFD" w:rsidP="003F1AB1">
            <w:pPr>
              <w:rPr>
                <w:sz w:val="20"/>
                <w:szCs w:val="20"/>
              </w:rPr>
            </w:pPr>
            <w:r w:rsidRPr="007B116B">
              <w:rPr>
                <w:sz w:val="20"/>
                <w:szCs w:val="20"/>
              </w:rPr>
              <w:t>1</w:t>
            </w:r>
          </w:p>
        </w:tc>
        <w:tc>
          <w:tcPr>
            <w:tcW w:w="1040" w:type="dxa"/>
            <w:shd w:val="clear" w:color="auto" w:fill="auto"/>
          </w:tcPr>
          <w:p w14:paraId="27FCC388" w14:textId="1DC7265C" w:rsidR="000D154E" w:rsidRDefault="00E84BFD" w:rsidP="000D154E">
            <w:pPr>
              <w:rPr>
                <w:sz w:val="20"/>
                <w:szCs w:val="20"/>
              </w:rPr>
            </w:pPr>
            <w:r w:rsidRPr="007B116B">
              <w:rPr>
                <w:sz w:val="20"/>
                <w:szCs w:val="20"/>
              </w:rPr>
              <w:t>$115.59</w:t>
            </w:r>
          </w:p>
          <w:p w14:paraId="1EE67B09" w14:textId="77777777" w:rsidR="00E84BFD" w:rsidRPr="000D154E" w:rsidRDefault="00E84BFD" w:rsidP="000D154E">
            <w:pPr>
              <w:rPr>
                <w:sz w:val="20"/>
                <w:szCs w:val="20"/>
              </w:rPr>
            </w:pPr>
          </w:p>
        </w:tc>
        <w:tc>
          <w:tcPr>
            <w:tcW w:w="2104" w:type="dxa"/>
            <w:shd w:val="clear" w:color="auto" w:fill="auto"/>
          </w:tcPr>
          <w:p w14:paraId="767AEB0E" w14:textId="77777777" w:rsidR="00E84BFD" w:rsidRPr="000C50CE" w:rsidRDefault="00E84BFD" w:rsidP="003F1AB1">
            <w:pPr>
              <w:rPr>
                <w:sz w:val="20"/>
                <w:szCs w:val="20"/>
              </w:rPr>
            </w:pPr>
            <w:proofErr w:type="spellStart"/>
            <w:r w:rsidRPr="000C50CE">
              <w:rPr>
                <w:sz w:val="20"/>
                <w:szCs w:val="20"/>
              </w:rPr>
              <w:t>Reandron</w:t>
            </w:r>
            <w:proofErr w:type="spellEnd"/>
            <w:r w:rsidRPr="000C50CE">
              <w:rPr>
                <w:sz w:val="20"/>
                <w:szCs w:val="20"/>
              </w:rPr>
              <w:t>® Bayer Australia Ltd</w:t>
            </w:r>
          </w:p>
        </w:tc>
      </w:tr>
      <w:tr w:rsidR="00E84BFD" w:rsidRPr="00834305" w14:paraId="5EB301F6" w14:textId="77777777" w:rsidTr="003F1AB1">
        <w:trPr>
          <w:trHeight w:val="546"/>
          <w:tblHeader/>
        </w:trPr>
        <w:tc>
          <w:tcPr>
            <w:tcW w:w="969" w:type="dxa"/>
            <w:shd w:val="clear" w:color="auto" w:fill="auto"/>
          </w:tcPr>
          <w:p w14:paraId="47C466A2" w14:textId="77777777" w:rsidR="00E84BFD" w:rsidRPr="000D154E" w:rsidRDefault="00E84BFD" w:rsidP="003F1AB1">
            <w:pPr>
              <w:rPr>
                <w:sz w:val="20"/>
                <w:szCs w:val="20"/>
              </w:rPr>
            </w:pPr>
            <w:r w:rsidRPr="000D154E">
              <w:rPr>
                <w:sz w:val="20"/>
                <w:szCs w:val="20"/>
              </w:rPr>
              <w:t>2115H</w:t>
            </w:r>
          </w:p>
        </w:tc>
        <w:tc>
          <w:tcPr>
            <w:tcW w:w="2400" w:type="dxa"/>
            <w:shd w:val="clear" w:color="auto" w:fill="auto"/>
          </w:tcPr>
          <w:p w14:paraId="54A2301D" w14:textId="77777777" w:rsidR="00E84BFD" w:rsidRPr="000C50CE" w:rsidRDefault="00E84BFD" w:rsidP="003F1AB1">
            <w:pPr>
              <w:rPr>
                <w:sz w:val="20"/>
                <w:szCs w:val="20"/>
              </w:rPr>
            </w:pPr>
            <w:r w:rsidRPr="000C50CE">
              <w:rPr>
                <w:sz w:val="20"/>
                <w:szCs w:val="20"/>
              </w:rPr>
              <w:t xml:space="preserve">Testosterone </w:t>
            </w:r>
            <w:proofErr w:type="spellStart"/>
            <w:r w:rsidRPr="000C50CE">
              <w:rPr>
                <w:sz w:val="20"/>
                <w:szCs w:val="20"/>
              </w:rPr>
              <w:t>undecanoate</w:t>
            </w:r>
            <w:proofErr w:type="spellEnd"/>
            <w:r w:rsidRPr="000C50CE">
              <w:rPr>
                <w:sz w:val="20"/>
                <w:szCs w:val="20"/>
              </w:rPr>
              <w:t xml:space="preserve"> 40 mg capsule, 60</w:t>
            </w:r>
          </w:p>
        </w:tc>
        <w:tc>
          <w:tcPr>
            <w:tcW w:w="1701" w:type="dxa"/>
            <w:shd w:val="clear" w:color="auto" w:fill="auto"/>
          </w:tcPr>
          <w:p w14:paraId="6D1CAB83" w14:textId="77777777" w:rsidR="00E84BFD" w:rsidRPr="000C50CE" w:rsidRDefault="00E84BFD" w:rsidP="003F1AB1">
            <w:pPr>
              <w:rPr>
                <w:sz w:val="20"/>
                <w:szCs w:val="20"/>
              </w:rPr>
            </w:pPr>
            <w:r w:rsidRPr="000C50CE">
              <w:rPr>
                <w:sz w:val="20"/>
                <w:szCs w:val="20"/>
              </w:rPr>
              <w:t>1</w:t>
            </w:r>
          </w:p>
        </w:tc>
        <w:tc>
          <w:tcPr>
            <w:tcW w:w="850" w:type="dxa"/>
            <w:shd w:val="clear" w:color="auto" w:fill="auto"/>
          </w:tcPr>
          <w:p w14:paraId="7FECBEC4" w14:textId="77777777" w:rsidR="00E84BFD" w:rsidRPr="000C50CE" w:rsidRDefault="00E84BFD" w:rsidP="003F1AB1">
            <w:pPr>
              <w:rPr>
                <w:sz w:val="20"/>
                <w:szCs w:val="20"/>
              </w:rPr>
            </w:pPr>
            <w:r w:rsidRPr="000C50CE">
              <w:rPr>
                <w:sz w:val="20"/>
                <w:szCs w:val="20"/>
              </w:rPr>
              <w:t>5</w:t>
            </w:r>
          </w:p>
        </w:tc>
        <w:tc>
          <w:tcPr>
            <w:tcW w:w="1040" w:type="dxa"/>
            <w:shd w:val="clear" w:color="auto" w:fill="auto"/>
          </w:tcPr>
          <w:p w14:paraId="385F60E9" w14:textId="77777777" w:rsidR="00E84BFD" w:rsidRPr="000C50CE" w:rsidRDefault="00E84BFD" w:rsidP="003F1AB1">
            <w:pPr>
              <w:rPr>
                <w:sz w:val="20"/>
                <w:szCs w:val="20"/>
              </w:rPr>
            </w:pPr>
            <w:r w:rsidRPr="000C50CE">
              <w:rPr>
                <w:sz w:val="20"/>
                <w:szCs w:val="20"/>
              </w:rPr>
              <w:t>$33.45</w:t>
            </w:r>
          </w:p>
        </w:tc>
        <w:tc>
          <w:tcPr>
            <w:tcW w:w="2104" w:type="dxa"/>
            <w:shd w:val="clear" w:color="auto" w:fill="auto"/>
          </w:tcPr>
          <w:p w14:paraId="3E15A04A" w14:textId="77777777" w:rsidR="00E84BFD" w:rsidRPr="000C50CE" w:rsidRDefault="00E84BFD" w:rsidP="003F1AB1">
            <w:pPr>
              <w:rPr>
                <w:sz w:val="20"/>
                <w:szCs w:val="20"/>
              </w:rPr>
            </w:pPr>
            <w:proofErr w:type="spellStart"/>
            <w:r w:rsidRPr="000C50CE">
              <w:rPr>
                <w:sz w:val="20"/>
                <w:szCs w:val="20"/>
              </w:rPr>
              <w:t>Andriol</w:t>
            </w:r>
            <w:proofErr w:type="spellEnd"/>
            <w:r w:rsidRPr="000C50CE">
              <w:rPr>
                <w:sz w:val="20"/>
                <w:szCs w:val="20"/>
              </w:rPr>
              <w:t xml:space="preserve"> </w:t>
            </w:r>
            <w:proofErr w:type="spellStart"/>
            <w:r w:rsidRPr="000C50CE">
              <w:rPr>
                <w:sz w:val="20"/>
                <w:szCs w:val="20"/>
              </w:rPr>
              <w:t>Testocaps</w:t>
            </w:r>
            <w:proofErr w:type="spellEnd"/>
            <w:r w:rsidRPr="000C50CE">
              <w:rPr>
                <w:sz w:val="20"/>
                <w:szCs w:val="20"/>
              </w:rPr>
              <w:t xml:space="preserve">® Merck Sharp &amp; </w:t>
            </w:r>
            <w:proofErr w:type="spellStart"/>
            <w:r w:rsidRPr="000C50CE">
              <w:rPr>
                <w:sz w:val="20"/>
                <w:szCs w:val="20"/>
              </w:rPr>
              <w:t>Dohme</w:t>
            </w:r>
            <w:proofErr w:type="spellEnd"/>
            <w:r w:rsidRPr="000C50CE">
              <w:rPr>
                <w:sz w:val="20"/>
                <w:szCs w:val="20"/>
              </w:rPr>
              <w:t xml:space="preserve"> Pty Ltd</w:t>
            </w:r>
          </w:p>
        </w:tc>
      </w:tr>
      <w:tr w:rsidR="00E84BFD" w:rsidRPr="00834305" w14:paraId="77C66582" w14:textId="77777777" w:rsidTr="003F1AB1">
        <w:trPr>
          <w:trHeight w:val="546"/>
          <w:tblHeader/>
        </w:trPr>
        <w:tc>
          <w:tcPr>
            <w:tcW w:w="969" w:type="dxa"/>
            <w:shd w:val="clear" w:color="auto" w:fill="auto"/>
          </w:tcPr>
          <w:p w14:paraId="145F145C" w14:textId="77777777" w:rsidR="00E84BFD" w:rsidRPr="00A94609" w:rsidRDefault="00E84BFD" w:rsidP="003F1AB1">
            <w:pPr>
              <w:rPr>
                <w:sz w:val="20"/>
                <w:szCs w:val="20"/>
              </w:rPr>
            </w:pPr>
            <w:r w:rsidRPr="00A94609">
              <w:rPr>
                <w:sz w:val="20"/>
                <w:szCs w:val="20"/>
              </w:rPr>
              <w:t>10380H</w:t>
            </w:r>
          </w:p>
        </w:tc>
        <w:tc>
          <w:tcPr>
            <w:tcW w:w="2400" w:type="dxa"/>
            <w:shd w:val="clear" w:color="auto" w:fill="auto"/>
          </w:tcPr>
          <w:p w14:paraId="1E9CC6AB" w14:textId="77777777" w:rsidR="00E84BFD" w:rsidRPr="000C50CE" w:rsidRDefault="00E84BFD" w:rsidP="003F1AB1">
            <w:pPr>
              <w:rPr>
                <w:sz w:val="20"/>
                <w:szCs w:val="20"/>
              </w:rPr>
            </w:pPr>
            <w:r w:rsidRPr="000C50CE">
              <w:rPr>
                <w:sz w:val="20"/>
                <w:szCs w:val="20"/>
              </w:rPr>
              <w:t xml:space="preserve">Testosterone 1% (12.5 mg/actuation) gel, 2 x 60 actuations </w:t>
            </w:r>
          </w:p>
        </w:tc>
        <w:tc>
          <w:tcPr>
            <w:tcW w:w="1701" w:type="dxa"/>
            <w:shd w:val="clear" w:color="auto" w:fill="auto"/>
          </w:tcPr>
          <w:p w14:paraId="7F7E5F44" w14:textId="77777777" w:rsidR="00E84BFD" w:rsidRPr="000C50CE" w:rsidRDefault="00E84BFD" w:rsidP="003F1AB1">
            <w:pPr>
              <w:rPr>
                <w:sz w:val="20"/>
                <w:szCs w:val="20"/>
              </w:rPr>
            </w:pPr>
            <w:r w:rsidRPr="000C50CE">
              <w:rPr>
                <w:sz w:val="20"/>
                <w:szCs w:val="20"/>
              </w:rPr>
              <w:t>1</w:t>
            </w:r>
          </w:p>
        </w:tc>
        <w:tc>
          <w:tcPr>
            <w:tcW w:w="850" w:type="dxa"/>
            <w:shd w:val="clear" w:color="auto" w:fill="auto"/>
          </w:tcPr>
          <w:p w14:paraId="2E19A90B" w14:textId="77777777" w:rsidR="00E84BFD" w:rsidRPr="000C50CE" w:rsidRDefault="00E84BFD" w:rsidP="003F1AB1">
            <w:pPr>
              <w:rPr>
                <w:sz w:val="20"/>
                <w:szCs w:val="20"/>
              </w:rPr>
            </w:pPr>
            <w:r w:rsidRPr="000C50CE">
              <w:rPr>
                <w:sz w:val="20"/>
                <w:szCs w:val="20"/>
              </w:rPr>
              <w:t>4</w:t>
            </w:r>
          </w:p>
        </w:tc>
        <w:tc>
          <w:tcPr>
            <w:tcW w:w="1040" w:type="dxa"/>
            <w:shd w:val="clear" w:color="auto" w:fill="auto"/>
          </w:tcPr>
          <w:p w14:paraId="2976CFDB" w14:textId="77777777" w:rsidR="00E84BFD" w:rsidRPr="000C50CE" w:rsidRDefault="00E84BFD" w:rsidP="003F1AB1">
            <w:pPr>
              <w:rPr>
                <w:sz w:val="20"/>
                <w:szCs w:val="20"/>
              </w:rPr>
            </w:pPr>
            <w:r w:rsidRPr="000C50CE">
              <w:rPr>
                <w:sz w:val="20"/>
                <w:szCs w:val="20"/>
              </w:rPr>
              <w:t>$76.98</w:t>
            </w:r>
          </w:p>
        </w:tc>
        <w:tc>
          <w:tcPr>
            <w:tcW w:w="2104" w:type="dxa"/>
            <w:shd w:val="clear" w:color="auto" w:fill="auto"/>
          </w:tcPr>
          <w:p w14:paraId="4E10DBA0" w14:textId="77777777" w:rsidR="00E84BFD" w:rsidRPr="000C50CE" w:rsidRDefault="00E84BFD" w:rsidP="003F1AB1">
            <w:pPr>
              <w:rPr>
                <w:sz w:val="20"/>
                <w:szCs w:val="20"/>
              </w:rPr>
            </w:pPr>
            <w:proofErr w:type="spellStart"/>
            <w:r w:rsidRPr="000C50CE">
              <w:rPr>
                <w:sz w:val="20"/>
                <w:szCs w:val="20"/>
              </w:rPr>
              <w:t>Testogel</w:t>
            </w:r>
            <w:proofErr w:type="spellEnd"/>
            <w:r w:rsidRPr="000C50CE">
              <w:rPr>
                <w:sz w:val="20"/>
                <w:szCs w:val="20"/>
              </w:rPr>
              <w:t xml:space="preserve">® </w:t>
            </w:r>
            <w:proofErr w:type="spellStart"/>
            <w:r w:rsidRPr="000C50CE">
              <w:rPr>
                <w:sz w:val="20"/>
                <w:szCs w:val="20"/>
              </w:rPr>
              <w:t>Besins</w:t>
            </w:r>
            <w:proofErr w:type="spellEnd"/>
            <w:r w:rsidRPr="000C50CE">
              <w:rPr>
                <w:sz w:val="20"/>
                <w:szCs w:val="20"/>
              </w:rPr>
              <w:t xml:space="preserve"> Healthcare Australia Pty Ltd</w:t>
            </w:r>
          </w:p>
        </w:tc>
      </w:tr>
      <w:tr w:rsidR="00E84BFD" w:rsidRPr="00834305" w14:paraId="68557C0D" w14:textId="77777777" w:rsidTr="003F1AB1">
        <w:trPr>
          <w:trHeight w:val="546"/>
          <w:tblHeader/>
        </w:trPr>
        <w:tc>
          <w:tcPr>
            <w:tcW w:w="969" w:type="dxa"/>
            <w:shd w:val="clear" w:color="auto" w:fill="auto"/>
          </w:tcPr>
          <w:p w14:paraId="11312B02" w14:textId="77777777" w:rsidR="00E84BFD" w:rsidRPr="00A94609" w:rsidRDefault="00E84BFD" w:rsidP="003F1AB1">
            <w:pPr>
              <w:rPr>
                <w:sz w:val="20"/>
                <w:szCs w:val="20"/>
              </w:rPr>
            </w:pPr>
            <w:r w:rsidRPr="00A94609">
              <w:rPr>
                <w:sz w:val="20"/>
                <w:szCs w:val="20"/>
              </w:rPr>
              <w:t>8830R</w:t>
            </w:r>
          </w:p>
        </w:tc>
        <w:tc>
          <w:tcPr>
            <w:tcW w:w="2400" w:type="dxa"/>
            <w:shd w:val="clear" w:color="auto" w:fill="auto"/>
          </w:tcPr>
          <w:p w14:paraId="264BAC18" w14:textId="77777777" w:rsidR="00E84BFD" w:rsidRPr="000C50CE" w:rsidRDefault="00E84BFD" w:rsidP="003F1AB1">
            <w:pPr>
              <w:rPr>
                <w:sz w:val="20"/>
                <w:szCs w:val="20"/>
              </w:rPr>
            </w:pPr>
            <w:r w:rsidRPr="000C50CE">
              <w:rPr>
                <w:sz w:val="20"/>
                <w:szCs w:val="20"/>
              </w:rPr>
              <w:t>Testosterone 1% (50 mg/5 g) gel, 30 x 5 g sachets</w:t>
            </w:r>
          </w:p>
        </w:tc>
        <w:tc>
          <w:tcPr>
            <w:tcW w:w="1701" w:type="dxa"/>
            <w:shd w:val="clear" w:color="auto" w:fill="auto"/>
          </w:tcPr>
          <w:p w14:paraId="4015C952" w14:textId="77777777" w:rsidR="00E84BFD" w:rsidRPr="000C50CE" w:rsidRDefault="00E84BFD" w:rsidP="003F1AB1">
            <w:pPr>
              <w:rPr>
                <w:sz w:val="20"/>
                <w:szCs w:val="20"/>
              </w:rPr>
            </w:pPr>
            <w:r w:rsidRPr="000C50CE">
              <w:rPr>
                <w:sz w:val="20"/>
                <w:szCs w:val="20"/>
              </w:rPr>
              <w:t>1</w:t>
            </w:r>
          </w:p>
        </w:tc>
        <w:tc>
          <w:tcPr>
            <w:tcW w:w="850" w:type="dxa"/>
            <w:shd w:val="clear" w:color="auto" w:fill="auto"/>
          </w:tcPr>
          <w:p w14:paraId="1ED915E6" w14:textId="77777777" w:rsidR="00E84BFD" w:rsidRPr="000C50CE" w:rsidRDefault="00E84BFD" w:rsidP="003F1AB1">
            <w:pPr>
              <w:rPr>
                <w:sz w:val="20"/>
                <w:szCs w:val="20"/>
              </w:rPr>
            </w:pPr>
            <w:r w:rsidRPr="000C50CE">
              <w:rPr>
                <w:sz w:val="20"/>
                <w:szCs w:val="20"/>
              </w:rPr>
              <w:t>5</w:t>
            </w:r>
          </w:p>
        </w:tc>
        <w:tc>
          <w:tcPr>
            <w:tcW w:w="1040" w:type="dxa"/>
            <w:shd w:val="clear" w:color="auto" w:fill="auto"/>
          </w:tcPr>
          <w:p w14:paraId="0929DA7F" w14:textId="77777777" w:rsidR="00E84BFD" w:rsidRPr="000C50CE" w:rsidRDefault="00E84BFD" w:rsidP="003F1AB1">
            <w:pPr>
              <w:rPr>
                <w:sz w:val="20"/>
                <w:szCs w:val="20"/>
              </w:rPr>
            </w:pPr>
            <w:r w:rsidRPr="000C50CE">
              <w:rPr>
                <w:sz w:val="20"/>
                <w:szCs w:val="20"/>
              </w:rPr>
              <w:t>$76.98</w:t>
            </w:r>
          </w:p>
        </w:tc>
        <w:tc>
          <w:tcPr>
            <w:tcW w:w="2104" w:type="dxa"/>
            <w:shd w:val="clear" w:color="auto" w:fill="auto"/>
          </w:tcPr>
          <w:p w14:paraId="25AFE79F" w14:textId="77777777" w:rsidR="00E84BFD" w:rsidRPr="000C50CE" w:rsidRDefault="00E84BFD" w:rsidP="003F1AB1">
            <w:pPr>
              <w:rPr>
                <w:sz w:val="20"/>
                <w:szCs w:val="20"/>
              </w:rPr>
            </w:pPr>
            <w:proofErr w:type="spellStart"/>
            <w:r w:rsidRPr="000C50CE">
              <w:rPr>
                <w:sz w:val="20"/>
                <w:szCs w:val="20"/>
              </w:rPr>
              <w:t>Testogel</w:t>
            </w:r>
            <w:proofErr w:type="spellEnd"/>
            <w:r w:rsidRPr="000C50CE">
              <w:rPr>
                <w:sz w:val="20"/>
                <w:szCs w:val="20"/>
              </w:rPr>
              <w:t xml:space="preserve">® </w:t>
            </w:r>
            <w:proofErr w:type="spellStart"/>
            <w:r w:rsidRPr="000C50CE">
              <w:rPr>
                <w:sz w:val="20"/>
                <w:szCs w:val="20"/>
              </w:rPr>
              <w:t>Besins</w:t>
            </w:r>
            <w:proofErr w:type="spellEnd"/>
            <w:r w:rsidRPr="000C50CE">
              <w:rPr>
                <w:sz w:val="20"/>
                <w:szCs w:val="20"/>
              </w:rPr>
              <w:t xml:space="preserve"> Healthcare Australia Pty Ltd</w:t>
            </w:r>
          </w:p>
        </w:tc>
      </w:tr>
      <w:tr w:rsidR="00E84BFD" w:rsidRPr="00834305" w14:paraId="13B8DC57" w14:textId="77777777" w:rsidTr="003F1AB1">
        <w:trPr>
          <w:trHeight w:val="546"/>
          <w:tblHeader/>
        </w:trPr>
        <w:tc>
          <w:tcPr>
            <w:tcW w:w="969" w:type="dxa"/>
            <w:shd w:val="clear" w:color="auto" w:fill="auto"/>
          </w:tcPr>
          <w:p w14:paraId="3284EEE4" w14:textId="77777777" w:rsidR="00E84BFD" w:rsidRPr="000D154E" w:rsidRDefault="00E84BFD" w:rsidP="003F1AB1">
            <w:pPr>
              <w:rPr>
                <w:sz w:val="20"/>
                <w:szCs w:val="20"/>
              </w:rPr>
            </w:pPr>
            <w:r w:rsidRPr="000D154E">
              <w:rPr>
                <w:sz w:val="20"/>
                <w:szCs w:val="20"/>
              </w:rPr>
              <w:t>11740X</w:t>
            </w:r>
          </w:p>
        </w:tc>
        <w:tc>
          <w:tcPr>
            <w:tcW w:w="2400" w:type="dxa"/>
            <w:shd w:val="clear" w:color="auto" w:fill="auto"/>
          </w:tcPr>
          <w:p w14:paraId="30CD7772" w14:textId="77777777" w:rsidR="00E84BFD" w:rsidRPr="000C50CE" w:rsidRDefault="00E84BFD" w:rsidP="003F1AB1">
            <w:pPr>
              <w:rPr>
                <w:sz w:val="20"/>
                <w:szCs w:val="20"/>
              </w:rPr>
            </w:pPr>
            <w:r w:rsidRPr="000C50CE">
              <w:rPr>
                <w:sz w:val="20"/>
                <w:szCs w:val="20"/>
              </w:rPr>
              <w:t>Testosterone 2% (23 mg/actuation) gel, 56 actuations</w:t>
            </w:r>
          </w:p>
        </w:tc>
        <w:tc>
          <w:tcPr>
            <w:tcW w:w="1701" w:type="dxa"/>
            <w:shd w:val="clear" w:color="auto" w:fill="auto"/>
          </w:tcPr>
          <w:p w14:paraId="556C295A" w14:textId="77777777" w:rsidR="00E84BFD" w:rsidRPr="000C50CE" w:rsidRDefault="00E84BFD" w:rsidP="003F1AB1">
            <w:pPr>
              <w:rPr>
                <w:sz w:val="20"/>
                <w:szCs w:val="20"/>
              </w:rPr>
            </w:pPr>
            <w:r w:rsidRPr="000C50CE">
              <w:rPr>
                <w:sz w:val="20"/>
                <w:szCs w:val="20"/>
              </w:rPr>
              <w:t>1</w:t>
            </w:r>
          </w:p>
        </w:tc>
        <w:tc>
          <w:tcPr>
            <w:tcW w:w="850" w:type="dxa"/>
            <w:shd w:val="clear" w:color="auto" w:fill="auto"/>
          </w:tcPr>
          <w:p w14:paraId="317B52D7" w14:textId="77777777" w:rsidR="00E84BFD" w:rsidRPr="000C50CE" w:rsidRDefault="00E84BFD" w:rsidP="003F1AB1">
            <w:pPr>
              <w:rPr>
                <w:sz w:val="20"/>
                <w:szCs w:val="20"/>
              </w:rPr>
            </w:pPr>
            <w:r w:rsidRPr="000C50CE">
              <w:rPr>
                <w:sz w:val="20"/>
                <w:szCs w:val="20"/>
              </w:rPr>
              <w:t>5</w:t>
            </w:r>
          </w:p>
        </w:tc>
        <w:tc>
          <w:tcPr>
            <w:tcW w:w="1040" w:type="dxa"/>
            <w:shd w:val="clear" w:color="auto" w:fill="auto"/>
          </w:tcPr>
          <w:p w14:paraId="6325C038" w14:textId="77777777" w:rsidR="00E84BFD" w:rsidRPr="000C50CE" w:rsidRDefault="00E84BFD" w:rsidP="003F1AB1">
            <w:pPr>
              <w:rPr>
                <w:sz w:val="20"/>
                <w:szCs w:val="20"/>
              </w:rPr>
            </w:pPr>
            <w:r w:rsidRPr="000C50CE">
              <w:rPr>
                <w:sz w:val="20"/>
                <w:szCs w:val="20"/>
              </w:rPr>
              <w:t>$82.43</w:t>
            </w:r>
          </w:p>
        </w:tc>
        <w:tc>
          <w:tcPr>
            <w:tcW w:w="2104" w:type="dxa"/>
            <w:shd w:val="clear" w:color="auto" w:fill="auto"/>
          </w:tcPr>
          <w:p w14:paraId="3A4C1470" w14:textId="77777777" w:rsidR="00E84BFD" w:rsidRPr="000C50CE" w:rsidRDefault="00E84BFD" w:rsidP="003F1AB1">
            <w:pPr>
              <w:rPr>
                <w:sz w:val="20"/>
                <w:szCs w:val="20"/>
              </w:rPr>
            </w:pPr>
            <w:proofErr w:type="spellStart"/>
            <w:r w:rsidRPr="000C50CE">
              <w:rPr>
                <w:sz w:val="20"/>
                <w:szCs w:val="20"/>
              </w:rPr>
              <w:t>Testavan</w:t>
            </w:r>
            <w:proofErr w:type="spellEnd"/>
            <w:r w:rsidRPr="000C50CE">
              <w:rPr>
                <w:sz w:val="20"/>
                <w:szCs w:val="20"/>
              </w:rPr>
              <w:t xml:space="preserve">® </w:t>
            </w:r>
            <w:proofErr w:type="spellStart"/>
            <w:r w:rsidRPr="000C50CE">
              <w:rPr>
                <w:sz w:val="20"/>
                <w:szCs w:val="20"/>
              </w:rPr>
              <w:t>Ferring</w:t>
            </w:r>
            <w:proofErr w:type="spellEnd"/>
            <w:r w:rsidRPr="000C50CE">
              <w:rPr>
                <w:sz w:val="20"/>
                <w:szCs w:val="20"/>
              </w:rPr>
              <w:t xml:space="preserve"> Pharmaceuticals Pty Limited</w:t>
            </w:r>
          </w:p>
        </w:tc>
      </w:tr>
      <w:tr w:rsidR="00E84BFD" w:rsidRPr="00834305" w14:paraId="096AE1F1" w14:textId="77777777" w:rsidTr="003F1AB1">
        <w:trPr>
          <w:trHeight w:val="546"/>
          <w:tblHeader/>
        </w:trPr>
        <w:tc>
          <w:tcPr>
            <w:tcW w:w="969" w:type="dxa"/>
            <w:shd w:val="clear" w:color="auto" w:fill="auto"/>
          </w:tcPr>
          <w:p w14:paraId="35E9AC4E" w14:textId="77777777" w:rsidR="00E84BFD" w:rsidRPr="00A94609" w:rsidRDefault="00E84BFD" w:rsidP="003F1AB1">
            <w:pPr>
              <w:rPr>
                <w:sz w:val="20"/>
                <w:szCs w:val="20"/>
              </w:rPr>
            </w:pPr>
            <w:r w:rsidRPr="00A94609">
              <w:rPr>
                <w:sz w:val="20"/>
                <w:szCs w:val="20"/>
              </w:rPr>
              <w:t>10378F</w:t>
            </w:r>
          </w:p>
        </w:tc>
        <w:tc>
          <w:tcPr>
            <w:tcW w:w="2400" w:type="dxa"/>
            <w:shd w:val="clear" w:color="auto" w:fill="auto"/>
          </w:tcPr>
          <w:p w14:paraId="6083F6BD" w14:textId="77777777" w:rsidR="00E84BFD" w:rsidRPr="000C50CE" w:rsidRDefault="00E84BFD" w:rsidP="003F1AB1">
            <w:pPr>
              <w:rPr>
                <w:sz w:val="20"/>
                <w:szCs w:val="20"/>
              </w:rPr>
            </w:pPr>
            <w:r w:rsidRPr="000C50CE">
              <w:rPr>
                <w:sz w:val="20"/>
                <w:szCs w:val="20"/>
              </w:rPr>
              <w:t>Testosterone 5% (50 mg/mL) cream, 50 mL</w:t>
            </w:r>
          </w:p>
        </w:tc>
        <w:tc>
          <w:tcPr>
            <w:tcW w:w="1701" w:type="dxa"/>
            <w:shd w:val="clear" w:color="auto" w:fill="auto"/>
          </w:tcPr>
          <w:p w14:paraId="419D98A9" w14:textId="77777777" w:rsidR="00E84BFD" w:rsidRPr="000C50CE" w:rsidRDefault="00E84BFD" w:rsidP="003F1AB1">
            <w:pPr>
              <w:rPr>
                <w:sz w:val="20"/>
                <w:szCs w:val="20"/>
              </w:rPr>
            </w:pPr>
            <w:r w:rsidRPr="000C50CE">
              <w:rPr>
                <w:sz w:val="20"/>
                <w:szCs w:val="20"/>
              </w:rPr>
              <w:t>1</w:t>
            </w:r>
          </w:p>
        </w:tc>
        <w:tc>
          <w:tcPr>
            <w:tcW w:w="850" w:type="dxa"/>
            <w:shd w:val="clear" w:color="auto" w:fill="auto"/>
          </w:tcPr>
          <w:p w14:paraId="55F669BA" w14:textId="77777777" w:rsidR="00E84BFD" w:rsidRPr="000C50CE" w:rsidRDefault="00E84BFD" w:rsidP="003F1AB1">
            <w:pPr>
              <w:rPr>
                <w:sz w:val="20"/>
                <w:szCs w:val="20"/>
              </w:rPr>
            </w:pPr>
            <w:r w:rsidRPr="000C50CE">
              <w:rPr>
                <w:sz w:val="20"/>
                <w:szCs w:val="20"/>
              </w:rPr>
              <w:t>6</w:t>
            </w:r>
          </w:p>
        </w:tc>
        <w:tc>
          <w:tcPr>
            <w:tcW w:w="1040" w:type="dxa"/>
            <w:shd w:val="clear" w:color="auto" w:fill="auto"/>
          </w:tcPr>
          <w:p w14:paraId="6942F8B5" w14:textId="77777777" w:rsidR="00E84BFD" w:rsidRPr="000C50CE" w:rsidRDefault="00E84BFD" w:rsidP="003F1AB1">
            <w:pPr>
              <w:rPr>
                <w:sz w:val="20"/>
                <w:szCs w:val="20"/>
              </w:rPr>
            </w:pPr>
            <w:r w:rsidRPr="000C50CE">
              <w:rPr>
                <w:sz w:val="20"/>
                <w:szCs w:val="20"/>
              </w:rPr>
              <w:t>$65.22</w:t>
            </w:r>
          </w:p>
        </w:tc>
        <w:tc>
          <w:tcPr>
            <w:tcW w:w="2104" w:type="dxa"/>
            <w:shd w:val="clear" w:color="auto" w:fill="auto"/>
          </w:tcPr>
          <w:p w14:paraId="494C266C" w14:textId="77777777" w:rsidR="00E84BFD" w:rsidRPr="000C50CE" w:rsidRDefault="00E84BFD" w:rsidP="003F1AB1">
            <w:pPr>
              <w:rPr>
                <w:sz w:val="20"/>
                <w:szCs w:val="20"/>
              </w:rPr>
            </w:pPr>
            <w:proofErr w:type="spellStart"/>
            <w:r w:rsidRPr="000C50CE">
              <w:rPr>
                <w:sz w:val="20"/>
                <w:szCs w:val="20"/>
              </w:rPr>
              <w:t>Androforte</w:t>
            </w:r>
            <w:proofErr w:type="spellEnd"/>
            <w:r w:rsidRPr="000C50CE">
              <w:rPr>
                <w:sz w:val="20"/>
                <w:szCs w:val="20"/>
              </w:rPr>
              <w:t xml:space="preserve"> 5® Lawley Pharmaceuticals Pty Ltd</w:t>
            </w:r>
          </w:p>
        </w:tc>
      </w:tr>
      <w:tr w:rsidR="00E84BFD" w:rsidRPr="00834305" w14:paraId="3073A0D1" w14:textId="77777777" w:rsidTr="003F1AB1">
        <w:trPr>
          <w:trHeight w:val="546"/>
          <w:tblHeader/>
        </w:trPr>
        <w:tc>
          <w:tcPr>
            <w:tcW w:w="969" w:type="dxa"/>
            <w:shd w:val="clear" w:color="auto" w:fill="auto"/>
          </w:tcPr>
          <w:p w14:paraId="646A92D2" w14:textId="77777777" w:rsidR="00E84BFD" w:rsidRPr="00A94609" w:rsidRDefault="00E84BFD" w:rsidP="003F1AB1">
            <w:pPr>
              <w:rPr>
                <w:sz w:val="20"/>
                <w:szCs w:val="20"/>
              </w:rPr>
            </w:pPr>
            <w:r w:rsidRPr="00A94609">
              <w:rPr>
                <w:sz w:val="20"/>
                <w:szCs w:val="20"/>
              </w:rPr>
              <w:t>8460G</w:t>
            </w:r>
          </w:p>
        </w:tc>
        <w:tc>
          <w:tcPr>
            <w:tcW w:w="2400" w:type="dxa"/>
            <w:shd w:val="clear" w:color="auto" w:fill="auto"/>
          </w:tcPr>
          <w:p w14:paraId="678F6BF0" w14:textId="77777777" w:rsidR="00E84BFD" w:rsidRPr="000C50CE" w:rsidRDefault="00E84BFD" w:rsidP="003F1AB1">
            <w:pPr>
              <w:rPr>
                <w:sz w:val="20"/>
                <w:szCs w:val="20"/>
              </w:rPr>
            </w:pPr>
            <w:r w:rsidRPr="000C50CE">
              <w:rPr>
                <w:sz w:val="20"/>
                <w:szCs w:val="20"/>
              </w:rPr>
              <w:t>Testosterone 2.5 mg/24 hours patch, 60</w:t>
            </w:r>
          </w:p>
        </w:tc>
        <w:tc>
          <w:tcPr>
            <w:tcW w:w="1701" w:type="dxa"/>
            <w:shd w:val="clear" w:color="auto" w:fill="auto"/>
          </w:tcPr>
          <w:p w14:paraId="042CB460" w14:textId="77777777" w:rsidR="00E84BFD" w:rsidRPr="000C50CE" w:rsidRDefault="00E84BFD" w:rsidP="003F1AB1">
            <w:pPr>
              <w:rPr>
                <w:sz w:val="20"/>
                <w:szCs w:val="20"/>
              </w:rPr>
            </w:pPr>
            <w:r w:rsidRPr="000C50CE">
              <w:rPr>
                <w:sz w:val="20"/>
                <w:szCs w:val="20"/>
              </w:rPr>
              <w:t>1</w:t>
            </w:r>
          </w:p>
        </w:tc>
        <w:tc>
          <w:tcPr>
            <w:tcW w:w="850" w:type="dxa"/>
            <w:shd w:val="clear" w:color="auto" w:fill="auto"/>
          </w:tcPr>
          <w:p w14:paraId="421086B7" w14:textId="77777777" w:rsidR="00E84BFD" w:rsidRPr="000C50CE" w:rsidRDefault="00E84BFD" w:rsidP="003F1AB1">
            <w:pPr>
              <w:rPr>
                <w:sz w:val="20"/>
                <w:szCs w:val="20"/>
              </w:rPr>
            </w:pPr>
            <w:r w:rsidRPr="000C50CE">
              <w:rPr>
                <w:sz w:val="20"/>
                <w:szCs w:val="20"/>
              </w:rPr>
              <w:t>5</w:t>
            </w:r>
          </w:p>
        </w:tc>
        <w:tc>
          <w:tcPr>
            <w:tcW w:w="1040" w:type="dxa"/>
            <w:shd w:val="clear" w:color="auto" w:fill="auto"/>
          </w:tcPr>
          <w:p w14:paraId="0F0CEB08" w14:textId="77777777" w:rsidR="00E84BFD" w:rsidRPr="000C50CE" w:rsidRDefault="00E84BFD" w:rsidP="003F1AB1">
            <w:pPr>
              <w:rPr>
                <w:sz w:val="20"/>
                <w:szCs w:val="20"/>
              </w:rPr>
            </w:pPr>
            <w:r w:rsidRPr="000C50CE">
              <w:rPr>
                <w:sz w:val="20"/>
                <w:szCs w:val="20"/>
              </w:rPr>
              <w:t>$77.51</w:t>
            </w:r>
          </w:p>
        </w:tc>
        <w:tc>
          <w:tcPr>
            <w:tcW w:w="2104" w:type="dxa"/>
            <w:shd w:val="clear" w:color="auto" w:fill="auto"/>
          </w:tcPr>
          <w:p w14:paraId="7DA14F7E" w14:textId="1C59D165" w:rsidR="00E84BFD" w:rsidRPr="000C50CE" w:rsidRDefault="00E84BFD" w:rsidP="00B03D1A">
            <w:pPr>
              <w:rPr>
                <w:sz w:val="20"/>
                <w:szCs w:val="20"/>
              </w:rPr>
            </w:pPr>
            <w:proofErr w:type="spellStart"/>
            <w:r w:rsidRPr="000C50CE">
              <w:rPr>
                <w:sz w:val="20"/>
                <w:szCs w:val="20"/>
              </w:rPr>
              <w:t>Androderm</w:t>
            </w:r>
            <w:proofErr w:type="spellEnd"/>
            <w:r w:rsidRPr="000C50CE">
              <w:rPr>
                <w:sz w:val="20"/>
                <w:szCs w:val="20"/>
              </w:rPr>
              <w:t xml:space="preserve">® </w:t>
            </w:r>
            <w:proofErr w:type="spellStart"/>
            <w:r w:rsidR="00B03D1A" w:rsidRPr="000C50CE">
              <w:rPr>
                <w:sz w:val="20"/>
                <w:szCs w:val="20"/>
              </w:rPr>
              <w:t>Teva</w:t>
            </w:r>
            <w:proofErr w:type="spellEnd"/>
            <w:r w:rsidR="00B03D1A" w:rsidRPr="000C50CE">
              <w:rPr>
                <w:sz w:val="20"/>
                <w:szCs w:val="20"/>
              </w:rPr>
              <w:t xml:space="preserve"> Pharma Aust</w:t>
            </w:r>
            <w:r w:rsidR="00B03D1A" w:rsidRPr="00A94609">
              <w:rPr>
                <w:sz w:val="20"/>
                <w:szCs w:val="20"/>
              </w:rPr>
              <w:t>ralia Pty Limited</w:t>
            </w:r>
          </w:p>
        </w:tc>
      </w:tr>
      <w:tr w:rsidR="00E84BFD" w:rsidRPr="00834305" w14:paraId="542605EB" w14:textId="77777777" w:rsidTr="003F1AB1">
        <w:trPr>
          <w:trHeight w:val="546"/>
          <w:tblHeader/>
        </w:trPr>
        <w:tc>
          <w:tcPr>
            <w:tcW w:w="969" w:type="dxa"/>
            <w:shd w:val="clear" w:color="auto" w:fill="auto"/>
          </w:tcPr>
          <w:p w14:paraId="5EED3822" w14:textId="77777777" w:rsidR="00E84BFD" w:rsidRPr="00834305" w:rsidRDefault="00E84BFD" w:rsidP="003F1AB1">
            <w:pPr>
              <w:rPr>
                <w:sz w:val="20"/>
                <w:szCs w:val="20"/>
              </w:rPr>
            </w:pPr>
            <w:r w:rsidRPr="00834305">
              <w:rPr>
                <w:sz w:val="20"/>
                <w:szCs w:val="20"/>
              </w:rPr>
              <w:t>8619P</w:t>
            </w:r>
          </w:p>
        </w:tc>
        <w:tc>
          <w:tcPr>
            <w:tcW w:w="2400" w:type="dxa"/>
            <w:shd w:val="clear" w:color="auto" w:fill="auto"/>
          </w:tcPr>
          <w:p w14:paraId="4D8F51C2" w14:textId="77777777" w:rsidR="00E84BFD" w:rsidRPr="00834305" w:rsidRDefault="00E84BFD" w:rsidP="003F1AB1">
            <w:pPr>
              <w:rPr>
                <w:sz w:val="20"/>
                <w:szCs w:val="20"/>
              </w:rPr>
            </w:pPr>
            <w:r w:rsidRPr="00834305">
              <w:rPr>
                <w:sz w:val="20"/>
                <w:szCs w:val="20"/>
              </w:rPr>
              <w:t>Testosterone 5 mg/24 hours patch, 30</w:t>
            </w:r>
          </w:p>
        </w:tc>
        <w:tc>
          <w:tcPr>
            <w:tcW w:w="1701" w:type="dxa"/>
            <w:shd w:val="clear" w:color="auto" w:fill="auto"/>
          </w:tcPr>
          <w:p w14:paraId="0E405E6A" w14:textId="77777777" w:rsidR="00E84BFD" w:rsidRPr="00834305" w:rsidRDefault="00E84BFD" w:rsidP="003F1AB1">
            <w:pPr>
              <w:rPr>
                <w:sz w:val="20"/>
                <w:szCs w:val="20"/>
              </w:rPr>
            </w:pPr>
            <w:r w:rsidRPr="00834305">
              <w:rPr>
                <w:sz w:val="20"/>
                <w:szCs w:val="20"/>
              </w:rPr>
              <w:t>1</w:t>
            </w:r>
          </w:p>
        </w:tc>
        <w:tc>
          <w:tcPr>
            <w:tcW w:w="850" w:type="dxa"/>
            <w:shd w:val="clear" w:color="auto" w:fill="auto"/>
          </w:tcPr>
          <w:p w14:paraId="5672C14D" w14:textId="77777777" w:rsidR="00E84BFD" w:rsidRPr="00834305" w:rsidRDefault="00E84BFD" w:rsidP="003F1AB1">
            <w:pPr>
              <w:rPr>
                <w:sz w:val="20"/>
                <w:szCs w:val="20"/>
              </w:rPr>
            </w:pPr>
            <w:r w:rsidRPr="00834305">
              <w:rPr>
                <w:sz w:val="20"/>
                <w:szCs w:val="20"/>
              </w:rPr>
              <w:t>5</w:t>
            </w:r>
          </w:p>
        </w:tc>
        <w:tc>
          <w:tcPr>
            <w:tcW w:w="1040" w:type="dxa"/>
            <w:shd w:val="clear" w:color="auto" w:fill="auto"/>
          </w:tcPr>
          <w:p w14:paraId="0B6E9B0A" w14:textId="77777777" w:rsidR="00E84BFD" w:rsidRPr="00834305" w:rsidRDefault="00E84BFD" w:rsidP="003F1AB1">
            <w:pPr>
              <w:rPr>
                <w:sz w:val="20"/>
                <w:szCs w:val="20"/>
              </w:rPr>
            </w:pPr>
            <w:r w:rsidRPr="00834305">
              <w:rPr>
                <w:sz w:val="20"/>
                <w:szCs w:val="20"/>
              </w:rPr>
              <w:t>$</w:t>
            </w:r>
            <w:r>
              <w:rPr>
                <w:sz w:val="20"/>
                <w:szCs w:val="20"/>
              </w:rPr>
              <w:t>77.51</w:t>
            </w:r>
          </w:p>
        </w:tc>
        <w:tc>
          <w:tcPr>
            <w:tcW w:w="2104" w:type="dxa"/>
            <w:shd w:val="clear" w:color="auto" w:fill="auto"/>
          </w:tcPr>
          <w:p w14:paraId="2D3E8FF9" w14:textId="3DFF46C2" w:rsidR="00E84BFD" w:rsidRPr="00834305" w:rsidRDefault="00E84BFD" w:rsidP="003F1AB1">
            <w:pPr>
              <w:rPr>
                <w:sz w:val="20"/>
                <w:szCs w:val="20"/>
              </w:rPr>
            </w:pPr>
            <w:proofErr w:type="spellStart"/>
            <w:r w:rsidRPr="00834305">
              <w:rPr>
                <w:sz w:val="20"/>
                <w:szCs w:val="20"/>
              </w:rPr>
              <w:t>Androderm</w:t>
            </w:r>
            <w:proofErr w:type="spellEnd"/>
            <w:r w:rsidRPr="00834305">
              <w:rPr>
                <w:sz w:val="20"/>
                <w:szCs w:val="20"/>
              </w:rPr>
              <w:t xml:space="preserve">® </w:t>
            </w:r>
            <w:proofErr w:type="spellStart"/>
            <w:r w:rsidR="000D154E" w:rsidRPr="000D154E">
              <w:rPr>
                <w:sz w:val="20"/>
                <w:szCs w:val="20"/>
              </w:rPr>
              <w:t>Teva</w:t>
            </w:r>
            <w:proofErr w:type="spellEnd"/>
            <w:r w:rsidR="000D154E" w:rsidRPr="000D154E">
              <w:rPr>
                <w:sz w:val="20"/>
                <w:szCs w:val="20"/>
              </w:rPr>
              <w:t xml:space="preserve"> Pharma Australia Pty Limited</w:t>
            </w:r>
          </w:p>
        </w:tc>
      </w:tr>
    </w:tbl>
    <w:p w14:paraId="1183F151" w14:textId="2004E695" w:rsidR="007247B9" w:rsidRDefault="007408C7" w:rsidP="00BB1D3B">
      <w:pPr>
        <w:pStyle w:val="Notes"/>
      </w:pPr>
      <w:r w:rsidRPr="00A35800" w:rsidDel="00EE2BBB">
        <w:t xml:space="preserve">Source: </w:t>
      </w:r>
      <w:r w:rsidR="001624D7" w:rsidDel="00EE2BBB">
        <w:t xml:space="preserve">the </w:t>
      </w:r>
      <w:hyperlink r:id="rId10" w:history="1">
        <w:r w:rsidR="001624D7" w:rsidRPr="001624D7" w:rsidDel="00EE2BBB">
          <w:rPr>
            <w:rStyle w:val="Hyperlink"/>
          </w:rPr>
          <w:t>PBS website</w:t>
        </w:r>
      </w:hyperlink>
      <w:r w:rsidR="001624D7" w:rsidDel="00EE2BBB">
        <w:t>.</w:t>
      </w:r>
    </w:p>
    <w:p w14:paraId="6918F5CD" w14:textId="43A473FB" w:rsidR="00B41F5B" w:rsidRPr="000F576F" w:rsidRDefault="000F576F" w:rsidP="00BB1D3B">
      <w:pPr>
        <w:pStyle w:val="Notes"/>
        <w:rPr>
          <w:rFonts w:cstheme="minorBidi"/>
          <w:sz w:val="24"/>
          <w:szCs w:val="24"/>
        </w:rPr>
      </w:pPr>
      <w:r w:rsidRPr="000F576F">
        <w:rPr>
          <w:rFonts w:cstheme="minorBidi"/>
          <w:sz w:val="24"/>
          <w:szCs w:val="24"/>
        </w:rPr>
        <w:t xml:space="preserve">All testosterone products were subject to a 15% anniversary price reduction in June 2018. </w:t>
      </w:r>
    </w:p>
    <w:p w14:paraId="1C523A2C" w14:textId="3F69D2C1" w:rsidR="00E84BFD" w:rsidRPr="006C5D09" w:rsidRDefault="00E84BFD" w:rsidP="00BB1D3B">
      <w:pPr>
        <w:pStyle w:val="Notes"/>
        <w:rPr>
          <w:rFonts w:cstheme="minorBidi"/>
          <w:sz w:val="24"/>
          <w:szCs w:val="24"/>
        </w:rPr>
      </w:pPr>
      <w:r w:rsidRPr="006C5D09">
        <w:rPr>
          <w:rFonts w:cstheme="minorBidi"/>
          <w:sz w:val="24"/>
          <w:szCs w:val="24"/>
        </w:rPr>
        <w:t xml:space="preserve">Testosterone </w:t>
      </w:r>
      <w:r w:rsidR="00F36070" w:rsidRPr="006C5D09">
        <w:rPr>
          <w:rFonts w:cstheme="minorBidi"/>
          <w:sz w:val="24"/>
          <w:szCs w:val="24"/>
        </w:rPr>
        <w:t>2% solution was delisted 1 January 201</w:t>
      </w:r>
      <w:r w:rsidR="00936BCD">
        <w:rPr>
          <w:rFonts w:cstheme="minorBidi"/>
          <w:sz w:val="24"/>
          <w:szCs w:val="24"/>
        </w:rPr>
        <w:t>8</w:t>
      </w:r>
      <w:r w:rsidR="00F36070">
        <w:rPr>
          <w:rFonts w:cstheme="minorBidi"/>
          <w:sz w:val="24"/>
          <w:szCs w:val="24"/>
        </w:rPr>
        <w:t xml:space="preserve"> </w:t>
      </w:r>
      <w:r w:rsidRPr="006C5D09">
        <w:rPr>
          <w:rFonts w:cstheme="minorBidi"/>
          <w:sz w:val="24"/>
          <w:szCs w:val="24"/>
        </w:rPr>
        <w:t xml:space="preserve">and testosterone </w:t>
      </w:r>
      <w:proofErr w:type="spellStart"/>
      <w:r w:rsidR="00F36070" w:rsidRPr="006C5D09">
        <w:rPr>
          <w:rFonts w:cstheme="minorBidi"/>
          <w:sz w:val="24"/>
          <w:szCs w:val="24"/>
        </w:rPr>
        <w:t>enanthate</w:t>
      </w:r>
      <w:proofErr w:type="spellEnd"/>
      <w:r w:rsidR="00F36070" w:rsidRPr="006C5D09">
        <w:rPr>
          <w:rFonts w:cstheme="minorBidi"/>
          <w:sz w:val="24"/>
          <w:szCs w:val="24"/>
        </w:rPr>
        <w:t xml:space="preserve"> injection was delisted 1 February 201</w:t>
      </w:r>
      <w:r w:rsidR="00936BCD">
        <w:rPr>
          <w:rFonts w:cstheme="minorBidi"/>
          <w:sz w:val="24"/>
          <w:szCs w:val="24"/>
        </w:rPr>
        <w:t>8</w:t>
      </w:r>
      <w:r w:rsidR="00BC1AD4">
        <w:rPr>
          <w:rFonts w:cstheme="minorBidi"/>
          <w:sz w:val="24"/>
          <w:szCs w:val="24"/>
        </w:rPr>
        <w:t>.</w:t>
      </w:r>
    </w:p>
    <w:p w14:paraId="1AFA1485" w14:textId="3186A599" w:rsidR="004C3186" w:rsidRPr="00B41F5B" w:rsidDel="00EE2BBB" w:rsidRDefault="004C3186" w:rsidP="00CF5E22">
      <w:pPr>
        <w:pStyle w:val="Heading3"/>
      </w:pPr>
      <w:r w:rsidDel="00EE2BBB">
        <w:t>Restrict</w:t>
      </w:r>
      <w:r w:rsidRPr="00B41F5B" w:rsidDel="00EE2BBB">
        <w:t>ion</w:t>
      </w:r>
    </w:p>
    <w:p w14:paraId="42706E3A" w14:textId="2712EA60" w:rsidR="00BE4B03" w:rsidRDefault="006861C5" w:rsidP="003F41CA">
      <w:r>
        <w:t xml:space="preserve">All testosterone items have Authority </w:t>
      </w:r>
      <w:proofErr w:type="gramStart"/>
      <w:r>
        <w:t>Required</w:t>
      </w:r>
      <w:proofErr w:type="gramEnd"/>
      <w:r>
        <w:t xml:space="preserve"> listings. </w:t>
      </w:r>
      <w:r w:rsidR="003F41CA" w:rsidRPr="00B41F5B">
        <w:t xml:space="preserve">All the testosterone items in </w:t>
      </w:r>
      <w:r w:rsidR="00862DFC">
        <w:t>T</w:t>
      </w:r>
      <w:r w:rsidR="003F41CA" w:rsidRPr="00201982">
        <w:t>able</w:t>
      </w:r>
      <w:r w:rsidR="00862DFC">
        <w:t> 1</w:t>
      </w:r>
      <w:r w:rsidR="003F41CA" w:rsidRPr="00201982">
        <w:t xml:space="preserve"> are PBS-listed for androgen deficiency, </w:t>
      </w:r>
      <w:proofErr w:type="spellStart"/>
      <w:r w:rsidR="003F41CA" w:rsidRPr="00201982">
        <w:t>micropenis</w:t>
      </w:r>
      <w:proofErr w:type="spellEnd"/>
      <w:r w:rsidR="003F41CA" w:rsidRPr="00201982">
        <w:t xml:space="preserve">, pubertal induction and the </w:t>
      </w:r>
      <w:r w:rsidR="00B41F5B" w:rsidRPr="00201982">
        <w:t>constitutional delay of</w:t>
      </w:r>
      <w:r w:rsidR="003F41CA" w:rsidRPr="00201982">
        <w:t xml:space="preserve"> growth or onset of puberty. </w:t>
      </w:r>
      <w:r w:rsidRPr="00201982">
        <w:t>A</w:t>
      </w:r>
      <w:r w:rsidR="003F41CA" w:rsidRPr="00201982">
        <w:t xml:space="preserve"> l</w:t>
      </w:r>
      <w:r w:rsidRPr="00201982">
        <w:t>ist of restriction codes is in</w:t>
      </w:r>
      <w:r w:rsidR="00D75E00">
        <w:t xml:space="preserve"> Appendix </w:t>
      </w:r>
      <w:r w:rsidR="000C50CE">
        <w:t>A.</w:t>
      </w:r>
    </w:p>
    <w:p w14:paraId="1BB63427" w14:textId="77777777" w:rsidR="00BE4B03" w:rsidRDefault="00BE4B03">
      <w:pPr>
        <w:spacing w:line="276" w:lineRule="auto"/>
      </w:pPr>
      <w:r>
        <w:br w:type="page"/>
      </w:r>
    </w:p>
    <w:p w14:paraId="4B60BC01" w14:textId="6D845EE0" w:rsidR="00D6011E" w:rsidRDefault="00D6011E" w:rsidP="00D6011E">
      <w:pPr>
        <w:pStyle w:val="Tabletitle"/>
      </w:pPr>
      <w:r w:rsidRPr="00201982">
        <w:lastRenderedPageBreak/>
        <w:t xml:space="preserve">Table </w:t>
      </w:r>
      <w:r w:rsidR="00862DFC">
        <w:t>2</w:t>
      </w:r>
      <w:r w:rsidRPr="00201982">
        <w:t xml:space="preserve">: </w:t>
      </w:r>
      <w:r w:rsidR="007344E6" w:rsidRPr="00201982">
        <w:t xml:space="preserve">Testosterone </w:t>
      </w:r>
      <w:r w:rsidRPr="00201982">
        <w:t>Restrictions (as at December 2019)</w:t>
      </w:r>
    </w:p>
    <w:tbl>
      <w:tblPr>
        <w:tblStyle w:val="TableGrid"/>
        <w:tblW w:w="9180" w:type="dxa"/>
        <w:tblLook w:val="04A0" w:firstRow="1" w:lastRow="0" w:firstColumn="1" w:lastColumn="0" w:noHBand="0" w:noVBand="1"/>
        <w:tblCaption w:val="Table 2: Testosterone Restrictions (as at December 2019)"/>
        <w:tblDescription w:val="Table 2: Testosterone Restrictions (as at December 2019)"/>
      </w:tblPr>
      <w:tblGrid>
        <w:gridCol w:w="2663"/>
        <w:gridCol w:w="6517"/>
      </w:tblGrid>
      <w:tr w:rsidR="008945F8" w:rsidRPr="00C42A4B" w14:paraId="0B8B02EC" w14:textId="77777777" w:rsidTr="008945F8">
        <w:trPr>
          <w:tblHeader/>
        </w:trPr>
        <w:tc>
          <w:tcPr>
            <w:tcW w:w="2663" w:type="dxa"/>
          </w:tcPr>
          <w:p w14:paraId="6623A1F2" w14:textId="77777777" w:rsidR="008945F8" w:rsidRDefault="008945F8" w:rsidP="008945F8">
            <w:pPr>
              <w:spacing w:line="276" w:lineRule="auto"/>
              <w:rPr>
                <w:sz w:val="20"/>
                <w:szCs w:val="20"/>
              </w:rPr>
            </w:pPr>
            <w:proofErr w:type="spellStart"/>
            <w:r w:rsidRPr="00562F2F">
              <w:rPr>
                <w:sz w:val="20"/>
                <w:szCs w:val="20"/>
              </w:rPr>
              <w:t>Micropenis</w:t>
            </w:r>
            <w:proofErr w:type="spellEnd"/>
            <w:r w:rsidRPr="00562F2F">
              <w:rPr>
                <w:sz w:val="20"/>
                <w:szCs w:val="20"/>
              </w:rPr>
              <w:t xml:space="preserve">  </w:t>
            </w:r>
          </w:p>
          <w:p w14:paraId="3A917CA9" w14:textId="77777777" w:rsidR="008945F8" w:rsidRPr="00562F2F" w:rsidRDefault="008945F8" w:rsidP="008945F8">
            <w:pPr>
              <w:spacing w:line="276" w:lineRule="auto"/>
              <w:rPr>
                <w:sz w:val="20"/>
                <w:szCs w:val="20"/>
              </w:rPr>
            </w:pPr>
          </w:p>
        </w:tc>
        <w:tc>
          <w:tcPr>
            <w:tcW w:w="6517" w:type="dxa"/>
            <w:tcBorders>
              <w:bottom w:val="nil"/>
            </w:tcBorders>
          </w:tcPr>
          <w:p w14:paraId="23246484" w14:textId="77777777" w:rsidR="008945F8" w:rsidRDefault="008945F8" w:rsidP="008945F8">
            <w:pPr>
              <w:spacing w:line="276" w:lineRule="auto"/>
              <w:rPr>
                <w:sz w:val="20"/>
                <w:szCs w:val="20"/>
              </w:rPr>
            </w:pPr>
            <w:r w:rsidRPr="00C42A4B">
              <w:rPr>
                <w:sz w:val="20"/>
                <w:szCs w:val="20"/>
              </w:rPr>
              <w:t xml:space="preserve">Population criteria:  </w:t>
            </w:r>
          </w:p>
          <w:p w14:paraId="4630E515" w14:textId="77777777" w:rsidR="008945F8" w:rsidRDefault="008945F8" w:rsidP="008945F8">
            <w:pPr>
              <w:spacing w:line="276" w:lineRule="auto"/>
              <w:rPr>
                <w:sz w:val="20"/>
                <w:szCs w:val="20"/>
              </w:rPr>
            </w:pPr>
            <w:r w:rsidRPr="00C42A4B">
              <w:rPr>
                <w:sz w:val="20"/>
                <w:szCs w:val="20"/>
              </w:rPr>
              <w:t xml:space="preserve">* Patient must be under 18 years of age. </w:t>
            </w:r>
          </w:p>
          <w:p w14:paraId="7A683A21" w14:textId="0284DB68" w:rsidR="008945F8" w:rsidRPr="00C42A4B" w:rsidRDefault="008945F8" w:rsidP="008945F8">
            <w:pPr>
              <w:spacing w:line="276" w:lineRule="auto"/>
              <w:rPr>
                <w:sz w:val="20"/>
                <w:szCs w:val="20"/>
              </w:rPr>
            </w:pPr>
            <w:r w:rsidRPr="00C42A4B">
              <w:rPr>
                <w:sz w:val="20"/>
                <w:szCs w:val="20"/>
              </w:rPr>
              <w:t xml:space="preserve">Treatment criteria: </w:t>
            </w:r>
          </w:p>
        </w:tc>
      </w:tr>
      <w:tr w:rsidR="008945F8" w:rsidRPr="00C42A4B" w14:paraId="3BD05CAF" w14:textId="77777777" w:rsidTr="008945F8">
        <w:trPr>
          <w:tblHeader/>
        </w:trPr>
        <w:tc>
          <w:tcPr>
            <w:tcW w:w="2663" w:type="dxa"/>
            <w:tcBorders>
              <w:right w:val="single" w:sz="4" w:space="0" w:color="auto"/>
            </w:tcBorders>
          </w:tcPr>
          <w:p w14:paraId="0008B428" w14:textId="77777777" w:rsidR="008945F8" w:rsidRDefault="008945F8" w:rsidP="008945F8">
            <w:pPr>
              <w:spacing w:line="276" w:lineRule="auto"/>
              <w:rPr>
                <w:sz w:val="20"/>
                <w:szCs w:val="20"/>
              </w:rPr>
            </w:pPr>
            <w:r w:rsidRPr="00562F2F">
              <w:rPr>
                <w:sz w:val="20"/>
                <w:szCs w:val="20"/>
              </w:rPr>
              <w:t xml:space="preserve">Pubertal induction  </w:t>
            </w:r>
          </w:p>
          <w:p w14:paraId="3872DB97" w14:textId="77777777" w:rsidR="008945F8" w:rsidRPr="00562F2F" w:rsidRDefault="008945F8" w:rsidP="008945F8">
            <w:pPr>
              <w:spacing w:line="276" w:lineRule="auto"/>
              <w:rPr>
                <w:sz w:val="20"/>
                <w:szCs w:val="20"/>
              </w:rPr>
            </w:pPr>
          </w:p>
        </w:tc>
        <w:tc>
          <w:tcPr>
            <w:tcW w:w="6517" w:type="dxa"/>
            <w:tcBorders>
              <w:top w:val="nil"/>
              <w:left w:val="single" w:sz="4" w:space="0" w:color="auto"/>
              <w:bottom w:val="nil"/>
              <w:right w:val="single" w:sz="4" w:space="0" w:color="auto"/>
            </w:tcBorders>
          </w:tcPr>
          <w:p w14:paraId="295EFB03" w14:textId="4477A905" w:rsidR="008945F8" w:rsidRPr="00C42A4B" w:rsidRDefault="008945F8" w:rsidP="008945F8">
            <w:pPr>
              <w:spacing w:line="276" w:lineRule="auto"/>
              <w:rPr>
                <w:sz w:val="20"/>
                <w:szCs w:val="20"/>
              </w:rPr>
            </w:pPr>
            <w:r w:rsidRPr="00C42A4B">
              <w:rPr>
                <w:sz w:val="20"/>
                <w:szCs w:val="20"/>
              </w:rPr>
              <w:t>* Must be treated by a specialist general paediatrician, specialist paediatric endocrinologist, specialist urologist, specialist endocrinologist or a Fellow of the Australasian Chapter of Sexual Health Medicine; or in consultation with</w:t>
            </w:r>
          </w:p>
        </w:tc>
      </w:tr>
      <w:tr w:rsidR="008945F8" w:rsidRPr="00C42A4B" w14:paraId="40411348" w14:textId="77777777" w:rsidTr="008945F8">
        <w:trPr>
          <w:tblHeader/>
        </w:trPr>
        <w:tc>
          <w:tcPr>
            <w:tcW w:w="2663" w:type="dxa"/>
          </w:tcPr>
          <w:p w14:paraId="68F423F1" w14:textId="77777777" w:rsidR="008945F8" w:rsidRDefault="008945F8" w:rsidP="008945F8">
            <w:pPr>
              <w:spacing w:line="276" w:lineRule="auto"/>
              <w:rPr>
                <w:sz w:val="20"/>
                <w:szCs w:val="20"/>
              </w:rPr>
            </w:pPr>
            <w:r w:rsidRPr="00562F2F">
              <w:rPr>
                <w:sz w:val="20"/>
                <w:szCs w:val="20"/>
              </w:rPr>
              <w:t xml:space="preserve">Constitutional delay of growth or puberty  </w:t>
            </w:r>
          </w:p>
          <w:p w14:paraId="45EDE67B" w14:textId="77777777" w:rsidR="008945F8" w:rsidRPr="00562F2F" w:rsidRDefault="008945F8" w:rsidP="008945F8">
            <w:pPr>
              <w:spacing w:line="276" w:lineRule="auto"/>
              <w:rPr>
                <w:sz w:val="20"/>
                <w:szCs w:val="20"/>
              </w:rPr>
            </w:pPr>
          </w:p>
        </w:tc>
        <w:tc>
          <w:tcPr>
            <w:tcW w:w="6517" w:type="dxa"/>
            <w:tcBorders>
              <w:top w:val="nil"/>
            </w:tcBorders>
          </w:tcPr>
          <w:p w14:paraId="52AFE06A" w14:textId="54C9600B" w:rsidR="008945F8" w:rsidRPr="00C42A4B" w:rsidRDefault="008945F8" w:rsidP="008945F8">
            <w:pPr>
              <w:spacing w:line="276" w:lineRule="auto"/>
              <w:rPr>
                <w:sz w:val="20"/>
                <w:szCs w:val="20"/>
              </w:rPr>
            </w:pPr>
            <w:proofErr w:type="gramStart"/>
            <w:r w:rsidRPr="00C42A4B">
              <w:rPr>
                <w:sz w:val="20"/>
                <w:szCs w:val="20"/>
              </w:rPr>
              <w:t>one</w:t>
            </w:r>
            <w:proofErr w:type="gramEnd"/>
            <w:r w:rsidRPr="00C42A4B">
              <w:rPr>
                <w:sz w:val="20"/>
                <w:szCs w:val="20"/>
              </w:rPr>
              <w:t xml:space="preserve"> of these specialists; or have an appointment to be assessed by one of these specialists. The name of the specialist must be included in the authority application.</w:t>
            </w:r>
          </w:p>
        </w:tc>
      </w:tr>
      <w:tr w:rsidR="008945F8" w:rsidRPr="00562F2F" w14:paraId="601A0BEF" w14:textId="77777777" w:rsidTr="002B08B5">
        <w:trPr>
          <w:tblHeader/>
        </w:trPr>
        <w:tc>
          <w:tcPr>
            <w:tcW w:w="2663" w:type="dxa"/>
            <w:tcBorders>
              <w:bottom w:val="nil"/>
            </w:tcBorders>
          </w:tcPr>
          <w:p w14:paraId="63A59C4C" w14:textId="77777777" w:rsidR="008945F8" w:rsidRPr="00562F2F" w:rsidRDefault="008945F8" w:rsidP="008945F8">
            <w:pPr>
              <w:spacing w:line="276" w:lineRule="auto"/>
              <w:rPr>
                <w:sz w:val="20"/>
                <w:szCs w:val="20"/>
              </w:rPr>
            </w:pPr>
            <w:r w:rsidRPr="009A6DF1">
              <w:rPr>
                <w:sz w:val="20"/>
                <w:szCs w:val="20"/>
              </w:rPr>
              <w:t xml:space="preserve">Androgen deficiency  </w:t>
            </w:r>
          </w:p>
        </w:tc>
        <w:tc>
          <w:tcPr>
            <w:tcW w:w="6517" w:type="dxa"/>
          </w:tcPr>
          <w:p w14:paraId="2F83252F" w14:textId="77777777" w:rsidR="008945F8" w:rsidRDefault="008945F8" w:rsidP="008945F8">
            <w:pPr>
              <w:tabs>
                <w:tab w:val="left" w:pos="1073"/>
              </w:tabs>
              <w:spacing w:line="276" w:lineRule="auto"/>
              <w:rPr>
                <w:sz w:val="20"/>
                <w:szCs w:val="20"/>
              </w:rPr>
            </w:pPr>
            <w:r w:rsidRPr="009A6DF1">
              <w:rPr>
                <w:sz w:val="20"/>
                <w:szCs w:val="20"/>
              </w:rPr>
              <w:t xml:space="preserve">Clinical criteria:  </w:t>
            </w:r>
          </w:p>
          <w:p w14:paraId="0EEAB6F8" w14:textId="77777777" w:rsidR="008945F8" w:rsidRDefault="008945F8" w:rsidP="008945F8">
            <w:pPr>
              <w:tabs>
                <w:tab w:val="left" w:pos="1073"/>
              </w:tabs>
              <w:spacing w:line="276" w:lineRule="auto"/>
              <w:rPr>
                <w:sz w:val="20"/>
                <w:szCs w:val="20"/>
              </w:rPr>
            </w:pPr>
            <w:r w:rsidRPr="009A6DF1">
              <w:rPr>
                <w:sz w:val="20"/>
                <w:szCs w:val="20"/>
              </w:rPr>
              <w:t xml:space="preserve">* Patient must have an established pituitary or testicular disorder.  Treatment criteria:  </w:t>
            </w:r>
          </w:p>
          <w:p w14:paraId="636A05C5" w14:textId="1A2169F6" w:rsidR="008945F8" w:rsidRPr="00562F2F" w:rsidRDefault="008945F8" w:rsidP="008945F8">
            <w:pPr>
              <w:tabs>
                <w:tab w:val="left" w:pos="1073"/>
              </w:tabs>
              <w:spacing w:line="276" w:lineRule="auto"/>
              <w:rPr>
                <w:sz w:val="20"/>
                <w:szCs w:val="20"/>
              </w:rPr>
            </w:pPr>
            <w:r w:rsidRPr="009A6DF1">
              <w:rPr>
                <w:sz w:val="20"/>
                <w:szCs w:val="20"/>
              </w:rPr>
              <w:t>* 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 The name of the specialist must be included in the authority application.</w:t>
            </w:r>
            <w:r>
              <w:rPr>
                <w:sz w:val="20"/>
                <w:szCs w:val="20"/>
              </w:rPr>
              <w:tab/>
            </w:r>
          </w:p>
        </w:tc>
      </w:tr>
      <w:tr w:rsidR="008945F8" w:rsidRPr="00562F2F" w14:paraId="08341120" w14:textId="77777777" w:rsidTr="002B08B5">
        <w:trPr>
          <w:tblHeader/>
        </w:trPr>
        <w:tc>
          <w:tcPr>
            <w:tcW w:w="2663" w:type="dxa"/>
            <w:tcBorders>
              <w:top w:val="nil"/>
              <w:left w:val="single" w:sz="4" w:space="0" w:color="auto"/>
              <w:bottom w:val="single" w:sz="4" w:space="0" w:color="auto"/>
              <w:right w:val="single" w:sz="4" w:space="0" w:color="auto"/>
            </w:tcBorders>
          </w:tcPr>
          <w:p w14:paraId="71D95F82" w14:textId="77777777" w:rsidR="008945F8" w:rsidRPr="009A6DF1" w:rsidRDefault="008945F8" w:rsidP="008945F8">
            <w:pPr>
              <w:spacing w:line="276" w:lineRule="auto"/>
              <w:rPr>
                <w:sz w:val="20"/>
                <w:szCs w:val="20"/>
              </w:rPr>
            </w:pPr>
          </w:p>
        </w:tc>
        <w:tc>
          <w:tcPr>
            <w:tcW w:w="6517" w:type="dxa"/>
            <w:tcBorders>
              <w:left w:val="single" w:sz="4" w:space="0" w:color="auto"/>
            </w:tcBorders>
          </w:tcPr>
          <w:p w14:paraId="1799FEB1" w14:textId="77777777" w:rsidR="008945F8" w:rsidRPr="00F739A6" w:rsidRDefault="008945F8" w:rsidP="008945F8">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Clinical criteria: </w:t>
            </w:r>
          </w:p>
          <w:p w14:paraId="09CC7EBB" w14:textId="77777777" w:rsidR="008945F8" w:rsidRPr="00F739A6" w:rsidRDefault="008945F8" w:rsidP="008945F8">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 Patient must not have an established pituitary or testicular disorder,  AND  </w:t>
            </w:r>
          </w:p>
          <w:p w14:paraId="2383CE43" w14:textId="77777777" w:rsidR="008945F8" w:rsidRDefault="008945F8" w:rsidP="008945F8">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 The condition must not be due to age, obesity, cardiovascular diseases, infertility or drugs.  </w:t>
            </w:r>
          </w:p>
          <w:p w14:paraId="07D43889" w14:textId="77777777" w:rsidR="008945F8" w:rsidRDefault="008945F8" w:rsidP="008945F8">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Population criteria:  </w:t>
            </w:r>
          </w:p>
          <w:p w14:paraId="052688C7" w14:textId="12209A82" w:rsidR="008945F8" w:rsidRPr="00F739A6" w:rsidRDefault="008945F8" w:rsidP="008945F8">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 Patient must be aged 40 years or older.  </w:t>
            </w:r>
          </w:p>
          <w:p w14:paraId="325A00A7" w14:textId="77777777" w:rsidR="008945F8" w:rsidRPr="00F739A6" w:rsidRDefault="008945F8" w:rsidP="008945F8">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Treatment criteria:  </w:t>
            </w:r>
          </w:p>
          <w:p w14:paraId="41D7CFA6" w14:textId="44EC1831" w:rsidR="008945F8" w:rsidRPr="00F739A6" w:rsidRDefault="008945F8" w:rsidP="008945F8">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 Must be treated by a specialist urologist, specialist endocrinologist or a </w:t>
            </w:r>
            <w:r>
              <w:rPr>
                <w:rFonts w:ascii="Calibri" w:eastAsia="Times New Roman" w:hAnsi="Calibri" w:cs="Times New Roman"/>
                <w:sz w:val="20"/>
                <w:szCs w:val="20"/>
                <w:lang w:eastAsia="en-US"/>
              </w:rPr>
              <w:t>Fellow</w:t>
            </w:r>
            <w:r w:rsidRPr="00F739A6">
              <w:rPr>
                <w:rFonts w:ascii="Calibri" w:eastAsia="Times New Roman" w:hAnsi="Calibri" w:cs="Times New Roman"/>
                <w:sz w:val="20"/>
                <w:szCs w:val="20"/>
                <w:lang w:eastAsia="en-US"/>
              </w:rPr>
              <w:t xml:space="preserve"> of the Australasian Chapter of Sexual Health Medicine; or in consultation with one of these specialists; or have an appointment to be assessed by one of these specialists. </w:t>
            </w:r>
          </w:p>
          <w:p w14:paraId="54193F4B" w14:textId="77777777" w:rsidR="008945F8" w:rsidRDefault="008945F8" w:rsidP="008945F8">
            <w:pPr>
              <w:spacing w:line="276" w:lineRule="auto"/>
              <w:rPr>
                <w:rFonts w:ascii="Calibri" w:eastAsia="Times New Roman" w:hAnsi="Calibri" w:cs="Times New Roman"/>
                <w:sz w:val="20"/>
                <w:szCs w:val="20"/>
                <w:lang w:eastAsia="en-US"/>
              </w:rPr>
            </w:pPr>
          </w:p>
          <w:p w14:paraId="0F45EA00" w14:textId="210B9329" w:rsidR="008945F8" w:rsidRPr="00F739A6" w:rsidRDefault="008945F8" w:rsidP="008945F8">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Androgen deficiency is defined as:</w:t>
            </w:r>
          </w:p>
          <w:p w14:paraId="082EBB8C" w14:textId="77777777" w:rsidR="008945F8" w:rsidRPr="00F739A6" w:rsidRDefault="008945F8" w:rsidP="008945F8">
            <w:pPr>
              <w:numPr>
                <w:ilvl w:val="0"/>
                <w:numId w:val="8"/>
              </w:numPr>
              <w:spacing w:line="276" w:lineRule="auto"/>
              <w:contextualSpacing/>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testosterone level of less than 6 </w:t>
            </w:r>
            <w:proofErr w:type="spellStart"/>
            <w:r w:rsidRPr="00F739A6">
              <w:rPr>
                <w:rFonts w:ascii="Calibri" w:eastAsia="Times New Roman" w:hAnsi="Calibri" w:cs="Times New Roman"/>
                <w:sz w:val="20"/>
                <w:szCs w:val="20"/>
                <w:lang w:eastAsia="en-US"/>
              </w:rPr>
              <w:t>nmol</w:t>
            </w:r>
            <w:proofErr w:type="spellEnd"/>
            <w:r w:rsidRPr="00F739A6">
              <w:rPr>
                <w:rFonts w:ascii="Calibri" w:eastAsia="Times New Roman" w:hAnsi="Calibri" w:cs="Times New Roman"/>
                <w:sz w:val="20"/>
                <w:szCs w:val="20"/>
                <w:lang w:eastAsia="en-US"/>
              </w:rPr>
              <w:t xml:space="preserve"> per litre; OR</w:t>
            </w:r>
          </w:p>
          <w:p w14:paraId="03DDB085" w14:textId="77777777" w:rsidR="008945F8" w:rsidRPr="00F739A6" w:rsidRDefault="008945F8" w:rsidP="008945F8">
            <w:pPr>
              <w:numPr>
                <w:ilvl w:val="0"/>
                <w:numId w:val="8"/>
              </w:numPr>
              <w:spacing w:line="276" w:lineRule="auto"/>
              <w:contextualSpacing/>
              <w:rPr>
                <w:rFonts w:ascii="Calibri" w:eastAsia="Times New Roman" w:hAnsi="Calibri" w:cs="Times New Roman"/>
                <w:sz w:val="20"/>
                <w:szCs w:val="20"/>
                <w:lang w:eastAsia="en-US"/>
              </w:rPr>
            </w:pPr>
            <w:proofErr w:type="gramStart"/>
            <w:r w:rsidRPr="00F739A6">
              <w:rPr>
                <w:rFonts w:ascii="Calibri" w:eastAsia="Times New Roman" w:hAnsi="Calibri" w:cs="Times New Roman"/>
                <w:sz w:val="20"/>
                <w:szCs w:val="20"/>
                <w:lang w:eastAsia="en-US"/>
              </w:rPr>
              <w:t>testosterone</w:t>
            </w:r>
            <w:proofErr w:type="gramEnd"/>
            <w:r w:rsidRPr="00F739A6">
              <w:rPr>
                <w:rFonts w:ascii="Calibri" w:eastAsia="Times New Roman" w:hAnsi="Calibri" w:cs="Times New Roman"/>
                <w:sz w:val="20"/>
                <w:szCs w:val="20"/>
                <w:lang w:eastAsia="en-US"/>
              </w:rPr>
              <w:t xml:space="preserve"> level between 6 and 15 </w:t>
            </w:r>
            <w:proofErr w:type="spellStart"/>
            <w:r w:rsidRPr="00F739A6">
              <w:rPr>
                <w:rFonts w:ascii="Calibri" w:eastAsia="Times New Roman" w:hAnsi="Calibri" w:cs="Times New Roman"/>
                <w:sz w:val="20"/>
                <w:szCs w:val="20"/>
                <w:lang w:eastAsia="en-US"/>
              </w:rPr>
              <w:t>nmol</w:t>
            </w:r>
            <w:proofErr w:type="spellEnd"/>
            <w:r w:rsidRPr="00F739A6">
              <w:rPr>
                <w:rFonts w:ascii="Calibri" w:eastAsia="Times New Roman" w:hAnsi="Calibri" w:cs="Times New Roman"/>
                <w:sz w:val="20"/>
                <w:szCs w:val="20"/>
                <w:lang w:eastAsia="en-US"/>
              </w:rPr>
              <w:t xml:space="preserve"> per litre with high luteinising hormone (LH) (greater than 1.5 times the upper limit of the </w:t>
            </w:r>
            <w:proofErr w:type="spellStart"/>
            <w:r w:rsidRPr="00F739A6">
              <w:rPr>
                <w:rFonts w:ascii="Calibri" w:eastAsia="Times New Roman" w:hAnsi="Calibri" w:cs="Times New Roman"/>
                <w:sz w:val="20"/>
                <w:szCs w:val="20"/>
                <w:lang w:eastAsia="en-US"/>
              </w:rPr>
              <w:t>eugonodal</w:t>
            </w:r>
            <w:proofErr w:type="spellEnd"/>
            <w:r w:rsidRPr="00F739A6">
              <w:rPr>
                <w:rFonts w:ascii="Calibri" w:eastAsia="Times New Roman" w:hAnsi="Calibri" w:cs="Times New Roman"/>
                <w:sz w:val="20"/>
                <w:szCs w:val="20"/>
                <w:lang w:eastAsia="en-US"/>
              </w:rPr>
              <w:t xml:space="preserve"> reference range for young men, or greater than 14 IU per litre, whichever is higher).</w:t>
            </w:r>
          </w:p>
          <w:p w14:paraId="6AC99CCE" w14:textId="77777777" w:rsidR="008945F8" w:rsidRPr="00F739A6" w:rsidRDefault="008945F8" w:rsidP="008945F8">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Androgen deficiency must be confirmed by at least two morning blood samples taken on different mornings. The dates and levels of the qualifying testosterone and LH measurements must be, or must have been provided in the authority application when treatment with this drug is or was initiated. The name of the specialist must be included in the authority application.</w:t>
            </w:r>
          </w:p>
          <w:p w14:paraId="3B31FFEE" w14:textId="77777777" w:rsidR="008945F8" w:rsidRPr="009A6DF1" w:rsidRDefault="008945F8" w:rsidP="008945F8">
            <w:pPr>
              <w:tabs>
                <w:tab w:val="left" w:pos="1073"/>
              </w:tabs>
              <w:spacing w:line="276" w:lineRule="auto"/>
              <w:rPr>
                <w:sz w:val="20"/>
                <w:szCs w:val="20"/>
              </w:rPr>
            </w:pPr>
          </w:p>
        </w:tc>
      </w:tr>
    </w:tbl>
    <w:p w14:paraId="09EC21C5" w14:textId="77777777" w:rsidR="00B41F5B" w:rsidRDefault="00B41F5B" w:rsidP="003F41CA"/>
    <w:p w14:paraId="6285361B" w14:textId="488CC017" w:rsidR="003F41CA" w:rsidRDefault="003F41CA" w:rsidP="003F41CA">
      <w:pPr>
        <w:rPr>
          <w:u w:val="single"/>
        </w:rPr>
      </w:pPr>
      <w:r w:rsidRPr="00834305">
        <w:t xml:space="preserve">For details of the current PBS-listing refer to the </w:t>
      </w:r>
      <w:hyperlink r:id="rId11" w:history="1">
        <w:r w:rsidRPr="00834305">
          <w:rPr>
            <w:rStyle w:val="Hyperlink"/>
          </w:rPr>
          <w:t>PBS website</w:t>
        </w:r>
      </w:hyperlink>
      <w:r w:rsidRPr="00834305">
        <w:rPr>
          <w:u w:val="single"/>
        </w:rPr>
        <w:t>.</w:t>
      </w:r>
    </w:p>
    <w:p w14:paraId="5AB20DB1" w14:textId="77777777" w:rsidR="00BC1AD4" w:rsidRPr="00834305" w:rsidRDefault="00BC1AD4" w:rsidP="003F41CA"/>
    <w:p w14:paraId="509ADFEB" w14:textId="63E8D084" w:rsidR="009C35F2" w:rsidRDefault="009C35F2" w:rsidP="00CF5E22">
      <w:pPr>
        <w:pStyle w:val="Heading3"/>
      </w:pPr>
      <w:r w:rsidRPr="00675BB1" w:rsidDel="00EE2BBB">
        <w:lastRenderedPageBreak/>
        <w:t>Date of listing on PBS</w:t>
      </w:r>
    </w:p>
    <w:p w14:paraId="5F8E195E" w14:textId="2566B731" w:rsidR="00E84BFD" w:rsidRPr="00834305" w:rsidRDefault="00E84BFD" w:rsidP="00BC1AD4">
      <w:pPr>
        <w:pStyle w:val="ListParagraph"/>
        <w:numPr>
          <w:ilvl w:val="0"/>
          <w:numId w:val="19"/>
        </w:numPr>
      </w:pPr>
      <w:r w:rsidRPr="00834305">
        <w:t>Testosterone esters injection (de</w:t>
      </w:r>
      <w:r w:rsidR="008D10CC">
        <w:t>listed January 2012): pre-1966</w:t>
      </w:r>
    </w:p>
    <w:p w14:paraId="69700FB3" w14:textId="0D7AA992" w:rsidR="00E84BFD" w:rsidRPr="00834305" w:rsidRDefault="00E84BFD" w:rsidP="00BC1AD4">
      <w:pPr>
        <w:pStyle w:val="ListParagraph"/>
        <w:numPr>
          <w:ilvl w:val="0"/>
          <w:numId w:val="19"/>
        </w:numPr>
      </w:pPr>
      <w:r w:rsidRPr="00834305">
        <w:t xml:space="preserve">Testosterone </w:t>
      </w:r>
      <w:proofErr w:type="spellStart"/>
      <w:r w:rsidRPr="00834305">
        <w:t>enantate</w:t>
      </w:r>
      <w:proofErr w:type="spellEnd"/>
      <w:r w:rsidR="004549DA">
        <w:t xml:space="preserve"> (</w:t>
      </w:r>
      <w:proofErr w:type="spellStart"/>
      <w:r w:rsidR="004549DA">
        <w:t>enanthate</w:t>
      </w:r>
      <w:proofErr w:type="spellEnd"/>
      <w:r w:rsidR="004549DA">
        <w:t>)</w:t>
      </w:r>
      <w:r w:rsidRPr="00834305">
        <w:t xml:space="preserve"> </w:t>
      </w:r>
      <w:r w:rsidRPr="004549DA">
        <w:t>injection (delisted</w:t>
      </w:r>
      <w:r w:rsidR="004549DA" w:rsidRPr="004549DA">
        <w:t xml:space="preserve"> February 2018</w:t>
      </w:r>
      <w:r w:rsidRPr="004549DA">
        <w:t>): pre</w:t>
      </w:r>
      <w:r w:rsidRPr="00834305">
        <w:t>-1974</w:t>
      </w:r>
    </w:p>
    <w:p w14:paraId="0B173D18" w14:textId="77777777" w:rsidR="00E84BFD" w:rsidRPr="00834305" w:rsidRDefault="00E84BFD" w:rsidP="00BC1AD4">
      <w:pPr>
        <w:pStyle w:val="ListParagraph"/>
        <w:numPr>
          <w:ilvl w:val="0"/>
          <w:numId w:val="19"/>
        </w:numPr>
      </w:pPr>
      <w:r w:rsidRPr="00834305">
        <w:t xml:space="preserve">Testosterone </w:t>
      </w:r>
      <w:proofErr w:type="spellStart"/>
      <w:r w:rsidRPr="00834305">
        <w:t>undecanoate</w:t>
      </w:r>
      <w:proofErr w:type="spellEnd"/>
      <w:r w:rsidRPr="00834305">
        <w:t xml:space="preserve"> capsule: April 1990</w:t>
      </w:r>
    </w:p>
    <w:p w14:paraId="158F66E3" w14:textId="77777777" w:rsidR="00E84BFD" w:rsidRPr="00834305" w:rsidRDefault="00E84BFD" w:rsidP="00BC1AD4">
      <w:pPr>
        <w:pStyle w:val="ListParagraph"/>
        <w:numPr>
          <w:ilvl w:val="0"/>
          <w:numId w:val="19"/>
        </w:numPr>
      </w:pPr>
      <w:r w:rsidRPr="00834305">
        <w:t>Testosterone subcutaneous implant: November 1996</w:t>
      </w:r>
    </w:p>
    <w:p w14:paraId="396AC98A" w14:textId="77777777" w:rsidR="00E84BFD" w:rsidRPr="00834305" w:rsidRDefault="00E84BFD" w:rsidP="00BC1AD4">
      <w:pPr>
        <w:pStyle w:val="ListParagraph"/>
        <w:numPr>
          <w:ilvl w:val="0"/>
          <w:numId w:val="19"/>
        </w:numPr>
      </w:pPr>
      <w:r w:rsidRPr="00834305">
        <w:t>Testosterone transdermal patch: November 2000</w:t>
      </w:r>
    </w:p>
    <w:p w14:paraId="50C27A04" w14:textId="77777777" w:rsidR="00E84BFD" w:rsidRPr="00834305" w:rsidRDefault="00E84BFD" w:rsidP="00BC1AD4">
      <w:pPr>
        <w:pStyle w:val="ListParagraph"/>
        <w:numPr>
          <w:ilvl w:val="0"/>
          <w:numId w:val="19"/>
        </w:numPr>
      </w:pPr>
      <w:r w:rsidRPr="00834305">
        <w:t>Testosterone transdermal gel: August 2005</w:t>
      </w:r>
    </w:p>
    <w:p w14:paraId="4FCFBED9" w14:textId="272CA6BF" w:rsidR="00E84BFD" w:rsidRPr="00834305" w:rsidRDefault="00E84BFD" w:rsidP="00BC1AD4">
      <w:pPr>
        <w:pStyle w:val="ListParagraph"/>
        <w:numPr>
          <w:ilvl w:val="0"/>
          <w:numId w:val="19"/>
        </w:numPr>
      </w:pPr>
      <w:r w:rsidRPr="00834305">
        <w:t xml:space="preserve">Testosterone </w:t>
      </w:r>
      <w:proofErr w:type="spellStart"/>
      <w:r w:rsidRPr="00834305">
        <w:t>undecanoate</w:t>
      </w:r>
      <w:proofErr w:type="spellEnd"/>
      <w:r w:rsidRPr="00834305">
        <w:t xml:space="preserve"> injection: August 2006</w:t>
      </w:r>
    </w:p>
    <w:p w14:paraId="6FD96B0A" w14:textId="60A08E0A" w:rsidR="00E84BFD" w:rsidRPr="00834305" w:rsidRDefault="00E84BFD" w:rsidP="00BC1AD4">
      <w:pPr>
        <w:pStyle w:val="ListParagraph"/>
        <w:numPr>
          <w:ilvl w:val="0"/>
          <w:numId w:val="19"/>
        </w:numPr>
      </w:pPr>
      <w:r w:rsidRPr="00834305">
        <w:t>Testosterone transdermal solution</w:t>
      </w:r>
      <w:r w:rsidR="004549DA">
        <w:t xml:space="preserve"> (delisted January 2018)</w:t>
      </w:r>
      <w:r w:rsidRPr="00834305">
        <w:t>: March 2013</w:t>
      </w:r>
    </w:p>
    <w:p w14:paraId="02EC412B" w14:textId="77777777" w:rsidR="00E84BFD" w:rsidRPr="00834305" w:rsidRDefault="00E84BFD" w:rsidP="00BC1AD4">
      <w:pPr>
        <w:pStyle w:val="ListParagraph"/>
        <w:numPr>
          <w:ilvl w:val="0"/>
          <w:numId w:val="19"/>
        </w:numPr>
      </w:pPr>
      <w:r w:rsidRPr="00834305">
        <w:t>Testosterone transdermal cream: August 2015</w:t>
      </w:r>
    </w:p>
    <w:p w14:paraId="39EF75ED" w14:textId="73256AB5" w:rsidR="00675BB1" w:rsidRPr="00675BB1" w:rsidDel="00EE2BBB" w:rsidRDefault="00675BB1" w:rsidP="00CF5E22">
      <w:pPr>
        <w:pStyle w:val="Heading3"/>
      </w:pPr>
      <w:r w:rsidRPr="00675BB1" w:rsidDel="00EE2BBB">
        <w:t>Changes to listing</w:t>
      </w:r>
    </w:p>
    <w:p w14:paraId="232720EF" w14:textId="26948740" w:rsidR="009C35F2" w:rsidRDefault="004549DA" w:rsidP="004549DA">
      <w:pPr>
        <w:pStyle w:val="Tabletitle"/>
      </w:pPr>
      <w:r>
        <w:t xml:space="preserve">Table </w:t>
      </w:r>
      <w:r w:rsidR="00862DFC">
        <w:t>3</w:t>
      </w:r>
      <w:r>
        <w:t xml:space="preserve">: </w:t>
      </w:r>
      <w:r w:rsidRPr="00201982">
        <w:t>changes to listing since August 2015</w:t>
      </w:r>
    </w:p>
    <w:tbl>
      <w:tblPr>
        <w:tblStyle w:val="TableGrid"/>
        <w:tblW w:w="0" w:type="auto"/>
        <w:tblLook w:val="04A0" w:firstRow="1" w:lastRow="0" w:firstColumn="1" w:lastColumn="0" w:noHBand="0" w:noVBand="1"/>
        <w:tblCaption w:val="Table 3: changes to listing since August 2015"/>
        <w:tblDescription w:val="Table 3: changes to listing since August 2015"/>
      </w:tblPr>
      <w:tblGrid>
        <w:gridCol w:w="1918"/>
        <w:gridCol w:w="7029"/>
      </w:tblGrid>
      <w:tr w:rsidR="00847AA9" w:rsidRPr="00CB14DE" w14:paraId="3282868A" w14:textId="77777777" w:rsidTr="006A39C7">
        <w:trPr>
          <w:tblHeader/>
        </w:trPr>
        <w:tc>
          <w:tcPr>
            <w:tcW w:w="1951" w:type="dxa"/>
            <w:shd w:val="clear" w:color="auto" w:fill="BFBFBF" w:themeFill="background1" w:themeFillShade="BF"/>
          </w:tcPr>
          <w:p w14:paraId="6FB6C8DD" w14:textId="23F8580E" w:rsidR="00847AA9" w:rsidRPr="00CB14DE" w:rsidRDefault="00847AA9" w:rsidP="00847AA9">
            <w:pPr>
              <w:pStyle w:val="Tableheading"/>
              <w:rPr>
                <w:sz w:val="20"/>
                <w:szCs w:val="20"/>
              </w:rPr>
            </w:pPr>
            <w:r w:rsidRPr="00CB14DE">
              <w:rPr>
                <w:sz w:val="20"/>
                <w:szCs w:val="20"/>
              </w:rPr>
              <w:t>Date</w:t>
            </w:r>
          </w:p>
        </w:tc>
        <w:tc>
          <w:tcPr>
            <w:tcW w:w="7222" w:type="dxa"/>
            <w:shd w:val="clear" w:color="auto" w:fill="BFBFBF" w:themeFill="background1" w:themeFillShade="BF"/>
          </w:tcPr>
          <w:p w14:paraId="5244BFE5" w14:textId="583CEF00" w:rsidR="00847AA9" w:rsidRPr="00CB14DE" w:rsidRDefault="00847AA9" w:rsidP="00847AA9">
            <w:pPr>
              <w:pStyle w:val="Tableheading"/>
              <w:rPr>
                <w:sz w:val="20"/>
                <w:szCs w:val="20"/>
              </w:rPr>
            </w:pPr>
            <w:r w:rsidRPr="00CB14DE">
              <w:rPr>
                <w:sz w:val="20"/>
                <w:szCs w:val="20"/>
              </w:rPr>
              <w:t>Change to listing</w:t>
            </w:r>
          </w:p>
        </w:tc>
      </w:tr>
      <w:tr w:rsidR="00847AA9" w14:paraId="7878ED7A" w14:textId="77777777" w:rsidTr="00847AA9">
        <w:tc>
          <w:tcPr>
            <w:tcW w:w="1951" w:type="dxa"/>
          </w:tcPr>
          <w:p w14:paraId="54702782" w14:textId="41BBC353" w:rsidR="00847AA9" w:rsidRDefault="00847AA9" w:rsidP="00847AA9">
            <w:pPr>
              <w:pStyle w:val="Tablewriting"/>
            </w:pPr>
            <w:r>
              <w:t>1 August 2015</w:t>
            </w:r>
          </w:p>
        </w:tc>
        <w:tc>
          <w:tcPr>
            <w:tcW w:w="7222" w:type="dxa"/>
          </w:tcPr>
          <w:p w14:paraId="6DA89C16" w14:textId="51960075" w:rsidR="00847AA9" w:rsidRDefault="00847AA9" w:rsidP="0008651B">
            <w:pPr>
              <w:pStyle w:val="Tablewriting"/>
            </w:pPr>
            <w:r>
              <w:t>Addition of two items for all current restrictions</w:t>
            </w:r>
            <w:r w:rsidR="0008651B">
              <w:t>: c</w:t>
            </w:r>
            <w:r>
              <w:t>ream</w:t>
            </w:r>
            <w:r w:rsidR="0008651B">
              <w:t xml:space="preserve"> and </w:t>
            </w:r>
            <w:r>
              <w:t xml:space="preserve">1% gel </w:t>
            </w:r>
          </w:p>
        </w:tc>
      </w:tr>
      <w:tr w:rsidR="00847AA9" w14:paraId="44093774" w14:textId="77777777" w:rsidTr="00847AA9">
        <w:tc>
          <w:tcPr>
            <w:tcW w:w="1951" w:type="dxa"/>
          </w:tcPr>
          <w:p w14:paraId="523B5A54" w14:textId="27DE6880" w:rsidR="00847AA9" w:rsidRDefault="00847AA9" w:rsidP="00847AA9">
            <w:pPr>
              <w:pStyle w:val="Tablewriting"/>
            </w:pPr>
            <w:r>
              <w:t>1 October 2015</w:t>
            </w:r>
          </w:p>
        </w:tc>
        <w:tc>
          <w:tcPr>
            <w:tcW w:w="7222" w:type="dxa"/>
          </w:tcPr>
          <w:p w14:paraId="4A052FD7" w14:textId="374D43E9" w:rsidR="00847AA9" w:rsidRDefault="00847AA9" w:rsidP="00847AA9">
            <w:pPr>
              <w:pStyle w:val="Tablewriting"/>
            </w:pPr>
            <w:r>
              <w:t>Removed population criterion “patient must be male”</w:t>
            </w:r>
          </w:p>
        </w:tc>
      </w:tr>
      <w:tr w:rsidR="00847AA9" w14:paraId="494F6669" w14:textId="77777777" w:rsidTr="00847AA9">
        <w:tc>
          <w:tcPr>
            <w:tcW w:w="1951" w:type="dxa"/>
          </w:tcPr>
          <w:p w14:paraId="30A129A5" w14:textId="0B7B20B4" w:rsidR="00847AA9" w:rsidRDefault="00847AA9" w:rsidP="00847AA9">
            <w:pPr>
              <w:pStyle w:val="Tablewriting"/>
            </w:pPr>
            <w:r>
              <w:t>1 August 2016</w:t>
            </w:r>
          </w:p>
        </w:tc>
        <w:tc>
          <w:tcPr>
            <w:tcW w:w="7222" w:type="dxa"/>
          </w:tcPr>
          <w:p w14:paraId="31C763E0" w14:textId="45BF3C0B" w:rsidR="00847AA9" w:rsidRDefault="00847AA9" w:rsidP="00847AA9">
            <w:pPr>
              <w:pStyle w:val="Tablewriting"/>
            </w:pPr>
            <w:r>
              <w:t>Restriction wording change from “registered member” of the Australasian Chapter of Sexual Health Medicine, to “Fellow” of the Australasian Chapter of Sexual Health Medicine</w:t>
            </w:r>
          </w:p>
        </w:tc>
      </w:tr>
      <w:tr w:rsidR="00847AA9" w14:paraId="097BAA08" w14:textId="77777777" w:rsidTr="002B08B5">
        <w:tc>
          <w:tcPr>
            <w:tcW w:w="1951" w:type="dxa"/>
            <w:tcBorders>
              <w:bottom w:val="single" w:sz="4" w:space="0" w:color="auto"/>
            </w:tcBorders>
          </w:tcPr>
          <w:p w14:paraId="0618A26A" w14:textId="30ABEE17" w:rsidR="00847AA9" w:rsidRDefault="00847AA9" w:rsidP="00847AA9">
            <w:pPr>
              <w:pStyle w:val="Tablewriting"/>
            </w:pPr>
            <w:r>
              <w:t>1 June 2017</w:t>
            </w:r>
          </w:p>
        </w:tc>
        <w:tc>
          <w:tcPr>
            <w:tcW w:w="7222" w:type="dxa"/>
          </w:tcPr>
          <w:p w14:paraId="7A1B6EEE" w14:textId="447988C5" w:rsidR="00847AA9" w:rsidRPr="00847AA9" w:rsidRDefault="00847AA9" w:rsidP="00847AA9">
            <w:pPr>
              <w:rPr>
                <w:rFonts w:cs="Calibri"/>
                <w:color w:val="000000"/>
                <w:sz w:val="20"/>
                <w:szCs w:val="20"/>
              </w:rPr>
            </w:pPr>
            <w:r w:rsidRPr="00847AA9">
              <w:rPr>
                <w:rFonts w:cs="Calibri"/>
                <w:color w:val="000000"/>
                <w:sz w:val="20"/>
                <w:szCs w:val="20"/>
              </w:rPr>
              <w:t xml:space="preserve">Added specialist general paediatricians to the restriction for patients under 18 years of age with androgen deficiency due to established pituitary or testicular disorders </w:t>
            </w:r>
          </w:p>
        </w:tc>
      </w:tr>
      <w:tr w:rsidR="004549DA" w14:paraId="3801C931" w14:textId="77777777" w:rsidTr="002B08B5">
        <w:tc>
          <w:tcPr>
            <w:tcW w:w="1951" w:type="dxa"/>
            <w:tcBorders>
              <w:top w:val="single" w:sz="4" w:space="0" w:color="auto"/>
              <w:left w:val="single" w:sz="4" w:space="0" w:color="auto"/>
              <w:bottom w:val="nil"/>
              <w:right w:val="single" w:sz="4" w:space="0" w:color="auto"/>
            </w:tcBorders>
          </w:tcPr>
          <w:p w14:paraId="246FA9EA" w14:textId="4A6B2D85" w:rsidR="004549DA" w:rsidRDefault="004549DA" w:rsidP="00847AA9">
            <w:pPr>
              <w:pStyle w:val="Tablewriting"/>
            </w:pPr>
            <w:r>
              <w:t>1 January 2018</w:t>
            </w:r>
          </w:p>
        </w:tc>
        <w:tc>
          <w:tcPr>
            <w:tcW w:w="7222" w:type="dxa"/>
            <w:tcBorders>
              <w:left w:val="single" w:sz="4" w:space="0" w:color="auto"/>
            </w:tcBorders>
          </w:tcPr>
          <w:p w14:paraId="6AD63D7D" w14:textId="330144C3" w:rsidR="004549DA" w:rsidRDefault="004549DA" w:rsidP="00847AA9">
            <w:pPr>
              <w:pStyle w:val="Tablewriting"/>
            </w:pPr>
            <w:r>
              <w:t>Testosterone 2% solution delisted</w:t>
            </w:r>
          </w:p>
        </w:tc>
      </w:tr>
      <w:tr w:rsidR="004549DA" w14:paraId="67455F51" w14:textId="77777777" w:rsidTr="002B08B5">
        <w:tc>
          <w:tcPr>
            <w:tcW w:w="1951" w:type="dxa"/>
            <w:tcBorders>
              <w:top w:val="nil"/>
              <w:left w:val="single" w:sz="4" w:space="0" w:color="auto"/>
              <w:bottom w:val="single" w:sz="4" w:space="0" w:color="auto"/>
              <w:right w:val="single" w:sz="4" w:space="0" w:color="auto"/>
            </w:tcBorders>
          </w:tcPr>
          <w:p w14:paraId="7AF7FF33" w14:textId="77777777" w:rsidR="004549DA" w:rsidRDefault="004549DA" w:rsidP="00847AA9">
            <w:pPr>
              <w:pStyle w:val="Tablewriting"/>
            </w:pPr>
          </w:p>
        </w:tc>
        <w:tc>
          <w:tcPr>
            <w:tcW w:w="7222" w:type="dxa"/>
            <w:tcBorders>
              <w:left w:val="single" w:sz="4" w:space="0" w:color="auto"/>
            </w:tcBorders>
          </w:tcPr>
          <w:p w14:paraId="170649AE" w14:textId="6D8BA2F1" w:rsidR="004549DA" w:rsidRDefault="004549DA" w:rsidP="00847AA9">
            <w:pPr>
              <w:pStyle w:val="Tablewriting"/>
            </w:pPr>
            <w:r>
              <w:t xml:space="preserve">Alteration item description: testosterone </w:t>
            </w:r>
            <w:proofErr w:type="spellStart"/>
            <w:r>
              <w:t>enanthate</w:t>
            </w:r>
            <w:proofErr w:type="spellEnd"/>
            <w:r>
              <w:t xml:space="preserve"> changed to </w:t>
            </w:r>
            <w:proofErr w:type="spellStart"/>
            <w:r>
              <w:t>enantate</w:t>
            </w:r>
            <w:proofErr w:type="spellEnd"/>
          </w:p>
        </w:tc>
      </w:tr>
      <w:tr w:rsidR="004549DA" w14:paraId="6CAD4010" w14:textId="77777777" w:rsidTr="002B08B5">
        <w:tc>
          <w:tcPr>
            <w:tcW w:w="1951" w:type="dxa"/>
            <w:tcBorders>
              <w:top w:val="single" w:sz="4" w:space="0" w:color="auto"/>
            </w:tcBorders>
          </w:tcPr>
          <w:p w14:paraId="68B3F7BC" w14:textId="162EBE4D" w:rsidR="004549DA" w:rsidRDefault="004549DA" w:rsidP="00847AA9">
            <w:pPr>
              <w:pStyle w:val="Tablewriting"/>
            </w:pPr>
            <w:r>
              <w:t>1 February 2018</w:t>
            </w:r>
          </w:p>
        </w:tc>
        <w:tc>
          <w:tcPr>
            <w:tcW w:w="7222" w:type="dxa"/>
          </w:tcPr>
          <w:p w14:paraId="5B33C8DA" w14:textId="1AA4AC2D" w:rsidR="004549DA" w:rsidRDefault="004549DA" w:rsidP="00847AA9">
            <w:pPr>
              <w:pStyle w:val="Tablewriting"/>
            </w:pPr>
            <w:r>
              <w:t xml:space="preserve">Testosterone </w:t>
            </w:r>
            <w:proofErr w:type="spellStart"/>
            <w:r>
              <w:t>enantate</w:t>
            </w:r>
            <w:proofErr w:type="spellEnd"/>
            <w:r>
              <w:t xml:space="preserve"> injection delisted</w:t>
            </w:r>
          </w:p>
        </w:tc>
      </w:tr>
      <w:tr w:rsidR="00847AA9" w14:paraId="1B7D5845" w14:textId="77777777" w:rsidTr="00847AA9">
        <w:tc>
          <w:tcPr>
            <w:tcW w:w="1951" w:type="dxa"/>
          </w:tcPr>
          <w:p w14:paraId="6836BB43" w14:textId="4CF3F662" w:rsidR="00847AA9" w:rsidRDefault="0008651B" w:rsidP="00847AA9">
            <w:pPr>
              <w:pStyle w:val="Tablewriting"/>
            </w:pPr>
            <w:r>
              <w:t>1 August 2019</w:t>
            </w:r>
          </w:p>
        </w:tc>
        <w:tc>
          <w:tcPr>
            <w:tcW w:w="7222" w:type="dxa"/>
          </w:tcPr>
          <w:p w14:paraId="16BAE8B0" w14:textId="0F9404C7" w:rsidR="00847AA9" w:rsidRDefault="00847AA9" w:rsidP="00847AA9">
            <w:pPr>
              <w:pStyle w:val="Tablewriting"/>
            </w:pPr>
            <w:r>
              <w:t>Addition of 2% gel item for all current restrictions</w:t>
            </w:r>
          </w:p>
        </w:tc>
      </w:tr>
    </w:tbl>
    <w:p w14:paraId="5B6A3294" w14:textId="77777777" w:rsidR="004549DA" w:rsidRDefault="004549DA" w:rsidP="00BF544D"/>
    <w:p w14:paraId="64C94A85" w14:textId="11A88FBB" w:rsidR="00BF544D" w:rsidRDefault="00BF544D" w:rsidP="00BF544D">
      <w:r w:rsidRPr="002F61CA" w:rsidDel="00EE2BBB">
        <w:t xml:space="preserve">Current PBS listing details are available from </w:t>
      </w:r>
      <w:r w:rsidDel="00EE2BBB">
        <w:t xml:space="preserve">the </w:t>
      </w:r>
      <w:hyperlink r:id="rId12" w:history="1">
        <w:r w:rsidRPr="00645D51" w:rsidDel="00EE2BBB">
          <w:rPr>
            <w:rStyle w:val="Hyperlink"/>
          </w:rPr>
          <w:t>PBS website</w:t>
        </w:r>
      </w:hyperlink>
      <w:r w:rsidDel="00EE2BBB">
        <w:t>.</w:t>
      </w:r>
    </w:p>
    <w:p w14:paraId="586CBCB5" w14:textId="77777777" w:rsidR="00B41F5B" w:rsidRPr="007247B9" w:rsidRDefault="00B41F5B" w:rsidP="00B41F5B">
      <w:pPr>
        <w:pStyle w:val="Heading2"/>
      </w:pPr>
      <w:r w:rsidRPr="007247B9">
        <w:t>Clinical situation</w:t>
      </w:r>
    </w:p>
    <w:p w14:paraId="5E904F55" w14:textId="27FBAF77" w:rsidR="00B41F5B" w:rsidRDefault="00B41F5B" w:rsidP="00B41F5B">
      <w:pPr>
        <w:autoSpaceDE w:val="0"/>
        <w:autoSpaceDN w:val="0"/>
        <w:adjustRightInd w:val="0"/>
        <w:spacing w:after="0"/>
        <w:rPr>
          <w:rFonts w:cs="BerkeleyStd-Book"/>
        </w:rPr>
      </w:pPr>
      <w:r w:rsidRPr="00BA532D">
        <w:rPr>
          <w:rFonts w:cs="BerkeleyStd-Book"/>
        </w:rPr>
        <w:t xml:space="preserve">Hypogonadism </w:t>
      </w:r>
      <w:r>
        <w:rPr>
          <w:rFonts w:cs="BerkeleyStd-Book"/>
        </w:rPr>
        <w:t>is</w:t>
      </w:r>
      <w:r w:rsidRPr="00BA532D">
        <w:rPr>
          <w:rFonts w:cs="BerkeleyStd-Book"/>
        </w:rPr>
        <w:t xml:space="preserve"> a disorder that results in the</w:t>
      </w:r>
      <w:r>
        <w:rPr>
          <w:rFonts w:cs="BerkeleyStd-Book"/>
        </w:rPr>
        <w:t xml:space="preserve"> </w:t>
      </w:r>
      <w:r w:rsidRPr="00BA532D">
        <w:rPr>
          <w:rFonts w:cs="BerkeleyStd-Book"/>
        </w:rPr>
        <w:t>testes being unable to produce both physiological levels of testosterone</w:t>
      </w:r>
      <w:r>
        <w:rPr>
          <w:rFonts w:cs="BerkeleyStd-Book"/>
        </w:rPr>
        <w:t xml:space="preserve"> </w:t>
      </w:r>
      <w:r w:rsidRPr="00BA532D">
        <w:rPr>
          <w:rFonts w:cs="BerkeleyStd-Book"/>
        </w:rPr>
        <w:t>(androgen deficiency) and adequate numbers of functional</w:t>
      </w:r>
      <w:r>
        <w:rPr>
          <w:rFonts w:cs="BerkeleyStd-Book"/>
        </w:rPr>
        <w:t xml:space="preserve"> </w:t>
      </w:r>
      <w:r w:rsidRPr="00BA532D">
        <w:rPr>
          <w:rFonts w:cs="BerkeleyStd-Book"/>
        </w:rPr>
        <w:t>sperm for paternity (male infertility).</w:t>
      </w:r>
      <w:r>
        <w:rPr>
          <w:rFonts w:cs="BerkeleyStd-Book"/>
        </w:rPr>
        <w:t xml:space="preserve"> </w:t>
      </w:r>
      <w:r w:rsidRPr="00BA532D">
        <w:rPr>
          <w:rFonts w:cs="BerkeleyStd-Book"/>
        </w:rPr>
        <w:t>Most often, hypogonadism is due to congenital or acquired defects</w:t>
      </w:r>
      <w:r>
        <w:rPr>
          <w:rFonts w:cs="BerkeleyStd-Book"/>
        </w:rPr>
        <w:t xml:space="preserve"> </w:t>
      </w:r>
      <w:r w:rsidRPr="00BA532D">
        <w:rPr>
          <w:rFonts w:cs="BerkeleyStd-Book"/>
        </w:rPr>
        <w:t>of the teste</w:t>
      </w:r>
      <w:r>
        <w:rPr>
          <w:rFonts w:cs="BerkeleyStd-Book"/>
        </w:rPr>
        <w:t xml:space="preserve">s (primary testicular failure). </w:t>
      </w:r>
      <w:r w:rsidR="00014AB9">
        <w:t>Constitutional</w:t>
      </w:r>
      <w:r w:rsidRPr="00BA532D">
        <w:t xml:space="preserve"> delay in growth or onset of puberty, </w:t>
      </w:r>
      <w:proofErr w:type="spellStart"/>
      <w:r w:rsidRPr="00BA532D">
        <w:t>micropenis</w:t>
      </w:r>
      <w:proofErr w:type="spellEnd"/>
      <w:r w:rsidRPr="00BA532D">
        <w:t xml:space="preserve"> and pubertal induction</w:t>
      </w:r>
      <w:r w:rsidRPr="00BA532D">
        <w:rPr>
          <w:rFonts w:cs="BerkeleyStd-Book"/>
        </w:rPr>
        <w:t xml:space="preserve"> are examples of </w:t>
      </w:r>
      <w:r>
        <w:rPr>
          <w:rFonts w:cs="BerkeleyStd-Book"/>
        </w:rPr>
        <w:t>primary testicular failure (</w:t>
      </w:r>
      <w:r w:rsidRPr="00BA532D">
        <w:rPr>
          <w:rFonts w:cs="BerkeleyStd-Book"/>
        </w:rPr>
        <w:t>classical early onset testosterone deficiencies</w:t>
      </w:r>
      <w:r>
        <w:rPr>
          <w:rFonts w:cs="BerkeleyStd-Book"/>
        </w:rPr>
        <w:t>)</w:t>
      </w:r>
      <w:r w:rsidRPr="00BA532D">
        <w:rPr>
          <w:rFonts w:cs="BerkeleyStd-Book"/>
        </w:rPr>
        <w:t>.</w:t>
      </w:r>
      <w:r w:rsidRPr="00454162">
        <w:rPr>
          <w:rFonts w:cs="BerkeleyStd-Book"/>
          <w:vertAlign w:val="superscript"/>
        </w:rPr>
        <w:fldChar w:fldCharType="begin"/>
      </w:r>
      <w:r w:rsidRPr="00454162">
        <w:rPr>
          <w:rFonts w:cs="BerkeleyStd-Book"/>
          <w:vertAlign w:val="superscript"/>
        </w:rPr>
        <w:instrText xml:space="preserve"> NOTEREF _Ref460406856 \h  \* MERGEFORMAT </w:instrText>
      </w:r>
      <w:r w:rsidRPr="00454162">
        <w:rPr>
          <w:rFonts w:cs="BerkeleyStd-Book"/>
          <w:vertAlign w:val="superscript"/>
        </w:rPr>
      </w:r>
      <w:r w:rsidRPr="00454162">
        <w:rPr>
          <w:rFonts w:cs="BerkeleyStd-Book"/>
          <w:vertAlign w:val="superscript"/>
        </w:rPr>
        <w:fldChar w:fldCharType="separate"/>
      </w:r>
      <w:r w:rsidR="00535F7B">
        <w:rPr>
          <w:rFonts w:cs="BerkeleyStd-Book"/>
          <w:vertAlign w:val="superscript"/>
        </w:rPr>
        <w:t>1</w:t>
      </w:r>
      <w:r w:rsidRPr="00454162">
        <w:rPr>
          <w:rFonts w:cs="BerkeleyStd-Book"/>
          <w:vertAlign w:val="superscript"/>
        </w:rPr>
        <w:fldChar w:fldCharType="end"/>
      </w:r>
      <w:r>
        <w:rPr>
          <w:rFonts w:cs="BerkeleyStd-Book"/>
        </w:rPr>
        <w:t xml:space="preserve"> </w:t>
      </w:r>
    </w:p>
    <w:p w14:paraId="61405914" w14:textId="77777777" w:rsidR="00B41F5B" w:rsidRDefault="00B41F5B" w:rsidP="00B41F5B">
      <w:pPr>
        <w:autoSpaceDE w:val="0"/>
        <w:autoSpaceDN w:val="0"/>
        <w:adjustRightInd w:val="0"/>
        <w:spacing w:after="0"/>
        <w:rPr>
          <w:rFonts w:cs="BerkeleyStd-Book"/>
        </w:rPr>
      </w:pPr>
    </w:p>
    <w:p w14:paraId="7CA62F00" w14:textId="12E4790E" w:rsidR="00B41F5B" w:rsidRPr="00335F9B" w:rsidRDefault="00B41F5B" w:rsidP="00B41F5B">
      <w:pPr>
        <w:autoSpaceDE w:val="0"/>
        <w:autoSpaceDN w:val="0"/>
        <w:adjustRightInd w:val="0"/>
        <w:spacing w:after="0"/>
        <w:rPr>
          <w:rFonts w:cs="BerkeleyStd-Book"/>
        </w:rPr>
      </w:pPr>
      <w:r>
        <w:t xml:space="preserve">There are a variety of Australian and international position and consensus statements regarding testosterone treatment. </w:t>
      </w:r>
      <w:r w:rsidR="00014AB9">
        <w:t>In 2016, t</w:t>
      </w:r>
      <w:r>
        <w:t xml:space="preserve">he Endocrine Society of Australia (ESA) </w:t>
      </w:r>
      <w:r>
        <w:lastRenderedPageBreak/>
        <w:t>published a position statement</w:t>
      </w:r>
      <w:bookmarkStart w:id="0" w:name="_Ref460406856"/>
      <w:r>
        <w:rPr>
          <w:rStyle w:val="FootnoteReference"/>
        </w:rPr>
        <w:footnoteReference w:id="1"/>
      </w:r>
      <w:bookmarkEnd w:id="0"/>
      <w:r>
        <w:t xml:space="preserve"> including indications for testosterone therapy. T</w:t>
      </w:r>
      <w:r w:rsidR="00014AB9">
        <w:t>he position statement recommended</w:t>
      </w:r>
      <w:r>
        <w:t xml:space="preserve"> testosterone</w:t>
      </w:r>
      <w:r w:rsidRPr="00F912F7">
        <w:t xml:space="preserve"> </w:t>
      </w:r>
      <w:r>
        <w:t xml:space="preserve">treatment </w:t>
      </w:r>
      <w:r w:rsidRPr="00F912F7">
        <w:t xml:space="preserve">for androgen-deficient men with proven </w:t>
      </w:r>
      <w:r>
        <w:t xml:space="preserve">pathological hypogonadism, regardless of age. </w:t>
      </w:r>
      <w:r w:rsidR="00014AB9">
        <w:t>The position statement also noted</w:t>
      </w:r>
      <w:r>
        <w:t xml:space="preserve"> that </w:t>
      </w:r>
      <w:r>
        <w:rPr>
          <w:rFonts w:cs="BerkeleyStd-Book"/>
        </w:rPr>
        <w:t>t</w:t>
      </w:r>
      <w:r w:rsidRPr="00335F9B">
        <w:rPr>
          <w:rFonts w:cs="BerkeleyStd-Book"/>
        </w:rPr>
        <w:t>here are limited data from high</w:t>
      </w:r>
      <w:r>
        <w:rPr>
          <w:rFonts w:cs="BerkeleyStd-Book"/>
        </w:rPr>
        <w:t>-</w:t>
      </w:r>
      <w:r w:rsidRPr="00335F9B">
        <w:rPr>
          <w:rFonts w:cs="BerkeleyStd-Book"/>
        </w:rPr>
        <w:t>quality randomised controlled trials with clinically meaningful outcomes to justify testosterone treatment in older men without</w:t>
      </w:r>
      <w:r w:rsidRPr="00C57A6B">
        <w:t xml:space="preserve"> </w:t>
      </w:r>
      <w:r w:rsidRPr="00335F9B">
        <w:rPr>
          <w:rFonts w:cs="BerkeleyStd-Book"/>
        </w:rPr>
        <w:t>hypothalamic, pi</w:t>
      </w:r>
      <w:r w:rsidR="008D10CC">
        <w:rPr>
          <w:rFonts w:cs="BerkeleyStd-Book"/>
        </w:rPr>
        <w:t>tuitary or testicular disease.</w:t>
      </w:r>
    </w:p>
    <w:p w14:paraId="586D8BEA" w14:textId="77777777" w:rsidR="00B41F5B" w:rsidRPr="005E22C2" w:rsidRDefault="00B41F5B" w:rsidP="00B41F5B">
      <w:pPr>
        <w:pStyle w:val="Heading2"/>
      </w:pPr>
      <w:r w:rsidRPr="00A52918">
        <w:t xml:space="preserve">Therapeutic Goods Administration </w:t>
      </w:r>
      <w:r>
        <w:t>(</w:t>
      </w:r>
      <w:r w:rsidRPr="005E22C2">
        <w:t>TGA</w:t>
      </w:r>
      <w:r>
        <w:t>)</w:t>
      </w:r>
      <w:r w:rsidRPr="005E22C2">
        <w:t xml:space="preserve"> approved </w:t>
      </w:r>
      <w:r>
        <w:t>i</w:t>
      </w:r>
      <w:r w:rsidRPr="005E22C2">
        <w:t>ndications</w:t>
      </w:r>
    </w:p>
    <w:p w14:paraId="64A3AFA1" w14:textId="0DC9A78F" w:rsidR="00B3609A" w:rsidRPr="00392BB3" w:rsidRDefault="00B3609A" w:rsidP="00B41F5B">
      <w:pPr>
        <w:rPr>
          <w:lang w:val="en"/>
        </w:rPr>
      </w:pPr>
      <w:r>
        <w:t xml:space="preserve">In 2017, the TGA published advice following a review of testosterone in relation to the risk of arterial thromboembolism/venous thromboembolism. </w:t>
      </w:r>
      <w:r w:rsidR="00392BB3" w:rsidRPr="00392BB3">
        <w:rPr>
          <w:lang w:val="en"/>
        </w:rPr>
        <w:t>As part of its review, the TGA sought advice from the Advisory Committee on the Safety</w:t>
      </w:r>
      <w:r w:rsidR="00392BB3">
        <w:rPr>
          <w:lang w:val="en"/>
        </w:rPr>
        <w:t xml:space="preserve"> of Medicines (ACSOM). At its 2 </w:t>
      </w:r>
      <w:r w:rsidR="00392BB3" w:rsidRPr="00392BB3">
        <w:rPr>
          <w:lang w:val="en"/>
        </w:rPr>
        <w:t>September 2016 meeting, ACSOM found that there was evidence of a weak signal of increased cardiovascular risks with use of testosterone medications in genera</w:t>
      </w:r>
      <w:r w:rsidR="00392BB3">
        <w:rPr>
          <w:lang w:val="en"/>
        </w:rPr>
        <w:t xml:space="preserve">l (but not for specific events). </w:t>
      </w:r>
      <w:r w:rsidR="00392BB3" w:rsidRPr="00392BB3">
        <w:rPr>
          <w:lang w:val="en"/>
        </w:rPr>
        <w:t>The TGA noted this advice, but given there is only a weak signal, determined that it is not necessary to update the Product Information documents for testosterone medicines at this time.</w:t>
      </w:r>
    </w:p>
    <w:p w14:paraId="1E45553A" w14:textId="77777777" w:rsidR="00B41F5B" w:rsidRDefault="00B41F5B" w:rsidP="00B41F5B">
      <w:pPr>
        <w:pStyle w:val="Heading2"/>
      </w:pPr>
      <w:r>
        <w:t>Dosage and administration</w:t>
      </w:r>
    </w:p>
    <w:p w14:paraId="64E34D09" w14:textId="7F4BBB1B" w:rsidR="00B41F5B" w:rsidRDefault="00B41F5B" w:rsidP="00B41F5B">
      <w:r>
        <w:t>A wide range of products are registered in Australia for use as testosterone replacement therapy</w:t>
      </w:r>
      <w:r w:rsidR="00E6688A">
        <w:t xml:space="preserve">. </w:t>
      </w:r>
      <w:r>
        <w:t>Gel, cream, liquid and patch formulations are generally applied daily; capsules are usually taken twice daily; shorter acting intramuscular (IM) injections given every 2-3 weeks; and longer acting IM injections every 10-14 weeks.</w:t>
      </w:r>
      <w:r w:rsidR="00E6688A">
        <w:t xml:space="preserve"> Appendix B contains further information regarding dosage and administration of PBS-listed testosterone products.</w:t>
      </w:r>
      <w:r>
        <w:t xml:space="preserve"> </w:t>
      </w:r>
    </w:p>
    <w:p w14:paraId="7F0F5098" w14:textId="77777777" w:rsidR="00B41F5B" w:rsidRPr="002F61CA" w:rsidRDefault="00B41F5B" w:rsidP="00B41F5B">
      <w:r w:rsidRPr="002F61CA">
        <w:t xml:space="preserve">The current Product Information (PI) and Consumer Medicine Information (CMI) are available from </w:t>
      </w:r>
      <w:hyperlink r:id="rId13" w:history="1">
        <w:r>
          <w:rPr>
            <w:rStyle w:val="Hyperlink"/>
          </w:rPr>
          <w:t>the TGA (Product Information)</w:t>
        </w:r>
      </w:hyperlink>
      <w:r>
        <w:t xml:space="preserve"> and </w:t>
      </w:r>
      <w:hyperlink r:id="rId14" w:history="1">
        <w:r>
          <w:rPr>
            <w:rStyle w:val="Hyperlink"/>
          </w:rPr>
          <w:t>the TGA (Consumer Medicines Information)</w:t>
        </w:r>
      </w:hyperlink>
      <w:r>
        <w:t>.</w:t>
      </w:r>
    </w:p>
    <w:p w14:paraId="0312FFEC" w14:textId="5C6A9662" w:rsidR="00E677DD" w:rsidRPr="005E22C2" w:rsidRDefault="00E677DD" w:rsidP="00CF5E22">
      <w:pPr>
        <w:pStyle w:val="Heading1"/>
      </w:pPr>
      <w:r w:rsidRPr="005E22C2">
        <w:t>Method</w:t>
      </w:r>
      <w:r w:rsidR="001B5D37" w:rsidRPr="005E22C2">
        <w:t>s</w:t>
      </w:r>
    </w:p>
    <w:p w14:paraId="2728DC56" w14:textId="1005E0CA" w:rsidR="00760944" w:rsidRDefault="00760944" w:rsidP="002D38D6">
      <w:r w:rsidRPr="00DB531B">
        <w:t xml:space="preserve">The analyses used data from the DHS supplied prescriptions database for dates of supply up to and including 30 </w:t>
      </w:r>
      <w:r>
        <w:t>September 2019</w:t>
      </w:r>
      <w:r w:rsidRPr="00DB531B">
        <w:t xml:space="preserve">; extracted </w:t>
      </w:r>
      <w:r>
        <w:t xml:space="preserve">November </w:t>
      </w:r>
      <w:r w:rsidRPr="00DB531B">
        <w:t xml:space="preserve">2019. </w:t>
      </w:r>
      <w:r w:rsidRPr="00042910">
        <w:t>The DHS supplied prescriptions database includes data submi</w:t>
      </w:r>
      <w:r>
        <w:t xml:space="preserve">tted to DHS for payment of a </w:t>
      </w:r>
      <w:r w:rsidRPr="00042910">
        <w:t xml:space="preserve">PBS </w:t>
      </w:r>
      <w:r>
        <w:t xml:space="preserve">or RPBS </w:t>
      </w:r>
      <w:r w:rsidRPr="00042910">
        <w:t xml:space="preserve">subsidy by the Government by all approved </w:t>
      </w:r>
      <w:r w:rsidRPr="002D38D6">
        <w:t>pharmacies in Australia. This dataset contains de-identified information that includes a unique patient identification number (PIN), dates and quantities of supply of all PBS listed drugs, prescriber and pharmacy information</w:t>
      </w:r>
      <w:r w:rsidR="002D38D6">
        <w:t>.</w:t>
      </w:r>
    </w:p>
    <w:p w14:paraId="6599A050" w14:textId="77777777" w:rsidR="00760944" w:rsidRPr="001750B0" w:rsidRDefault="00760944" w:rsidP="00760944">
      <w:pPr>
        <w:spacing w:after="0"/>
      </w:pPr>
      <w:r w:rsidRPr="001750B0">
        <w:t>Analyses in the report include:</w:t>
      </w:r>
    </w:p>
    <w:p w14:paraId="57E9B5B5" w14:textId="39364132" w:rsidR="00760944" w:rsidRDefault="00760944" w:rsidP="00760944">
      <w:pPr>
        <w:pStyle w:val="NoSpacing"/>
        <w:numPr>
          <w:ilvl w:val="0"/>
          <w:numId w:val="13"/>
        </w:numPr>
      </w:pPr>
      <w:r>
        <w:t>Prescriptions supplied over time, noting restriction changes (</w:t>
      </w:r>
      <w:hyperlink w:anchor="Figure1" w:history="1">
        <w:r w:rsidRPr="00E6688A">
          <w:rPr>
            <w:rStyle w:val="Hyperlink"/>
          </w:rPr>
          <w:t>Figure 1</w:t>
        </w:r>
      </w:hyperlink>
      <w:r>
        <w:t xml:space="preserve"> and </w:t>
      </w:r>
      <w:hyperlink w:anchor="Table4" w:history="1">
        <w:r w:rsidRPr="00E6688A">
          <w:rPr>
            <w:rStyle w:val="Hyperlink"/>
          </w:rPr>
          <w:t xml:space="preserve">Table </w:t>
        </w:r>
        <w:r w:rsidR="00862DFC" w:rsidRPr="00E6688A">
          <w:rPr>
            <w:rStyle w:val="Hyperlink"/>
          </w:rPr>
          <w:t>4</w:t>
        </w:r>
      </w:hyperlink>
      <w:r>
        <w:t>)</w:t>
      </w:r>
    </w:p>
    <w:p w14:paraId="62EA2275" w14:textId="628F1F05" w:rsidR="00760944" w:rsidRPr="00DA0529" w:rsidRDefault="00760944" w:rsidP="00760944">
      <w:pPr>
        <w:pStyle w:val="NoSpacing"/>
        <w:numPr>
          <w:ilvl w:val="0"/>
          <w:numId w:val="13"/>
        </w:numPr>
      </w:pPr>
      <w:r w:rsidRPr="00DA0529">
        <w:t xml:space="preserve">Prescriptions </w:t>
      </w:r>
      <w:r>
        <w:t>by form (</w:t>
      </w:r>
      <w:hyperlink w:anchor="Figure2" w:history="1">
        <w:r w:rsidRPr="00E6688A">
          <w:rPr>
            <w:rStyle w:val="Hyperlink"/>
          </w:rPr>
          <w:t>Figure 2</w:t>
        </w:r>
      </w:hyperlink>
      <w:r>
        <w:t>)</w:t>
      </w:r>
    </w:p>
    <w:p w14:paraId="51A80B6E" w14:textId="0668A510" w:rsidR="00760944" w:rsidRDefault="00760944" w:rsidP="00760944">
      <w:pPr>
        <w:pStyle w:val="NoSpacing"/>
        <w:numPr>
          <w:ilvl w:val="0"/>
          <w:numId w:val="13"/>
        </w:numPr>
      </w:pPr>
      <w:r w:rsidRPr="00DA0529">
        <w:t>New</w:t>
      </w:r>
      <w:r>
        <w:t xml:space="preserve"> and prevalent patient counts (</w:t>
      </w:r>
      <w:hyperlink w:anchor="Figure3" w:history="1">
        <w:r w:rsidRPr="00E6688A">
          <w:rPr>
            <w:rStyle w:val="Hyperlink"/>
          </w:rPr>
          <w:t>Figure 3</w:t>
        </w:r>
      </w:hyperlink>
      <w:r>
        <w:t>)</w:t>
      </w:r>
    </w:p>
    <w:p w14:paraId="36CB6A28" w14:textId="4D544B8E" w:rsidR="00760944" w:rsidRDefault="00760944" w:rsidP="00760944">
      <w:pPr>
        <w:pStyle w:val="NoSpacing"/>
        <w:numPr>
          <w:ilvl w:val="0"/>
          <w:numId w:val="13"/>
        </w:numPr>
      </w:pPr>
      <w:r w:rsidRPr="00DA0529">
        <w:lastRenderedPageBreak/>
        <w:t>New patient</w:t>
      </w:r>
      <w:r w:rsidR="00233BB5">
        <w:t>s</w:t>
      </w:r>
      <w:r w:rsidRPr="00DA0529">
        <w:t xml:space="preserve"> by</w:t>
      </w:r>
      <w:r>
        <w:t xml:space="preserve"> </w:t>
      </w:r>
      <w:r w:rsidR="00233BB5">
        <w:t>restriction</w:t>
      </w:r>
      <w:r>
        <w:t xml:space="preserve"> (</w:t>
      </w:r>
      <w:hyperlink w:anchor="Figure4" w:history="1">
        <w:r w:rsidR="00233BB5" w:rsidRPr="00E6688A">
          <w:rPr>
            <w:rStyle w:val="Hyperlink"/>
          </w:rPr>
          <w:t>Figure 4</w:t>
        </w:r>
      </w:hyperlink>
      <w:r w:rsidR="00233BB5">
        <w:t>)</w:t>
      </w:r>
    </w:p>
    <w:p w14:paraId="55BA0BC4" w14:textId="4F5594E7" w:rsidR="00233BB5" w:rsidRPr="00DA0529" w:rsidRDefault="00233BB5" w:rsidP="00233BB5">
      <w:pPr>
        <w:pStyle w:val="NoSpacing"/>
        <w:numPr>
          <w:ilvl w:val="0"/>
          <w:numId w:val="13"/>
        </w:numPr>
      </w:pPr>
      <w:r>
        <w:t>P</w:t>
      </w:r>
      <w:r w:rsidRPr="00DA0529">
        <w:t>revalent patient</w:t>
      </w:r>
      <w:r>
        <w:t>s</w:t>
      </w:r>
      <w:r w:rsidRPr="00DA0529">
        <w:t xml:space="preserve"> by</w:t>
      </w:r>
      <w:r>
        <w:t xml:space="preserve"> restriction (</w:t>
      </w:r>
      <w:hyperlink w:anchor="Figure5" w:history="1">
        <w:r w:rsidRPr="00E6688A">
          <w:rPr>
            <w:rStyle w:val="Hyperlink"/>
          </w:rPr>
          <w:t>Figure 5</w:t>
        </w:r>
      </w:hyperlink>
      <w:r>
        <w:t>)</w:t>
      </w:r>
    </w:p>
    <w:p w14:paraId="4237AEDC" w14:textId="2B5E9460" w:rsidR="00233BB5" w:rsidRPr="00837F41" w:rsidRDefault="00837F41" w:rsidP="00F45D02">
      <w:pPr>
        <w:pStyle w:val="NoSpacing"/>
        <w:numPr>
          <w:ilvl w:val="0"/>
          <w:numId w:val="13"/>
        </w:numPr>
      </w:pPr>
      <w:r>
        <w:t>Initiating</w:t>
      </w:r>
      <w:r w:rsidR="00F45D02" w:rsidRPr="00837F41">
        <w:t xml:space="preserve"> patients in 2018 by restriction and age</w:t>
      </w:r>
      <w:r w:rsidR="00B07446" w:rsidRPr="00837F41">
        <w:t xml:space="preserve"> (</w:t>
      </w:r>
      <w:hyperlink w:anchor="Figure6" w:history="1">
        <w:r w:rsidR="00AF0C67" w:rsidRPr="00E6688A">
          <w:rPr>
            <w:rStyle w:val="Hyperlink"/>
          </w:rPr>
          <w:t>Figure 6</w:t>
        </w:r>
      </w:hyperlink>
      <w:r w:rsidR="00AF0C67" w:rsidRPr="00837F41">
        <w:t>)</w:t>
      </w:r>
    </w:p>
    <w:p w14:paraId="34B4494A" w14:textId="45240CDE" w:rsidR="00760944" w:rsidRPr="00837F41" w:rsidRDefault="002B0C94" w:rsidP="00760944">
      <w:pPr>
        <w:pStyle w:val="NoSpacing"/>
        <w:numPr>
          <w:ilvl w:val="0"/>
          <w:numId w:val="13"/>
        </w:numPr>
      </w:pPr>
      <w:r w:rsidRPr="00837F41">
        <w:t>Initiating patients o</w:t>
      </w:r>
      <w:r w:rsidR="00AF0C67" w:rsidRPr="00837F41">
        <w:t>ver time</w:t>
      </w:r>
      <w:r w:rsidR="00760944" w:rsidRPr="00837F41">
        <w:t xml:space="preserve"> </w:t>
      </w:r>
      <w:r w:rsidRPr="00837F41">
        <w:t xml:space="preserve">by sex </w:t>
      </w:r>
      <w:r w:rsidR="00760944" w:rsidRPr="00837F41">
        <w:t>(</w:t>
      </w:r>
      <w:hyperlink w:anchor="Figure7" w:history="1">
        <w:r w:rsidR="00AF0C67" w:rsidRPr="00E6688A">
          <w:rPr>
            <w:rStyle w:val="Hyperlink"/>
          </w:rPr>
          <w:t>Figure 7</w:t>
        </w:r>
      </w:hyperlink>
      <w:r w:rsidR="00AF0C67" w:rsidRPr="00837F41">
        <w:t>)</w:t>
      </w:r>
    </w:p>
    <w:p w14:paraId="6F53A806" w14:textId="51431F81" w:rsidR="00AF0C67" w:rsidRPr="00837F41" w:rsidRDefault="00AF0C67" w:rsidP="00760944">
      <w:pPr>
        <w:pStyle w:val="NoSpacing"/>
        <w:numPr>
          <w:ilvl w:val="0"/>
          <w:numId w:val="13"/>
        </w:numPr>
      </w:pPr>
      <w:r w:rsidRPr="00837F41">
        <w:t>Initiating patients in 2018 by age and sex (</w:t>
      </w:r>
      <w:hyperlink w:anchor="Figure8" w:history="1">
        <w:r w:rsidRPr="00E6688A">
          <w:rPr>
            <w:rStyle w:val="Hyperlink"/>
          </w:rPr>
          <w:t>Figure 8</w:t>
        </w:r>
      </w:hyperlink>
      <w:r w:rsidRPr="00837F41">
        <w:t>)</w:t>
      </w:r>
    </w:p>
    <w:p w14:paraId="79021843" w14:textId="5AF47744" w:rsidR="00760944" w:rsidRPr="001B0F81" w:rsidRDefault="00AA2447" w:rsidP="00037640">
      <w:pPr>
        <w:pStyle w:val="NoSpacing"/>
        <w:numPr>
          <w:ilvl w:val="0"/>
          <w:numId w:val="13"/>
        </w:numPr>
      </w:pPr>
      <w:r w:rsidRPr="001B0F81">
        <w:t>Prescriber type (</w:t>
      </w:r>
      <w:hyperlink w:anchor="Figure9" w:history="1">
        <w:r w:rsidR="00AF0C67" w:rsidRPr="00E6688A">
          <w:rPr>
            <w:rStyle w:val="Hyperlink"/>
          </w:rPr>
          <w:t>Figure 9</w:t>
        </w:r>
      </w:hyperlink>
      <w:r w:rsidR="00AF0C67" w:rsidRPr="001B0F81">
        <w:t>)</w:t>
      </w:r>
    </w:p>
    <w:p w14:paraId="6B314C07" w14:textId="77777777" w:rsidR="00037640" w:rsidRPr="00037640" w:rsidRDefault="00037640" w:rsidP="00037640">
      <w:pPr>
        <w:pStyle w:val="NoSpacing"/>
        <w:ind w:left="720"/>
        <w:rPr>
          <w:highlight w:val="green"/>
        </w:rPr>
      </w:pPr>
    </w:p>
    <w:p w14:paraId="231B9C41" w14:textId="7870EAE0" w:rsidR="00A77C63" w:rsidRPr="002D38D6" w:rsidRDefault="00760944" w:rsidP="002D38D6">
      <w:r w:rsidRPr="006C5D3F">
        <w:t xml:space="preserve">A patient was </w:t>
      </w:r>
      <w:r w:rsidRPr="00F45D02">
        <w:t>defined as an initiator (or ‘new patient’) based on the date of first supply of PBS subsidised testosterone therapy from April 2003.</w:t>
      </w:r>
      <w:r w:rsidR="00F45D02" w:rsidRPr="00F45D02">
        <w:t xml:space="preserve"> </w:t>
      </w:r>
      <w:r w:rsidR="00F45D02" w:rsidRPr="00F45D02">
        <w:rPr>
          <w:rFonts w:cs="Arial"/>
        </w:rPr>
        <w:t xml:space="preserve">Age was assigned based on the first supply in the time period. </w:t>
      </w:r>
    </w:p>
    <w:p w14:paraId="325C8552" w14:textId="512BE7C9" w:rsidR="00A77C63" w:rsidRDefault="00A77C63" w:rsidP="00A77C63">
      <w:pPr>
        <w:rPr>
          <w:highlight w:val="green"/>
        </w:rPr>
      </w:pPr>
      <w:r w:rsidRPr="00014AB9">
        <w:t xml:space="preserve">The number of initiating patients in each age bracket was determined from the DHS </w:t>
      </w:r>
      <w:r w:rsidRPr="00837F41">
        <w:t xml:space="preserve">supplied prescriptions database. These were then standardised by the Australian population according to the Australian Bureau of Statistics (ABS) </w:t>
      </w:r>
      <w:r w:rsidR="00837F41" w:rsidRPr="00837F41">
        <w:t>Australian Demographic Statistics,</w:t>
      </w:r>
      <w:r w:rsidRPr="00837F41">
        <w:t xml:space="preserve"> </w:t>
      </w:r>
      <w:r w:rsidR="00837F41" w:rsidRPr="00837F41">
        <w:t>March 2019</w:t>
      </w:r>
      <w:r w:rsidRPr="00837F41">
        <w:t>.</w:t>
      </w:r>
      <w:r w:rsidR="00C847E2" w:rsidRPr="00837F41">
        <w:rPr>
          <w:rStyle w:val="FootnoteReference"/>
        </w:rPr>
        <w:footnoteReference w:id="2"/>
      </w:r>
      <w:r w:rsidRPr="00837F41">
        <w:t xml:space="preserve"> The rates of patients initiating on testosterone were calculated as the number of initiating patients divided by the ABS Estimated Residential Population (ERP) population in the specific year (as at 30 June)</w:t>
      </w:r>
      <w:r w:rsidR="00837F41" w:rsidRPr="00837F41">
        <w:t>, by age or sex as required</w:t>
      </w:r>
      <w:r w:rsidRPr="00837F41">
        <w:t xml:space="preserve">. The rates </w:t>
      </w:r>
      <w:r w:rsidR="00837F41" w:rsidRPr="00837F41">
        <w:t>were</w:t>
      </w:r>
      <w:r w:rsidRPr="00837F41">
        <w:t xml:space="preserve"> expressed as the number of incident patients per 100,000. The age adjusted rates were derived using the Direct Method.</w:t>
      </w:r>
      <w:r w:rsidRPr="00837F41">
        <w:rPr>
          <w:rStyle w:val="FootnoteReference"/>
        </w:rPr>
        <w:footnoteReference w:id="3"/>
      </w:r>
    </w:p>
    <w:p w14:paraId="3E449D06" w14:textId="2863B0EE" w:rsidR="00C0119A" w:rsidRDefault="00C0119A" w:rsidP="00C0119A">
      <w:pPr>
        <w:jc w:val="both"/>
      </w:pPr>
      <w:r w:rsidRPr="00AA2447">
        <w:rPr>
          <w:rFonts w:eastAsia="Times New Roman" w:cstheme="minorHAnsi"/>
        </w:rPr>
        <w:t xml:space="preserve">Prescriber type was attributed to the de-identified approval number of the prescriber by the DHS </w:t>
      </w:r>
      <w:r w:rsidRPr="001B0F81">
        <w:rPr>
          <w:rFonts w:eastAsia="Times New Roman" w:cstheme="minorHAnsi"/>
        </w:rPr>
        <w:t>and was based on the major field of specialty, derived from the combination of the current registered specialty and the most Medicare services provided per quarter. Prescribers can work in several different specialties but are allocated by DHS to one major field of specialty per quarter.</w:t>
      </w:r>
      <w:r w:rsidRPr="00536F77">
        <w:rPr>
          <w:rFonts w:eastAsia="Times New Roman" w:cstheme="minorHAnsi"/>
        </w:rPr>
        <w:t xml:space="preserve"> </w:t>
      </w:r>
      <w:r w:rsidR="001B0F81">
        <w:rPr>
          <w:rFonts w:eastAsia="Times New Roman" w:cstheme="minorHAnsi"/>
        </w:rPr>
        <w:t xml:space="preserve">The prescriber type attributed to initial testosterone prescriptions was used for this analysis. </w:t>
      </w:r>
    </w:p>
    <w:p w14:paraId="6948C1E6" w14:textId="77777777" w:rsidR="00C0119A" w:rsidRPr="000C65A4" w:rsidRDefault="00C0119A" w:rsidP="00C0119A">
      <w:pPr>
        <w:jc w:val="both"/>
        <w:rPr>
          <w:rFonts w:eastAsia="Times New Roman" w:cstheme="minorHAnsi"/>
        </w:rPr>
      </w:pPr>
      <w:r w:rsidRPr="00CC3F3B">
        <w:rPr>
          <w:rFonts w:eastAsia="Times New Roman" w:cstheme="minorHAnsi"/>
        </w:rPr>
        <w:t xml:space="preserve">Data manipulation was undertaken using SAS. </w:t>
      </w:r>
    </w:p>
    <w:p w14:paraId="0712D9D5" w14:textId="20F5B9BD" w:rsidR="00524D13" w:rsidRDefault="00E7594B" w:rsidP="00524D13">
      <w:r>
        <w:t xml:space="preserve">As </w:t>
      </w:r>
      <w:r w:rsidR="002B0C94">
        <w:t>all the above described analyses are based on date of supply</w:t>
      </w:r>
      <w:r>
        <w:t xml:space="preserve">, there may be small differences compared with publicly available </w:t>
      </w:r>
      <w:r w:rsidR="002B0C94">
        <w:t>date</w:t>
      </w:r>
      <w:r>
        <w:t xml:space="preserve"> of processing data</w:t>
      </w:r>
      <w:r w:rsidR="002B0C94">
        <w:t xml:space="preserve"> on the Medicare Australia Statistics website</w:t>
      </w:r>
      <w:r>
        <w:t>.</w:t>
      </w:r>
      <w:r w:rsidR="00576B18">
        <w:rPr>
          <w:rStyle w:val="FootnoteReference"/>
        </w:rPr>
        <w:footnoteReference w:id="4"/>
      </w:r>
      <w:r w:rsidR="00576B18">
        <w:t xml:space="preserve">  </w:t>
      </w:r>
      <w:r w:rsidR="002B0C94" w:rsidRPr="002B0C94">
        <w:t>In addition, medicines supplied to general patients costing less than the general patient contribution do not receive a PBS benefit (i.e. under</w:t>
      </w:r>
      <w:r w:rsidR="002B0C94">
        <w:t xml:space="preserve"> </w:t>
      </w:r>
      <w:r w:rsidR="002B0C94" w:rsidRPr="002B0C94">
        <w:t>co</w:t>
      </w:r>
      <w:r w:rsidR="002B0C94">
        <w:t>-</w:t>
      </w:r>
      <w:r w:rsidR="002B0C94" w:rsidRPr="002B0C94">
        <w:t xml:space="preserve">payment prescriptions) and are not included in Medicare Australia Statistics website data. </w:t>
      </w:r>
      <w:r w:rsidR="00DD29A3">
        <w:t>The DHS Medicare data used in this report includes under co-pay</w:t>
      </w:r>
      <w:r w:rsidR="00D048B9">
        <w:t>ment prescriptions from 1 April </w:t>
      </w:r>
      <w:r w:rsidR="00DD29A3">
        <w:t>2012.</w:t>
      </w:r>
    </w:p>
    <w:p w14:paraId="4F91A98A" w14:textId="00180E30" w:rsidR="00C714D0" w:rsidRPr="005E22C2" w:rsidRDefault="00C714D0" w:rsidP="00CF5E22">
      <w:pPr>
        <w:pStyle w:val="Heading1"/>
      </w:pPr>
      <w:r w:rsidRPr="005E22C2">
        <w:lastRenderedPageBreak/>
        <w:t>Results</w:t>
      </w:r>
    </w:p>
    <w:p w14:paraId="2221FF19" w14:textId="336CE8B2" w:rsidR="00736041" w:rsidRPr="005E22C2" w:rsidRDefault="001B5D37" w:rsidP="00CF5E22">
      <w:pPr>
        <w:pStyle w:val="Heading2"/>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09F8A9BC" w14:textId="7810CF49" w:rsidR="006A44F5" w:rsidRDefault="00736041" w:rsidP="00CF5E22">
      <w:pPr>
        <w:pStyle w:val="Heading3"/>
      </w:pPr>
      <w:r w:rsidRPr="005E22C2">
        <w:t>Overall utilisation</w:t>
      </w:r>
    </w:p>
    <w:p w14:paraId="6E68C415" w14:textId="14CEA463" w:rsidR="008F2930" w:rsidRPr="008F2930" w:rsidRDefault="008F2930" w:rsidP="008F2930">
      <w:r>
        <w:t>Figure 1 depicts the number of testosterone prescriptions supplied from</w:t>
      </w:r>
      <w:r w:rsidR="009202A8">
        <w:t xml:space="preserve"> April 2012</w:t>
      </w:r>
      <w:r>
        <w:t xml:space="preserve"> to September 2019. </w:t>
      </w:r>
    </w:p>
    <w:p w14:paraId="5E5D0705" w14:textId="35CCCCC2" w:rsidR="008F2930" w:rsidRDefault="008F2930" w:rsidP="005420D8">
      <w:pPr>
        <w:sectPr w:rsidR="008F2930" w:rsidSect="00DD188C">
          <w:headerReference w:type="even" r:id="rId15"/>
          <w:headerReference w:type="default" r:id="rId16"/>
          <w:footerReference w:type="even" r:id="rId17"/>
          <w:footerReference w:type="default" r:id="rId18"/>
          <w:headerReference w:type="first" r:id="rId19"/>
          <w:footerReference w:type="first" r:id="rId20"/>
          <w:pgSz w:w="11906" w:h="16838"/>
          <w:pgMar w:top="1644" w:right="1361" w:bottom="1644" w:left="1588" w:header="709" w:footer="709" w:gutter="0"/>
          <w:cols w:space="708"/>
          <w:docGrid w:linePitch="360"/>
        </w:sectPr>
      </w:pPr>
    </w:p>
    <w:p w14:paraId="0F39E253" w14:textId="2A3C62CA" w:rsidR="005420D8" w:rsidRDefault="00B16AA2" w:rsidP="005420D8">
      <w:pPr>
        <w:rPr>
          <w:noProof/>
        </w:rPr>
      </w:pPr>
      <w:r>
        <w:rPr>
          <w:noProof/>
        </w:rPr>
        <w:lastRenderedPageBreak/>
        <w:drawing>
          <wp:inline distT="0" distB="0" distL="0" distR="0" wp14:anchorId="69A6AAFC" wp14:editId="77E7ECAE">
            <wp:extent cx="8518525" cy="4610100"/>
            <wp:effectExtent l="0" t="0" r="15875" b="0"/>
            <wp:docPr id="1" name="Chart 1" descr="Figure 1: Testosterone prescriptions supplied per quarter from April 2012 to September 2019." title="Figure 1: Testosterone prescriptions supplied per quarter from April 2012 to September 20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7110B24" w14:textId="1B42D4DD" w:rsidR="005420D8" w:rsidRDefault="001B0C10" w:rsidP="00882C8E">
      <w:pPr>
        <w:pStyle w:val="Figuretitle"/>
        <w:rPr>
          <w:noProof/>
        </w:rPr>
      </w:pPr>
      <w:bookmarkStart w:id="1" w:name="Figure1"/>
      <w:r>
        <w:rPr>
          <w:noProof/>
        </w:rPr>
        <w:t>Figure</w:t>
      </w:r>
      <w:r w:rsidR="008F2930">
        <w:rPr>
          <w:noProof/>
        </w:rPr>
        <w:t xml:space="preserve"> 1: </w:t>
      </w:r>
      <w:bookmarkEnd w:id="1"/>
      <w:r w:rsidR="008F2930">
        <w:rPr>
          <w:noProof/>
        </w:rPr>
        <w:t xml:space="preserve">Testosterone prescriptions supplied per quarter from </w:t>
      </w:r>
      <w:r w:rsidR="009202A8">
        <w:rPr>
          <w:noProof/>
        </w:rPr>
        <w:t>April 2012</w:t>
      </w:r>
      <w:r w:rsidR="008F2930">
        <w:rPr>
          <w:noProof/>
        </w:rPr>
        <w:t xml:space="preserve"> to September 2019.</w:t>
      </w:r>
    </w:p>
    <w:p w14:paraId="0D1DDE36" w14:textId="23F23561" w:rsidR="005420D8" w:rsidRDefault="00DC6F10" w:rsidP="00936048">
      <w:pPr>
        <w:pStyle w:val="Figurecaption"/>
        <w:rPr>
          <w:noProof/>
        </w:rPr>
      </w:pPr>
      <w:r>
        <w:rPr>
          <w:noProof/>
        </w:rPr>
        <w:t xml:space="preserve">Prescriptions by date of supply. </w:t>
      </w:r>
      <w:r w:rsidR="006F39E2">
        <w:rPr>
          <w:noProof/>
        </w:rPr>
        <w:t xml:space="preserve">Source: DHS supplied prescriptions database; accessed November 2019. </w:t>
      </w:r>
    </w:p>
    <w:p w14:paraId="7ED50A72" w14:textId="253DE042" w:rsidR="005420D8" w:rsidRDefault="005420D8" w:rsidP="005420D8"/>
    <w:p w14:paraId="7EFB4767" w14:textId="77777777" w:rsidR="005420D8" w:rsidRDefault="005420D8" w:rsidP="005420D8">
      <w:pPr>
        <w:sectPr w:rsidR="005420D8" w:rsidSect="005420D8">
          <w:pgSz w:w="16838" w:h="11906" w:orient="landscape"/>
          <w:pgMar w:top="1588" w:right="1644" w:bottom="1361" w:left="1644" w:header="709" w:footer="709" w:gutter="0"/>
          <w:cols w:space="708"/>
          <w:docGrid w:linePitch="360"/>
        </w:sectPr>
      </w:pPr>
    </w:p>
    <w:p w14:paraId="346BF61D" w14:textId="32668987" w:rsidR="00BF48A8" w:rsidRDefault="000831C0" w:rsidP="00BE4B03">
      <w:r w:rsidRPr="000831C0">
        <w:lastRenderedPageBreak/>
        <w:t>As reported in the September 2016 DUSC report, there was a d</w:t>
      </w:r>
      <w:r>
        <w:t>ownwards trend in the number of</w:t>
      </w:r>
      <w:r w:rsidRPr="000831C0">
        <w:t xml:space="preserve"> </w:t>
      </w:r>
      <w:r w:rsidRPr="003C6647">
        <w:t>testosterone prescriptions supplied after the change to the restriction for androgen deficiency</w:t>
      </w:r>
      <w:r w:rsidR="00FA3276" w:rsidRPr="003C6647">
        <w:t xml:space="preserve"> on 1 April 2015</w:t>
      </w:r>
      <w:r w:rsidRPr="003C6647">
        <w:t>. However, at that stage, data were available until 30 June 2016, therefore it was unclear whether</w:t>
      </w:r>
      <w:r>
        <w:t xml:space="preserve"> the market would plateau in the coming years. </w:t>
      </w:r>
      <w:r w:rsidR="00D64C80">
        <w:t xml:space="preserve">Figure 1 shows that the use of testosterone has remained steady since the April 2015 restriction change. The restriction changes that have occurred since then have not affected </w:t>
      </w:r>
      <w:r w:rsidR="00A35ABC">
        <w:t xml:space="preserve">the </w:t>
      </w:r>
      <w:r w:rsidR="00D64C80">
        <w:t>overall</w:t>
      </w:r>
      <w:r w:rsidR="00A35ABC">
        <w:t xml:space="preserve"> trend in</w:t>
      </w:r>
      <w:r w:rsidR="00D64C80">
        <w:t xml:space="preserve"> testosterone use.</w:t>
      </w:r>
      <w:bookmarkStart w:id="2" w:name="Table4"/>
    </w:p>
    <w:p w14:paraId="4710940D" w14:textId="10AC02E1" w:rsidR="005420D8" w:rsidRPr="00BF48A8" w:rsidRDefault="00760944" w:rsidP="00BF48A8">
      <w:pPr>
        <w:pStyle w:val="Figuretitle"/>
      </w:pPr>
      <w:r w:rsidRPr="00BF48A8">
        <w:t>Table</w:t>
      </w:r>
      <w:r w:rsidR="00862DFC" w:rsidRPr="00BF48A8">
        <w:t xml:space="preserve"> 4</w:t>
      </w:r>
      <w:r w:rsidR="00E04DB0" w:rsidRPr="00BF48A8">
        <w:t xml:space="preserve">: </w:t>
      </w:r>
      <w:bookmarkEnd w:id="2"/>
      <w:r w:rsidR="00E04DB0" w:rsidRPr="00BF48A8">
        <w:t>Testosterone prescriptions supplied by calendar year</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827"/>
        <w:gridCol w:w="2835"/>
      </w:tblGrid>
      <w:tr w:rsidR="00B720DB" w:rsidRPr="00CB14DE" w14:paraId="1B020C9E" w14:textId="77777777" w:rsidTr="00153820">
        <w:trPr>
          <w:trHeight w:val="290"/>
        </w:trPr>
        <w:tc>
          <w:tcPr>
            <w:tcW w:w="851" w:type="dxa"/>
            <w:shd w:val="clear" w:color="auto" w:fill="BFBFBF" w:themeFill="background1" w:themeFillShade="BF"/>
            <w:noWrap/>
            <w:vAlign w:val="bottom"/>
          </w:tcPr>
          <w:p w14:paraId="79A3F1E3" w14:textId="10A65991" w:rsidR="00B720DB" w:rsidRPr="00CB14DE" w:rsidRDefault="00B720DB" w:rsidP="00153820">
            <w:pPr>
              <w:pStyle w:val="Tableheading"/>
              <w:rPr>
                <w:sz w:val="20"/>
                <w:szCs w:val="20"/>
              </w:rPr>
            </w:pPr>
            <w:r w:rsidRPr="00CB14DE">
              <w:rPr>
                <w:sz w:val="20"/>
                <w:szCs w:val="20"/>
              </w:rPr>
              <w:t>Year</w:t>
            </w:r>
          </w:p>
        </w:tc>
        <w:tc>
          <w:tcPr>
            <w:tcW w:w="3827" w:type="dxa"/>
            <w:shd w:val="clear" w:color="auto" w:fill="BFBFBF" w:themeFill="background1" w:themeFillShade="BF"/>
            <w:noWrap/>
            <w:vAlign w:val="bottom"/>
          </w:tcPr>
          <w:p w14:paraId="21839497" w14:textId="1D83095F" w:rsidR="00B720DB" w:rsidRPr="00CB14DE" w:rsidRDefault="00447268" w:rsidP="00153820">
            <w:pPr>
              <w:pStyle w:val="Tableheading"/>
              <w:rPr>
                <w:sz w:val="20"/>
                <w:szCs w:val="20"/>
              </w:rPr>
            </w:pPr>
            <w:r w:rsidRPr="00CB14DE">
              <w:rPr>
                <w:sz w:val="20"/>
                <w:szCs w:val="20"/>
              </w:rPr>
              <w:t>Number of p</w:t>
            </w:r>
            <w:r w:rsidR="00B720DB" w:rsidRPr="00CB14DE">
              <w:rPr>
                <w:sz w:val="20"/>
                <w:szCs w:val="20"/>
              </w:rPr>
              <w:t>rescriptions</w:t>
            </w:r>
            <w:r w:rsidR="00DB7BAB" w:rsidRPr="00CB14DE">
              <w:rPr>
                <w:sz w:val="20"/>
                <w:szCs w:val="20"/>
              </w:rPr>
              <w:t xml:space="preserve"> supplied</w:t>
            </w:r>
          </w:p>
        </w:tc>
        <w:tc>
          <w:tcPr>
            <w:tcW w:w="2835" w:type="dxa"/>
            <w:shd w:val="clear" w:color="auto" w:fill="BFBFBF" w:themeFill="background1" w:themeFillShade="BF"/>
            <w:noWrap/>
            <w:vAlign w:val="bottom"/>
          </w:tcPr>
          <w:p w14:paraId="4FE839E6" w14:textId="6AEBC658" w:rsidR="00B720DB" w:rsidRPr="00CB14DE" w:rsidRDefault="00447268" w:rsidP="00153820">
            <w:pPr>
              <w:pStyle w:val="Tableheading"/>
              <w:rPr>
                <w:sz w:val="20"/>
                <w:szCs w:val="20"/>
              </w:rPr>
            </w:pPr>
            <w:r w:rsidRPr="00CB14DE">
              <w:rPr>
                <w:sz w:val="20"/>
                <w:szCs w:val="20"/>
              </w:rPr>
              <w:t>Annual</w:t>
            </w:r>
            <w:r w:rsidR="00B720DB" w:rsidRPr="00CB14DE">
              <w:rPr>
                <w:sz w:val="20"/>
                <w:szCs w:val="20"/>
              </w:rPr>
              <w:t xml:space="preserve"> growth</w:t>
            </w:r>
          </w:p>
        </w:tc>
      </w:tr>
      <w:tr w:rsidR="00B720DB" w:rsidRPr="00B720DB" w14:paraId="397E99C6" w14:textId="77777777" w:rsidTr="00447268">
        <w:trPr>
          <w:trHeight w:val="290"/>
        </w:trPr>
        <w:tc>
          <w:tcPr>
            <w:tcW w:w="851" w:type="dxa"/>
            <w:shd w:val="clear" w:color="auto" w:fill="auto"/>
            <w:noWrap/>
            <w:vAlign w:val="bottom"/>
            <w:hideMark/>
          </w:tcPr>
          <w:p w14:paraId="776B3D66" w14:textId="77777777" w:rsidR="00B720DB" w:rsidRPr="00B720DB" w:rsidRDefault="00B720DB" w:rsidP="00153820">
            <w:pPr>
              <w:pStyle w:val="Tablewriting"/>
              <w:jc w:val="center"/>
            </w:pPr>
            <w:r w:rsidRPr="00B720DB">
              <w:t>2013</w:t>
            </w:r>
          </w:p>
        </w:tc>
        <w:tc>
          <w:tcPr>
            <w:tcW w:w="3827" w:type="dxa"/>
            <w:shd w:val="clear" w:color="auto" w:fill="auto"/>
            <w:noWrap/>
            <w:vAlign w:val="bottom"/>
          </w:tcPr>
          <w:p w14:paraId="681F75A0" w14:textId="294912BB" w:rsidR="00B720DB" w:rsidRPr="00B720DB" w:rsidRDefault="00B720DB" w:rsidP="00153820">
            <w:pPr>
              <w:pStyle w:val="Tablewriting"/>
              <w:jc w:val="center"/>
            </w:pPr>
            <w:r>
              <w:t>210,300</w:t>
            </w:r>
          </w:p>
        </w:tc>
        <w:tc>
          <w:tcPr>
            <w:tcW w:w="2835" w:type="dxa"/>
            <w:shd w:val="clear" w:color="auto" w:fill="auto"/>
            <w:noWrap/>
            <w:vAlign w:val="bottom"/>
            <w:hideMark/>
          </w:tcPr>
          <w:p w14:paraId="19F079D5" w14:textId="7FE342E6" w:rsidR="00B720DB" w:rsidRPr="00B720DB" w:rsidRDefault="00B720DB" w:rsidP="00153820">
            <w:pPr>
              <w:pStyle w:val="Tablewriting"/>
              <w:jc w:val="center"/>
            </w:pPr>
            <w:r>
              <w:t>N/A</w:t>
            </w:r>
          </w:p>
        </w:tc>
      </w:tr>
      <w:tr w:rsidR="00B720DB" w:rsidRPr="00B720DB" w14:paraId="7AAA97A3" w14:textId="77777777" w:rsidTr="00447268">
        <w:trPr>
          <w:trHeight w:val="290"/>
        </w:trPr>
        <w:tc>
          <w:tcPr>
            <w:tcW w:w="851" w:type="dxa"/>
            <w:shd w:val="clear" w:color="auto" w:fill="auto"/>
            <w:noWrap/>
            <w:vAlign w:val="bottom"/>
            <w:hideMark/>
          </w:tcPr>
          <w:p w14:paraId="48DE2003" w14:textId="77777777" w:rsidR="00B720DB" w:rsidRPr="00B720DB" w:rsidRDefault="00B720DB" w:rsidP="00153820">
            <w:pPr>
              <w:pStyle w:val="Tablewriting"/>
              <w:jc w:val="center"/>
            </w:pPr>
            <w:r w:rsidRPr="00B720DB">
              <w:t>2014</w:t>
            </w:r>
          </w:p>
        </w:tc>
        <w:tc>
          <w:tcPr>
            <w:tcW w:w="3827" w:type="dxa"/>
            <w:shd w:val="clear" w:color="auto" w:fill="auto"/>
            <w:noWrap/>
            <w:vAlign w:val="bottom"/>
          </w:tcPr>
          <w:p w14:paraId="0C7F0030" w14:textId="51B30609" w:rsidR="00B720DB" w:rsidRPr="00B720DB" w:rsidRDefault="00B720DB" w:rsidP="00153820">
            <w:pPr>
              <w:pStyle w:val="Tablewriting"/>
              <w:jc w:val="center"/>
            </w:pPr>
            <w:r>
              <w:t>222,996</w:t>
            </w:r>
          </w:p>
        </w:tc>
        <w:tc>
          <w:tcPr>
            <w:tcW w:w="2835" w:type="dxa"/>
            <w:shd w:val="clear" w:color="auto" w:fill="auto"/>
            <w:noWrap/>
            <w:vAlign w:val="bottom"/>
            <w:hideMark/>
          </w:tcPr>
          <w:p w14:paraId="7F36F6E4" w14:textId="77777777" w:rsidR="00B720DB" w:rsidRPr="00B720DB" w:rsidRDefault="00B720DB" w:rsidP="00153820">
            <w:pPr>
              <w:pStyle w:val="Tablewriting"/>
              <w:jc w:val="center"/>
            </w:pPr>
            <w:r w:rsidRPr="00B720DB">
              <w:t>6%</w:t>
            </w:r>
          </w:p>
        </w:tc>
      </w:tr>
      <w:tr w:rsidR="00B720DB" w:rsidRPr="00B720DB" w14:paraId="49165D6D" w14:textId="77777777" w:rsidTr="00447268">
        <w:trPr>
          <w:trHeight w:val="290"/>
        </w:trPr>
        <w:tc>
          <w:tcPr>
            <w:tcW w:w="851" w:type="dxa"/>
            <w:shd w:val="clear" w:color="auto" w:fill="auto"/>
            <w:noWrap/>
            <w:vAlign w:val="bottom"/>
            <w:hideMark/>
          </w:tcPr>
          <w:p w14:paraId="7D885082" w14:textId="77777777" w:rsidR="00B720DB" w:rsidRPr="00B720DB" w:rsidRDefault="00B720DB" w:rsidP="00153820">
            <w:pPr>
              <w:pStyle w:val="Tablewriting"/>
              <w:jc w:val="center"/>
            </w:pPr>
            <w:r w:rsidRPr="00B720DB">
              <w:t>2015</w:t>
            </w:r>
          </w:p>
        </w:tc>
        <w:tc>
          <w:tcPr>
            <w:tcW w:w="3827" w:type="dxa"/>
            <w:shd w:val="clear" w:color="auto" w:fill="auto"/>
            <w:noWrap/>
            <w:vAlign w:val="bottom"/>
          </w:tcPr>
          <w:p w14:paraId="718574A6" w14:textId="583624E8" w:rsidR="00B720DB" w:rsidRPr="00B720DB" w:rsidRDefault="00B720DB" w:rsidP="00153820">
            <w:pPr>
              <w:pStyle w:val="Tablewriting"/>
              <w:jc w:val="center"/>
            </w:pPr>
            <w:r>
              <w:t>183,573</w:t>
            </w:r>
          </w:p>
        </w:tc>
        <w:tc>
          <w:tcPr>
            <w:tcW w:w="2835" w:type="dxa"/>
            <w:shd w:val="clear" w:color="auto" w:fill="auto"/>
            <w:noWrap/>
            <w:vAlign w:val="bottom"/>
            <w:hideMark/>
          </w:tcPr>
          <w:p w14:paraId="27D8F406" w14:textId="77777777" w:rsidR="00B720DB" w:rsidRPr="00B720DB" w:rsidRDefault="00B720DB" w:rsidP="00153820">
            <w:pPr>
              <w:pStyle w:val="Tablewriting"/>
              <w:jc w:val="center"/>
            </w:pPr>
            <w:r w:rsidRPr="00B720DB">
              <w:t>-18%</w:t>
            </w:r>
          </w:p>
        </w:tc>
      </w:tr>
      <w:tr w:rsidR="00B720DB" w:rsidRPr="00B720DB" w14:paraId="01B2D12F" w14:textId="77777777" w:rsidTr="00447268">
        <w:trPr>
          <w:trHeight w:val="290"/>
        </w:trPr>
        <w:tc>
          <w:tcPr>
            <w:tcW w:w="851" w:type="dxa"/>
            <w:shd w:val="clear" w:color="auto" w:fill="auto"/>
            <w:noWrap/>
            <w:vAlign w:val="bottom"/>
            <w:hideMark/>
          </w:tcPr>
          <w:p w14:paraId="7A0AF0DE" w14:textId="77777777" w:rsidR="00B720DB" w:rsidRPr="00B720DB" w:rsidRDefault="00B720DB" w:rsidP="00153820">
            <w:pPr>
              <w:pStyle w:val="Tablewriting"/>
              <w:jc w:val="center"/>
            </w:pPr>
            <w:r w:rsidRPr="00B720DB">
              <w:t>2016</w:t>
            </w:r>
          </w:p>
        </w:tc>
        <w:tc>
          <w:tcPr>
            <w:tcW w:w="3827" w:type="dxa"/>
            <w:shd w:val="clear" w:color="auto" w:fill="auto"/>
            <w:noWrap/>
            <w:vAlign w:val="bottom"/>
          </w:tcPr>
          <w:p w14:paraId="10C75F6D" w14:textId="286BACF2" w:rsidR="00B720DB" w:rsidRPr="00B720DB" w:rsidRDefault="00B720DB" w:rsidP="00153820">
            <w:pPr>
              <w:pStyle w:val="Tablewriting"/>
              <w:jc w:val="center"/>
            </w:pPr>
            <w:r>
              <w:t>155,384</w:t>
            </w:r>
          </w:p>
        </w:tc>
        <w:tc>
          <w:tcPr>
            <w:tcW w:w="2835" w:type="dxa"/>
            <w:shd w:val="clear" w:color="auto" w:fill="auto"/>
            <w:noWrap/>
            <w:vAlign w:val="bottom"/>
            <w:hideMark/>
          </w:tcPr>
          <w:p w14:paraId="4BA485EE" w14:textId="77777777" w:rsidR="00B720DB" w:rsidRPr="00B720DB" w:rsidRDefault="00B720DB" w:rsidP="00153820">
            <w:pPr>
              <w:pStyle w:val="Tablewriting"/>
              <w:jc w:val="center"/>
            </w:pPr>
            <w:r w:rsidRPr="00B720DB">
              <w:t>-15%</w:t>
            </w:r>
          </w:p>
        </w:tc>
      </w:tr>
      <w:tr w:rsidR="00B720DB" w:rsidRPr="00B720DB" w14:paraId="162AA091" w14:textId="77777777" w:rsidTr="00447268">
        <w:trPr>
          <w:trHeight w:val="290"/>
        </w:trPr>
        <w:tc>
          <w:tcPr>
            <w:tcW w:w="851" w:type="dxa"/>
            <w:shd w:val="clear" w:color="auto" w:fill="auto"/>
            <w:noWrap/>
            <w:vAlign w:val="bottom"/>
            <w:hideMark/>
          </w:tcPr>
          <w:p w14:paraId="440FA3C2" w14:textId="77777777" w:rsidR="00B720DB" w:rsidRPr="00B720DB" w:rsidRDefault="00B720DB" w:rsidP="00153820">
            <w:pPr>
              <w:pStyle w:val="Tablewriting"/>
              <w:jc w:val="center"/>
            </w:pPr>
            <w:r w:rsidRPr="00B720DB">
              <w:t>2017</w:t>
            </w:r>
          </w:p>
        </w:tc>
        <w:tc>
          <w:tcPr>
            <w:tcW w:w="3827" w:type="dxa"/>
            <w:shd w:val="clear" w:color="auto" w:fill="auto"/>
            <w:noWrap/>
            <w:vAlign w:val="bottom"/>
          </w:tcPr>
          <w:p w14:paraId="270A1F59" w14:textId="53B5DFB8" w:rsidR="00B720DB" w:rsidRPr="00B720DB" w:rsidRDefault="00B720DB" w:rsidP="00153820">
            <w:pPr>
              <w:pStyle w:val="Tablewriting"/>
              <w:jc w:val="center"/>
            </w:pPr>
            <w:r>
              <w:t>164,597</w:t>
            </w:r>
          </w:p>
        </w:tc>
        <w:tc>
          <w:tcPr>
            <w:tcW w:w="2835" w:type="dxa"/>
            <w:shd w:val="clear" w:color="auto" w:fill="auto"/>
            <w:noWrap/>
            <w:vAlign w:val="bottom"/>
            <w:hideMark/>
          </w:tcPr>
          <w:p w14:paraId="4A6169F4" w14:textId="77777777" w:rsidR="00B720DB" w:rsidRPr="00B720DB" w:rsidRDefault="00B720DB" w:rsidP="00153820">
            <w:pPr>
              <w:pStyle w:val="Tablewriting"/>
              <w:jc w:val="center"/>
            </w:pPr>
            <w:r w:rsidRPr="00B720DB">
              <w:t>6%</w:t>
            </w:r>
          </w:p>
        </w:tc>
      </w:tr>
      <w:tr w:rsidR="00B720DB" w:rsidRPr="00B720DB" w14:paraId="74F09F1D" w14:textId="77777777" w:rsidTr="00447268">
        <w:trPr>
          <w:trHeight w:val="290"/>
        </w:trPr>
        <w:tc>
          <w:tcPr>
            <w:tcW w:w="851" w:type="dxa"/>
            <w:shd w:val="clear" w:color="auto" w:fill="auto"/>
            <w:noWrap/>
            <w:vAlign w:val="bottom"/>
            <w:hideMark/>
          </w:tcPr>
          <w:p w14:paraId="7C5E95DE" w14:textId="77777777" w:rsidR="00B720DB" w:rsidRPr="00B720DB" w:rsidRDefault="00B720DB" w:rsidP="00153820">
            <w:pPr>
              <w:pStyle w:val="Tablewriting"/>
              <w:jc w:val="center"/>
            </w:pPr>
            <w:r w:rsidRPr="00B720DB">
              <w:t>2018</w:t>
            </w:r>
          </w:p>
        </w:tc>
        <w:tc>
          <w:tcPr>
            <w:tcW w:w="3827" w:type="dxa"/>
            <w:shd w:val="clear" w:color="auto" w:fill="auto"/>
            <w:noWrap/>
            <w:vAlign w:val="bottom"/>
          </w:tcPr>
          <w:p w14:paraId="53A85285" w14:textId="57C0B018" w:rsidR="00B720DB" w:rsidRPr="00B720DB" w:rsidRDefault="00B720DB" w:rsidP="00153820">
            <w:pPr>
              <w:pStyle w:val="Tablewriting"/>
              <w:jc w:val="center"/>
            </w:pPr>
            <w:r>
              <w:t>156,259</w:t>
            </w:r>
          </w:p>
        </w:tc>
        <w:tc>
          <w:tcPr>
            <w:tcW w:w="2835" w:type="dxa"/>
            <w:shd w:val="clear" w:color="auto" w:fill="auto"/>
            <w:noWrap/>
            <w:vAlign w:val="bottom"/>
            <w:hideMark/>
          </w:tcPr>
          <w:p w14:paraId="7B728F4E" w14:textId="77777777" w:rsidR="00B720DB" w:rsidRPr="00B720DB" w:rsidRDefault="00B720DB" w:rsidP="00153820">
            <w:pPr>
              <w:pStyle w:val="Tablewriting"/>
              <w:jc w:val="center"/>
            </w:pPr>
            <w:r w:rsidRPr="00B720DB">
              <w:t>-5%</w:t>
            </w:r>
          </w:p>
        </w:tc>
      </w:tr>
    </w:tbl>
    <w:p w14:paraId="08A60CF0" w14:textId="56CC9B78" w:rsidR="00114681" w:rsidRDefault="00447268" w:rsidP="00447268">
      <w:pPr>
        <w:pStyle w:val="Figurecaption"/>
        <w:rPr>
          <w:noProof/>
        </w:rPr>
      </w:pPr>
      <w:r>
        <w:rPr>
          <w:noProof/>
        </w:rPr>
        <w:t xml:space="preserve">Prescriptions by date of supply. Source: DHS supplied prescriptions database; accessed November 2019. </w:t>
      </w:r>
    </w:p>
    <w:p w14:paraId="16E04BF4" w14:textId="774C3AB4" w:rsidR="005A0E90" w:rsidRPr="00A35ABC" w:rsidRDefault="005A0E90" w:rsidP="00114681">
      <w:r>
        <w:t>In 2018, government expenditure for testosterone supplied through the PBS was $13,079,019.</w:t>
      </w:r>
    </w:p>
    <w:p w14:paraId="19C354CE" w14:textId="08863D09" w:rsidR="005420D8" w:rsidRDefault="0030308F" w:rsidP="00A35800">
      <w:r>
        <w:rPr>
          <w:noProof/>
        </w:rPr>
        <w:drawing>
          <wp:inline distT="0" distB="0" distL="0" distR="0" wp14:anchorId="20E040C3" wp14:editId="465A544E">
            <wp:extent cx="5687695" cy="3578087"/>
            <wp:effectExtent l="0" t="0" r="8255" b="3810"/>
            <wp:docPr id="4" name="Chart 4" descr="Figure 2: Testosterone prescriptions supplied per quarter by form from Apr 2012 to Sep 2019" title="Figure 2: Testosterone prescriptions supplied per quarter by form from Apr 2012 to Sep 20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541D744" w14:textId="3E1D87F3" w:rsidR="00936048" w:rsidRDefault="00936048" w:rsidP="00936048">
      <w:pPr>
        <w:pStyle w:val="Figuretitle"/>
        <w:rPr>
          <w:noProof/>
        </w:rPr>
      </w:pPr>
      <w:bookmarkStart w:id="3" w:name="Figure2"/>
      <w:r>
        <w:rPr>
          <w:noProof/>
        </w:rPr>
        <w:t xml:space="preserve">Figure 2: </w:t>
      </w:r>
      <w:bookmarkEnd w:id="3"/>
      <w:r>
        <w:rPr>
          <w:noProof/>
        </w:rPr>
        <w:t>Testosterone prescriptions supplied per quarter by f</w:t>
      </w:r>
      <w:r w:rsidR="008945F8">
        <w:rPr>
          <w:noProof/>
        </w:rPr>
        <w:t>orm from Apr 2012 to Sep</w:t>
      </w:r>
      <w:r>
        <w:rPr>
          <w:noProof/>
        </w:rPr>
        <w:t xml:space="preserve"> 2019.</w:t>
      </w:r>
    </w:p>
    <w:p w14:paraId="69EC0821" w14:textId="77777777" w:rsidR="00936048" w:rsidRDefault="00936048" w:rsidP="00936048">
      <w:pPr>
        <w:pStyle w:val="Figurecaption"/>
        <w:rPr>
          <w:noProof/>
        </w:rPr>
      </w:pPr>
      <w:r>
        <w:rPr>
          <w:noProof/>
        </w:rPr>
        <w:t xml:space="preserve">Prescriptions by date of supply. Source: DHS supplied prescriptions database; accessed November 2019. </w:t>
      </w:r>
    </w:p>
    <w:p w14:paraId="6638DACC" w14:textId="1A08A2C6" w:rsidR="00BA2E91" w:rsidRDefault="00BA2E91" w:rsidP="00A35800">
      <w:r>
        <w:lastRenderedPageBreak/>
        <w:t>Transdermal gel and injection remain</w:t>
      </w:r>
      <w:r w:rsidR="007B3454">
        <w:t>ed</w:t>
      </w:r>
      <w:r>
        <w:t xml:space="preserve"> the two most used forms of t</w:t>
      </w:r>
      <w:r w:rsidR="007B3454">
        <w:t>estosterone (Figure </w:t>
      </w:r>
      <w:r>
        <w:t xml:space="preserve">2). </w:t>
      </w:r>
    </w:p>
    <w:p w14:paraId="25E77BE7" w14:textId="35971655" w:rsidR="005C5323" w:rsidRDefault="005C5323" w:rsidP="000951A1">
      <w:r>
        <w:rPr>
          <w:noProof/>
        </w:rPr>
        <w:drawing>
          <wp:inline distT="0" distB="0" distL="0" distR="0" wp14:anchorId="00409BD7" wp14:editId="133F5510">
            <wp:extent cx="5687695" cy="2695492"/>
            <wp:effectExtent l="0" t="0" r="8255" b="10160"/>
            <wp:docPr id="2" name="Chart 2" descr="Figure 3: Number of patients initiating and prevalent to testosterone by calendar year" title="Figure 3: Number of patients initiating and prevalent to testosterone by calendar yea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8AE8D3F" w14:textId="388529EF" w:rsidR="007470D2" w:rsidRDefault="007470D2" w:rsidP="007470D2">
      <w:pPr>
        <w:pStyle w:val="Figuretitle"/>
        <w:rPr>
          <w:noProof/>
        </w:rPr>
      </w:pPr>
      <w:bookmarkStart w:id="4" w:name="Figure3"/>
      <w:r>
        <w:rPr>
          <w:noProof/>
        </w:rPr>
        <w:t xml:space="preserve">Figure 3: </w:t>
      </w:r>
      <w:bookmarkEnd w:id="4"/>
      <w:r>
        <w:rPr>
          <w:noProof/>
        </w:rPr>
        <w:t>Number of patients initiating and prevalent to testosterone by calendar year</w:t>
      </w:r>
    </w:p>
    <w:p w14:paraId="66857A75" w14:textId="77777777" w:rsidR="00114681" w:rsidRDefault="00114681" w:rsidP="00114681">
      <w:pPr>
        <w:pStyle w:val="Figurecaption"/>
      </w:pPr>
      <w:r>
        <w:t>Initiation defined as first supply of testosterone since April 2003.</w:t>
      </w:r>
    </w:p>
    <w:p w14:paraId="7502661F" w14:textId="0ABBED26" w:rsidR="00114681" w:rsidRDefault="00114681" w:rsidP="00114681">
      <w:pPr>
        <w:pStyle w:val="Figurecaption"/>
        <w:rPr>
          <w:noProof/>
        </w:rPr>
      </w:pPr>
      <w:r>
        <w:rPr>
          <w:noProof/>
        </w:rPr>
        <w:t xml:space="preserve">Source: DHS supplied prescriptions database; accessed November 2019. </w:t>
      </w:r>
    </w:p>
    <w:p w14:paraId="1F86CB35" w14:textId="77777777" w:rsidR="007B3454" w:rsidRDefault="007B3454" w:rsidP="00A35800"/>
    <w:p w14:paraId="0431C449" w14:textId="749C6A88" w:rsidR="00D048B9" w:rsidRDefault="005C5323" w:rsidP="00A35800">
      <w:r>
        <w:t xml:space="preserve">In 2018, there were 33,615 patients supplied testosterone; of whom 4,276 received their first testosterone supply in that year. </w:t>
      </w:r>
      <w:r w:rsidR="007470D2">
        <w:t>The number of initiating patients stabilised at around 5,000 per year from 2016 onwards, after the restriction change for the androgen deficiency listing</w:t>
      </w:r>
      <w:r w:rsidR="00BD75FC">
        <w:t xml:space="preserve"> (Figure 3)</w:t>
      </w:r>
      <w:r w:rsidR="007470D2">
        <w:t xml:space="preserve">. </w:t>
      </w:r>
    </w:p>
    <w:p w14:paraId="3BD78D1E" w14:textId="77777777" w:rsidR="00114681" w:rsidRDefault="00114681">
      <w:pPr>
        <w:spacing w:line="276" w:lineRule="auto"/>
        <w:rPr>
          <w:b/>
          <w:i/>
          <w:szCs w:val="28"/>
        </w:rPr>
      </w:pPr>
      <w:r>
        <w:br w:type="page"/>
      </w:r>
    </w:p>
    <w:p w14:paraId="76EC3B44" w14:textId="3FD3CFCC" w:rsidR="00D048B9" w:rsidRPr="005E22C2" w:rsidRDefault="00D048B9" w:rsidP="00D048B9">
      <w:pPr>
        <w:pStyle w:val="Heading3"/>
      </w:pPr>
      <w:r>
        <w:lastRenderedPageBreak/>
        <w:t>Patients initiating testosterone therapy by restriction</w:t>
      </w:r>
    </w:p>
    <w:p w14:paraId="01AE3BE8" w14:textId="304C8FB4" w:rsidR="005420D8" w:rsidRDefault="007470D2" w:rsidP="00A35800">
      <w:r>
        <w:t xml:space="preserve"> </w:t>
      </w:r>
    </w:p>
    <w:p w14:paraId="226679C7" w14:textId="73831D60" w:rsidR="00A44BE2" w:rsidRDefault="00A44BE2" w:rsidP="00A35800">
      <w:r>
        <w:rPr>
          <w:noProof/>
        </w:rPr>
        <w:drawing>
          <wp:inline distT="0" distB="0" distL="0" distR="0" wp14:anchorId="080ADC6C" wp14:editId="4904B9AD">
            <wp:extent cx="5687695" cy="4520242"/>
            <wp:effectExtent l="0" t="0" r="8255" b="13970"/>
            <wp:docPr id="3" name="Chart 3" descr="Figure 4: Initiating patients by restriction" title="Figure 4: Initiating patients by restric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218456D" w14:textId="21926A03" w:rsidR="00A44BE2" w:rsidRDefault="00A44BE2" w:rsidP="00A44BE2">
      <w:pPr>
        <w:pStyle w:val="Figuretitle"/>
        <w:rPr>
          <w:noProof/>
        </w:rPr>
      </w:pPr>
      <w:bookmarkStart w:id="5" w:name="Figure4"/>
      <w:r>
        <w:rPr>
          <w:noProof/>
        </w:rPr>
        <w:t>Figure 4</w:t>
      </w:r>
      <w:bookmarkEnd w:id="5"/>
      <w:r>
        <w:rPr>
          <w:noProof/>
        </w:rPr>
        <w:t>: Initiating patients by restriction</w:t>
      </w:r>
    </w:p>
    <w:p w14:paraId="2A1BBC66" w14:textId="531368D0" w:rsidR="00A44BE2" w:rsidRDefault="00A44BE2" w:rsidP="00A44BE2">
      <w:pPr>
        <w:pStyle w:val="Figurecaption"/>
        <w:rPr>
          <w:noProof/>
        </w:rPr>
      </w:pPr>
      <w:r>
        <w:rPr>
          <w:noProof/>
        </w:rPr>
        <w:t>CDGP: constitutional delay of growth and puberty</w:t>
      </w:r>
    </w:p>
    <w:p w14:paraId="2AA8D4BF" w14:textId="078D8931" w:rsidR="00781832" w:rsidRDefault="00781832" w:rsidP="00A44BE2">
      <w:pPr>
        <w:pStyle w:val="Figurecaption"/>
        <w:rPr>
          <w:noProof/>
        </w:rPr>
      </w:pPr>
      <w:r>
        <w:rPr>
          <w:noProof/>
        </w:rPr>
        <w:t>Classical androgen deficiencies: pubertal induction, micropenis and constitutional delay of growth/puberty</w:t>
      </w:r>
    </w:p>
    <w:p w14:paraId="55187643" w14:textId="6821EEF0" w:rsidR="00A44BE2" w:rsidRDefault="00A44BE2" w:rsidP="00A44BE2">
      <w:pPr>
        <w:pStyle w:val="Figurecaption"/>
        <w:rPr>
          <w:noProof/>
        </w:rPr>
      </w:pPr>
      <w:r>
        <w:t>Initiation defined as first supply of testosterone since April 2003. In the presented period,</w:t>
      </w:r>
      <w:r>
        <w:rPr>
          <w:noProof/>
        </w:rPr>
        <w:t xml:space="preserve"> </w:t>
      </w:r>
      <w:r w:rsidRPr="003C6647">
        <w:rPr>
          <w:noProof/>
        </w:rPr>
        <w:t>there were 2,355</w:t>
      </w:r>
      <w:r w:rsidRPr="0019295E">
        <w:rPr>
          <w:noProof/>
        </w:rPr>
        <w:t xml:space="preserve"> initiating patients with an unknown or invalid restriction</w:t>
      </w:r>
      <w:r>
        <w:rPr>
          <w:noProof/>
        </w:rPr>
        <w:t xml:space="preserve"> (not shown). Source: DHS supplied prescriptions database; accessed November 2019. </w:t>
      </w:r>
    </w:p>
    <w:p w14:paraId="418BA04C" w14:textId="0479A908" w:rsidR="00A44BE2" w:rsidRDefault="00A44BE2" w:rsidP="00A35800"/>
    <w:p w14:paraId="7F66AC08" w14:textId="28CB9D93" w:rsidR="004E7A8B" w:rsidRDefault="004E7A8B" w:rsidP="004E7A8B">
      <w:pPr>
        <w:spacing w:after="0"/>
        <w:rPr>
          <w:noProof/>
        </w:rPr>
      </w:pPr>
      <w:r>
        <w:t xml:space="preserve">As noted in the September 2016 report, the number of patients initiating testosterone for </w:t>
      </w:r>
      <w:r>
        <w:rPr>
          <w:noProof/>
        </w:rPr>
        <w:t>non-established androgen deficiency fell 86% in the year after the restriction change. In the same time period, the number of patients initiating testosterone treatment for classical androgen deficiency did not decline. The updated data</w:t>
      </w:r>
      <w:r w:rsidR="00145BDD">
        <w:rPr>
          <w:noProof/>
        </w:rPr>
        <w:t xml:space="preserve"> (Figure 4)</w:t>
      </w:r>
      <w:r>
        <w:rPr>
          <w:noProof/>
        </w:rPr>
        <w:t xml:space="preserve"> show that the number of patients initiating testosterone under each of</w:t>
      </w:r>
      <w:r w:rsidR="00A35ABC">
        <w:rPr>
          <w:noProof/>
        </w:rPr>
        <w:t xml:space="preserve"> the restricti</w:t>
      </w:r>
      <w:r>
        <w:rPr>
          <w:noProof/>
        </w:rPr>
        <w:t xml:space="preserve">on codes remained stable since 2016 (noting that 2019 is part year to September). </w:t>
      </w:r>
    </w:p>
    <w:p w14:paraId="4A564F47" w14:textId="53E68CA6" w:rsidR="004E7A8B" w:rsidRDefault="004E7A8B" w:rsidP="00A35800"/>
    <w:p w14:paraId="266D3460" w14:textId="61A93437" w:rsidR="00F12047" w:rsidRDefault="00DA4923" w:rsidP="00A35800">
      <w:r>
        <w:rPr>
          <w:noProof/>
        </w:rPr>
        <w:lastRenderedPageBreak/>
        <w:drawing>
          <wp:inline distT="0" distB="0" distL="0" distR="0" wp14:anchorId="33450AA8" wp14:editId="6859F593">
            <wp:extent cx="5687695" cy="4390846"/>
            <wp:effectExtent l="0" t="0" r="8255" b="10160"/>
            <wp:docPr id="5" name="Chart 5" descr="Figure 5: Prevalent patients by restriction" title="Figure 5: Prevalent patients by restric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6B37C78" w14:textId="67AE3C58" w:rsidR="00046876" w:rsidRDefault="00233BB5" w:rsidP="00E67665">
      <w:pPr>
        <w:pStyle w:val="Figuretitle"/>
        <w:rPr>
          <w:noProof/>
        </w:rPr>
      </w:pPr>
      <w:bookmarkStart w:id="6" w:name="Figure5"/>
      <w:r>
        <w:rPr>
          <w:noProof/>
        </w:rPr>
        <w:t>Figure 5</w:t>
      </w:r>
      <w:r w:rsidR="00E67665">
        <w:rPr>
          <w:noProof/>
        </w:rPr>
        <w:t xml:space="preserve">: </w:t>
      </w:r>
      <w:bookmarkEnd w:id="6"/>
      <w:r w:rsidR="00E67665">
        <w:rPr>
          <w:noProof/>
        </w:rPr>
        <w:t>Prevalent patients by restriction</w:t>
      </w:r>
    </w:p>
    <w:p w14:paraId="40664ECF" w14:textId="3445D970" w:rsidR="00046876" w:rsidRDefault="00046876" w:rsidP="00046876">
      <w:pPr>
        <w:pStyle w:val="Figurecaption"/>
        <w:rPr>
          <w:noProof/>
        </w:rPr>
      </w:pPr>
      <w:r>
        <w:rPr>
          <w:noProof/>
        </w:rPr>
        <w:t>CDGP: constitutional delay of growth and puberty</w:t>
      </w:r>
    </w:p>
    <w:p w14:paraId="2FEA2BC0" w14:textId="77777777" w:rsidR="00046876" w:rsidRPr="00046876" w:rsidRDefault="00046876" w:rsidP="00046876">
      <w:pPr>
        <w:pStyle w:val="Figurecaption"/>
        <w:rPr>
          <w:noProof/>
        </w:rPr>
      </w:pPr>
      <w:r>
        <w:rPr>
          <w:noProof/>
        </w:rPr>
        <w:t xml:space="preserve">Classical androgen </w:t>
      </w:r>
      <w:r w:rsidRPr="00046876">
        <w:rPr>
          <w:noProof/>
        </w:rPr>
        <w:t>deficiencies: pubertal induction, micropenis and constitutional delay of growth/puberty</w:t>
      </w:r>
    </w:p>
    <w:p w14:paraId="459D2257" w14:textId="6521C573" w:rsidR="00046876" w:rsidRDefault="00046876" w:rsidP="00046876">
      <w:pPr>
        <w:pStyle w:val="Figurecaption"/>
        <w:rPr>
          <w:noProof/>
        </w:rPr>
      </w:pPr>
      <w:r w:rsidRPr="00046876">
        <w:t>In the presented period,</w:t>
      </w:r>
      <w:r w:rsidRPr="00046876">
        <w:rPr>
          <w:noProof/>
        </w:rPr>
        <w:t xml:space="preserve"> there were, on average, 644 patients per year with an</w:t>
      </w:r>
      <w:r w:rsidRPr="0019295E">
        <w:rPr>
          <w:noProof/>
        </w:rPr>
        <w:t xml:space="preserve"> unknown or invalid restriction</w:t>
      </w:r>
      <w:r>
        <w:rPr>
          <w:noProof/>
        </w:rPr>
        <w:t xml:space="preserve"> (not shown). Source: DHS supplied prescriptions database; accessed November 2019. </w:t>
      </w:r>
    </w:p>
    <w:p w14:paraId="229FA4C6" w14:textId="77777777" w:rsidR="00145BDD" w:rsidRDefault="00145BDD">
      <w:pPr>
        <w:spacing w:line="276" w:lineRule="auto"/>
      </w:pPr>
    </w:p>
    <w:p w14:paraId="67BA2CEA" w14:textId="1F4857F2" w:rsidR="00114681" w:rsidRDefault="00145BDD" w:rsidP="007B4BA2">
      <w:pPr>
        <w:rPr>
          <w:b/>
          <w:i/>
          <w:szCs w:val="28"/>
        </w:rPr>
      </w:pPr>
      <w:r>
        <w:t xml:space="preserve">Figure 5 shows that after the restriction change in 2015, the number of prevalent patients treated under the non-established androgen deficiency code decreased, while there was an increase in patients supplied testosterone under the established androgen deficiency code. This increase was not as substantial as the decrease in people supplied under the non-androgen deficiency code. However, the increase in patients supplied under the established androgen deficiency code cannot be accounted for by new patients (which did not increase, per Figure 4). </w:t>
      </w:r>
      <w:r w:rsidR="00114681">
        <w:br w:type="page"/>
      </w:r>
    </w:p>
    <w:p w14:paraId="09F9D349" w14:textId="06578C9E" w:rsidR="00736041" w:rsidRPr="005E22C2" w:rsidRDefault="00736041" w:rsidP="00CF5E22">
      <w:pPr>
        <w:pStyle w:val="Heading3"/>
      </w:pPr>
      <w:r w:rsidRPr="005E22C2">
        <w:lastRenderedPageBreak/>
        <w:t xml:space="preserve">Utilisation by </w:t>
      </w:r>
      <w:r w:rsidR="00D048B9">
        <w:t>age and sex</w:t>
      </w:r>
    </w:p>
    <w:p w14:paraId="1C462DF9" w14:textId="7DCE3781" w:rsidR="000D500E" w:rsidRDefault="000D500E" w:rsidP="004911C6">
      <w:pPr>
        <w:pStyle w:val="Figuretitle"/>
        <w:rPr>
          <w:noProof/>
        </w:rPr>
      </w:pPr>
      <w:r>
        <w:rPr>
          <w:noProof/>
          <w:lang w:val="en-AU"/>
        </w:rPr>
        <w:drawing>
          <wp:inline distT="0" distB="0" distL="0" distR="0" wp14:anchorId="6B345E60" wp14:editId="7D2F3FB6">
            <wp:extent cx="5446395" cy="3482671"/>
            <wp:effectExtent l="0" t="0" r="1905" b="3810"/>
            <wp:docPr id="20" name="Chart 20" descr="Figure 6: Patients initiating testosterone in 2018 by restriction and age (adjusted)" title="Figure 6: Patients initiating testosterone in 2018 by restriction and age (adjusted)"/>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53BDAF8" w14:textId="6892EFF9" w:rsidR="004911C6" w:rsidRDefault="004911C6" w:rsidP="004911C6">
      <w:pPr>
        <w:pStyle w:val="Figuretitle"/>
        <w:rPr>
          <w:noProof/>
        </w:rPr>
      </w:pPr>
      <w:bookmarkStart w:id="7" w:name="Figure6"/>
      <w:r>
        <w:rPr>
          <w:noProof/>
        </w:rPr>
        <w:t xml:space="preserve">Figure </w:t>
      </w:r>
      <w:r w:rsidR="00233BB5">
        <w:rPr>
          <w:noProof/>
        </w:rPr>
        <w:t>6</w:t>
      </w:r>
      <w:r>
        <w:rPr>
          <w:noProof/>
        </w:rPr>
        <w:t>:</w:t>
      </w:r>
      <w:bookmarkEnd w:id="7"/>
      <w:r>
        <w:rPr>
          <w:noProof/>
        </w:rPr>
        <w:t xml:space="preserve"> </w:t>
      </w:r>
      <w:r w:rsidR="000D500E">
        <w:rPr>
          <w:noProof/>
        </w:rPr>
        <w:t>Patients i</w:t>
      </w:r>
      <w:r>
        <w:rPr>
          <w:noProof/>
        </w:rPr>
        <w:t xml:space="preserve">nitiating </w:t>
      </w:r>
      <w:r w:rsidR="000D500E">
        <w:rPr>
          <w:noProof/>
        </w:rPr>
        <w:t>testosterone</w:t>
      </w:r>
      <w:r>
        <w:rPr>
          <w:noProof/>
        </w:rPr>
        <w:t xml:space="preserve"> in 2018 by restriction and age</w:t>
      </w:r>
      <w:r w:rsidR="008B5593">
        <w:rPr>
          <w:noProof/>
        </w:rPr>
        <w:t xml:space="preserve"> (</w:t>
      </w:r>
      <w:r w:rsidR="00114681">
        <w:rPr>
          <w:noProof/>
        </w:rPr>
        <w:t>adjusted</w:t>
      </w:r>
      <w:r w:rsidR="008B5593">
        <w:rPr>
          <w:noProof/>
        </w:rPr>
        <w:t>)</w:t>
      </w:r>
    </w:p>
    <w:p w14:paraId="760C598D" w14:textId="524B5E8C" w:rsidR="004911C6" w:rsidRDefault="004911C6" w:rsidP="004911C6">
      <w:pPr>
        <w:pStyle w:val="Figurecaption"/>
        <w:rPr>
          <w:noProof/>
        </w:rPr>
      </w:pPr>
      <w:r>
        <w:rPr>
          <w:noProof/>
        </w:rPr>
        <w:t xml:space="preserve">Classical androgen </w:t>
      </w:r>
      <w:r w:rsidRPr="00046876">
        <w:rPr>
          <w:noProof/>
        </w:rPr>
        <w:t>deficienc</w:t>
      </w:r>
      <w:r>
        <w:rPr>
          <w:noProof/>
        </w:rPr>
        <w:t>y</w:t>
      </w:r>
      <w:r w:rsidRPr="00046876">
        <w:rPr>
          <w:noProof/>
        </w:rPr>
        <w:t>: pubertal induction, micropenis and constitutional delay of growth/puberty</w:t>
      </w:r>
    </w:p>
    <w:p w14:paraId="0AE39CCD" w14:textId="50E0B60C" w:rsidR="00EB7138" w:rsidRDefault="008D07EA" w:rsidP="004911C6">
      <w:pPr>
        <w:pStyle w:val="Figurecaption"/>
        <w:rPr>
          <w:noProof/>
        </w:rPr>
      </w:pPr>
      <w:r>
        <w:rPr>
          <w:noProof/>
        </w:rPr>
        <w:t>Age adjusted by estimated resident population (ERP) 30 June 201</w:t>
      </w:r>
      <w:r w:rsidR="000D500E">
        <w:rPr>
          <w:noProof/>
        </w:rPr>
        <w:t>8</w:t>
      </w:r>
      <w:r w:rsidR="00C36F1D">
        <w:rPr>
          <w:noProof/>
        </w:rPr>
        <w:t xml:space="preserve">. </w:t>
      </w:r>
      <w:r>
        <w:rPr>
          <w:noProof/>
        </w:rPr>
        <w:t xml:space="preserve">Patient numbers </w:t>
      </w:r>
      <w:r>
        <w:rPr>
          <w:rFonts w:cstheme="minorHAnsi"/>
          <w:noProof/>
        </w:rPr>
        <w:t>≤</w:t>
      </w:r>
      <w:r>
        <w:rPr>
          <w:noProof/>
        </w:rPr>
        <w:t xml:space="preserve">5 were amended to equal 5 before age adjustment. </w:t>
      </w:r>
      <w:r w:rsidR="004911C6">
        <w:t>Initiation defined as first supply of testosterone since April 2003. In the presented period,</w:t>
      </w:r>
      <w:r w:rsidR="004911C6">
        <w:rPr>
          <w:noProof/>
        </w:rPr>
        <w:t xml:space="preserve"> ther</w:t>
      </w:r>
      <w:r w:rsidR="004911C6" w:rsidRPr="004911C6">
        <w:rPr>
          <w:noProof/>
        </w:rPr>
        <w:t>e were 239</w:t>
      </w:r>
      <w:r w:rsidR="004911C6" w:rsidRPr="0019295E">
        <w:rPr>
          <w:noProof/>
        </w:rPr>
        <w:t xml:space="preserve"> initiating patients with an unknown or invalid restriction</w:t>
      </w:r>
      <w:r w:rsidR="004911C6">
        <w:rPr>
          <w:noProof/>
        </w:rPr>
        <w:t xml:space="preserve"> (not shown). </w:t>
      </w:r>
    </w:p>
    <w:p w14:paraId="0A70CC4D" w14:textId="1566C753" w:rsidR="007B3454" w:rsidRDefault="004911C6" w:rsidP="004911C6">
      <w:pPr>
        <w:pStyle w:val="Figurecaption"/>
        <w:rPr>
          <w:noProof/>
        </w:rPr>
      </w:pPr>
      <w:r>
        <w:rPr>
          <w:noProof/>
        </w:rPr>
        <w:t>Source</w:t>
      </w:r>
      <w:r w:rsidR="008D07EA">
        <w:rPr>
          <w:noProof/>
        </w:rPr>
        <w:t>s</w:t>
      </w:r>
      <w:r>
        <w:rPr>
          <w:noProof/>
        </w:rPr>
        <w:t>: DHS supplied prescriptions database</w:t>
      </w:r>
      <w:r w:rsidR="008D07EA">
        <w:rPr>
          <w:noProof/>
        </w:rPr>
        <w:t>,</w:t>
      </w:r>
      <w:r>
        <w:rPr>
          <w:noProof/>
        </w:rPr>
        <w:t xml:space="preserve"> accessed November 2019</w:t>
      </w:r>
      <w:r w:rsidR="008D07EA">
        <w:rPr>
          <w:noProof/>
        </w:rPr>
        <w:t>;</w:t>
      </w:r>
      <w:r w:rsidR="00EB7138">
        <w:rPr>
          <w:noProof/>
        </w:rPr>
        <w:t xml:space="preserve"> ABS Australian Demographic Statistics Mar 2019, Table 8 ERP by age and sex at 30 June 2018</w:t>
      </w:r>
      <w:r>
        <w:rPr>
          <w:noProof/>
        </w:rPr>
        <w:t xml:space="preserve">. </w:t>
      </w:r>
    </w:p>
    <w:p w14:paraId="68D30578" w14:textId="77777777" w:rsidR="00C36F1D" w:rsidRDefault="00C36F1D" w:rsidP="004911C6">
      <w:pPr>
        <w:pStyle w:val="Figurecaption"/>
        <w:rPr>
          <w:highlight w:val="yellow"/>
        </w:rPr>
      </w:pPr>
    </w:p>
    <w:p w14:paraId="06AFCBCC" w14:textId="5E417AB8" w:rsidR="006311C2" w:rsidRDefault="006311C2" w:rsidP="00A35800">
      <w:pPr>
        <w:rPr>
          <w:highlight w:val="green"/>
        </w:rPr>
      </w:pPr>
      <w:r>
        <w:rPr>
          <w:noProof/>
        </w:rPr>
        <w:drawing>
          <wp:inline distT="0" distB="0" distL="0" distR="0" wp14:anchorId="110DCFFF" wp14:editId="16E5EB16">
            <wp:extent cx="5446395" cy="2536466"/>
            <wp:effectExtent l="0" t="0" r="1905" b="16510"/>
            <wp:docPr id="17" name="Chart 17" descr="Figure 7: Patients initiating testosterone by year and sex (adjusted)" title="Figure 7: Patients initiating testosterone by year and sex (adjusted)"/>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331C209" w14:textId="779A27C9" w:rsidR="006311C2" w:rsidRPr="00C36F1D" w:rsidRDefault="00C36F1D" w:rsidP="000F6CC9">
      <w:pPr>
        <w:pStyle w:val="Figuretitle"/>
        <w:rPr>
          <w:noProof/>
        </w:rPr>
      </w:pPr>
      <w:bookmarkStart w:id="8" w:name="Figure7"/>
      <w:r>
        <w:rPr>
          <w:noProof/>
        </w:rPr>
        <w:t xml:space="preserve">Figure 7: </w:t>
      </w:r>
      <w:bookmarkEnd w:id="8"/>
      <w:r>
        <w:rPr>
          <w:noProof/>
        </w:rPr>
        <w:t>P</w:t>
      </w:r>
      <w:r w:rsidR="006311C2" w:rsidRPr="00C36F1D">
        <w:rPr>
          <w:noProof/>
        </w:rPr>
        <w:t xml:space="preserve">atients </w:t>
      </w:r>
      <w:r>
        <w:rPr>
          <w:noProof/>
        </w:rPr>
        <w:t xml:space="preserve">initiating testosterone </w:t>
      </w:r>
      <w:r w:rsidR="006311C2" w:rsidRPr="00C36F1D">
        <w:rPr>
          <w:noProof/>
        </w:rPr>
        <w:t>by year and sex</w:t>
      </w:r>
      <w:r w:rsidR="00EB7138">
        <w:rPr>
          <w:noProof/>
        </w:rPr>
        <w:t xml:space="preserve"> (adjusted)</w:t>
      </w:r>
    </w:p>
    <w:p w14:paraId="35240BC2" w14:textId="6E8C3BEA" w:rsidR="006311C2" w:rsidRDefault="00B4014C" w:rsidP="00B4014C">
      <w:pPr>
        <w:pStyle w:val="Figurecaption"/>
        <w:rPr>
          <w:noProof/>
        </w:rPr>
      </w:pPr>
      <w:r>
        <w:rPr>
          <w:noProof/>
        </w:rPr>
        <w:t xml:space="preserve">Age adjusted by estimated resident population (ERP) at 30 Jun per year. Sources: DHS supplied prescriptions database, accessed November 2019; ABS 3101.0 Australian Demographic Statistics, Table 59. ERP. </w:t>
      </w:r>
    </w:p>
    <w:p w14:paraId="7D167B3F" w14:textId="2D073543" w:rsidR="00792831" w:rsidRDefault="00792831" w:rsidP="00E111A1">
      <w:pPr>
        <w:pStyle w:val="Figuretitle"/>
        <w:rPr>
          <w:highlight w:val="green"/>
        </w:rPr>
      </w:pPr>
      <w:r>
        <w:rPr>
          <w:noProof/>
          <w:lang w:val="en-AU"/>
        </w:rPr>
        <w:lastRenderedPageBreak/>
        <w:drawing>
          <wp:inline distT="0" distB="0" distL="0" distR="0" wp14:anchorId="08930F27" wp14:editId="49CC67C1">
            <wp:extent cx="5462270" cy="3387256"/>
            <wp:effectExtent l="0" t="0" r="5080" b="3810"/>
            <wp:docPr id="21" name="Chart 21" descr="Figure 8: Patients initiating testosterone in 2018 by age and sex (adjusted)" title="Figure 8: Patients initiating testosterone in 2018 by age and sex (adjusted)"/>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AB49E08" w14:textId="4EB9B450" w:rsidR="00E111A1" w:rsidRPr="00792831" w:rsidRDefault="00E111A1" w:rsidP="00E111A1">
      <w:pPr>
        <w:pStyle w:val="Figuretitle"/>
      </w:pPr>
      <w:bookmarkStart w:id="9" w:name="Figure8"/>
      <w:r w:rsidRPr="00792831">
        <w:t>Figure 8</w:t>
      </w:r>
      <w:bookmarkEnd w:id="9"/>
      <w:r w:rsidRPr="00792831">
        <w:t xml:space="preserve">: </w:t>
      </w:r>
      <w:r w:rsidR="00792831" w:rsidRPr="00792831">
        <w:t xml:space="preserve">Patients </w:t>
      </w:r>
      <w:r w:rsidRPr="00792831">
        <w:t>initiating</w:t>
      </w:r>
      <w:r w:rsidR="00792831" w:rsidRPr="00792831">
        <w:t xml:space="preserve"> testosterone in 2018 by</w:t>
      </w:r>
      <w:r w:rsidRPr="00792831">
        <w:t xml:space="preserve"> age and sex</w:t>
      </w:r>
      <w:r w:rsidR="006938C6" w:rsidRPr="00792831">
        <w:t xml:space="preserve"> </w:t>
      </w:r>
      <w:r w:rsidR="00792831" w:rsidRPr="00792831">
        <w:t>(adjusted)</w:t>
      </w:r>
    </w:p>
    <w:p w14:paraId="13BA8928" w14:textId="18D309CC" w:rsidR="00E626C7" w:rsidRDefault="00E626C7" w:rsidP="00E626C7">
      <w:pPr>
        <w:pStyle w:val="Figurecaption"/>
        <w:rPr>
          <w:noProof/>
        </w:rPr>
      </w:pPr>
      <w:r>
        <w:rPr>
          <w:noProof/>
        </w:rPr>
        <w:t xml:space="preserve">Age adjusted by estimated resident population (ERP) 30 June 2018. Patient numbers </w:t>
      </w:r>
      <w:r>
        <w:rPr>
          <w:rFonts w:cstheme="minorHAnsi"/>
          <w:noProof/>
        </w:rPr>
        <w:t>≤</w:t>
      </w:r>
      <w:r>
        <w:rPr>
          <w:noProof/>
        </w:rPr>
        <w:t xml:space="preserve">5 were amended to equal 5 before age adjustment. </w:t>
      </w:r>
      <w:r>
        <w:t>Initiation defined as first supply of testosterone since April 2003. S</w:t>
      </w:r>
      <w:r>
        <w:rPr>
          <w:noProof/>
        </w:rPr>
        <w:t xml:space="preserve">ources: DHS supplied prescriptions database, accessed November 2019; </w:t>
      </w:r>
      <w:r w:rsidR="00EB7138">
        <w:rPr>
          <w:noProof/>
        </w:rPr>
        <w:t xml:space="preserve">ABS 31010DO002_20193 Australian Demographic Statistics Mar 2019, Table 8 ERP by age and sex at 30 June 2018. </w:t>
      </w:r>
    </w:p>
    <w:p w14:paraId="70CC7E86" w14:textId="2F33B5A8" w:rsidR="00E111A1" w:rsidRDefault="00E111A1" w:rsidP="00E111A1">
      <w:pPr>
        <w:pStyle w:val="Figuretitle"/>
        <w:rPr>
          <w:highlight w:val="green"/>
        </w:rPr>
      </w:pPr>
    </w:p>
    <w:p w14:paraId="1CD7887C" w14:textId="6238EE47" w:rsidR="007536C9" w:rsidRDefault="007536C9" w:rsidP="007536C9">
      <w:r w:rsidRPr="00E111A1">
        <w:t xml:space="preserve">While the </w:t>
      </w:r>
      <w:r w:rsidR="00145BDD">
        <w:t>rate</w:t>
      </w:r>
      <w:r w:rsidRPr="00E111A1">
        <w:t xml:space="preserve"> of females accessing subsidised testosterone remains small, </w:t>
      </w:r>
      <w:r w:rsidR="00145BDD">
        <w:t xml:space="preserve">it has increased each year since 2015 </w:t>
      </w:r>
      <w:r>
        <w:t>(Figure 7). The increase coincides with</w:t>
      </w:r>
      <w:r w:rsidR="00145BDD">
        <w:t xml:space="preserve"> the restriction change on 1 </w:t>
      </w:r>
      <w:r w:rsidRPr="00E111A1">
        <w:t>October 2015, which removed the population criterion “patient must be male.”</w:t>
      </w:r>
      <w:r>
        <w:t xml:space="preserve"> Use </w:t>
      </w:r>
      <w:r w:rsidR="006929FF">
        <w:t>was most common in females 15-19</w:t>
      </w:r>
      <w:r>
        <w:t xml:space="preserve"> years (Figure 8).</w:t>
      </w:r>
      <w:r w:rsidR="006929FF">
        <w:t xml:space="preserve"> Females accounted for more first initiations of testosterone in 2018 than males in the 15-19, 20-24 and 25-29 year age groups. </w:t>
      </w:r>
    </w:p>
    <w:p w14:paraId="174115B4" w14:textId="0594614C" w:rsidR="00FE3ED6" w:rsidRDefault="00FE3ED6" w:rsidP="00E111A1">
      <w:r>
        <w:rPr>
          <w:noProof/>
        </w:rPr>
        <w:drawing>
          <wp:inline distT="0" distB="0" distL="0" distR="0" wp14:anchorId="13EBE1C9" wp14:editId="560A6A8B">
            <wp:extent cx="5687695" cy="2274073"/>
            <wp:effectExtent l="0" t="0" r="8255" b="12065"/>
            <wp:docPr id="8" name="Chart 8" descr="Figure 9: Prescribers of testosterone to initiating patients 2015-2018" title="Figure 9: Prescribers of testosterone to initiating patients 2015-20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8655789" w14:textId="5D55E08D" w:rsidR="000313C0" w:rsidRPr="001B0F81" w:rsidRDefault="000313C0" w:rsidP="000313C0">
      <w:pPr>
        <w:pStyle w:val="Figuretitle"/>
      </w:pPr>
      <w:bookmarkStart w:id="10" w:name="Figure9"/>
      <w:r w:rsidRPr="001B0F81">
        <w:t xml:space="preserve">Figure </w:t>
      </w:r>
      <w:r w:rsidR="007071AE" w:rsidRPr="001B0F81">
        <w:t>9</w:t>
      </w:r>
      <w:bookmarkEnd w:id="10"/>
      <w:r w:rsidRPr="001B0F81">
        <w:t>: Prescribers of testosterone to initiating patients 2015-2018</w:t>
      </w:r>
    </w:p>
    <w:p w14:paraId="09E226C6" w14:textId="7AF98869" w:rsidR="00653387" w:rsidRPr="001B0F81" w:rsidRDefault="00E6688A" w:rsidP="00E6688A">
      <w:pPr>
        <w:pStyle w:val="Figurecaption"/>
      </w:pPr>
      <w:r w:rsidRPr="00E6688A">
        <w:t>Source: DHS supplied prescriptions database, accessed November 2019</w:t>
      </w:r>
    </w:p>
    <w:p w14:paraId="76E3237B" w14:textId="03594630" w:rsidR="000313C0" w:rsidRPr="00AE059D" w:rsidRDefault="007071AE" w:rsidP="00AE059D">
      <w:r w:rsidRPr="001B0F81">
        <w:lastRenderedPageBreak/>
        <w:t>Figure 9</w:t>
      </w:r>
      <w:r w:rsidR="00F36070" w:rsidRPr="001B0F81">
        <w:t xml:space="preserve"> shows the contribution</w:t>
      </w:r>
      <w:r w:rsidR="00F36070">
        <w:t xml:space="preserve"> of different prescriber types to patients</w:t>
      </w:r>
      <w:r w:rsidR="00FF15CF">
        <w:t>’</w:t>
      </w:r>
      <w:r w:rsidR="00F36070">
        <w:t xml:space="preserve"> first prescriptions for subsidised testosterone. </w:t>
      </w:r>
      <w:r w:rsidR="00AE059D" w:rsidRPr="00AE059D">
        <w:t>The</w:t>
      </w:r>
      <w:r w:rsidR="00AE059D">
        <w:t xml:space="preserve"> most substantial change in the composition of prescribers initiating testosterone was the reduction in the proportion of GPs between 2015 and 2016</w:t>
      </w:r>
      <w:r w:rsidR="00FF15CF">
        <w:t xml:space="preserve">. </w:t>
      </w:r>
      <w:r w:rsidR="00AE059D">
        <w:t xml:space="preserve">The proportion of </w:t>
      </w:r>
      <w:r w:rsidR="00FF15CF">
        <w:t xml:space="preserve">initial </w:t>
      </w:r>
      <w:r w:rsidR="00AE059D">
        <w:t xml:space="preserve">prescribers accounted for by specialists in paediatric medicine has increased slightly. </w:t>
      </w:r>
    </w:p>
    <w:p w14:paraId="3555DFBA" w14:textId="60E8E761" w:rsidR="00591512" w:rsidRDefault="00AB3733" w:rsidP="00F73113">
      <w:pPr>
        <w:pStyle w:val="Heading1"/>
      </w:pPr>
      <w:r>
        <w:t>D</w:t>
      </w:r>
      <w:r w:rsidR="007346C7" w:rsidRPr="005E22C2">
        <w:t>iscussion</w:t>
      </w:r>
    </w:p>
    <w:p w14:paraId="376ADFB3" w14:textId="44C4699E" w:rsidR="00F1132C" w:rsidRDefault="00A35ABC" w:rsidP="00A35ABC">
      <w:r>
        <w:t>Use of testosterone has remained steady since the April 2015 restriction change. The restriction changes that have occurred since then have not affected the overall trend in testosterone use.</w:t>
      </w:r>
    </w:p>
    <w:p w14:paraId="2A9CBA1E" w14:textId="65C206D2" w:rsidR="007B4BA2" w:rsidRDefault="007B4BA2" w:rsidP="007B4BA2">
      <w:r w:rsidRPr="00E111A1">
        <w:t xml:space="preserve">While the </w:t>
      </w:r>
      <w:r>
        <w:t>rate</w:t>
      </w:r>
      <w:r w:rsidRPr="00E111A1">
        <w:t xml:space="preserve"> of females accessing subsidised testosterone remains small, </w:t>
      </w:r>
      <w:r>
        <w:t>it has increased each year since 2015. The increase coincided with the restriction change on 1 October </w:t>
      </w:r>
      <w:r w:rsidRPr="00E111A1">
        <w:t>2015, which removed the population criterion “patient must be male.”</w:t>
      </w:r>
      <w:r>
        <w:t xml:space="preserve"> Use was most common in females 15-19 years. Females accounted for more first initiations of testosterone in 2018 than males in the 15-19, 20-24 and 25-29 year age groups. </w:t>
      </w:r>
    </w:p>
    <w:p w14:paraId="0B68FA7B" w14:textId="00991294" w:rsidR="00FF15CF" w:rsidRDefault="00FF15CF" w:rsidP="00A35ABC">
      <w:r w:rsidRPr="00AE059D">
        <w:t>The</w:t>
      </w:r>
      <w:r>
        <w:t xml:space="preserve"> most substantial change in the composition of prescribers initiating testosterone was the reduction in the proportion of GPs between 2015 and 2016. This was likely due to the changes </w:t>
      </w:r>
      <w:r w:rsidRPr="00AE059D">
        <w:t>to the testosterone rest</w:t>
      </w:r>
      <w:r>
        <w:t xml:space="preserve">rictions for androgen deficiency. The proportion of initial prescribers accounted for by specialists in paediatric medicine has increased slightly. The changes to the restrictions on 1 June 2017 to add specialist general paediatricians may have contributed to this. However, the reduction in use of subsidised testosterone in older men also means that children now represent a higher proportion of patients than they did prior to the changes to the androgen deficiency restriction in 2015.  </w:t>
      </w:r>
    </w:p>
    <w:p w14:paraId="7B945940" w14:textId="4DE47F4D" w:rsidR="000500B9" w:rsidRDefault="000500B9" w:rsidP="00F73113">
      <w:pPr>
        <w:pStyle w:val="Heading1"/>
      </w:pPr>
      <w:r>
        <w:t>DUSC Consideration</w:t>
      </w:r>
    </w:p>
    <w:p w14:paraId="4A784071" w14:textId="77777777" w:rsidR="00BC51A5" w:rsidRPr="00B04922" w:rsidRDefault="00BC51A5" w:rsidP="00BC51A5">
      <w:pPr>
        <w:rPr>
          <w:b/>
          <w:szCs w:val="28"/>
        </w:rPr>
      </w:pPr>
      <w:r w:rsidRPr="00B04922">
        <w:rPr>
          <w:rFonts w:eastAsia="MS Mincho"/>
        </w:rPr>
        <w:t>Use of testosterone has remained steady since the April 2015 restriction change. The restriction changes that have occurred since then have not affected the overall trend in testosterone use.</w:t>
      </w:r>
    </w:p>
    <w:p w14:paraId="60E4DE4A" w14:textId="77777777" w:rsidR="00BC51A5" w:rsidRPr="00B04922" w:rsidRDefault="00BC51A5" w:rsidP="00BC51A5">
      <w:pPr>
        <w:rPr>
          <w:rFonts w:cs="Times New Roman"/>
        </w:rPr>
      </w:pPr>
      <w:r w:rsidRPr="00B04922">
        <w:rPr>
          <w:rFonts w:cs="Times New Roman"/>
        </w:rPr>
        <w:t>After the restriction change in 2015, the number of prevalent patients treated under the non-established androgen deficiency code decreased, while there was an increase in patients supplied testosterone under the established androgen deficiency code. This increase was not as substantial as the decrease in people supplied under the non-androgen deficiency code. However, the increase in patients supplied under the established androgen deficiency code cannot be accounted for by new patients. DUSC noted this pattern of use implies prevalent patients qualified for subsidised testosterone under the non-established androgen deficiency restriction, but then switched to established androgen deficiency codes after the restriction change. DUSC considered it possible that these people legitimately fulfilled the requirements of the established androgen deficiency restriction; although some use outside the restriction could possibly be implied.</w:t>
      </w:r>
    </w:p>
    <w:p w14:paraId="32DBA8CA" w14:textId="77777777" w:rsidR="00BC51A5" w:rsidRPr="00B04922" w:rsidRDefault="00BC51A5" w:rsidP="00BC51A5">
      <w:pPr>
        <w:rPr>
          <w:rFonts w:eastAsia="MS Mincho" w:cs="Times New Roman"/>
        </w:rPr>
      </w:pPr>
      <w:r w:rsidRPr="00B04922">
        <w:rPr>
          <w:rFonts w:eastAsia="MS Mincho" w:cs="Times New Roman"/>
        </w:rPr>
        <w:lastRenderedPageBreak/>
        <w:t xml:space="preserve">While the rate of females accessing subsidised testosterone remains small, it has increased each year since 2015. The increase coincided with the restriction change on 1 October 2015, which removed the population criterion “patient must be male.” Use was most common in females 15-19 years. Females accounted for more initiations of testosterone in 2018 than males in the 15-19, 20-24 and 25-29 year age groups. </w:t>
      </w:r>
    </w:p>
    <w:p w14:paraId="51CA2806" w14:textId="77777777" w:rsidR="00BC51A5" w:rsidRPr="00B04922" w:rsidRDefault="00BC51A5" w:rsidP="00BC51A5">
      <w:pPr>
        <w:rPr>
          <w:rFonts w:eastAsia="MS Mincho" w:cs="Times New Roman"/>
        </w:rPr>
      </w:pPr>
      <w:r w:rsidRPr="00B04922">
        <w:rPr>
          <w:rFonts w:eastAsia="MS Mincho" w:cs="Times New Roman"/>
        </w:rPr>
        <w:t xml:space="preserve">The most substantial change in the composition of prescribers initiating testosterone was the reduction in the proportion of GPs between 2015 and 2016. This was likely due to the changes to the testosterone restrictions for androgen deficiency. The proportion of initial prescribers accounted for by specialists in paediatric medicine has increased slightly. The changes to the restrictions on 1 June 2017 to add specialist general paediatricians may have contributed to this. However, the reduction in use of subsidised testosterone in older men also means that children now represent a higher proportion of patients than they did prior to the changes to the androgen deficiency restriction in 2015.  DUSC noted that </w:t>
      </w:r>
      <w:r w:rsidRPr="00B04922">
        <w:rPr>
          <w:rFonts w:cs="Times New Roman"/>
        </w:rPr>
        <w:t xml:space="preserve">the contribution of sexual health medicine prescribers in prescribing testosterone to new patients increased each year of the study period (2015-2018). This trend seemed to coincide with the opening up of the restriction to remove “male” from the population criteria. </w:t>
      </w:r>
    </w:p>
    <w:p w14:paraId="536E5C2C" w14:textId="77777777" w:rsidR="00BC51A5" w:rsidRPr="00B04922" w:rsidRDefault="00BC51A5" w:rsidP="00BC51A5">
      <w:pPr>
        <w:rPr>
          <w:rFonts w:ascii="Carlito" w:hAnsi="Carlito" w:cs="Times New Roman" w:hint="eastAsia"/>
        </w:rPr>
      </w:pPr>
      <w:r w:rsidRPr="00B04922">
        <w:rPr>
          <w:rFonts w:ascii="Carlito" w:hAnsi="Carlito" w:cs="Times New Roman"/>
        </w:rPr>
        <w:t xml:space="preserve">One sponsor response indicated that the changes to the restriction for androgen deficiency in 2015 were too narrow and do not address the needs of older men. DUSC recalled that the goal of the androgen deficiency restriction changes in 2015 was to limit access where there wasn’t evidence. DUSC decided the results of the analysis did not warrant further consultation with clinical or consumer groups at this stage. Any suggested amendments to the restrictions would require an application to the PBAC with appropriate evidence. </w:t>
      </w:r>
    </w:p>
    <w:p w14:paraId="774F0E63" w14:textId="77777777" w:rsidR="00BC51A5" w:rsidRPr="00B04922" w:rsidRDefault="00BC51A5" w:rsidP="00BC51A5">
      <w:pPr>
        <w:jc w:val="both"/>
        <w:rPr>
          <w:rFonts w:cs="Times New Roman"/>
        </w:rPr>
      </w:pPr>
      <w:r w:rsidRPr="00B04922">
        <w:rPr>
          <w:rFonts w:cs="Times New Roman"/>
        </w:rPr>
        <w:t xml:space="preserve">One sponsor considered the restriction being Authority </w:t>
      </w:r>
      <w:proofErr w:type="gramStart"/>
      <w:r w:rsidRPr="00B04922">
        <w:rPr>
          <w:rFonts w:cs="Times New Roman"/>
        </w:rPr>
        <w:t>Required</w:t>
      </w:r>
      <w:proofErr w:type="gramEnd"/>
      <w:r w:rsidRPr="00B04922">
        <w:rPr>
          <w:rFonts w:cs="Times New Roman"/>
        </w:rPr>
        <w:t xml:space="preserve"> and requiring access to a specialist contributed to low uptake of their product. DUSC considered patient preference is a factor in uptake of the different testosterone products. DUSC noted that not all forms of testosterone have low uptake and therefore this is not an access issue.</w:t>
      </w:r>
    </w:p>
    <w:p w14:paraId="0E796C1E" w14:textId="77777777" w:rsidR="00BC51A5" w:rsidRPr="00B04922" w:rsidRDefault="00BC51A5" w:rsidP="00B04922">
      <w:pPr>
        <w:pStyle w:val="Heading1"/>
      </w:pPr>
      <w:r w:rsidRPr="00B04922">
        <w:t>DUSC Actions</w:t>
      </w:r>
    </w:p>
    <w:p w14:paraId="51F48670" w14:textId="63357B56" w:rsidR="00BC51A5" w:rsidRPr="00B04922" w:rsidRDefault="00BC51A5" w:rsidP="00BC51A5">
      <w:r w:rsidRPr="00B04922">
        <w:rPr>
          <w:rFonts w:cs="Times New Roman"/>
        </w:rPr>
        <w:t>DUSC requested that the report be provided to the PBAC for consideration.</w:t>
      </w:r>
    </w:p>
    <w:p w14:paraId="0A8267AB" w14:textId="66650090" w:rsidR="000500B9" w:rsidRDefault="000500B9" w:rsidP="000500B9">
      <w:pPr>
        <w:pStyle w:val="Heading1"/>
      </w:pPr>
      <w:r>
        <w:t>Context for Analysis</w:t>
      </w:r>
    </w:p>
    <w:p w14:paraId="4D81F8A8" w14:textId="77777777" w:rsidR="000500B9" w:rsidRDefault="000500B9" w:rsidP="000500B9">
      <w:r>
        <w:t>The DUSC is a Sub Committee of the Pharmaceutical Benefits Advisory Committee (PBAC). The DUSC assesses estimates on projected usage and financial cost of medicines.</w:t>
      </w:r>
    </w:p>
    <w:p w14:paraId="0E2D3461" w14:textId="77777777" w:rsidR="000500B9" w:rsidRDefault="000500B9" w:rsidP="000500B9">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773F1D90" w14:textId="77777777" w:rsidR="000500B9" w:rsidRDefault="000500B9" w:rsidP="000500B9">
      <w:r>
        <w:lastRenderedPageBreak/>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4B5E2395" w14:textId="77777777" w:rsidR="000500B9" w:rsidRDefault="000500B9" w:rsidP="000500B9">
      <w:r>
        <w:t>The utilisation analysis report was provided to the pharmaceutical sponsors of each drug and comments on the report were provided to DUSC prior to its consideration of the analysis.</w:t>
      </w:r>
    </w:p>
    <w:p w14:paraId="4BD37FD6" w14:textId="63799AD0" w:rsidR="000500B9" w:rsidRDefault="000500B9" w:rsidP="000500B9"/>
    <w:p w14:paraId="4B351945" w14:textId="2BB51FBB" w:rsidR="000500B9" w:rsidRDefault="000500B9" w:rsidP="000500B9">
      <w:pPr>
        <w:pStyle w:val="Heading1"/>
      </w:pPr>
      <w:r>
        <w:t>Sponsors’ Comments</w:t>
      </w:r>
    </w:p>
    <w:p w14:paraId="650D1F64" w14:textId="4984E3C6" w:rsidR="0002352D" w:rsidRDefault="0002352D" w:rsidP="0002352D">
      <w:r>
        <w:t>Bayer Australia Ltd</w:t>
      </w:r>
      <w:r w:rsidR="00CB14DE">
        <w:t xml:space="preserve">: </w:t>
      </w:r>
      <w:r>
        <w:t xml:space="preserve">The sponsor has no comment. </w:t>
      </w:r>
    </w:p>
    <w:p w14:paraId="437A1D83" w14:textId="0F4B43D1" w:rsidR="0002352D" w:rsidRDefault="0002352D" w:rsidP="0002352D">
      <w:pPr>
        <w:rPr>
          <w:rFonts w:ascii="Calibri" w:hAnsi="Calibri"/>
        </w:rPr>
      </w:pPr>
      <w:proofErr w:type="spellStart"/>
      <w:r>
        <w:rPr>
          <w:rFonts w:ascii="Calibri" w:hAnsi="Calibri"/>
        </w:rPr>
        <w:t>Besins</w:t>
      </w:r>
      <w:proofErr w:type="spellEnd"/>
      <w:r>
        <w:rPr>
          <w:rFonts w:ascii="Calibri" w:hAnsi="Calibri"/>
        </w:rPr>
        <w:t xml:space="preserve"> Healthcare Australia Pty Ltd</w:t>
      </w:r>
      <w:r w:rsidR="00CB14DE">
        <w:t xml:space="preserve">: </w:t>
      </w:r>
      <w:r>
        <w:rPr>
          <w:rFonts w:ascii="Calibri" w:hAnsi="Calibri"/>
        </w:rPr>
        <w:t>The sponsor has no comment.</w:t>
      </w:r>
    </w:p>
    <w:p w14:paraId="3ECB10CB" w14:textId="2A63EE5F" w:rsidR="0002352D" w:rsidRDefault="0002352D" w:rsidP="0002352D">
      <w:proofErr w:type="spellStart"/>
      <w:r w:rsidRPr="00FB18A9">
        <w:t>Ferring</w:t>
      </w:r>
      <w:proofErr w:type="spellEnd"/>
      <w:r w:rsidRPr="00FB18A9">
        <w:t xml:space="preserve"> Pharmaceuticals Pty Limited</w:t>
      </w:r>
      <w:r w:rsidR="00CB14DE">
        <w:t xml:space="preserve">: </w:t>
      </w:r>
      <w:r>
        <w:t>The sponsor has no comment.</w:t>
      </w:r>
    </w:p>
    <w:p w14:paraId="0F500C4C" w14:textId="2F17FB40" w:rsidR="0002352D" w:rsidRDefault="00CB14DE" w:rsidP="0002352D">
      <w:r>
        <w:t>Lawley Pharmaceuticals Pty Ltd</w:t>
      </w:r>
      <w:r>
        <w:t xml:space="preserve">: </w:t>
      </w:r>
      <w:r w:rsidR="0002352D">
        <w:t>The sponsor has no comment.</w:t>
      </w:r>
    </w:p>
    <w:p w14:paraId="0CF47D34" w14:textId="3BCB9071" w:rsidR="0002352D" w:rsidRDefault="00CB14DE" w:rsidP="0002352D">
      <w:r>
        <w:t xml:space="preserve">Merck Sharp &amp; </w:t>
      </w:r>
      <w:proofErr w:type="spellStart"/>
      <w:r>
        <w:t>Dohme</w:t>
      </w:r>
      <w:proofErr w:type="spellEnd"/>
      <w:r>
        <w:t xml:space="preserve"> Pty Ltd</w:t>
      </w:r>
      <w:r>
        <w:t xml:space="preserve">: </w:t>
      </w:r>
      <w:r w:rsidR="0002352D">
        <w:t>The sponsor has no comment.</w:t>
      </w:r>
    </w:p>
    <w:p w14:paraId="1A73F335" w14:textId="3A53AD89" w:rsidR="0002352D" w:rsidRPr="00944E06" w:rsidRDefault="0002352D" w:rsidP="0002352D">
      <w:pPr>
        <w:sectPr w:rsidR="0002352D" w:rsidRPr="00944E06" w:rsidSect="00DD188C">
          <w:pgSz w:w="11906" w:h="16838"/>
          <w:pgMar w:top="1644" w:right="1361" w:bottom="1644" w:left="1588" w:header="709" w:footer="709" w:gutter="0"/>
          <w:cols w:space="708"/>
          <w:docGrid w:linePitch="360"/>
        </w:sectPr>
      </w:pPr>
      <w:proofErr w:type="spellStart"/>
      <w:r w:rsidRPr="00FB18A9">
        <w:t>Teva</w:t>
      </w:r>
      <w:proofErr w:type="spellEnd"/>
      <w:r w:rsidRPr="00FB18A9">
        <w:t xml:space="preserve"> Pharma Australia Pty Limited</w:t>
      </w:r>
      <w:r w:rsidR="00CB14DE">
        <w:t xml:space="preserve">: </w:t>
      </w:r>
      <w:bookmarkStart w:id="11" w:name="_GoBack"/>
      <w:bookmarkEnd w:id="11"/>
      <w:r>
        <w:t xml:space="preserve">The sponsor has no comment. </w:t>
      </w:r>
    </w:p>
    <w:p w14:paraId="52E0F4B4" w14:textId="77777777" w:rsidR="004B4DB9" w:rsidRDefault="004B4DB9" w:rsidP="004B4DB9">
      <w:pPr>
        <w:pStyle w:val="Heading1"/>
      </w:pPr>
      <w:r w:rsidRPr="00A4020E">
        <w:lastRenderedPageBreak/>
        <w:t>Disclaimer</w:t>
      </w:r>
    </w:p>
    <w:p w14:paraId="1B187309" w14:textId="77777777" w:rsidR="004B4DB9" w:rsidRDefault="004B4DB9" w:rsidP="004B4DB9">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14:paraId="1401EB5A" w14:textId="77777777" w:rsidR="004B4DB9" w:rsidRDefault="004B4DB9" w:rsidP="004B4DB9">
      <w:r>
        <w:t>The Department of Health (</w:t>
      </w:r>
      <w:proofErr w:type="spellStart"/>
      <w:r>
        <w:t>DoH</w:t>
      </w:r>
      <w:proofErr w:type="spellEnd"/>
      <w:r>
        <w:t>)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14:paraId="28AE8F53" w14:textId="77777777" w:rsidR="004B4DB9" w:rsidRDefault="004B4DB9" w:rsidP="004B4DB9">
      <w:r>
        <w:t xml:space="preserve">To the extent provided by law, </w:t>
      </w:r>
      <w:proofErr w:type="spellStart"/>
      <w:r>
        <w:t>DoH</w:t>
      </w:r>
      <w:proofErr w:type="spellEnd"/>
      <w:r>
        <w:t xml:space="preserve"> makes no warranties or representations as to accuracy or completeness of information contained in this report. </w:t>
      </w:r>
    </w:p>
    <w:p w14:paraId="4BBD1C66" w14:textId="77777777" w:rsidR="004B4DB9" w:rsidRDefault="004B4DB9" w:rsidP="004B4DB9">
      <w:r>
        <w:t xml:space="preserve">To the fullest extent permitted by law, neither the </w:t>
      </w:r>
      <w:proofErr w:type="spellStart"/>
      <w:r>
        <w:t>DoH</w:t>
      </w:r>
      <w:proofErr w:type="spellEnd"/>
      <w:r>
        <w:t xml:space="preserve"> nor any </w:t>
      </w:r>
      <w:proofErr w:type="spellStart"/>
      <w:r>
        <w:t>DoH</w:t>
      </w:r>
      <w:proofErr w:type="spellEnd"/>
      <w:r>
        <w:t xml:space="preserv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278087AC" w14:textId="77777777" w:rsidR="004B4DB9" w:rsidRPr="00944E06" w:rsidRDefault="004B4DB9" w:rsidP="00944E06">
      <w:pPr>
        <w:sectPr w:rsidR="004B4DB9" w:rsidRPr="00944E06" w:rsidSect="00DD188C">
          <w:pgSz w:w="11906" w:h="16838"/>
          <w:pgMar w:top="1644" w:right="1361" w:bottom="1644" w:left="1588" w:header="709" w:footer="709" w:gutter="0"/>
          <w:cols w:space="708"/>
          <w:docGrid w:linePitch="360"/>
        </w:sectPr>
      </w:pPr>
    </w:p>
    <w:p w14:paraId="7C4E4AB9" w14:textId="78ED06FB" w:rsidR="002C6E0C" w:rsidRDefault="002C6E0C" w:rsidP="00F73113">
      <w:pPr>
        <w:pStyle w:val="Heading1"/>
      </w:pPr>
      <w:r>
        <w:lastRenderedPageBreak/>
        <w:t>Appendices</w:t>
      </w:r>
    </w:p>
    <w:p w14:paraId="00B752C5" w14:textId="13C0B000" w:rsidR="007071AE" w:rsidRPr="00FE645A" w:rsidRDefault="009A537C" w:rsidP="00862DFC">
      <w:pPr>
        <w:pStyle w:val="Heading2"/>
      </w:pPr>
      <w:r>
        <w:t xml:space="preserve">Appendix A:  </w:t>
      </w:r>
    </w:p>
    <w:p w14:paraId="2CD12BB9" w14:textId="46B3E4C8" w:rsidR="003F1AB1" w:rsidRPr="00562F2F" w:rsidRDefault="003F1AB1" w:rsidP="003F1AB1">
      <w:pPr>
        <w:spacing w:after="0" w:line="276" w:lineRule="auto"/>
        <w:rPr>
          <w:b/>
        </w:rPr>
      </w:pPr>
      <w:r w:rsidRPr="00562F2F">
        <w:rPr>
          <w:b/>
        </w:rPr>
        <w:t xml:space="preserve">Table </w:t>
      </w:r>
      <w:r>
        <w:rPr>
          <w:b/>
        </w:rPr>
        <w:t>A.1</w:t>
      </w:r>
      <w:r w:rsidR="00057231">
        <w:rPr>
          <w:b/>
        </w:rPr>
        <w:t>: R</w:t>
      </w:r>
      <w:r w:rsidR="009B3C83">
        <w:rPr>
          <w:b/>
        </w:rPr>
        <w:t xml:space="preserve">estriction codes </w:t>
      </w:r>
      <w:r w:rsidR="00057231">
        <w:rPr>
          <w:b/>
        </w:rPr>
        <w:t>since 1 October 2015</w:t>
      </w:r>
    </w:p>
    <w:tbl>
      <w:tblPr>
        <w:tblStyle w:val="TableGrid"/>
        <w:tblW w:w="13616" w:type="dxa"/>
        <w:tblLook w:val="04A0" w:firstRow="1" w:lastRow="0" w:firstColumn="1" w:lastColumn="0" w:noHBand="0" w:noVBand="1"/>
        <w:tblCaption w:val="Table A.1: Restriction codes since 1 October 2015"/>
        <w:tblDescription w:val="Table A.1: Restriction codes since 1 October 2015"/>
      </w:tblPr>
      <w:tblGrid>
        <w:gridCol w:w="1605"/>
        <w:gridCol w:w="2047"/>
        <w:gridCol w:w="5954"/>
        <w:gridCol w:w="1701"/>
        <w:gridCol w:w="1229"/>
        <w:gridCol w:w="1080"/>
      </w:tblGrid>
      <w:tr w:rsidR="00057231" w:rsidRPr="00562F2F" w14:paraId="2A5C1AAB" w14:textId="77777777" w:rsidTr="006A39C7">
        <w:trPr>
          <w:tblHeader/>
        </w:trPr>
        <w:tc>
          <w:tcPr>
            <w:tcW w:w="1605" w:type="dxa"/>
            <w:shd w:val="clear" w:color="auto" w:fill="BFBFBF" w:themeFill="background1" w:themeFillShade="BF"/>
          </w:tcPr>
          <w:p w14:paraId="29F93024" w14:textId="77777777" w:rsidR="00057231" w:rsidRDefault="00057231" w:rsidP="00153820">
            <w:pPr>
              <w:spacing w:line="276" w:lineRule="auto"/>
              <w:jc w:val="center"/>
              <w:rPr>
                <w:b/>
                <w:sz w:val="20"/>
                <w:szCs w:val="20"/>
              </w:rPr>
            </w:pPr>
            <w:r w:rsidRPr="00562F2F">
              <w:rPr>
                <w:b/>
                <w:sz w:val="20"/>
                <w:szCs w:val="20"/>
              </w:rPr>
              <w:t xml:space="preserve">Restriction </w:t>
            </w:r>
          </w:p>
          <w:p w14:paraId="6F872CCC" w14:textId="59659B07" w:rsidR="00057231" w:rsidRPr="00562F2F" w:rsidRDefault="00057231" w:rsidP="00153820">
            <w:pPr>
              <w:spacing w:line="276" w:lineRule="auto"/>
              <w:jc w:val="center"/>
              <w:rPr>
                <w:b/>
                <w:sz w:val="20"/>
                <w:szCs w:val="20"/>
              </w:rPr>
            </w:pPr>
            <w:r w:rsidRPr="00562F2F">
              <w:rPr>
                <w:b/>
                <w:sz w:val="20"/>
                <w:szCs w:val="20"/>
              </w:rPr>
              <w:t>code</w:t>
            </w:r>
          </w:p>
        </w:tc>
        <w:tc>
          <w:tcPr>
            <w:tcW w:w="2047" w:type="dxa"/>
            <w:shd w:val="clear" w:color="auto" w:fill="BFBFBF" w:themeFill="background1" w:themeFillShade="BF"/>
          </w:tcPr>
          <w:p w14:paraId="00FE50EE" w14:textId="607C1EFC" w:rsidR="00057231" w:rsidRPr="00562F2F" w:rsidRDefault="00057231" w:rsidP="00153820">
            <w:pPr>
              <w:spacing w:line="276" w:lineRule="auto"/>
              <w:jc w:val="center"/>
              <w:rPr>
                <w:b/>
                <w:sz w:val="20"/>
                <w:szCs w:val="20"/>
              </w:rPr>
            </w:pPr>
            <w:r>
              <w:rPr>
                <w:b/>
                <w:sz w:val="20"/>
                <w:szCs w:val="20"/>
              </w:rPr>
              <w:t>Indication</w:t>
            </w:r>
          </w:p>
        </w:tc>
        <w:tc>
          <w:tcPr>
            <w:tcW w:w="5954" w:type="dxa"/>
            <w:tcBorders>
              <w:bottom w:val="single" w:sz="4" w:space="0" w:color="auto"/>
            </w:tcBorders>
            <w:shd w:val="clear" w:color="auto" w:fill="BFBFBF" w:themeFill="background1" w:themeFillShade="BF"/>
          </w:tcPr>
          <w:p w14:paraId="2FCE9116" w14:textId="41F2218F" w:rsidR="00057231" w:rsidRPr="00562F2F" w:rsidRDefault="00057231" w:rsidP="00153820">
            <w:pPr>
              <w:spacing w:line="276" w:lineRule="auto"/>
              <w:jc w:val="center"/>
              <w:rPr>
                <w:b/>
                <w:sz w:val="20"/>
                <w:szCs w:val="20"/>
              </w:rPr>
            </w:pPr>
            <w:r w:rsidRPr="00562F2F">
              <w:rPr>
                <w:b/>
                <w:sz w:val="20"/>
                <w:szCs w:val="20"/>
              </w:rPr>
              <w:t xml:space="preserve">Restriction </w:t>
            </w:r>
          </w:p>
        </w:tc>
        <w:tc>
          <w:tcPr>
            <w:tcW w:w="1701" w:type="dxa"/>
            <w:tcBorders>
              <w:bottom w:val="single" w:sz="4" w:space="0" w:color="auto"/>
            </w:tcBorders>
            <w:shd w:val="clear" w:color="auto" w:fill="BFBFBF" w:themeFill="background1" w:themeFillShade="BF"/>
          </w:tcPr>
          <w:p w14:paraId="6F3D70D6" w14:textId="596A13B6" w:rsidR="00057231" w:rsidRPr="00562F2F" w:rsidRDefault="00057231" w:rsidP="00153820">
            <w:pPr>
              <w:spacing w:line="276" w:lineRule="auto"/>
              <w:jc w:val="center"/>
              <w:rPr>
                <w:b/>
                <w:sz w:val="20"/>
                <w:szCs w:val="20"/>
              </w:rPr>
            </w:pPr>
            <w:r>
              <w:rPr>
                <w:b/>
                <w:sz w:val="20"/>
                <w:szCs w:val="20"/>
              </w:rPr>
              <w:t>Summary of change</w:t>
            </w:r>
          </w:p>
        </w:tc>
        <w:tc>
          <w:tcPr>
            <w:tcW w:w="1229" w:type="dxa"/>
            <w:tcBorders>
              <w:bottom w:val="single" w:sz="4" w:space="0" w:color="auto"/>
            </w:tcBorders>
            <w:shd w:val="clear" w:color="auto" w:fill="BFBFBF" w:themeFill="background1" w:themeFillShade="BF"/>
            <w:vAlign w:val="center"/>
          </w:tcPr>
          <w:p w14:paraId="22A0BFF4" w14:textId="0ADD84D4" w:rsidR="00057231" w:rsidRPr="00562F2F" w:rsidRDefault="00057231" w:rsidP="00153820">
            <w:pPr>
              <w:spacing w:line="276" w:lineRule="auto"/>
              <w:jc w:val="center"/>
              <w:rPr>
                <w:b/>
                <w:sz w:val="20"/>
                <w:szCs w:val="20"/>
              </w:rPr>
            </w:pPr>
            <w:r w:rsidRPr="00562F2F">
              <w:rPr>
                <w:b/>
                <w:sz w:val="20"/>
                <w:szCs w:val="20"/>
              </w:rPr>
              <w:t>Date onto PBS</w:t>
            </w:r>
          </w:p>
        </w:tc>
        <w:tc>
          <w:tcPr>
            <w:tcW w:w="1080" w:type="dxa"/>
            <w:tcBorders>
              <w:bottom w:val="single" w:sz="4" w:space="0" w:color="auto"/>
            </w:tcBorders>
            <w:shd w:val="clear" w:color="auto" w:fill="BFBFBF" w:themeFill="background1" w:themeFillShade="BF"/>
            <w:vAlign w:val="center"/>
          </w:tcPr>
          <w:p w14:paraId="0BF0A7A5" w14:textId="77777777" w:rsidR="00057231" w:rsidRPr="00562F2F" w:rsidRDefault="00057231" w:rsidP="00153820">
            <w:pPr>
              <w:spacing w:line="276" w:lineRule="auto"/>
              <w:jc w:val="center"/>
              <w:rPr>
                <w:b/>
                <w:sz w:val="20"/>
                <w:szCs w:val="20"/>
              </w:rPr>
            </w:pPr>
            <w:r w:rsidRPr="00562F2F">
              <w:rPr>
                <w:b/>
                <w:sz w:val="20"/>
                <w:szCs w:val="20"/>
              </w:rPr>
              <w:t>Date off PBS</w:t>
            </w:r>
          </w:p>
        </w:tc>
      </w:tr>
      <w:tr w:rsidR="000A0DAE" w:rsidRPr="00562F2F" w14:paraId="3C962CDF" w14:textId="77777777" w:rsidTr="000A0DAE">
        <w:tc>
          <w:tcPr>
            <w:tcW w:w="1605" w:type="dxa"/>
          </w:tcPr>
          <w:p w14:paraId="14AA4016" w14:textId="77777777" w:rsidR="009B3C83" w:rsidRPr="00562F2F" w:rsidRDefault="009B3C83" w:rsidP="003F1AB1">
            <w:pPr>
              <w:spacing w:line="276" w:lineRule="auto"/>
              <w:rPr>
                <w:sz w:val="20"/>
                <w:szCs w:val="20"/>
              </w:rPr>
            </w:pPr>
            <w:r w:rsidRPr="00562F2F">
              <w:rPr>
                <w:sz w:val="20"/>
                <w:szCs w:val="20"/>
              </w:rPr>
              <w:t>5449</w:t>
            </w:r>
          </w:p>
        </w:tc>
        <w:tc>
          <w:tcPr>
            <w:tcW w:w="2047" w:type="dxa"/>
            <w:tcBorders>
              <w:right w:val="single" w:sz="4" w:space="0" w:color="auto"/>
            </w:tcBorders>
          </w:tcPr>
          <w:p w14:paraId="36FDBACD" w14:textId="77777777" w:rsidR="009B3C83" w:rsidRDefault="009B3C83" w:rsidP="00057231">
            <w:pPr>
              <w:spacing w:line="276" w:lineRule="auto"/>
              <w:rPr>
                <w:sz w:val="20"/>
                <w:szCs w:val="20"/>
              </w:rPr>
            </w:pPr>
            <w:proofErr w:type="spellStart"/>
            <w:r w:rsidRPr="00562F2F">
              <w:rPr>
                <w:sz w:val="20"/>
                <w:szCs w:val="20"/>
              </w:rPr>
              <w:t>Micropenis</w:t>
            </w:r>
            <w:proofErr w:type="spellEnd"/>
            <w:r w:rsidRPr="00562F2F">
              <w:rPr>
                <w:sz w:val="20"/>
                <w:szCs w:val="20"/>
              </w:rPr>
              <w:t xml:space="preserve">  </w:t>
            </w:r>
          </w:p>
          <w:p w14:paraId="6386B3C3" w14:textId="77777777" w:rsidR="009B3C83" w:rsidRPr="00562F2F" w:rsidRDefault="009B3C83" w:rsidP="003F1AB1">
            <w:pPr>
              <w:spacing w:line="276" w:lineRule="auto"/>
              <w:rPr>
                <w:sz w:val="20"/>
                <w:szCs w:val="20"/>
              </w:rPr>
            </w:pPr>
          </w:p>
        </w:tc>
        <w:tc>
          <w:tcPr>
            <w:tcW w:w="5954" w:type="dxa"/>
            <w:tcBorders>
              <w:top w:val="single" w:sz="4" w:space="0" w:color="auto"/>
              <w:left w:val="single" w:sz="4" w:space="0" w:color="auto"/>
              <w:bottom w:val="nil"/>
              <w:right w:val="single" w:sz="4" w:space="0" w:color="auto"/>
            </w:tcBorders>
          </w:tcPr>
          <w:p w14:paraId="62695891" w14:textId="2870C4E6" w:rsidR="009B3C83" w:rsidRPr="00562F2F" w:rsidRDefault="009B3C83" w:rsidP="002B08B5">
            <w:pPr>
              <w:spacing w:line="276" w:lineRule="auto"/>
              <w:rPr>
                <w:sz w:val="20"/>
                <w:szCs w:val="20"/>
              </w:rPr>
            </w:pPr>
            <w:r w:rsidRPr="00562F2F">
              <w:rPr>
                <w:sz w:val="20"/>
                <w:szCs w:val="20"/>
              </w:rPr>
              <w:t xml:space="preserve">Population criteria:  * Patient must be under 18 years of age.  Treatment criteria:  * Must be treated by a specialist paediatric endocrinologist, specialist urologist, specialist endocrinologist or a </w:t>
            </w:r>
          </w:p>
        </w:tc>
        <w:tc>
          <w:tcPr>
            <w:tcW w:w="1701" w:type="dxa"/>
            <w:tcBorders>
              <w:top w:val="single" w:sz="4" w:space="0" w:color="auto"/>
              <w:left w:val="single" w:sz="4" w:space="0" w:color="auto"/>
              <w:bottom w:val="nil"/>
              <w:right w:val="single" w:sz="4" w:space="0" w:color="auto"/>
            </w:tcBorders>
          </w:tcPr>
          <w:p w14:paraId="6A1DBF76" w14:textId="4AD8D65A" w:rsidR="009B3C83" w:rsidRPr="00562F2F" w:rsidRDefault="009B3C83" w:rsidP="003F1AB1">
            <w:pPr>
              <w:spacing w:line="276" w:lineRule="auto"/>
              <w:rPr>
                <w:sz w:val="20"/>
                <w:szCs w:val="20"/>
              </w:rPr>
            </w:pPr>
          </w:p>
        </w:tc>
        <w:tc>
          <w:tcPr>
            <w:tcW w:w="1229" w:type="dxa"/>
            <w:tcBorders>
              <w:top w:val="single" w:sz="4" w:space="0" w:color="auto"/>
              <w:left w:val="single" w:sz="4" w:space="0" w:color="auto"/>
              <w:bottom w:val="nil"/>
              <w:right w:val="single" w:sz="4" w:space="0" w:color="auto"/>
            </w:tcBorders>
            <w:vAlign w:val="center"/>
          </w:tcPr>
          <w:p w14:paraId="7E77A4F0" w14:textId="3CEB965D" w:rsidR="009B3C83" w:rsidRPr="00562F2F" w:rsidRDefault="009B3C83" w:rsidP="003F1AB1">
            <w:pPr>
              <w:spacing w:line="276" w:lineRule="auto"/>
              <w:rPr>
                <w:sz w:val="20"/>
                <w:szCs w:val="20"/>
              </w:rPr>
            </w:pPr>
          </w:p>
        </w:tc>
        <w:tc>
          <w:tcPr>
            <w:tcW w:w="1080" w:type="dxa"/>
            <w:tcBorders>
              <w:top w:val="single" w:sz="4" w:space="0" w:color="auto"/>
              <w:left w:val="single" w:sz="4" w:space="0" w:color="auto"/>
              <w:bottom w:val="nil"/>
              <w:right w:val="single" w:sz="4" w:space="0" w:color="auto"/>
            </w:tcBorders>
            <w:vAlign w:val="center"/>
          </w:tcPr>
          <w:p w14:paraId="4EFF8B77" w14:textId="696BB002" w:rsidR="009B3C83" w:rsidRPr="00562F2F" w:rsidRDefault="009B3C83" w:rsidP="003F1AB1">
            <w:pPr>
              <w:spacing w:line="276" w:lineRule="auto"/>
              <w:rPr>
                <w:sz w:val="20"/>
                <w:szCs w:val="20"/>
              </w:rPr>
            </w:pPr>
          </w:p>
        </w:tc>
      </w:tr>
      <w:tr w:rsidR="000A0DAE" w:rsidRPr="00562F2F" w14:paraId="1A11A53E" w14:textId="77777777" w:rsidTr="000A0DAE">
        <w:tc>
          <w:tcPr>
            <w:tcW w:w="1605" w:type="dxa"/>
          </w:tcPr>
          <w:p w14:paraId="68443C47" w14:textId="77777777" w:rsidR="009B3C83" w:rsidRPr="00562F2F" w:rsidRDefault="009B3C83" w:rsidP="003F1AB1">
            <w:pPr>
              <w:spacing w:line="276" w:lineRule="auto"/>
              <w:rPr>
                <w:sz w:val="20"/>
                <w:szCs w:val="20"/>
              </w:rPr>
            </w:pPr>
            <w:r w:rsidRPr="00562F2F">
              <w:rPr>
                <w:sz w:val="20"/>
                <w:szCs w:val="20"/>
              </w:rPr>
              <w:t>5460</w:t>
            </w:r>
          </w:p>
        </w:tc>
        <w:tc>
          <w:tcPr>
            <w:tcW w:w="2047" w:type="dxa"/>
            <w:tcBorders>
              <w:right w:val="single" w:sz="4" w:space="0" w:color="auto"/>
            </w:tcBorders>
          </w:tcPr>
          <w:p w14:paraId="2038C49C" w14:textId="77777777" w:rsidR="009B3C83" w:rsidRDefault="009B3C83" w:rsidP="00057231">
            <w:pPr>
              <w:spacing w:line="276" w:lineRule="auto"/>
              <w:rPr>
                <w:sz w:val="20"/>
                <w:szCs w:val="20"/>
              </w:rPr>
            </w:pPr>
            <w:r w:rsidRPr="00562F2F">
              <w:rPr>
                <w:sz w:val="20"/>
                <w:szCs w:val="20"/>
              </w:rPr>
              <w:t xml:space="preserve">Pubertal induction  </w:t>
            </w:r>
          </w:p>
          <w:p w14:paraId="5F57D39A" w14:textId="77777777" w:rsidR="009B3C83" w:rsidRPr="00562F2F" w:rsidRDefault="009B3C83" w:rsidP="003F1AB1">
            <w:pPr>
              <w:spacing w:line="276" w:lineRule="auto"/>
              <w:rPr>
                <w:sz w:val="20"/>
                <w:szCs w:val="20"/>
              </w:rPr>
            </w:pPr>
          </w:p>
        </w:tc>
        <w:tc>
          <w:tcPr>
            <w:tcW w:w="5954" w:type="dxa"/>
            <w:tcBorders>
              <w:top w:val="nil"/>
              <w:left w:val="single" w:sz="4" w:space="0" w:color="auto"/>
              <w:bottom w:val="nil"/>
              <w:right w:val="single" w:sz="4" w:space="0" w:color="auto"/>
            </w:tcBorders>
          </w:tcPr>
          <w:p w14:paraId="1CC964C2" w14:textId="20A8D535" w:rsidR="009B3C83" w:rsidRPr="00562F2F" w:rsidRDefault="002B08B5" w:rsidP="003F1AB1">
            <w:pPr>
              <w:spacing w:line="276" w:lineRule="auto"/>
              <w:rPr>
                <w:sz w:val="20"/>
                <w:szCs w:val="20"/>
              </w:rPr>
            </w:pPr>
            <w:r w:rsidRPr="00562F2F">
              <w:rPr>
                <w:sz w:val="20"/>
                <w:szCs w:val="20"/>
              </w:rPr>
              <w:t>registered member of the Australasian Chapter of Sexual Health Medicine; or in consultation with one of these specialists; or have an</w:t>
            </w:r>
          </w:p>
        </w:tc>
        <w:tc>
          <w:tcPr>
            <w:tcW w:w="1701" w:type="dxa"/>
            <w:tcBorders>
              <w:top w:val="nil"/>
              <w:left w:val="single" w:sz="4" w:space="0" w:color="auto"/>
              <w:bottom w:val="nil"/>
              <w:right w:val="single" w:sz="4" w:space="0" w:color="auto"/>
            </w:tcBorders>
          </w:tcPr>
          <w:p w14:paraId="47515EF7" w14:textId="77777777" w:rsidR="009B3C83" w:rsidRPr="00562F2F" w:rsidRDefault="009B3C83" w:rsidP="003F1AB1">
            <w:pPr>
              <w:spacing w:line="276" w:lineRule="auto"/>
              <w:rPr>
                <w:sz w:val="20"/>
                <w:szCs w:val="20"/>
              </w:rPr>
            </w:pPr>
          </w:p>
        </w:tc>
        <w:tc>
          <w:tcPr>
            <w:tcW w:w="1229" w:type="dxa"/>
            <w:tcBorders>
              <w:top w:val="nil"/>
              <w:left w:val="single" w:sz="4" w:space="0" w:color="auto"/>
              <w:bottom w:val="nil"/>
              <w:right w:val="single" w:sz="4" w:space="0" w:color="auto"/>
            </w:tcBorders>
            <w:vAlign w:val="center"/>
          </w:tcPr>
          <w:p w14:paraId="752B2EB4" w14:textId="1246F5D3" w:rsidR="009B3C83" w:rsidRPr="00562F2F" w:rsidRDefault="009B3C83" w:rsidP="003F1AB1">
            <w:pPr>
              <w:spacing w:line="276" w:lineRule="auto"/>
              <w:rPr>
                <w:sz w:val="20"/>
                <w:szCs w:val="20"/>
              </w:rPr>
            </w:pPr>
          </w:p>
        </w:tc>
        <w:tc>
          <w:tcPr>
            <w:tcW w:w="1080" w:type="dxa"/>
            <w:tcBorders>
              <w:top w:val="nil"/>
              <w:left w:val="single" w:sz="4" w:space="0" w:color="auto"/>
              <w:bottom w:val="nil"/>
              <w:right w:val="single" w:sz="4" w:space="0" w:color="auto"/>
            </w:tcBorders>
            <w:vAlign w:val="center"/>
          </w:tcPr>
          <w:p w14:paraId="14ABB37E" w14:textId="77777777" w:rsidR="009B3C83" w:rsidRPr="00562F2F" w:rsidRDefault="009B3C83" w:rsidP="003F1AB1">
            <w:pPr>
              <w:spacing w:line="276" w:lineRule="auto"/>
              <w:rPr>
                <w:sz w:val="20"/>
                <w:szCs w:val="20"/>
              </w:rPr>
            </w:pPr>
          </w:p>
        </w:tc>
      </w:tr>
      <w:tr w:rsidR="000A0DAE" w:rsidRPr="00562F2F" w14:paraId="51D7F91A" w14:textId="77777777" w:rsidTr="000A0DAE">
        <w:tc>
          <w:tcPr>
            <w:tcW w:w="1605" w:type="dxa"/>
          </w:tcPr>
          <w:p w14:paraId="31FD0567" w14:textId="77777777" w:rsidR="009B3C83" w:rsidRPr="00562F2F" w:rsidRDefault="009B3C83" w:rsidP="003F1AB1">
            <w:pPr>
              <w:spacing w:line="276" w:lineRule="auto"/>
              <w:rPr>
                <w:sz w:val="20"/>
                <w:szCs w:val="20"/>
              </w:rPr>
            </w:pPr>
            <w:r w:rsidRPr="00562F2F">
              <w:rPr>
                <w:sz w:val="20"/>
                <w:szCs w:val="20"/>
              </w:rPr>
              <w:t>5471</w:t>
            </w:r>
          </w:p>
        </w:tc>
        <w:tc>
          <w:tcPr>
            <w:tcW w:w="2047" w:type="dxa"/>
            <w:tcBorders>
              <w:bottom w:val="single" w:sz="4" w:space="0" w:color="auto"/>
              <w:right w:val="single" w:sz="4" w:space="0" w:color="auto"/>
            </w:tcBorders>
          </w:tcPr>
          <w:p w14:paraId="113CC4AC" w14:textId="77777777" w:rsidR="009B3C83" w:rsidRDefault="009B3C83" w:rsidP="00057231">
            <w:pPr>
              <w:spacing w:line="276" w:lineRule="auto"/>
              <w:rPr>
                <w:sz w:val="20"/>
                <w:szCs w:val="20"/>
              </w:rPr>
            </w:pPr>
            <w:r w:rsidRPr="00562F2F">
              <w:rPr>
                <w:sz w:val="20"/>
                <w:szCs w:val="20"/>
              </w:rPr>
              <w:t xml:space="preserve">Constitutional delay of growth or puberty  </w:t>
            </w:r>
          </w:p>
          <w:p w14:paraId="6D3B6804" w14:textId="77777777" w:rsidR="009B3C83" w:rsidRPr="00562F2F" w:rsidRDefault="009B3C83" w:rsidP="003F1AB1">
            <w:pPr>
              <w:spacing w:line="276" w:lineRule="auto"/>
              <w:rPr>
                <w:sz w:val="20"/>
                <w:szCs w:val="20"/>
              </w:rPr>
            </w:pPr>
          </w:p>
        </w:tc>
        <w:tc>
          <w:tcPr>
            <w:tcW w:w="5954" w:type="dxa"/>
            <w:tcBorders>
              <w:top w:val="nil"/>
              <w:left w:val="single" w:sz="4" w:space="0" w:color="auto"/>
              <w:bottom w:val="single" w:sz="4" w:space="0" w:color="auto"/>
              <w:right w:val="single" w:sz="4" w:space="0" w:color="auto"/>
            </w:tcBorders>
          </w:tcPr>
          <w:p w14:paraId="52C51E01" w14:textId="02584CBF" w:rsidR="009B3C83" w:rsidRPr="00562F2F" w:rsidRDefault="002B08B5" w:rsidP="003F1AB1">
            <w:pPr>
              <w:spacing w:line="276" w:lineRule="auto"/>
              <w:rPr>
                <w:sz w:val="20"/>
                <w:szCs w:val="20"/>
              </w:rPr>
            </w:pPr>
            <w:proofErr w:type="gramStart"/>
            <w:r w:rsidRPr="00562F2F">
              <w:rPr>
                <w:sz w:val="20"/>
                <w:szCs w:val="20"/>
              </w:rPr>
              <w:t>appointment</w:t>
            </w:r>
            <w:proofErr w:type="gramEnd"/>
            <w:r w:rsidRPr="00562F2F">
              <w:rPr>
                <w:sz w:val="20"/>
                <w:szCs w:val="20"/>
              </w:rPr>
              <w:t xml:space="preserve"> to be assessed by one of these specialists. The name of the specialist must be included in the authority application.</w:t>
            </w:r>
          </w:p>
        </w:tc>
        <w:tc>
          <w:tcPr>
            <w:tcW w:w="1701" w:type="dxa"/>
            <w:tcBorders>
              <w:top w:val="nil"/>
              <w:left w:val="single" w:sz="4" w:space="0" w:color="auto"/>
              <w:bottom w:val="nil"/>
              <w:right w:val="single" w:sz="4" w:space="0" w:color="auto"/>
            </w:tcBorders>
          </w:tcPr>
          <w:p w14:paraId="19228983" w14:textId="77777777" w:rsidR="009B3C83" w:rsidRPr="00562F2F" w:rsidRDefault="009B3C83" w:rsidP="003F1AB1">
            <w:pPr>
              <w:spacing w:line="276" w:lineRule="auto"/>
              <w:rPr>
                <w:sz w:val="20"/>
                <w:szCs w:val="20"/>
              </w:rPr>
            </w:pPr>
          </w:p>
        </w:tc>
        <w:tc>
          <w:tcPr>
            <w:tcW w:w="1229" w:type="dxa"/>
            <w:tcBorders>
              <w:top w:val="nil"/>
              <w:left w:val="single" w:sz="4" w:space="0" w:color="auto"/>
              <w:bottom w:val="nil"/>
              <w:right w:val="single" w:sz="4" w:space="0" w:color="auto"/>
            </w:tcBorders>
            <w:vAlign w:val="center"/>
          </w:tcPr>
          <w:p w14:paraId="6F1CE12E" w14:textId="17B5163B" w:rsidR="009B3C83" w:rsidRPr="00562F2F" w:rsidRDefault="009B3C83" w:rsidP="003F1AB1">
            <w:pPr>
              <w:spacing w:line="276" w:lineRule="auto"/>
              <w:rPr>
                <w:sz w:val="20"/>
                <w:szCs w:val="20"/>
              </w:rPr>
            </w:pPr>
          </w:p>
        </w:tc>
        <w:tc>
          <w:tcPr>
            <w:tcW w:w="1080" w:type="dxa"/>
            <w:tcBorders>
              <w:top w:val="nil"/>
              <w:left w:val="single" w:sz="4" w:space="0" w:color="auto"/>
              <w:bottom w:val="nil"/>
              <w:right w:val="single" w:sz="4" w:space="0" w:color="auto"/>
            </w:tcBorders>
            <w:vAlign w:val="center"/>
          </w:tcPr>
          <w:p w14:paraId="41F7933A" w14:textId="77777777" w:rsidR="009B3C83" w:rsidRPr="00562F2F" w:rsidRDefault="009B3C83" w:rsidP="003F1AB1">
            <w:pPr>
              <w:spacing w:line="276" w:lineRule="auto"/>
              <w:rPr>
                <w:sz w:val="20"/>
                <w:szCs w:val="20"/>
              </w:rPr>
            </w:pPr>
          </w:p>
        </w:tc>
      </w:tr>
      <w:tr w:rsidR="000A0DAE" w:rsidRPr="00562F2F" w14:paraId="7B8C29BD" w14:textId="77777777" w:rsidTr="000A0DAE">
        <w:tc>
          <w:tcPr>
            <w:tcW w:w="1605" w:type="dxa"/>
            <w:tcBorders>
              <w:right w:val="single" w:sz="4" w:space="0" w:color="auto"/>
            </w:tcBorders>
          </w:tcPr>
          <w:p w14:paraId="69BF89AE" w14:textId="07F5DED2" w:rsidR="009B3C83" w:rsidRPr="00562F2F" w:rsidRDefault="009B3C83" w:rsidP="003F1AB1">
            <w:pPr>
              <w:spacing w:line="276" w:lineRule="auto"/>
              <w:rPr>
                <w:sz w:val="20"/>
                <w:szCs w:val="20"/>
              </w:rPr>
            </w:pPr>
            <w:r>
              <w:rPr>
                <w:sz w:val="20"/>
                <w:szCs w:val="20"/>
              </w:rPr>
              <w:t>5511</w:t>
            </w:r>
          </w:p>
        </w:tc>
        <w:tc>
          <w:tcPr>
            <w:tcW w:w="2047" w:type="dxa"/>
            <w:tcBorders>
              <w:top w:val="single" w:sz="4" w:space="0" w:color="auto"/>
              <w:left w:val="single" w:sz="4" w:space="0" w:color="auto"/>
              <w:bottom w:val="nil"/>
              <w:right w:val="single" w:sz="4" w:space="0" w:color="auto"/>
            </w:tcBorders>
          </w:tcPr>
          <w:p w14:paraId="7411BDA9" w14:textId="07C6E0F0" w:rsidR="009B3C83" w:rsidRPr="00562F2F" w:rsidRDefault="009B3C83" w:rsidP="00057231">
            <w:pPr>
              <w:spacing w:line="276" w:lineRule="auto"/>
              <w:rPr>
                <w:sz w:val="20"/>
                <w:szCs w:val="20"/>
              </w:rPr>
            </w:pPr>
            <w:r>
              <w:rPr>
                <w:sz w:val="20"/>
                <w:szCs w:val="20"/>
              </w:rPr>
              <w:t>Androgen deficiency</w:t>
            </w:r>
          </w:p>
        </w:tc>
        <w:tc>
          <w:tcPr>
            <w:tcW w:w="5954" w:type="dxa"/>
            <w:tcBorders>
              <w:top w:val="single" w:sz="4" w:space="0" w:color="auto"/>
              <w:left w:val="single" w:sz="4" w:space="0" w:color="auto"/>
              <w:right w:val="single" w:sz="4" w:space="0" w:color="auto"/>
            </w:tcBorders>
          </w:tcPr>
          <w:p w14:paraId="67A5FA59" w14:textId="63AED5B5" w:rsidR="009B3C83" w:rsidRPr="00562F2F" w:rsidRDefault="009B3C83" w:rsidP="003F1AB1">
            <w:pPr>
              <w:spacing w:line="276" w:lineRule="auto"/>
              <w:rPr>
                <w:sz w:val="20"/>
                <w:szCs w:val="20"/>
              </w:rPr>
            </w:pPr>
            <w:r w:rsidRPr="009A6DF1">
              <w:rPr>
                <w:sz w:val="20"/>
                <w:szCs w:val="20"/>
              </w:rPr>
              <w:t>Clinical criteria:  * Patient must have an established pituitary or testicular disorder.  Treatment criteria:  * Must be treated by a specialist paediatric endocrinologist, specialist urologist, specialist endocrinologist or a registered member of the Australasian Chapter of Sexual Health Medicine; or in consultation with one of these specialists; or have an appointment to be assessed by one of these specialists. The name of the specialist must be included in the authority application</w:t>
            </w:r>
            <w:r>
              <w:rPr>
                <w:sz w:val="20"/>
                <w:szCs w:val="20"/>
              </w:rPr>
              <w:t>.</w:t>
            </w:r>
          </w:p>
        </w:tc>
        <w:tc>
          <w:tcPr>
            <w:tcW w:w="1701" w:type="dxa"/>
            <w:tcBorders>
              <w:top w:val="nil"/>
              <w:left w:val="single" w:sz="4" w:space="0" w:color="auto"/>
              <w:bottom w:val="nil"/>
              <w:right w:val="single" w:sz="4" w:space="0" w:color="auto"/>
            </w:tcBorders>
          </w:tcPr>
          <w:p w14:paraId="65820F35" w14:textId="1EFF23AE" w:rsidR="009B3C83" w:rsidRPr="00562F2F" w:rsidRDefault="002B08B5" w:rsidP="003F1AB1">
            <w:pPr>
              <w:spacing w:line="276" w:lineRule="auto"/>
              <w:rPr>
                <w:sz w:val="20"/>
                <w:szCs w:val="20"/>
              </w:rPr>
            </w:pPr>
            <w:r>
              <w:rPr>
                <w:sz w:val="20"/>
                <w:szCs w:val="20"/>
              </w:rPr>
              <w:t>Removed population criterion “patient must be male”</w:t>
            </w:r>
          </w:p>
        </w:tc>
        <w:tc>
          <w:tcPr>
            <w:tcW w:w="1229" w:type="dxa"/>
            <w:tcBorders>
              <w:top w:val="nil"/>
              <w:left w:val="single" w:sz="4" w:space="0" w:color="auto"/>
              <w:bottom w:val="nil"/>
              <w:right w:val="single" w:sz="4" w:space="0" w:color="auto"/>
            </w:tcBorders>
            <w:vAlign w:val="center"/>
          </w:tcPr>
          <w:p w14:paraId="498E4D27" w14:textId="27D85545" w:rsidR="009B3C83" w:rsidRPr="00562F2F" w:rsidRDefault="00CB6D99" w:rsidP="003F1AB1">
            <w:pPr>
              <w:spacing w:line="276" w:lineRule="auto"/>
              <w:rPr>
                <w:sz w:val="20"/>
                <w:szCs w:val="20"/>
              </w:rPr>
            </w:pPr>
            <w:r w:rsidRPr="00562F2F">
              <w:rPr>
                <w:sz w:val="20"/>
                <w:szCs w:val="20"/>
              </w:rPr>
              <w:t>1 October 2015</w:t>
            </w:r>
          </w:p>
        </w:tc>
        <w:tc>
          <w:tcPr>
            <w:tcW w:w="1080" w:type="dxa"/>
            <w:tcBorders>
              <w:top w:val="nil"/>
              <w:left w:val="single" w:sz="4" w:space="0" w:color="auto"/>
              <w:bottom w:val="nil"/>
              <w:right w:val="single" w:sz="4" w:space="0" w:color="auto"/>
            </w:tcBorders>
            <w:vAlign w:val="center"/>
          </w:tcPr>
          <w:p w14:paraId="7332B665" w14:textId="275021BA" w:rsidR="009B3C83" w:rsidRPr="00562F2F" w:rsidRDefault="00CB6D99" w:rsidP="003F1AB1">
            <w:pPr>
              <w:spacing w:line="276" w:lineRule="auto"/>
              <w:rPr>
                <w:sz w:val="20"/>
                <w:szCs w:val="20"/>
              </w:rPr>
            </w:pPr>
            <w:r>
              <w:rPr>
                <w:sz w:val="20"/>
                <w:szCs w:val="20"/>
              </w:rPr>
              <w:t>31 July 2016</w:t>
            </w:r>
          </w:p>
        </w:tc>
      </w:tr>
      <w:tr w:rsidR="000A0DAE" w:rsidRPr="00562F2F" w14:paraId="7D15C29D" w14:textId="77777777" w:rsidTr="00E76A08">
        <w:tc>
          <w:tcPr>
            <w:tcW w:w="1605" w:type="dxa"/>
            <w:tcBorders>
              <w:right w:val="single" w:sz="4" w:space="0" w:color="auto"/>
            </w:tcBorders>
          </w:tcPr>
          <w:p w14:paraId="23261E35" w14:textId="3BF0B810" w:rsidR="009B3C83" w:rsidRDefault="009B3C83" w:rsidP="009B3C83">
            <w:pPr>
              <w:spacing w:line="276" w:lineRule="auto"/>
              <w:rPr>
                <w:sz w:val="20"/>
                <w:szCs w:val="20"/>
              </w:rPr>
            </w:pPr>
            <w:r>
              <w:rPr>
                <w:sz w:val="20"/>
                <w:szCs w:val="20"/>
              </w:rPr>
              <w:t>5474</w:t>
            </w:r>
          </w:p>
        </w:tc>
        <w:tc>
          <w:tcPr>
            <w:tcW w:w="2047" w:type="dxa"/>
            <w:tcBorders>
              <w:top w:val="nil"/>
              <w:left w:val="single" w:sz="4" w:space="0" w:color="auto"/>
              <w:bottom w:val="single" w:sz="4" w:space="0" w:color="auto"/>
              <w:right w:val="single" w:sz="4" w:space="0" w:color="auto"/>
            </w:tcBorders>
          </w:tcPr>
          <w:p w14:paraId="0861A3C2" w14:textId="77777777" w:rsidR="009B3C83" w:rsidRDefault="009B3C83" w:rsidP="009B3C83">
            <w:pPr>
              <w:spacing w:line="276" w:lineRule="auto"/>
              <w:rPr>
                <w:sz w:val="20"/>
                <w:szCs w:val="20"/>
              </w:rPr>
            </w:pPr>
          </w:p>
        </w:tc>
        <w:tc>
          <w:tcPr>
            <w:tcW w:w="5954" w:type="dxa"/>
            <w:tcBorders>
              <w:left w:val="single" w:sz="4" w:space="0" w:color="auto"/>
              <w:bottom w:val="single" w:sz="4" w:space="0" w:color="auto"/>
              <w:right w:val="single" w:sz="4" w:space="0" w:color="auto"/>
            </w:tcBorders>
          </w:tcPr>
          <w:p w14:paraId="5D9C8128" w14:textId="77777777" w:rsidR="009B3C83" w:rsidRPr="00F739A6" w:rsidRDefault="009B3C83" w:rsidP="009B3C83">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Clinical criteria: </w:t>
            </w:r>
          </w:p>
          <w:p w14:paraId="5813C9E6" w14:textId="77777777" w:rsidR="009B3C83" w:rsidRPr="00F739A6" w:rsidRDefault="009B3C83" w:rsidP="009B3C83">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 Patient must not have an established pituitary or testicular disorder,  AND  </w:t>
            </w:r>
          </w:p>
          <w:p w14:paraId="75E077FD" w14:textId="77777777" w:rsidR="00E14DDF" w:rsidRDefault="009B3C83" w:rsidP="009B3C83">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 The condition must not be due to age, obesity, cardiovascular diseases, infertility or drugs.  </w:t>
            </w:r>
          </w:p>
          <w:p w14:paraId="0A356BC0" w14:textId="29A68F9E" w:rsidR="009B3C83" w:rsidRDefault="009B3C83" w:rsidP="009B3C83">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Population criteria:  </w:t>
            </w:r>
          </w:p>
          <w:p w14:paraId="3E736D81" w14:textId="77777777" w:rsidR="009B3C83" w:rsidRPr="00F739A6" w:rsidRDefault="009B3C83" w:rsidP="009B3C83">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 Patient must be aged 40 years or older.  </w:t>
            </w:r>
          </w:p>
          <w:p w14:paraId="6D3CD603" w14:textId="77777777" w:rsidR="009B3C83" w:rsidRPr="00F739A6" w:rsidRDefault="009B3C83" w:rsidP="009B3C83">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lastRenderedPageBreak/>
              <w:t xml:space="preserve">Treatment criteria:  </w:t>
            </w:r>
          </w:p>
          <w:p w14:paraId="51EB1D5C" w14:textId="77777777" w:rsidR="009B3C83" w:rsidRPr="00F739A6" w:rsidRDefault="009B3C83" w:rsidP="009B3C83">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 Must be treated by a specialist urologist, specialist endocrinologist or a registered member of the Australasian Chapter of Sexual Health Medicine; or in consultation with one of these specialists; or have an appointment to be assessed by one of these specialists. </w:t>
            </w:r>
          </w:p>
          <w:p w14:paraId="43D23E65" w14:textId="77777777" w:rsidR="009B3C83" w:rsidRPr="00F739A6" w:rsidRDefault="009B3C83" w:rsidP="009B3C83">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Androgen deficiency is defined as:</w:t>
            </w:r>
          </w:p>
          <w:p w14:paraId="73B078B6" w14:textId="77777777" w:rsidR="009B3C83" w:rsidRPr="00F739A6" w:rsidRDefault="009B3C83" w:rsidP="009B3C83">
            <w:pPr>
              <w:numPr>
                <w:ilvl w:val="0"/>
                <w:numId w:val="8"/>
              </w:numPr>
              <w:spacing w:line="276" w:lineRule="auto"/>
              <w:contextualSpacing/>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testosterone level of less than 6 </w:t>
            </w:r>
            <w:proofErr w:type="spellStart"/>
            <w:r w:rsidRPr="00F739A6">
              <w:rPr>
                <w:rFonts w:ascii="Calibri" w:eastAsia="Times New Roman" w:hAnsi="Calibri" w:cs="Times New Roman"/>
                <w:sz w:val="20"/>
                <w:szCs w:val="20"/>
                <w:lang w:eastAsia="en-US"/>
              </w:rPr>
              <w:t>nmol</w:t>
            </w:r>
            <w:proofErr w:type="spellEnd"/>
            <w:r w:rsidRPr="00F739A6">
              <w:rPr>
                <w:rFonts w:ascii="Calibri" w:eastAsia="Times New Roman" w:hAnsi="Calibri" w:cs="Times New Roman"/>
                <w:sz w:val="20"/>
                <w:szCs w:val="20"/>
                <w:lang w:eastAsia="en-US"/>
              </w:rPr>
              <w:t xml:space="preserve"> per litre; OR</w:t>
            </w:r>
          </w:p>
          <w:p w14:paraId="5413DE05" w14:textId="77777777" w:rsidR="009B3C83" w:rsidRPr="00F739A6" w:rsidRDefault="009B3C83" w:rsidP="009B3C83">
            <w:pPr>
              <w:numPr>
                <w:ilvl w:val="0"/>
                <w:numId w:val="8"/>
              </w:numPr>
              <w:spacing w:line="276" w:lineRule="auto"/>
              <w:contextualSpacing/>
              <w:rPr>
                <w:rFonts w:ascii="Calibri" w:eastAsia="Times New Roman" w:hAnsi="Calibri" w:cs="Times New Roman"/>
                <w:sz w:val="20"/>
                <w:szCs w:val="20"/>
                <w:lang w:eastAsia="en-US"/>
              </w:rPr>
            </w:pPr>
            <w:proofErr w:type="gramStart"/>
            <w:r w:rsidRPr="00F739A6">
              <w:rPr>
                <w:rFonts w:ascii="Calibri" w:eastAsia="Times New Roman" w:hAnsi="Calibri" w:cs="Times New Roman"/>
                <w:sz w:val="20"/>
                <w:szCs w:val="20"/>
                <w:lang w:eastAsia="en-US"/>
              </w:rPr>
              <w:t>testosterone</w:t>
            </w:r>
            <w:proofErr w:type="gramEnd"/>
            <w:r w:rsidRPr="00F739A6">
              <w:rPr>
                <w:rFonts w:ascii="Calibri" w:eastAsia="Times New Roman" w:hAnsi="Calibri" w:cs="Times New Roman"/>
                <w:sz w:val="20"/>
                <w:szCs w:val="20"/>
                <w:lang w:eastAsia="en-US"/>
              </w:rPr>
              <w:t xml:space="preserve"> level between 6 and 15 </w:t>
            </w:r>
            <w:proofErr w:type="spellStart"/>
            <w:r w:rsidRPr="00F739A6">
              <w:rPr>
                <w:rFonts w:ascii="Calibri" w:eastAsia="Times New Roman" w:hAnsi="Calibri" w:cs="Times New Roman"/>
                <w:sz w:val="20"/>
                <w:szCs w:val="20"/>
                <w:lang w:eastAsia="en-US"/>
              </w:rPr>
              <w:t>nmol</w:t>
            </w:r>
            <w:proofErr w:type="spellEnd"/>
            <w:r w:rsidRPr="00F739A6">
              <w:rPr>
                <w:rFonts w:ascii="Calibri" w:eastAsia="Times New Roman" w:hAnsi="Calibri" w:cs="Times New Roman"/>
                <w:sz w:val="20"/>
                <w:szCs w:val="20"/>
                <w:lang w:eastAsia="en-US"/>
              </w:rPr>
              <w:t xml:space="preserve"> per litre with high luteinising hormone (LH) (greater than 1.5 times the upper limit of the </w:t>
            </w:r>
            <w:proofErr w:type="spellStart"/>
            <w:r w:rsidRPr="00F739A6">
              <w:rPr>
                <w:rFonts w:ascii="Calibri" w:eastAsia="Times New Roman" w:hAnsi="Calibri" w:cs="Times New Roman"/>
                <w:sz w:val="20"/>
                <w:szCs w:val="20"/>
                <w:lang w:eastAsia="en-US"/>
              </w:rPr>
              <w:t>eugonodal</w:t>
            </w:r>
            <w:proofErr w:type="spellEnd"/>
            <w:r w:rsidRPr="00F739A6">
              <w:rPr>
                <w:rFonts w:ascii="Calibri" w:eastAsia="Times New Roman" w:hAnsi="Calibri" w:cs="Times New Roman"/>
                <w:sz w:val="20"/>
                <w:szCs w:val="20"/>
                <w:lang w:eastAsia="en-US"/>
              </w:rPr>
              <w:t xml:space="preserve"> reference range for young men, or greater than 14 IU per litre, whichever is higher).</w:t>
            </w:r>
          </w:p>
          <w:p w14:paraId="24D40E6A" w14:textId="76C19F8D" w:rsidR="009B3C83" w:rsidRPr="009A6DF1" w:rsidRDefault="009B3C83" w:rsidP="009B3C83">
            <w:pPr>
              <w:spacing w:line="276" w:lineRule="auto"/>
              <w:rPr>
                <w:sz w:val="20"/>
                <w:szCs w:val="20"/>
              </w:rPr>
            </w:pPr>
            <w:r w:rsidRPr="00F739A6">
              <w:rPr>
                <w:rFonts w:ascii="Calibri" w:eastAsia="Times New Roman" w:hAnsi="Calibri" w:cs="Times New Roman"/>
                <w:sz w:val="20"/>
                <w:szCs w:val="20"/>
                <w:lang w:eastAsia="en-US"/>
              </w:rPr>
              <w:t>Androgen deficiency must be confirmed by at least two morning blood samples taken on different mornings. The dates and levels of the qualifying testosterone and LH measurements must be, or must have been provided in the authority application when treatment with this drug is or was initiated. The name of the specialist must be included in the authority application.</w:t>
            </w:r>
          </w:p>
        </w:tc>
        <w:tc>
          <w:tcPr>
            <w:tcW w:w="1701" w:type="dxa"/>
            <w:tcBorders>
              <w:top w:val="nil"/>
              <w:left w:val="single" w:sz="4" w:space="0" w:color="auto"/>
              <w:bottom w:val="single" w:sz="4" w:space="0" w:color="auto"/>
              <w:right w:val="single" w:sz="4" w:space="0" w:color="auto"/>
            </w:tcBorders>
          </w:tcPr>
          <w:p w14:paraId="7639B02D" w14:textId="77777777" w:rsidR="009B3C83" w:rsidRPr="00562F2F" w:rsidRDefault="009B3C83" w:rsidP="009B3C83">
            <w:pPr>
              <w:spacing w:line="276" w:lineRule="auto"/>
              <w:rPr>
                <w:sz w:val="20"/>
                <w:szCs w:val="20"/>
              </w:rPr>
            </w:pPr>
          </w:p>
        </w:tc>
        <w:tc>
          <w:tcPr>
            <w:tcW w:w="1229" w:type="dxa"/>
            <w:tcBorders>
              <w:top w:val="nil"/>
              <w:left w:val="single" w:sz="4" w:space="0" w:color="auto"/>
              <w:bottom w:val="single" w:sz="4" w:space="0" w:color="auto"/>
              <w:right w:val="single" w:sz="4" w:space="0" w:color="auto"/>
            </w:tcBorders>
            <w:vAlign w:val="center"/>
          </w:tcPr>
          <w:p w14:paraId="1E28ACFB" w14:textId="77777777" w:rsidR="009B3C83" w:rsidRPr="00562F2F" w:rsidRDefault="009B3C83" w:rsidP="009B3C83">
            <w:pPr>
              <w:spacing w:line="276" w:lineRule="auto"/>
              <w:rPr>
                <w:sz w:val="20"/>
                <w:szCs w:val="20"/>
              </w:rPr>
            </w:pPr>
          </w:p>
        </w:tc>
        <w:tc>
          <w:tcPr>
            <w:tcW w:w="1080" w:type="dxa"/>
            <w:tcBorders>
              <w:top w:val="nil"/>
              <w:left w:val="single" w:sz="4" w:space="0" w:color="auto"/>
              <w:bottom w:val="single" w:sz="4" w:space="0" w:color="auto"/>
              <w:right w:val="single" w:sz="4" w:space="0" w:color="auto"/>
            </w:tcBorders>
            <w:vAlign w:val="center"/>
          </w:tcPr>
          <w:p w14:paraId="1980CBC3" w14:textId="77777777" w:rsidR="009B3C83" w:rsidRPr="00562F2F" w:rsidRDefault="009B3C83" w:rsidP="009B3C83">
            <w:pPr>
              <w:spacing w:line="276" w:lineRule="auto"/>
              <w:rPr>
                <w:sz w:val="20"/>
                <w:szCs w:val="20"/>
              </w:rPr>
            </w:pPr>
          </w:p>
        </w:tc>
      </w:tr>
      <w:tr w:rsidR="00E76A08" w:rsidRPr="00562F2F" w14:paraId="4D7EF5F2" w14:textId="77777777" w:rsidTr="00E76A08">
        <w:tc>
          <w:tcPr>
            <w:tcW w:w="1605" w:type="dxa"/>
          </w:tcPr>
          <w:p w14:paraId="0B9E72B4" w14:textId="0EBFA9DA" w:rsidR="009B3C83" w:rsidRPr="00562F2F" w:rsidRDefault="009B3C83" w:rsidP="009B3C83">
            <w:pPr>
              <w:spacing w:line="276" w:lineRule="auto"/>
              <w:rPr>
                <w:sz w:val="20"/>
                <w:szCs w:val="20"/>
              </w:rPr>
            </w:pPr>
            <w:r>
              <w:rPr>
                <w:sz w:val="20"/>
                <w:szCs w:val="20"/>
              </w:rPr>
              <w:t>6322</w:t>
            </w:r>
          </w:p>
        </w:tc>
        <w:tc>
          <w:tcPr>
            <w:tcW w:w="2047" w:type="dxa"/>
            <w:tcBorders>
              <w:top w:val="single" w:sz="4" w:space="0" w:color="auto"/>
              <w:right w:val="single" w:sz="4" w:space="0" w:color="auto"/>
            </w:tcBorders>
          </w:tcPr>
          <w:p w14:paraId="0FCCAB46" w14:textId="77777777" w:rsidR="009B3C83" w:rsidRDefault="009B3C83" w:rsidP="009B3C83">
            <w:pPr>
              <w:spacing w:line="276" w:lineRule="auto"/>
              <w:rPr>
                <w:sz w:val="20"/>
                <w:szCs w:val="20"/>
              </w:rPr>
            </w:pPr>
            <w:proofErr w:type="spellStart"/>
            <w:r w:rsidRPr="00562F2F">
              <w:rPr>
                <w:sz w:val="20"/>
                <w:szCs w:val="20"/>
              </w:rPr>
              <w:t>Micropenis</w:t>
            </w:r>
            <w:proofErr w:type="spellEnd"/>
            <w:r w:rsidRPr="00562F2F">
              <w:rPr>
                <w:sz w:val="20"/>
                <w:szCs w:val="20"/>
              </w:rPr>
              <w:t xml:space="preserve">  </w:t>
            </w:r>
          </w:p>
          <w:p w14:paraId="033E197F" w14:textId="77777777" w:rsidR="009B3C83" w:rsidRPr="00562F2F" w:rsidRDefault="009B3C83" w:rsidP="009B3C83">
            <w:pPr>
              <w:spacing w:line="276" w:lineRule="auto"/>
              <w:rPr>
                <w:sz w:val="20"/>
                <w:szCs w:val="20"/>
              </w:rPr>
            </w:pPr>
          </w:p>
        </w:tc>
        <w:tc>
          <w:tcPr>
            <w:tcW w:w="5954" w:type="dxa"/>
            <w:tcBorders>
              <w:top w:val="single" w:sz="4" w:space="0" w:color="auto"/>
              <w:left w:val="single" w:sz="4" w:space="0" w:color="auto"/>
              <w:bottom w:val="nil"/>
              <w:right w:val="single" w:sz="4" w:space="0" w:color="auto"/>
            </w:tcBorders>
          </w:tcPr>
          <w:p w14:paraId="0064DB8E" w14:textId="73F6FBF5" w:rsidR="009B3C83" w:rsidRPr="00562F2F" w:rsidRDefault="009B3C83" w:rsidP="000A0DAE">
            <w:pPr>
              <w:spacing w:line="276" w:lineRule="auto"/>
              <w:rPr>
                <w:sz w:val="20"/>
                <w:szCs w:val="20"/>
              </w:rPr>
            </w:pPr>
            <w:r w:rsidRPr="00057231">
              <w:rPr>
                <w:sz w:val="20"/>
                <w:szCs w:val="20"/>
              </w:rPr>
              <w:t xml:space="preserve">Population criteria:  * Patient must be under 18 years of age.  Treatment criteria:  * Must be treated by a specialist paediatric </w:t>
            </w:r>
          </w:p>
        </w:tc>
        <w:tc>
          <w:tcPr>
            <w:tcW w:w="1701" w:type="dxa"/>
            <w:tcBorders>
              <w:top w:val="single" w:sz="4" w:space="0" w:color="auto"/>
              <w:left w:val="single" w:sz="4" w:space="0" w:color="auto"/>
              <w:bottom w:val="nil"/>
              <w:right w:val="single" w:sz="4" w:space="0" w:color="auto"/>
            </w:tcBorders>
          </w:tcPr>
          <w:p w14:paraId="36105FF1" w14:textId="44B860A8" w:rsidR="009B3C83" w:rsidRPr="00562F2F" w:rsidRDefault="009B3C83" w:rsidP="009B3C83">
            <w:pPr>
              <w:spacing w:line="276" w:lineRule="auto"/>
              <w:rPr>
                <w:sz w:val="20"/>
                <w:szCs w:val="20"/>
              </w:rPr>
            </w:pPr>
            <w:r w:rsidRPr="00057231">
              <w:rPr>
                <w:sz w:val="20"/>
                <w:szCs w:val="20"/>
              </w:rPr>
              <w:t>"registered member" of the Australasian Chapter of Sexual Health Medicine changed to "Fellow"</w:t>
            </w:r>
          </w:p>
        </w:tc>
        <w:tc>
          <w:tcPr>
            <w:tcW w:w="1229" w:type="dxa"/>
            <w:tcBorders>
              <w:top w:val="single" w:sz="4" w:space="0" w:color="auto"/>
              <w:left w:val="single" w:sz="4" w:space="0" w:color="auto"/>
              <w:bottom w:val="nil"/>
              <w:right w:val="single" w:sz="4" w:space="0" w:color="auto"/>
            </w:tcBorders>
            <w:vAlign w:val="center"/>
          </w:tcPr>
          <w:p w14:paraId="384795D4" w14:textId="504522C2" w:rsidR="009B3C83" w:rsidRPr="00562F2F" w:rsidRDefault="009B3C83" w:rsidP="009B3C83">
            <w:pPr>
              <w:spacing w:line="276" w:lineRule="auto"/>
              <w:rPr>
                <w:sz w:val="20"/>
                <w:szCs w:val="20"/>
              </w:rPr>
            </w:pPr>
            <w:r>
              <w:rPr>
                <w:sz w:val="20"/>
                <w:szCs w:val="20"/>
              </w:rPr>
              <w:t>1 August 2016</w:t>
            </w:r>
          </w:p>
        </w:tc>
        <w:tc>
          <w:tcPr>
            <w:tcW w:w="1080" w:type="dxa"/>
            <w:tcBorders>
              <w:top w:val="single" w:sz="4" w:space="0" w:color="auto"/>
              <w:left w:val="single" w:sz="4" w:space="0" w:color="auto"/>
              <w:bottom w:val="nil"/>
              <w:right w:val="single" w:sz="4" w:space="0" w:color="auto"/>
            </w:tcBorders>
            <w:vAlign w:val="center"/>
          </w:tcPr>
          <w:p w14:paraId="2D4BBC2E" w14:textId="0E8ECA7B" w:rsidR="009B3C83" w:rsidRPr="00562F2F" w:rsidRDefault="009B3C83" w:rsidP="009B3C83">
            <w:pPr>
              <w:spacing w:line="276" w:lineRule="auto"/>
              <w:rPr>
                <w:sz w:val="20"/>
                <w:szCs w:val="20"/>
              </w:rPr>
            </w:pPr>
            <w:r>
              <w:rPr>
                <w:sz w:val="20"/>
                <w:szCs w:val="20"/>
              </w:rPr>
              <w:t>31 May 2017</w:t>
            </w:r>
          </w:p>
        </w:tc>
      </w:tr>
      <w:tr w:rsidR="009B3C83" w:rsidRPr="00562F2F" w14:paraId="21D1E328" w14:textId="77777777" w:rsidTr="00E76A08">
        <w:tc>
          <w:tcPr>
            <w:tcW w:w="1605" w:type="dxa"/>
          </w:tcPr>
          <w:p w14:paraId="5CE5A757" w14:textId="5B1853AD" w:rsidR="009B3C83" w:rsidRPr="00562F2F" w:rsidRDefault="009B3C83" w:rsidP="009B3C83">
            <w:pPr>
              <w:spacing w:line="276" w:lineRule="auto"/>
              <w:rPr>
                <w:sz w:val="20"/>
                <w:szCs w:val="20"/>
              </w:rPr>
            </w:pPr>
            <w:r>
              <w:rPr>
                <w:sz w:val="20"/>
                <w:szCs w:val="20"/>
              </w:rPr>
              <w:t>6312</w:t>
            </w:r>
          </w:p>
        </w:tc>
        <w:tc>
          <w:tcPr>
            <w:tcW w:w="2047" w:type="dxa"/>
            <w:tcBorders>
              <w:right w:val="single" w:sz="4" w:space="0" w:color="auto"/>
            </w:tcBorders>
          </w:tcPr>
          <w:p w14:paraId="39D36363" w14:textId="77777777" w:rsidR="009B3C83" w:rsidRDefault="009B3C83" w:rsidP="009B3C83">
            <w:pPr>
              <w:spacing w:line="276" w:lineRule="auto"/>
              <w:rPr>
                <w:sz w:val="20"/>
                <w:szCs w:val="20"/>
              </w:rPr>
            </w:pPr>
            <w:r w:rsidRPr="00562F2F">
              <w:rPr>
                <w:sz w:val="20"/>
                <w:szCs w:val="20"/>
              </w:rPr>
              <w:t xml:space="preserve">Pubertal induction  </w:t>
            </w:r>
          </w:p>
          <w:p w14:paraId="63A11CC1" w14:textId="77777777" w:rsidR="009B3C83" w:rsidRPr="00562F2F" w:rsidRDefault="009B3C83" w:rsidP="009B3C83">
            <w:pPr>
              <w:spacing w:line="276" w:lineRule="auto"/>
              <w:rPr>
                <w:sz w:val="20"/>
                <w:szCs w:val="20"/>
              </w:rPr>
            </w:pPr>
          </w:p>
        </w:tc>
        <w:tc>
          <w:tcPr>
            <w:tcW w:w="5954" w:type="dxa"/>
            <w:tcBorders>
              <w:top w:val="nil"/>
              <w:left w:val="single" w:sz="4" w:space="0" w:color="auto"/>
              <w:bottom w:val="nil"/>
              <w:right w:val="single" w:sz="4" w:space="0" w:color="auto"/>
            </w:tcBorders>
          </w:tcPr>
          <w:p w14:paraId="36D8F70C" w14:textId="7BE29CCC" w:rsidR="009B3C83" w:rsidRPr="00562F2F" w:rsidRDefault="000A0DAE" w:rsidP="009B3C83">
            <w:pPr>
              <w:spacing w:line="276" w:lineRule="auto"/>
              <w:rPr>
                <w:sz w:val="20"/>
                <w:szCs w:val="20"/>
              </w:rPr>
            </w:pPr>
            <w:r w:rsidRPr="00057231">
              <w:rPr>
                <w:sz w:val="20"/>
                <w:szCs w:val="20"/>
              </w:rPr>
              <w:t>endocrinologist, specialist urologist, specialist endocrinologist or a Fellow of the Australasian Chapter of Sexual Health Medicine; or in</w:t>
            </w:r>
          </w:p>
        </w:tc>
        <w:tc>
          <w:tcPr>
            <w:tcW w:w="1701" w:type="dxa"/>
            <w:tcBorders>
              <w:top w:val="nil"/>
              <w:left w:val="single" w:sz="4" w:space="0" w:color="auto"/>
              <w:bottom w:val="nil"/>
              <w:right w:val="single" w:sz="4" w:space="0" w:color="auto"/>
            </w:tcBorders>
          </w:tcPr>
          <w:p w14:paraId="29428EE0" w14:textId="77777777" w:rsidR="009B3C83" w:rsidRPr="00562F2F" w:rsidRDefault="009B3C83" w:rsidP="009B3C83">
            <w:pPr>
              <w:spacing w:line="276" w:lineRule="auto"/>
              <w:rPr>
                <w:sz w:val="20"/>
                <w:szCs w:val="20"/>
              </w:rPr>
            </w:pPr>
          </w:p>
        </w:tc>
        <w:tc>
          <w:tcPr>
            <w:tcW w:w="1229" w:type="dxa"/>
            <w:tcBorders>
              <w:top w:val="nil"/>
              <w:left w:val="single" w:sz="4" w:space="0" w:color="auto"/>
              <w:bottom w:val="nil"/>
              <w:right w:val="single" w:sz="4" w:space="0" w:color="auto"/>
            </w:tcBorders>
            <w:vAlign w:val="center"/>
          </w:tcPr>
          <w:p w14:paraId="3C8A6685" w14:textId="2D3D71C6" w:rsidR="009B3C83" w:rsidRPr="00562F2F" w:rsidRDefault="009B3C83" w:rsidP="009B3C83">
            <w:pPr>
              <w:spacing w:line="276" w:lineRule="auto"/>
              <w:rPr>
                <w:sz w:val="20"/>
                <w:szCs w:val="20"/>
              </w:rPr>
            </w:pPr>
          </w:p>
        </w:tc>
        <w:tc>
          <w:tcPr>
            <w:tcW w:w="1080" w:type="dxa"/>
            <w:tcBorders>
              <w:top w:val="nil"/>
              <w:left w:val="single" w:sz="4" w:space="0" w:color="auto"/>
              <w:bottom w:val="nil"/>
              <w:right w:val="single" w:sz="4" w:space="0" w:color="auto"/>
            </w:tcBorders>
            <w:vAlign w:val="center"/>
          </w:tcPr>
          <w:p w14:paraId="248BCA05" w14:textId="77777777" w:rsidR="009B3C83" w:rsidRPr="00562F2F" w:rsidRDefault="009B3C83" w:rsidP="009B3C83">
            <w:pPr>
              <w:spacing w:line="276" w:lineRule="auto"/>
              <w:rPr>
                <w:sz w:val="20"/>
                <w:szCs w:val="20"/>
              </w:rPr>
            </w:pPr>
          </w:p>
        </w:tc>
      </w:tr>
      <w:tr w:rsidR="009B3C83" w:rsidRPr="00562F2F" w14:paraId="1DA0EB54" w14:textId="77777777" w:rsidTr="00E76A08">
        <w:tc>
          <w:tcPr>
            <w:tcW w:w="1605" w:type="dxa"/>
          </w:tcPr>
          <w:p w14:paraId="69119943" w14:textId="07EEDC8C" w:rsidR="009B3C83" w:rsidRPr="00562F2F" w:rsidRDefault="009B3C83" w:rsidP="009B3C83">
            <w:pPr>
              <w:spacing w:line="276" w:lineRule="auto"/>
              <w:rPr>
                <w:sz w:val="20"/>
                <w:szCs w:val="20"/>
              </w:rPr>
            </w:pPr>
            <w:r>
              <w:rPr>
                <w:sz w:val="20"/>
                <w:szCs w:val="20"/>
              </w:rPr>
              <w:t>6316</w:t>
            </w:r>
          </w:p>
        </w:tc>
        <w:tc>
          <w:tcPr>
            <w:tcW w:w="2047" w:type="dxa"/>
            <w:tcBorders>
              <w:bottom w:val="single" w:sz="4" w:space="0" w:color="auto"/>
              <w:right w:val="single" w:sz="4" w:space="0" w:color="auto"/>
            </w:tcBorders>
          </w:tcPr>
          <w:p w14:paraId="7D98A753" w14:textId="77777777" w:rsidR="009B3C83" w:rsidRDefault="009B3C83" w:rsidP="009B3C83">
            <w:pPr>
              <w:spacing w:line="276" w:lineRule="auto"/>
              <w:rPr>
                <w:sz w:val="20"/>
                <w:szCs w:val="20"/>
              </w:rPr>
            </w:pPr>
            <w:r w:rsidRPr="00562F2F">
              <w:rPr>
                <w:sz w:val="20"/>
                <w:szCs w:val="20"/>
              </w:rPr>
              <w:t xml:space="preserve">Constitutional delay of growth or puberty  </w:t>
            </w:r>
          </w:p>
          <w:p w14:paraId="7EE56A24" w14:textId="77777777" w:rsidR="009B3C83" w:rsidRPr="00562F2F" w:rsidRDefault="009B3C83" w:rsidP="009B3C83">
            <w:pPr>
              <w:spacing w:line="276" w:lineRule="auto"/>
              <w:rPr>
                <w:sz w:val="20"/>
                <w:szCs w:val="20"/>
              </w:rPr>
            </w:pPr>
          </w:p>
        </w:tc>
        <w:tc>
          <w:tcPr>
            <w:tcW w:w="5954" w:type="dxa"/>
            <w:tcBorders>
              <w:top w:val="nil"/>
              <w:left w:val="single" w:sz="4" w:space="0" w:color="auto"/>
              <w:bottom w:val="single" w:sz="4" w:space="0" w:color="auto"/>
              <w:right w:val="single" w:sz="4" w:space="0" w:color="auto"/>
            </w:tcBorders>
          </w:tcPr>
          <w:p w14:paraId="4225F5E4" w14:textId="0641A3C1" w:rsidR="009B3C83" w:rsidRPr="00562F2F" w:rsidRDefault="000A0DAE" w:rsidP="009B3C83">
            <w:pPr>
              <w:spacing w:line="276" w:lineRule="auto"/>
              <w:rPr>
                <w:sz w:val="20"/>
                <w:szCs w:val="20"/>
              </w:rPr>
            </w:pPr>
            <w:proofErr w:type="gramStart"/>
            <w:r w:rsidRPr="00057231">
              <w:rPr>
                <w:sz w:val="20"/>
                <w:szCs w:val="20"/>
              </w:rPr>
              <w:t>consultation</w:t>
            </w:r>
            <w:proofErr w:type="gramEnd"/>
            <w:r w:rsidRPr="00057231">
              <w:rPr>
                <w:sz w:val="20"/>
                <w:szCs w:val="20"/>
              </w:rPr>
              <w:t xml:space="preserve"> with one of these specialists; or have an appointment to be assessed by one of these specialists. The name of the specialist must be included in the authority application.</w:t>
            </w:r>
          </w:p>
        </w:tc>
        <w:tc>
          <w:tcPr>
            <w:tcW w:w="1701" w:type="dxa"/>
            <w:tcBorders>
              <w:top w:val="nil"/>
              <w:left w:val="single" w:sz="4" w:space="0" w:color="auto"/>
              <w:bottom w:val="nil"/>
              <w:right w:val="single" w:sz="4" w:space="0" w:color="auto"/>
            </w:tcBorders>
          </w:tcPr>
          <w:p w14:paraId="5522B83C" w14:textId="77777777" w:rsidR="009B3C83" w:rsidRPr="00562F2F" w:rsidRDefault="009B3C83" w:rsidP="009B3C83">
            <w:pPr>
              <w:spacing w:line="276" w:lineRule="auto"/>
              <w:rPr>
                <w:sz w:val="20"/>
                <w:szCs w:val="20"/>
              </w:rPr>
            </w:pPr>
          </w:p>
        </w:tc>
        <w:tc>
          <w:tcPr>
            <w:tcW w:w="1229" w:type="dxa"/>
            <w:tcBorders>
              <w:top w:val="nil"/>
              <w:left w:val="single" w:sz="4" w:space="0" w:color="auto"/>
              <w:bottom w:val="nil"/>
              <w:right w:val="single" w:sz="4" w:space="0" w:color="auto"/>
            </w:tcBorders>
            <w:vAlign w:val="center"/>
          </w:tcPr>
          <w:p w14:paraId="45570DC2" w14:textId="796FE7F6" w:rsidR="009B3C83" w:rsidRPr="00562F2F" w:rsidRDefault="009B3C83" w:rsidP="009B3C83">
            <w:pPr>
              <w:spacing w:line="276" w:lineRule="auto"/>
              <w:rPr>
                <w:sz w:val="20"/>
                <w:szCs w:val="20"/>
              </w:rPr>
            </w:pPr>
          </w:p>
        </w:tc>
        <w:tc>
          <w:tcPr>
            <w:tcW w:w="1080" w:type="dxa"/>
            <w:tcBorders>
              <w:top w:val="nil"/>
              <w:left w:val="single" w:sz="4" w:space="0" w:color="auto"/>
              <w:bottom w:val="nil"/>
              <w:right w:val="single" w:sz="4" w:space="0" w:color="auto"/>
            </w:tcBorders>
            <w:vAlign w:val="center"/>
          </w:tcPr>
          <w:p w14:paraId="37B7B4D4" w14:textId="77777777" w:rsidR="009B3C83" w:rsidRPr="00562F2F" w:rsidRDefault="009B3C83" w:rsidP="009B3C83">
            <w:pPr>
              <w:spacing w:line="276" w:lineRule="auto"/>
              <w:rPr>
                <w:sz w:val="20"/>
                <w:szCs w:val="20"/>
              </w:rPr>
            </w:pPr>
          </w:p>
        </w:tc>
      </w:tr>
      <w:tr w:rsidR="009B3C83" w:rsidRPr="00562F2F" w14:paraId="159CA6D9" w14:textId="77777777" w:rsidTr="00E76A08">
        <w:tc>
          <w:tcPr>
            <w:tcW w:w="1605" w:type="dxa"/>
            <w:tcBorders>
              <w:right w:val="single" w:sz="4" w:space="0" w:color="auto"/>
            </w:tcBorders>
          </w:tcPr>
          <w:p w14:paraId="30034D09" w14:textId="309A74B7" w:rsidR="009B3C83" w:rsidRDefault="009B3C83" w:rsidP="009B3C83">
            <w:pPr>
              <w:spacing w:line="276" w:lineRule="auto"/>
              <w:rPr>
                <w:sz w:val="20"/>
                <w:szCs w:val="20"/>
              </w:rPr>
            </w:pPr>
            <w:r>
              <w:rPr>
                <w:sz w:val="20"/>
                <w:szCs w:val="20"/>
              </w:rPr>
              <w:lastRenderedPageBreak/>
              <w:t>6304</w:t>
            </w:r>
          </w:p>
        </w:tc>
        <w:tc>
          <w:tcPr>
            <w:tcW w:w="2047" w:type="dxa"/>
            <w:tcBorders>
              <w:top w:val="single" w:sz="4" w:space="0" w:color="auto"/>
              <w:left w:val="single" w:sz="4" w:space="0" w:color="auto"/>
              <w:bottom w:val="nil"/>
              <w:right w:val="single" w:sz="4" w:space="0" w:color="auto"/>
            </w:tcBorders>
          </w:tcPr>
          <w:p w14:paraId="09AF242B" w14:textId="6D81E08E" w:rsidR="009B3C83" w:rsidRPr="00562F2F" w:rsidRDefault="009B3C83" w:rsidP="009B3C83">
            <w:pPr>
              <w:spacing w:line="276" w:lineRule="auto"/>
              <w:rPr>
                <w:sz w:val="20"/>
                <w:szCs w:val="20"/>
              </w:rPr>
            </w:pPr>
            <w:r>
              <w:rPr>
                <w:sz w:val="20"/>
                <w:szCs w:val="20"/>
              </w:rPr>
              <w:t>Androgen deficiency</w:t>
            </w:r>
          </w:p>
        </w:tc>
        <w:tc>
          <w:tcPr>
            <w:tcW w:w="5954" w:type="dxa"/>
            <w:tcBorders>
              <w:top w:val="single" w:sz="4" w:space="0" w:color="auto"/>
              <w:left w:val="single" w:sz="4" w:space="0" w:color="auto"/>
              <w:right w:val="single" w:sz="4" w:space="0" w:color="auto"/>
            </w:tcBorders>
          </w:tcPr>
          <w:p w14:paraId="1F0B4D8E" w14:textId="61FDE3E1" w:rsidR="009B3C83" w:rsidRPr="00562F2F" w:rsidRDefault="009B3C83" w:rsidP="009B3C83">
            <w:pPr>
              <w:spacing w:line="276" w:lineRule="auto"/>
              <w:rPr>
                <w:sz w:val="20"/>
                <w:szCs w:val="20"/>
              </w:rPr>
            </w:pPr>
            <w:r>
              <w:rPr>
                <w:sz w:val="20"/>
                <w:szCs w:val="20"/>
              </w:rPr>
              <w:t xml:space="preserve"> </w:t>
            </w:r>
            <w:r w:rsidRPr="009A6DF1">
              <w:rPr>
                <w:sz w:val="20"/>
                <w:szCs w:val="20"/>
              </w:rPr>
              <w:t>Clinical criteria:  * Patient must have an established pituitary or testicular disorder.  Treatment criteria:  * Must be treated by a specialist paediatric endocrinologist, specialist urologist, specialist endocrinologist or a Fellow of the Australasian Chapter of Sexual Health Medicine; or in consultation with one of these specialists; or have an appointment to be assessed by one of these specialists. The name of the specialist must be included in the authority application.</w:t>
            </w:r>
          </w:p>
        </w:tc>
        <w:tc>
          <w:tcPr>
            <w:tcW w:w="1701" w:type="dxa"/>
            <w:tcBorders>
              <w:top w:val="nil"/>
              <w:left w:val="single" w:sz="4" w:space="0" w:color="auto"/>
              <w:bottom w:val="nil"/>
              <w:right w:val="single" w:sz="4" w:space="0" w:color="auto"/>
            </w:tcBorders>
          </w:tcPr>
          <w:p w14:paraId="0FAB0274" w14:textId="77777777" w:rsidR="009B3C83" w:rsidRPr="00562F2F" w:rsidRDefault="009B3C83" w:rsidP="009B3C83">
            <w:pPr>
              <w:spacing w:line="276" w:lineRule="auto"/>
              <w:rPr>
                <w:sz w:val="20"/>
                <w:szCs w:val="20"/>
              </w:rPr>
            </w:pPr>
          </w:p>
        </w:tc>
        <w:tc>
          <w:tcPr>
            <w:tcW w:w="1229" w:type="dxa"/>
            <w:tcBorders>
              <w:top w:val="nil"/>
              <w:left w:val="single" w:sz="4" w:space="0" w:color="auto"/>
              <w:bottom w:val="nil"/>
              <w:right w:val="single" w:sz="4" w:space="0" w:color="auto"/>
            </w:tcBorders>
            <w:vAlign w:val="center"/>
          </w:tcPr>
          <w:p w14:paraId="2E89C2A8" w14:textId="77777777" w:rsidR="009B3C83" w:rsidRPr="00562F2F" w:rsidRDefault="009B3C83" w:rsidP="009B3C83">
            <w:pPr>
              <w:spacing w:line="276" w:lineRule="auto"/>
              <w:rPr>
                <w:sz w:val="20"/>
                <w:szCs w:val="20"/>
              </w:rPr>
            </w:pPr>
          </w:p>
        </w:tc>
        <w:tc>
          <w:tcPr>
            <w:tcW w:w="1080" w:type="dxa"/>
            <w:tcBorders>
              <w:top w:val="nil"/>
              <w:left w:val="single" w:sz="4" w:space="0" w:color="auto"/>
              <w:bottom w:val="single" w:sz="4" w:space="0" w:color="auto"/>
              <w:right w:val="single" w:sz="4" w:space="0" w:color="auto"/>
            </w:tcBorders>
            <w:vAlign w:val="center"/>
          </w:tcPr>
          <w:p w14:paraId="75FD6871" w14:textId="77777777" w:rsidR="009B3C83" w:rsidRPr="00562F2F" w:rsidRDefault="009B3C83" w:rsidP="009B3C83">
            <w:pPr>
              <w:spacing w:line="276" w:lineRule="auto"/>
              <w:rPr>
                <w:sz w:val="20"/>
                <w:szCs w:val="20"/>
              </w:rPr>
            </w:pPr>
          </w:p>
        </w:tc>
      </w:tr>
      <w:tr w:rsidR="009B3C83" w:rsidRPr="00562F2F" w14:paraId="42670578" w14:textId="77777777" w:rsidTr="006A39C7">
        <w:tc>
          <w:tcPr>
            <w:tcW w:w="1605" w:type="dxa"/>
            <w:tcBorders>
              <w:right w:val="single" w:sz="4" w:space="0" w:color="auto"/>
            </w:tcBorders>
          </w:tcPr>
          <w:p w14:paraId="34465797" w14:textId="1715F2F5" w:rsidR="009B3C83" w:rsidRDefault="009B3C83" w:rsidP="009B3C83">
            <w:pPr>
              <w:spacing w:line="276" w:lineRule="auto"/>
              <w:rPr>
                <w:sz w:val="20"/>
                <w:szCs w:val="20"/>
              </w:rPr>
            </w:pPr>
            <w:r>
              <w:rPr>
                <w:sz w:val="20"/>
                <w:szCs w:val="20"/>
              </w:rPr>
              <w:t>6324</w:t>
            </w:r>
          </w:p>
        </w:tc>
        <w:tc>
          <w:tcPr>
            <w:tcW w:w="2047" w:type="dxa"/>
            <w:tcBorders>
              <w:top w:val="nil"/>
              <w:left w:val="single" w:sz="4" w:space="0" w:color="auto"/>
              <w:bottom w:val="single" w:sz="4" w:space="0" w:color="auto"/>
              <w:right w:val="single" w:sz="4" w:space="0" w:color="auto"/>
            </w:tcBorders>
          </w:tcPr>
          <w:p w14:paraId="099B1C5E" w14:textId="77777777" w:rsidR="009B3C83" w:rsidRDefault="009B3C83" w:rsidP="009B3C83">
            <w:pPr>
              <w:spacing w:line="276" w:lineRule="auto"/>
              <w:rPr>
                <w:sz w:val="20"/>
                <w:szCs w:val="20"/>
              </w:rPr>
            </w:pPr>
          </w:p>
        </w:tc>
        <w:tc>
          <w:tcPr>
            <w:tcW w:w="5954" w:type="dxa"/>
            <w:tcBorders>
              <w:left w:val="single" w:sz="4" w:space="0" w:color="auto"/>
              <w:bottom w:val="single" w:sz="4" w:space="0" w:color="auto"/>
              <w:right w:val="single" w:sz="4" w:space="0" w:color="auto"/>
            </w:tcBorders>
          </w:tcPr>
          <w:p w14:paraId="210A3C11" w14:textId="77777777" w:rsidR="009B3C83" w:rsidRPr="00F739A6" w:rsidRDefault="009B3C83" w:rsidP="009B3C83">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Clinical criteria: </w:t>
            </w:r>
          </w:p>
          <w:p w14:paraId="20AF0E47" w14:textId="77777777" w:rsidR="009B3C83" w:rsidRPr="00F739A6" w:rsidRDefault="009B3C83" w:rsidP="009B3C83">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 Patient must not have an established pituitary or testicular disorder,  AND  </w:t>
            </w:r>
          </w:p>
          <w:p w14:paraId="746173BE" w14:textId="77777777" w:rsidR="00E14DDF" w:rsidRDefault="009B3C83" w:rsidP="009B3C83">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 The condition must not be due to age, obesity, cardiovascular diseases, infertility or drugs.  </w:t>
            </w:r>
          </w:p>
          <w:p w14:paraId="76C372CF" w14:textId="0F380D43" w:rsidR="009B3C83" w:rsidRDefault="009B3C83" w:rsidP="009B3C83">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Population criteria:  </w:t>
            </w:r>
          </w:p>
          <w:p w14:paraId="4318782B" w14:textId="77777777" w:rsidR="009B3C83" w:rsidRPr="00F739A6" w:rsidRDefault="009B3C83" w:rsidP="009B3C83">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 Patient must be aged 40 years or older.  </w:t>
            </w:r>
          </w:p>
          <w:p w14:paraId="1CC6E4F6" w14:textId="77777777" w:rsidR="009B3C83" w:rsidRPr="00F739A6" w:rsidRDefault="009B3C83" w:rsidP="009B3C83">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Treatment criteria:  </w:t>
            </w:r>
          </w:p>
          <w:p w14:paraId="154A74F5" w14:textId="6E473422" w:rsidR="009B3C83" w:rsidRPr="00F739A6" w:rsidRDefault="009B3C83" w:rsidP="009B3C83">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 Must be treated by a specialist urologist, specialist endocrinologist or a </w:t>
            </w:r>
            <w:r>
              <w:rPr>
                <w:rFonts w:ascii="Calibri" w:eastAsia="Times New Roman" w:hAnsi="Calibri" w:cs="Times New Roman"/>
                <w:sz w:val="20"/>
                <w:szCs w:val="20"/>
                <w:lang w:eastAsia="en-US"/>
              </w:rPr>
              <w:t>Fellow</w:t>
            </w:r>
            <w:r w:rsidRPr="00F739A6">
              <w:rPr>
                <w:rFonts w:ascii="Calibri" w:eastAsia="Times New Roman" w:hAnsi="Calibri" w:cs="Times New Roman"/>
                <w:sz w:val="20"/>
                <w:szCs w:val="20"/>
                <w:lang w:eastAsia="en-US"/>
              </w:rPr>
              <w:t xml:space="preserve"> of the Australasian Chapter of Sexual Health Medicine; or in consultation with one of these specialists; or have an appointment to be assessed by one of these specialists. </w:t>
            </w:r>
          </w:p>
          <w:p w14:paraId="64758855" w14:textId="77777777" w:rsidR="009B3C83" w:rsidRPr="00F739A6" w:rsidRDefault="009B3C83" w:rsidP="009B3C83">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Androgen deficiency is defined as:</w:t>
            </w:r>
          </w:p>
          <w:p w14:paraId="0BFC20F7" w14:textId="77777777" w:rsidR="009B3C83" w:rsidRPr="00F739A6" w:rsidRDefault="009B3C83" w:rsidP="009B3C83">
            <w:pPr>
              <w:numPr>
                <w:ilvl w:val="0"/>
                <w:numId w:val="12"/>
              </w:numPr>
              <w:spacing w:line="276" w:lineRule="auto"/>
              <w:contextualSpacing/>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testosterone level of less than 6 </w:t>
            </w:r>
            <w:proofErr w:type="spellStart"/>
            <w:r w:rsidRPr="00F739A6">
              <w:rPr>
                <w:rFonts w:ascii="Calibri" w:eastAsia="Times New Roman" w:hAnsi="Calibri" w:cs="Times New Roman"/>
                <w:sz w:val="20"/>
                <w:szCs w:val="20"/>
                <w:lang w:eastAsia="en-US"/>
              </w:rPr>
              <w:t>nmol</w:t>
            </w:r>
            <w:proofErr w:type="spellEnd"/>
            <w:r w:rsidRPr="00F739A6">
              <w:rPr>
                <w:rFonts w:ascii="Calibri" w:eastAsia="Times New Roman" w:hAnsi="Calibri" w:cs="Times New Roman"/>
                <w:sz w:val="20"/>
                <w:szCs w:val="20"/>
                <w:lang w:eastAsia="en-US"/>
              </w:rPr>
              <w:t xml:space="preserve"> per litre; OR</w:t>
            </w:r>
          </w:p>
          <w:p w14:paraId="62894F69" w14:textId="77777777" w:rsidR="009B3C83" w:rsidRPr="00F739A6" w:rsidRDefault="009B3C83" w:rsidP="009B3C83">
            <w:pPr>
              <w:numPr>
                <w:ilvl w:val="0"/>
                <w:numId w:val="12"/>
              </w:numPr>
              <w:spacing w:line="276" w:lineRule="auto"/>
              <w:contextualSpacing/>
              <w:rPr>
                <w:rFonts w:ascii="Calibri" w:eastAsia="Times New Roman" w:hAnsi="Calibri" w:cs="Times New Roman"/>
                <w:sz w:val="20"/>
                <w:szCs w:val="20"/>
                <w:lang w:eastAsia="en-US"/>
              </w:rPr>
            </w:pPr>
            <w:proofErr w:type="gramStart"/>
            <w:r w:rsidRPr="00F739A6">
              <w:rPr>
                <w:rFonts w:ascii="Calibri" w:eastAsia="Times New Roman" w:hAnsi="Calibri" w:cs="Times New Roman"/>
                <w:sz w:val="20"/>
                <w:szCs w:val="20"/>
                <w:lang w:eastAsia="en-US"/>
              </w:rPr>
              <w:t>testosterone</w:t>
            </w:r>
            <w:proofErr w:type="gramEnd"/>
            <w:r w:rsidRPr="00F739A6">
              <w:rPr>
                <w:rFonts w:ascii="Calibri" w:eastAsia="Times New Roman" w:hAnsi="Calibri" w:cs="Times New Roman"/>
                <w:sz w:val="20"/>
                <w:szCs w:val="20"/>
                <w:lang w:eastAsia="en-US"/>
              </w:rPr>
              <w:t xml:space="preserve"> level between 6 and 15 </w:t>
            </w:r>
            <w:proofErr w:type="spellStart"/>
            <w:r w:rsidRPr="00F739A6">
              <w:rPr>
                <w:rFonts w:ascii="Calibri" w:eastAsia="Times New Roman" w:hAnsi="Calibri" w:cs="Times New Roman"/>
                <w:sz w:val="20"/>
                <w:szCs w:val="20"/>
                <w:lang w:eastAsia="en-US"/>
              </w:rPr>
              <w:t>nmol</w:t>
            </w:r>
            <w:proofErr w:type="spellEnd"/>
            <w:r w:rsidRPr="00F739A6">
              <w:rPr>
                <w:rFonts w:ascii="Calibri" w:eastAsia="Times New Roman" w:hAnsi="Calibri" w:cs="Times New Roman"/>
                <w:sz w:val="20"/>
                <w:szCs w:val="20"/>
                <w:lang w:eastAsia="en-US"/>
              </w:rPr>
              <w:t xml:space="preserve"> per litre with high luteinising hormone (LH) (greater than 1.5 times the upper limit of the </w:t>
            </w:r>
            <w:proofErr w:type="spellStart"/>
            <w:r w:rsidRPr="00F739A6">
              <w:rPr>
                <w:rFonts w:ascii="Calibri" w:eastAsia="Times New Roman" w:hAnsi="Calibri" w:cs="Times New Roman"/>
                <w:sz w:val="20"/>
                <w:szCs w:val="20"/>
                <w:lang w:eastAsia="en-US"/>
              </w:rPr>
              <w:t>eugonodal</w:t>
            </w:r>
            <w:proofErr w:type="spellEnd"/>
            <w:r w:rsidRPr="00F739A6">
              <w:rPr>
                <w:rFonts w:ascii="Calibri" w:eastAsia="Times New Roman" w:hAnsi="Calibri" w:cs="Times New Roman"/>
                <w:sz w:val="20"/>
                <w:szCs w:val="20"/>
                <w:lang w:eastAsia="en-US"/>
              </w:rPr>
              <w:t xml:space="preserve"> reference range for young men, or greater than 14 IU per litre, whichever is higher).</w:t>
            </w:r>
          </w:p>
          <w:p w14:paraId="1E9BF3D4" w14:textId="454C1B1D" w:rsidR="009B3C83" w:rsidRDefault="009B3C83" w:rsidP="009B3C83">
            <w:pPr>
              <w:spacing w:line="276" w:lineRule="auto"/>
              <w:rPr>
                <w:sz w:val="20"/>
                <w:szCs w:val="20"/>
              </w:rPr>
            </w:pPr>
            <w:r w:rsidRPr="00F739A6">
              <w:rPr>
                <w:rFonts w:ascii="Calibri" w:eastAsia="Times New Roman" w:hAnsi="Calibri" w:cs="Times New Roman"/>
                <w:sz w:val="20"/>
                <w:szCs w:val="20"/>
                <w:lang w:eastAsia="en-US"/>
              </w:rPr>
              <w:t xml:space="preserve">Androgen deficiency must be confirmed by at least two morning blood samples taken on different mornings. The dates and levels of the qualifying testosterone and LH measurements must be, or must have been provided in the authority application when treatment with this </w:t>
            </w:r>
            <w:r w:rsidRPr="00F739A6">
              <w:rPr>
                <w:rFonts w:ascii="Calibri" w:eastAsia="Times New Roman" w:hAnsi="Calibri" w:cs="Times New Roman"/>
                <w:sz w:val="20"/>
                <w:szCs w:val="20"/>
                <w:lang w:eastAsia="en-US"/>
              </w:rPr>
              <w:lastRenderedPageBreak/>
              <w:t>drug is or was initiated. The name of the specialist must be included in the authority application.</w:t>
            </w:r>
          </w:p>
        </w:tc>
        <w:tc>
          <w:tcPr>
            <w:tcW w:w="1701" w:type="dxa"/>
            <w:tcBorders>
              <w:top w:val="nil"/>
              <w:left w:val="single" w:sz="4" w:space="0" w:color="auto"/>
              <w:bottom w:val="single" w:sz="4" w:space="0" w:color="auto"/>
              <w:right w:val="single" w:sz="4" w:space="0" w:color="auto"/>
            </w:tcBorders>
          </w:tcPr>
          <w:p w14:paraId="5FE5CFE6" w14:textId="77777777" w:rsidR="009B3C83" w:rsidRPr="00562F2F" w:rsidRDefault="009B3C83" w:rsidP="009B3C83">
            <w:pPr>
              <w:spacing w:line="276" w:lineRule="auto"/>
              <w:rPr>
                <w:sz w:val="20"/>
                <w:szCs w:val="20"/>
              </w:rPr>
            </w:pPr>
          </w:p>
        </w:tc>
        <w:tc>
          <w:tcPr>
            <w:tcW w:w="1229" w:type="dxa"/>
            <w:tcBorders>
              <w:top w:val="nil"/>
              <w:left w:val="single" w:sz="4" w:space="0" w:color="auto"/>
              <w:bottom w:val="single" w:sz="4" w:space="0" w:color="auto"/>
              <w:right w:val="single" w:sz="4" w:space="0" w:color="auto"/>
            </w:tcBorders>
            <w:vAlign w:val="center"/>
          </w:tcPr>
          <w:p w14:paraId="0E659A20" w14:textId="77777777" w:rsidR="009B3C83" w:rsidRPr="00562F2F" w:rsidRDefault="009B3C83" w:rsidP="009B3C83">
            <w:pPr>
              <w:spacing w:line="276" w:lineRule="auto"/>
              <w:rPr>
                <w:sz w:val="20"/>
                <w:szCs w:val="20"/>
              </w:rPr>
            </w:pPr>
          </w:p>
        </w:tc>
        <w:tc>
          <w:tcPr>
            <w:tcW w:w="1080" w:type="dxa"/>
            <w:tcBorders>
              <w:top w:val="single" w:sz="4" w:space="0" w:color="auto"/>
              <w:left w:val="single" w:sz="4" w:space="0" w:color="auto"/>
              <w:bottom w:val="single" w:sz="4" w:space="0" w:color="auto"/>
            </w:tcBorders>
            <w:vAlign w:val="center"/>
          </w:tcPr>
          <w:p w14:paraId="6AD682DB" w14:textId="43324F94" w:rsidR="009B3C83" w:rsidRPr="00562F2F" w:rsidRDefault="009B3C83" w:rsidP="009B3C83">
            <w:pPr>
              <w:spacing w:line="276" w:lineRule="auto"/>
              <w:rPr>
                <w:sz w:val="20"/>
                <w:szCs w:val="20"/>
              </w:rPr>
            </w:pPr>
            <w:r>
              <w:rPr>
                <w:sz w:val="20"/>
                <w:szCs w:val="20"/>
              </w:rPr>
              <w:t>N/A</w:t>
            </w:r>
          </w:p>
        </w:tc>
      </w:tr>
      <w:tr w:rsidR="009B3C83" w:rsidRPr="00562F2F" w14:paraId="2BD94C00" w14:textId="77777777" w:rsidTr="006A39C7">
        <w:tc>
          <w:tcPr>
            <w:tcW w:w="1605" w:type="dxa"/>
          </w:tcPr>
          <w:p w14:paraId="6E53921A" w14:textId="0F69DF19" w:rsidR="009B3C83" w:rsidRPr="00562F2F" w:rsidRDefault="009B3C83" w:rsidP="009B3C83">
            <w:pPr>
              <w:spacing w:line="276" w:lineRule="auto"/>
              <w:rPr>
                <w:sz w:val="20"/>
                <w:szCs w:val="20"/>
              </w:rPr>
            </w:pPr>
            <w:r>
              <w:rPr>
                <w:sz w:val="20"/>
                <w:szCs w:val="20"/>
              </w:rPr>
              <w:t>6933</w:t>
            </w:r>
          </w:p>
        </w:tc>
        <w:tc>
          <w:tcPr>
            <w:tcW w:w="2047" w:type="dxa"/>
            <w:tcBorders>
              <w:top w:val="single" w:sz="4" w:space="0" w:color="auto"/>
              <w:right w:val="single" w:sz="4" w:space="0" w:color="auto"/>
            </w:tcBorders>
          </w:tcPr>
          <w:p w14:paraId="4C4D4B74" w14:textId="77777777" w:rsidR="009B3C83" w:rsidRDefault="009B3C83" w:rsidP="009B3C83">
            <w:pPr>
              <w:spacing w:line="276" w:lineRule="auto"/>
              <w:rPr>
                <w:sz w:val="20"/>
                <w:szCs w:val="20"/>
              </w:rPr>
            </w:pPr>
            <w:proofErr w:type="spellStart"/>
            <w:r w:rsidRPr="00562F2F">
              <w:rPr>
                <w:sz w:val="20"/>
                <w:szCs w:val="20"/>
              </w:rPr>
              <w:t>Micropenis</w:t>
            </w:r>
            <w:proofErr w:type="spellEnd"/>
            <w:r w:rsidRPr="00562F2F">
              <w:rPr>
                <w:sz w:val="20"/>
                <w:szCs w:val="20"/>
              </w:rPr>
              <w:t xml:space="preserve">  </w:t>
            </w:r>
          </w:p>
          <w:p w14:paraId="2F72AA4C" w14:textId="77777777" w:rsidR="009B3C83" w:rsidRPr="00562F2F" w:rsidRDefault="009B3C83" w:rsidP="009B3C83">
            <w:pPr>
              <w:spacing w:line="276" w:lineRule="auto"/>
              <w:rPr>
                <w:sz w:val="20"/>
                <w:szCs w:val="20"/>
              </w:rPr>
            </w:pPr>
          </w:p>
        </w:tc>
        <w:tc>
          <w:tcPr>
            <w:tcW w:w="5954" w:type="dxa"/>
            <w:tcBorders>
              <w:top w:val="single" w:sz="4" w:space="0" w:color="auto"/>
              <w:left w:val="single" w:sz="4" w:space="0" w:color="auto"/>
              <w:bottom w:val="nil"/>
              <w:right w:val="single" w:sz="4" w:space="0" w:color="auto"/>
            </w:tcBorders>
          </w:tcPr>
          <w:p w14:paraId="5CFC0391" w14:textId="223680EC" w:rsidR="009B3C83" w:rsidRPr="00562F2F" w:rsidRDefault="009B3C83" w:rsidP="00E76A08">
            <w:pPr>
              <w:spacing w:line="276" w:lineRule="auto"/>
              <w:rPr>
                <w:sz w:val="20"/>
                <w:szCs w:val="20"/>
              </w:rPr>
            </w:pPr>
            <w:r w:rsidRPr="00C42A4B">
              <w:rPr>
                <w:sz w:val="20"/>
                <w:szCs w:val="20"/>
              </w:rPr>
              <w:t xml:space="preserve">Population criteria:  * Patient must be under 18 years of age.  Treatment criteria:  * Must be treated by a specialist general </w:t>
            </w:r>
          </w:p>
        </w:tc>
        <w:tc>
          <w:tcPr>
            <w:tcW w:w="1701" w:type="dxa"/>
            <w:tcBorders>
              <w:top w:val="single" w:sz="4" w:space="0" w:color="auto"/>
              <w:left w:val="single" w:sz="4" w:space="0" w:color="auto"/>
              <w:bottom w:val="nil"/>
              <w:right w:val="single" w:sz="4" w:space="0" w:color="auto"/>
            </w:tcBorders>
          </w:tcPr>
          <w:p w14:paraId="73328536" w14:textId="1F23E344" w:rsidR="009B3C83" w:rsidRPr="00562F2F" w:rsidRDefault="009B3C83" w:rsidP="009B3C83">
            <w:pPr>
              <w:spacing w:line="276" w:lineRule="auto"/>
              <w:rPr>
                <w:sz w:val="20"/>
                <w:szCs w:val="20"/>
              </w:rPr>
            </w:pPr>
            <w:r>
              <w:rPr>
                <w:sz w:val="20"/>
                <w:szCs w:val="20"/>
              </w:rPr>
              <w:t>Added “</w:t>
            </w:r>
            <w:r w:rsidRPr="00C42A4B">
              <w:rPr>
                <w:sz w:val="20"/>
                <w:szCs w:val="20"/>
              </w:rPr>
              <w:t>specialist general paediatrician</w:t>
            </w:r>
            <w:r>
              <w:rPr>
                <w:sz w:val="20"/>
                <w:szCs w:val="20"/>
              </w:rPr>
              <w:t>”</w:t>
            </w:r>
          </w:p>
        </w:tc>
        <w:tc>
          <w:tcPr>
            <w:tcW w:w="1229" w:type="dxa"/>
            <w:tcBorders>
              <w:top w:val="single" w:sz="4" w:space="0" w:color="auto"/>
              <w:left w:val="single" w:sz="4" w:space="0" w:color="auto"/>
              <w:bottom w:val="nil"/>
              <w:right w:val="single" w:sz="4" w:space="0" w:color="auto"/>
            </w:tcBorders>
            <w:vAlign w:val="center"/>
          </w:tcPr>
          <w:p w14:paraId="4B21C956" w14:textId="46FFB69A" w:rsidR="009B3C83" w:rsidRPr="00562F2F" w:rsidRDefault="009B3C83" w:rsidP="009B3C83">
            <w:pPr>
              <w:spacing w:line="276" w:lineRule="auto"/>
              <w:rPr>
                <w:sz w:val="20"/>
                <w:szCs w:val="20"/>
              </w:rPr>
            </w:pPr>
            <w:r>
              <w:rPr>
                <w:sz w:val="20"/>
                <w:szCs w:val="20"/>
              </w:rPr>
              <w:t>1 June 2017</w:t>
            </w:r>
          </w:p>
        </w:tc>
        <w:tc>
          <w:tcPr>
            <w:tcW w:w="1080" w:type="dxa"/>
            <w:tcBorders>
              <w:top w:val="single" w:sz="4" w:space="0" w:color="auto"/>
              <w:left w:val="single" w:sz="4" w:space="0" w:color="auto"/>
              <w:bottom w:val="nil"/>
              <w:right w:val="single" w:sz="4" w:space="0" w:color="auto"/>
            </w:tcBorders>
            <w:vAlign w:val="center"/>
          </w:tcPr>
          <w:p w14:paraId="6A35C527" w14:textId="3760E496" w:rsidR="009B3C83" w:rsidRPr="00C42A4B" w:rsidRDefault="009B3C83" w:rsidP="009B3C83">
            <w:pPr>
              <w:spacing w:line="276" w:lineRule="auto"/>
              <w:rPr>
                <w:sz w:val="20"/>
                <w:szCs w:val="20"/>
              </w:rPr>
            </w:pPr>
            <w:r>
              <w:rPr>
                <w:sz w:val="20"/>
                <w:szCs w:val="20"/>
              </w:rPr>
              <w:t>N/A</w:t>
            </w:r>
          </w:p>
        </w:tc>
      </w:tr>
      <w:tr w:rsidR="009B3C83" w:rsidRPr="00562F2F" w14:paraId="224FC339" w14:textId="77777777" w:rsidTr="006A39C7">
        <w:tc>
          <w:tcPr>
            <w:tcW w:w="1605" w:type="dxa"/>
          </w:tcPr>
          <w:p w14:paraId="7FAB43EE" w14:textId="3B2AF89A" w:rsidR="009B3C83" w:rsidRPr="00562F2F" w:rsidRDefault="009B3C83" w:rsidP="009B3C83">
            <w:pPr>
              <w:spacing w:line="276" w:lineRule="auto"/>
              <w:rPr>
                <w:sz w:val="20"/>
                <w:szCs w:val="20"/>
              </w:rPr>
            </w:pPr>
            <w:r>
              <w:rPr>
                <w:sz w:val="20"/>
                <w:szCs w:val="20"/>
              </w:rPr>
              <w:t>6919</w:t>
            </w:r>
          </w:p>
        </w:tc>
        <w:tc>
          <w:tcPr>
            <w:tcW w:w="2047" w:type="dxa"/>
            <w:tcBorders>
              <w:right w:val="single" w:sz="4" w:space="0" w:color="auto"/>
            </w:tcBorders>
          </w:tcPr>
          <w:p w14:paraId="4C54773C" w14:textId="77777777" w:rsidR="009B3C83" w:rsidRDefault="009B3C83" w:rsidP="009B3C83">
            <w:pPr>
              <w:spacing w:line="276" w:lineRule="auto"/>
              <w:rPr>
                <w:sz w:val="20"/>
                <w:szCs w:val="20"/>
              </w:rPr>
            </w:pPr>
            <w:r w:rsidRPr="00562F2F">
              <w:rPr>
                <w:sz w:val="20"/>
                <w:szCs w:val="20"/>
              </w:rPr>
              <w:t xml:space="preserve">Pubertal induction  </w:t>
            </w:r>
          </w:p>
          <w:p w14:paraId="5FFBC8B5" w14:textId="77777777" w:rsidR="009B3C83" w:rsidRPr="00562F2F" w:rsidRDefault="009B3C83" w:rsidP="009B3C83">
            <w:pPr>
              <w:spacing w:line="276" w:lineRule="auto"/>
              <w:rPr>
                <w:sz w:val="20"/>
                <w:szCs w:val="20"/>
              </w:rPr>
            </w:pPr>
          </w:p>
        </w:tc>
        <w:tc>
          <w:tcPr>
            <w:tcW w:w="5954" w:type="dxa"/>
            <w:tcBorders>
              <w:top w:val="nil"/>
              <w:left w:val="single" w:sz="4" w:space="0" w:color="auto"/>
              <w:bottom w:val="nil"/>
              <w:right w:val="single" w:sz="4" w:space="0" w:color="auto"/>
            </w:tcBorders>
          </w:tcPr>
          <w:p w14:paraId="594FB333" w14:textId="019FF0CA" w:rsidR="009B3C83" w:rsidRPr="00562F2F" w:rsidRDefault="00E76A08" w:rsidP="009B3C83">
            <w:pPr>
              <w:spacing w:line="276" w:lineRule="auto"/>
              <w:rPr>
                <w:sz w:val="20"/>
                <w:szCs w:val="20"/>
              </w:rPr>
            </w:pPr>
            <w:r w:rsidRPr="00C42A4B">
              <w:rPr>
                <w:sz w:val="20"/>
                <w:szCs w:val="20"/>
              </w:rPr>
              <w:t>paediatrician, specialist paediatric endocrinologist, specialist urologist, specialist endocrinologist or a Fellow of the Australasian Chapter of Sexual Health Medicine; or in consultation with one of these</w:t>
            </w:r>
          </w:p>
        </w:tc>
        <w:tc>
          <w:tcPr>
            <w:tcW w:w="1701" w:type="dxa"/>
            <w:tcBorders>
              <w:top w:val="nil"/>
              <w:left w:val="single" w:sz="4" w:space="0" w:color="auto"/>
              <w:bottom w:val="nil"/>
              <w:right w:val="single" w:sz="4" w:space="0" w:color="auto"/>
            </w:tcBorders>
          </w:tcPr>
          <w:p w14:paraId="0A01B5BC" w14:textId="77777777" w:rsidR="009B3C83" w:rsidRPr="00562F2F" w:rsidRDefault="009B3C83" w:rsidP="009B3C83">
            <w:pPr>
              <w:spacing w:line="276" w:lineRule="auto"/>
              <w:rPr>
                <w:sz w:val="20"/>
                <w:szCs w:val="20"/>
              </w:rPr>
            </w:pPr>
          </w:p>
        </w:tc>
        <w:tc>
          <w:tcPr>
            <w:tcW w:w="1229" w:type="dxa"/>
            <w:tcBorders>
              <w:top w:val="nil"/>
              <w:left w:val="single" w:sz="4" w:space="0" w:color="auto"/>
              <w:bottom w:val="nil"/>
              <w:right w:val="single" w:sz="4" w:space="0" w:color="auto"/>
            </w:tcBorders>
            <w:vAlign w:val="center"/>
          </w:tcPr>
          <w:p w14:paraId="619A977F" w14:textId="742D5423" w:rsidR="009B3C83" w:rsidRPr="00562F2F" w:rsidRDefault="009B3C83" w:rsidP="009B3C83">
            <w:pPr>
              <w:spacing w:line="276" w:lineRule="auto"/>
              <w:rPr>
                <w:sz w:val="20"/>
                <w:szCs w:val="20"/>
              </w:rPr>
            </w:pPr>
          </w:p>
        </w:tc>
        <w:tc>
          <w:tcPr>
            <w:tcW w:w="1080" w:type="dxa"/>
            <w:tcBorders>
              <w:top w:val="nil"/>
              <w:left w:val="single" w:sz="4" w:space="0" w:color="auto"/>
              <w:bottom w:val="nil"/>
              <w:right w:val="single" w:sz="4" w:space="0" w:color="auto"/>
            </w:tcBorders>
            <w:vAlign w:val="center"/>
          </w:tcPr>
          <w:p w14:paraId="02B2D987" w14:textId="77777777" w:rsidR="009B3C83" w:rsidRPr="00562F2F" w:rsidRDefault="009B3C83" w:rsidP="009B3C83">
            <w:pPr>
              <w:spacing w:line="276" w:lineRule="auto"/>
              <w:rPr>
                <w:sz w:val="20"/>
                <w:szCs w:val="20"/>
              </w:rPr>
            </w:pPr>
          </w:p>
        </w:tc>
      </w:tr>
      <w:tr w:rsidR="009B3C83" w:rsidRPr="00562F2F" w14:paraId="5302FBE8" w14:textId="77777777" w:rsidTr="006A39C7">
        <w:tc>
          <w:tcPr>
            <w:tcW w:w="1605" w:type="dxa"/>
          </w:tcPr>
          <w:p w14:paraId="3064BDA7" w14:textId="42E65522" w:rsidR="009B3C83" w:rsidRPr="00562F2F" w:rsidRDefault="009B3C83" w:rsidP="009B3C83">
            <w:pPr>
              <w:spacing w:line="276" w:lineRule="auto"/>
              <w:rPr>
                <w:sz w:val="20"/>
                <w:szCs w:val="20"/>
              </w:rPr>
            </w:pPr>
            <w:r>
              <w:rPr>
                <w:sz w:val="20"/>
                <w:szCs w:val="20"/>
              </w:rPr>
              <w:t>6934</w:t>
            </w:r>
          </w:p>
        </w:tc>
        <w:tc>
          <w:tcPr>
            <w:tcW w:w="2047" w:type="dxa"/>
            <w:tcBorders>
              <w:right w:val="single" w:sz="4" w:space="0" w:color="auto"/>
            </w:tcBorders>
          </w:tcPr>
          <w:p w14:paraId="5F6F0752" w14:textId="77777777" w:rsidR="009B3C83" w:rsidRDefault="009B3C83" w:rsidP="009B3C83">
            <w:pPr>
              <w:spacing w:line="276" w:lineRule="auto"/>
              <w:rPr>
                <w:sz w:val="20"/>
                <w:szCs w:val="20"/>
              </w:rPr>
            </w:pPr>
            <w:r w:rsidRPr="00562F2F">
              <w:rPr>
                <w:sz w:val="20"/>
                <w:szCs w:val="20"/>
              </w:rPr>
              <w:t xml:space="preserve">Constitutional delay of growth or puberty  </w:t>
            </w:r>
          </w:p>
          <w:p w14:paraId="772064C7" w14:textId="77777777" w:rsidR="009B3C83" w:rsidRPr="00562F2F" w:rsidRDefault="009B3C83" w:rsidP="009B3C83">
            <w:pPr>
              <w:spacing w:line="276" w:lineRule="auto"/>
              <w:rPr>
                <w:sz w:val="20"/>
                <w:szCs w:val="20"/>
              </w:rPr>
            </w:pPr>
          </w:p>
        </w:tc>
        <w:tc>
          <w:tcPr>
            <w:tcW w:w="5954" w:type="dxa"/>
            <w:tcBorders>
              <w:top w:val="nil"/>
              <w:left w:val="single" w:sz="4" w:space="0" w:color="auto"/>
              <w:bottom w:val="single" w:sz="4" w:space="0" w:color="auto"/>
              <w:right w:val="single" w:sz="4" w:space="0" w:color="auto"/>
            </w:tcBorders>
          </w:tcPr>
          <w:p w14:paraId="30C719E9" w14:textId="718424D5" w:rsidR="009B3C83" w:rsidRPr="00562F2F" w:rsidRDefault="00E76A08" w:rsidP="009B3C83">
            <w:pPr>
              <w:spacing w:line="276" w:lineRule="auto"/>
              <w:rPr>
                <w:sz w:val="20"/>
                <w:szCs w:val="20"/>
              </w:rPr>
            </w:pPr>
            <w:proofErr w:type="gramStart"/>
            <w:r w:rsidRPr="00C42A4B">
              <w:rPr>
                <w:sz w:val="20"/>
                <w:szCs w:val="20"/>
              </w:rPr>
              <w:t>specialists</w:t>
            </w:r>
            <w:proofErr w:type="gramEnd"/>
            <w:r w:rsidRPr="00C42A4B">
              <w:rPr>
                <w:sz w:val="20"/>
                <w:szCs w:val="20"/>
              </w:rPr>
              <w:t>; or have an appointment to be assessed by one of these specialists. The name of the specialist must be included in the authority application.</w:t>
            </w:r>
          </w:p>
        </w:tc>
        <w:tc>
          <w:tcPr>
            <w:tcW w:w="1701" w:type="dxa"/>
            <w:tcBorders>
              <w:top w:val="nil"/>
              <w:left w:val="single" w:sz="4" w:space="0" w:color="auto"/>
              <w:bottom w:val="nil"/>
              <w:right w:val="single" w:sz="4" w:space="0" w:color="auto"/>
            </w:tcBorders>
          </w:tcPr>
          <w:p w14:paraId="320D2980" w14:textId="77777777" w:rsidR="009B3C83" w:rsidRPr="00562F2F" w:rsidRDefault="009B3C83" w:rsidP="009B3C83">
            <w:pPr>
              <w:spacing w:line="276" w:lineRule="auto"/>
              <w:rPr>
                <w:sz w:val="20"/>
                <w:szCs w:val="20"/>
              </w:rPr>
            </w:pPr>
          </w:p>
        </w:tc>
        <w:tc>
          <w:tcPr>
            <w:tcW w:w="1229" w:type="dxa"/>
            <w:tcBorders>
              <w:top w:val="nil"/>
              <w:left w:val="single" w:sz="4" w:space="0" w:color="auto"/>
              <w:bottom w:val="nil"/>
              <w:right w:val="single" w:sz="4" w:space="0" w:color="auto"/>
            </w:tcBorders>
            <w:vAlign w:val="center"/>
          </w:tcPr>
          <w:p w14:paraId="6139BD9C" w14:textId="7EA599E0" w:rsidR="009B3C83" w:rsidRPr="00562F2F" w:rsidRDefault="009B3C83" w:rsidP="009B3C83">
            <w:pPr>
              <w:spacing w:line="276" w:lineRule="auto"/>
              <w:rPr>
                <w:sz w:val="20"/>
                <w:szCs w:val="20"/>
              </w:rPr>
            </w:pPr>
          </w:p>
        </w:tc>
        <w:tc>
          <w:tcPr>
            <w:tcW w:w="1080" w:type="dxa"/>
            <w:tcBorders>
              <w:top w:val="nil"/>
              <w:left w:val="single" w:sz="4" w:space="0" w:color="auto"/>
              <w:bottom w:val="nil"/>
              <w:right w:val="single" w:sz="4" w:space="0" w:color="auto"/>
            </w:tcBorders>
            <w:vAlign w:val="center"/>
          </w:tcPr>
          <w:p w14:paraId="7F2BEBD3" w14:textId="77777777" w:rsidR="009B3C83" w:rsidRPr="00562F2F" w:rsidRDefault="009B3C83" w:rsidP="009B3C83">
            <w:pPr>
              <w:spacing w:line="276" w:lineRule="auto"/>
              <w:rPr>
                <w:sz w:val="20"/>
                <w:szCs w:val="20"/>
              </w:rPr>
            </w:pPr>
          </w:p>
        </w:tc>
      </w:tr>
      <w:tr w:rsidR="009B3C83" w:rsidRPr="00562F2F" w14:paraId="293B8843" w14:textId="77777777" w:rsidTr="006A39C7">
        <w:tc>
          <w:tcPr>
            <w:tcW w:w="1605" w:type="dxa"/>
          </w:tcPr>
          <w:p w14:paraId="495FE552" w14:textId="6A211361" w:rsidR="009B3C83" w:rsidRDefault="009B3C83" w:rsidP="009B3C83">
            <w:pPr>
              <w:spacing w:line="276" w:lineRule="auto"/>
              <w:rPr>
                <w:sz w:val="20"/>
                <w:szCs w:val="20"/>
              </w:rPr>
            </w:pPr>
            <w:r>
              <w:rPr>
                <w:sz w:val="20"/>
                <w:szCs w:val="20"/>
              </w:rPr>
              <w:t>6910</w:t>
            </w:r>
          </w:p>
        </w:tc>
        <w:tc>
          <w:tcPr>
            <w:tcW w:w="2047" w:type="dxa"/>
          </w:tcPr>
          <w:p w14:paraId="7EED6183" w14:textId="39DA4ADC" w:rsidR="009B3C83" w:rsidRPr="00562F2F" w:rsidRDefault="009B3C83" w:rsidP="009B3C83">
            <w:pPr>
              <w:spacing w:line="276" w:lineRule="auto"/>
              <w:rPr>
                <w:sz w:val="20"/>
                <w:szCs w:val="20"/>
              </w:rPr>
            </w:pPr>
            <w:r w:rsidRPr="009A6DF1">
              <w:rPr>
                <w:sz w:val="20"/>
                <w:szCs w:val="20"/>
              </w:rPr>
              <w:t xml:space="preserve">Androgen deficiency  </w:t>
            </w:r>
          </w:p>
        </w:tc>
        <w:tc>
          <w:tcPr>
            <w:tcW w:w="5954" w:type="dxa"/>
            <w:tcBorders>
              <w:top w:val="single" w:sz="4" w:space="0" w:color="auto"/>
              <w:right w:val="single" w:sz="4" w:space="0" w:color="auto"/>
            </w:tcBorders>
          </w:tcPr>
          <w:p w14:paraId="73C2DFEA" w14:textId="0F89162E" w:rsidR="009B3C83" w:rsidRPr="00562F2F" w:rsidRDefault="009B3C83" w:rsidP="009B3C83">
            <w:pPr>
              <w:tabs>
                <w:tab w:val="left" w:pos="1073"/>
              </w:tabs>
              <w:spacing w:line="276" w:lineRule="auto"/>
              <w:rPr>
                <w:sz w:val="20"/>
                <w:szCs w:val="20"/>
              </w:rPr>
            </w:pPr>
            <w:r w:rsidRPr="009A6DF1">
              <w:rPr>
                <w:sz w:val="20"/>
                <w:szCs w:val="20"/>
              </w:rPr>
              <w:t>Clinical criteria:  * Patient must have an established pituitary or testicular disorder.  Treatment criteria:  * 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 The name of the specialist must be included in the authority application.</w:t>
            </w:r>
            <w:r>
              <w:rPr>
                <w:sz w:val="20"/>
                <w:szCs w:val="20"/>
              </w:rPr>
              <w:tab/>
            </w:r>
          </w:p>
        </w:tc>
        <w:tc>
          <w:tcPr>
            <w:tcW w:w="1701" w:type="dxa"/>
            <w:tcBorders>
              <w:top w:val="nil"/>
              <w:left w:val="single" w:sz="4" w:space="0" w:color="auto"/>
              <w:bottom w:val="single" w:sz="4" w:space="0" w:color="auto"/>
              <w:right w:val="single" w:sz="4" w:space="0" w:color="auto"/>
            </w:tcBorders>
          </w:tcPr>
          <w:p w14:paraId="161501A1" w14:textId="77777777" w:rsidR="009B3C83" w:rsidRPr="00562F2F" w:rsidRDefault="009B3C83" w:rsidP="009B3C83">
            <w:pPr>
              <w:spacing w:line="276" w:lineRule="auto"/>
              <w:rPr>
                <w:sz w:val="20"/>
                <w:szCs w:val="20"/>
              </w:rPr>
            </w:pPr>
          </w:p>
        </w:tc>
        <w:tc>
          <w:tcPr>
            <w:tcW w:w="1229" w:type="dxa"/>
            <w:tcBorders>
              <w:top w:val="nil"/>
              <w:left w:val="single" w:sz="4" w:space="0" w:color="auto"/>
              <w:bottom w:val="single" w:sz="4" w:space="0" w:color="auto"/>
              <w:right w:val="single" w:sz="4" w:space="0" w:color="auto"/>
            </w:tcBorders>
            <w:vAlign w:val="center"/>
          </w:tcPr>
          <w:p w14:paraId="3EEC4D70" w14:textId="77777777" w:rsidR="009B3C83" w:rsidRPr="00562F2F" w:rsidRDefault="009B3C83" w:rsidP="009B3C83">
            <w:pPr>
              <w:spacing w:line="276" w:lineRule="auto"/>
              <w:rPr>
                <w:sz w:val="20"/>
                <w:szCs w:val="20"/>
              </w:rPr>
            </w:pPr>
          </w:p>
        </w:tc>
        <w:tc>
          <w:tcPr>
            <w:tcW w:w="1080" w:type="dxa"/>
            <w:tcBorders>
              <w:top w:val="nil"/>
              <w:left w:val="single" w:sz="4" w:space="0" w:color="auto"/>
              <w:bottom w:val="single" w:sz="4" w:space="0" w:color="auto"/>
              <w:right w:val="single" w:sz="4" w:space="0" w:color="auto"/>
            </w:tcBorders>
            <w:vAlign w:val="center"/>
          </w:tcPr>
          <w:p w14:paraId="0A639443" w14:textId="77777777" w:rsidR="009B3C83" w:rsidRPr="00562F2F" w:rsidRDefault="009B3C83" w:rsidP="009B3C83">
            <w:pPr>
              <w:spacing w:line="276" w:lineRule="auto"/>
              <w:rPr>
                <w:sz w:val="20"/>
                <w:szCs w:val="20"/>
              </w:rPr>
            </w:pPr>
          </w:p>
        </w:tc>
      </w:tr>
    </w:tbl>
    <w:p w14:paraId="12E1BE5E" w14:textId="77777777" w:rsidR="003F1AB1" w:rsidRDefault="003F1AB1">
      <w:pPr>
        <w:spacing w:line="276" w:lineRule="auto"/>
      </w:pPr>
    </w:p>
    <w:p w14:paraId="37FAD1AA" w14:textId="77777777" w:rsidR="003F1AB1" w:rsidRDefault="003F1AB1">
      <w:pPr>
        <w:spacing w:line="276" w:lineRule="auto"/>
        <w:sectPr w:rsidR="003F1AB1" w:rsidSect="00057231">
          <w:pgSz w:w="16838" w:h="11906" w:orient="landscape"/>
          <w:pgMar w:top="1588" w:right="1644" w:bottom="1361" w:left="1644" w:header="709" w:footer="709" w:gutter="0"/>
          <w:cols w:space="708"/>
          <w:docGrid w:linePitch="360"/>
        </w:sectPr>
      </w:pPr>
    </w:p>
    <w:p w14:paraId="67257C11" w14:textId="1CA2580D" w:rsidR="00862DFC" w:rsidRPr="00862DFC" w:rsidRDefault="00862DFC" w:rsidP="00862DFC">
      <w:pPr>
        <w:pStyle w:val="Heading2"/>
      </w:pPr>
      <w:r>
        <w:lastRenderedPageBreak/>
        <w:t xml:space="preserve">Appendix B: </w:t>
      </w:r>
    </w:p>
    <w:p w14:paraId="6334D1D5" w14:textId="2592D0F8" w:rsidR="00862DFC" w:rsidRPr="00562F2F" w:rsidRDefault="00862DFC" w:rsidP="00862DFC">
      <w:pPr>
        <w:pStyle w:val="Tabletitle"/>
      </w:pPr>
      <w:r w:rsidRPr="00562F2F">
        <w:t xml:space="preserve">Table </w:t>
      </w:r>
      <w:r>
        <w:t>B.1: Dose and administration information for PBS-listed testosterone (at December 2019)</w:t>
      </w:r>
    </w:p>
    <w:tbl>
      <w:tblPr>
        <w:tblStyle w:val="TableGrid"/>
        <w:tblW w:w="9180" w:type="dxa"/>
        <w:tblLook w:val="04A0" w:firstRow="1" w:lastRow="0" w:firstColumn="1" w:lastColumn="0" w:noHBand="0" w:noVBand="1"/>
        <w:tblCaption w:val="Table B.1: Dose and administration information for PBS-listed testosterone (at December 2019)"/>
        <w:tblDescription w:val="Table B.1: Dose and administration information for PBS-listed testosterone (at December 2019)"/>
      </w:tblPr>
      <w:tblGrid>
        <w:gridCol w:w="2660"/>
        <w:gridCol w:w="2268"/>
        <w:gridCol w:w="4252"/>
      </w:tblGrid>
      <w:tr w:rsidR="003F1AB1" w:rsidRPr="00A35800" w14:paraId="489BEE0E" w14:textId="77777777" w:rsidTr="003F1AB1">
        <w:trPr>
          <w:trHeight w:val="140"/>
          <w:tblHeader/>
        </w:trPr>
        <w:tc>
          <w:tcPr>
            <w:tcW w:w="2660" w:type="dxa"/>
            <w:shd w:val="clear" w:color="auto" w:fill="BFBFBF" w:themeFill="background1" w:themeFillShade="BF"/>
          </w:tcPr>
          <w:p w14:paraId="20EB8477" w14:textId="77777777" w:rsidR="003F1AB1" w:rsidRPr="00A35800" w:rsidRDefault="003F1AB1" w:rsidP="003F1AB1">
            <w:pPr>
              <w:pStyle w:val="Tableheading"/>
              <w:rPr>
                <w:sz w:val="20"/>
                <w:szCs w:val="20"/>
              </w:rPr>
            </w:pPr>
            <w:r w:rsidRPr="00A35800">
              <w:rPr>
                <w:sz w:val="20"/>
                <w:szCs w:val="20"/>
              </w:rPr>
              <w:t>Brand name and sponsor</w:t>
            </w:r>
          </w:p>
        </w:tc>
        <w:tc>
          <w:tcPr>
            <w:tcW w:w="2268" w:type="dxa"/>
            <w:shd w:val="clear" w:color="auto" w:fill="BFBFBF" w:themeFill="background1" w:themeFillShade="BF"/>
          </w:tcPr>
          <w:p w14:paraId="06458900" w14:textId="77777777" w:rsidR="003F1AB1" w:rsidRPr="00A35800" w:rsidRDefault="003F1AB1" w:rsidP="003F1AB1">
            <w:pPr>
              <w:pStyle w:val="Tableheading"/>
              <w:rPr>
                <w:sz w:val="20"/>
                <w:szCs w:val="20"/>
              </w:rPr>
            </w:pPr>
            <w:r w:rsidRPr="00A35800">
              <w:rPr>
                <w:sz w:val="20"/>
                <w:szCs w:val="20"/>
              </w:rPr>
              <w:t>Product</w:t>
            </w:r>
          </w:p>
        </w:tc>
        <w:tc>
          <w:tcPr>
            <w:tcW w:w="4252" w:type="dxa"/>
            <w:shd w:val="clear" w:color="auto" w:fill="BFBFBF" w:themeFill="background1" w:themeFillShade="BF"/>
          </w:tcPr>
          <w:p w14:paraId="34A56838" w14:textId="77777777" w:rsidR="003F1AB1" w:rsidRPr="00A35800" w:rsidRDefault="003F1AB1" w:rsidP="003F1AB1">
            <w:pPr>
              <w:pStyle w:val="Tableheading"/>
              <w:rPr>
                <w:sz w:val="20"/>
                <w:szCs w:val="20"/>
              </w:rPr>
            </w:pPr>
            <w:r w:rsidRPr="00A35800">
              <w:rPr>
                <w:sz w:val="20"/>
                <w:szCs w:val="20"/>
              </w:rPr>
              <w:t xml:space="preserve">Dose and frequency of administration </w:t>
            </w:r>
          </w:p>
        </w:tc>
      </w:tr>
      <w:tr w:rsidR="003F1AB1" w:rsidRPr="00A35800" w14:paraId="6FE04514" w14:textId="77777777" w:rsidTr="003F1AB1">
        <w:trPr>
          <w:trHeight w:val="140"/>
        </w:trPr>
        <w:tc>
          <w:tcPr>
            <w:tcW w:w="2660" w:type="dxa"/>
          </w:tcPr>
          <w:p w14:paraId="3CAA0AA5" w14:textId="77777777" w:rsidR="003F1AB1" w:rsidRDefault="003F1AB1" w:rsidP="003F1AB1">
            <w:pPr>
              <w:pStyle w:val="Tablewriting"/>
            </w:pPr>
            <w:proofErr w:type="spellStart"/>
            <w:r>
              <w:t>Reandron</w:t>
            </w:r>
            <w:proofErr w:type="spellEnd"/>
            <w:r>
              <w:rPr>
                <w:rFonts w:ascii="Calibri" w:hAnsi="Calibri"/>
              </w:rPr>
              <w:t xml:space="preserve">® </w:t>
            </w:r>
            <w:r>
              <w:t>Bayer Australia Ltd</w:t>
            </w:r>
          </w:p>
        </w:tc>
        <w:tc>
          <w:tcPr>
            <w:tcW w:w="2268" w:type="dxa"/>
          </w:tcPr>
          <w:p w14:paraId="62672119" w14:textId="77777777" w:rsidR="003F1AB1" w:rsidRDefault="003F1AB1" w:rsidP="003F1AB1">
            <w:pPr>
              <w:pStyle w:val="Tablewriting"/>
            </w:pPr>
            <w:r>
              <w:t xml:space="preserve">Testosterone </w:t>
            </w:r>
            <w:proofErr w:type="spellStart"/>
            <w:r>
              <w:t>undecanoate</w:t>
            </w:r>
            <w:proofErr w:type="spellEnd"/>
            <w:r>
              <w:t xml:space="preserve"> intramuscular injection</w:t>
            </w:r>
          </w:p>
        </w:tc>
        <w:tc>
          <w:tcPr>
            <w:tcW w:w="4252" w:type="dxa"/>
          </w:tcPr>
          <w:p w14:paraId="296DAF06" w14:textId="77777777" w:rsidR="003F1AB1" w:rsidRPr="00735593" w:rsidRDefault="003F1AB1" w:rsidP="003F1AB1">
            <w:pPr>
              <w:pStyle w:val="Tablewriting"/>
            </w:pPr>
            <w:r>
              <w:t xml:space="preserve">1 g every 10 to 14 weeks IM </w:t>
            </w:r>
            <w:r w:rsidRPr="00620C5B">
              <w:t>where testosterone deficiency has been confirmed by clinical features and biochemical tests.</w:t>
            </w:r>
          </w:p>
        </w:tc>
      </w:tr>
      <w:tr w:rsidR="003F1AB1" w:rsidRPr="00A35800" w14:paraId="42229E26" w14:textId="77777777" w:rsidTr="003F1AB1">
        <w:trPr>
          <w:trHeight w:val="140"/>
        </w:trPr>
        <w:tc>
          <w:tcPr>
            <w:tcW w:w="2660" w:type="dxa"/>
          </w:tcPr>
          <w:p w14:paraId="09C7108C" w14:textId="77777777" w:rsidR="003F1AB1" w:rsidRDefault="003F1AB1" w:rsidP="003F1AB1">
            <w:pPr>
              <w:pStyle w:val="Tablewriting"/>
            </w:pPr>
            <w:proofErr w:type="spellStart"/>
            <w:r>
              <w:t>Andriol</w:t>
            </w:r>
            <w:proofErr w:type="spellEnd"/>
            <w:r>
              <w:t xml:space="preserve"> </w:t>
            </w:r>
            <w:proofErr w:type="spellStart"/>
            <w:r>
              <w:t>Testocaps</w:t>
            </w:r>
            <w:proofErr w:type="spellEnd"/>
            <w:r>
              <w:rPr>
                <w:rFonts w:ascii="Calibri" w:hAnsi="Calibri"/>
              </w:rPr>
              <w:t>®</w:t>
            </w:r>
            <w:r>
              <w:t xml:space="preserve"> Merck Sharp &amp; </w:t>
            </w:r>
            <w:proofErr w:type="spellStart"/>
            <w:r>
              <w:t>Dohme</w:t>
            </w:r>
            <w:proofErr w:type="spellEnd"/>
            <w:r>
              <w:t xml:space="preserve"> Pty Ltd</w:t>
            </w:r>
          </w:p>
        </w:tc>
        <w:tc>
          <w:tcPr>
            <w:tcW w:w="2268" w:type="dxa"/>
          </w:tcPr>
          <w:p w14:paraId="34D27D23" w14:textId="77777777" w:rsidR="003F1AB1" w:rsidRDefault="003F1AB1" w:rsidP="003F1AB1">
            <w:pPr>
              <w:pStyle w:val="Tablewriting"/>
            </w:pPr>
            <w:r>
              <w:t xml:space="preserve">Testosterone </w:t>
            </w:r>
            <w:proofErr w:type="spellStart"/>
            <w:r>
              <w:t>undecanoate</w:t>
            </w:r>
            <w:proofErr w:type="spellEnd"/>
            <w:r>
              <w:t xml:space="preserve"> oral capsules</w:t>
            </w:r>
          </w:p>
        </w:tc>
        <w:tc>
          <w:tcPr>
            <w:tcW w:w="4252" w:type="dxa"/>
          </w:tcPr>
          <w:p w14:paraId="0A177CFD" w14:textId="77777777" w:rsidR="003F1AB1" w:rsidRDefault="003F1AB1" w:rsidP="003F1AB1">
            <w:pPr>
              <w:pStyle w:val="Tablewriting"/>
            </w:pPr>
            <w:r>
              <w:t xml:space="preserve">The initial dose is usually </w:t>
            </w:r>
            <w:r w:rsidRPr="00620C5B">
              <w:t>120-160</w:t>
            </w:r>
            <w:r>
              <w:t> </w:t>
            </w:r>
            <w:r w:rsidRPr="00620C5B">
              <w:t>mg/day for 2-3 weeks. Subsequent dosage (40-120</w:t>
            </w:r>
            <w:r>
              <w:t> </w:t>
            </w:r>
            <w:r w:rsidRPr="00620C5B">
              <w:t>mg/day) should be based on the clinical effect obtained in the first weeks of therapy.</w:t>
            </w:r>
            <w:r>
              <w:t xml:space="preserve"> M</w:t>
            </w:r>
            <w:r w:rsidRPr="00620C5B">
              <w:t>ust be taken orally with the morning and evening meal. If an uneven number of capsules are to be taken, the greater dose should be taken in the morning.</w:t>
            </w:r>
          </w:p>
        </w:tc>
      </w:tr>
      <w:tr w:rsidR="003F1AB1" w:rsidRPr="00A35800" w14:paraId="54693C2C" w14:textId="77777777" w:rsidTr="003F1AB1">
        <w:trPr>
          <w:trHeight w:val="1687"/>
        </w:trPr>
        <w:tc>
          <w:tcPr>
            <w:tcW w:w="2660" w:type="dxa"/>
          </w:tcPr>
          <w:p w14:paraId="4519E009" w14:textId="54E53126" w:rsidR="003F1AB1" w:rsidRDefault="003F1AB1" w:rsidP="003F1AB1">
            <w:pPr>
              <w:pStyle w:val="Tablewriting"/>
            </w:pPr>
            <w:proofErr w:type="spellStart"/>
            <w:r>
              <w:t>Testogel</w:t>
            </w:r>
            <w:proofErr w:type="spellEnd"/>
            <w:r>
              <w:rPr>
                <w:rFonts w:ascii="Calibri" w:hAnsi="Calibri"/>
              </w:rPr>
              <w:t xml:space="preserve">® </w:t>
            </w:r>
            <w:proofErr w:type="spellStart"/>
            <w:r>
              <w:rPr>
                <w:rFonts w:ascii="Calibri" w:hAnsi="Calibri"/>
              </w:rPr>
              <w:t>Besins</w:t>
            </w:r>
            <w:proofErr w:type="spellEnd"/>
            <w:r>
              <w:rPr>
                <w:rFonts w:ascii="Calibri" w:hAnsi="Calibri"/>
              </w:rPr>
              <w:t xml:space="preserve"> Healthcare Australia Pty Ltd</w:t>
            </w:r>
          </w:p>
        </w:tc>
        <w:tc>
          <w:tcPr>
            <w:tcW w:w="2268" w:type="dxa"/>
          </w:tcPr>
          <w:p w14:paraId="0CB49702" w14:textId="77777777" w:rsidR="003F1AB1" w:rsidRDefault="003F1AB1" w:rsidP="003F1AB1">
            <w:pPr>
              <w:pStyle w:val="Tablewriting"/>
            </w:pPr>
            <w:r>
              <w:t>Testosterone topical gel in sachets</w:t>
            </w:r>
          </w:p>
        </w:tc>
        <w:tc>
          <w:tcPr>
            <w:tcW w:w="4252" w:type="dxa"/>
          </w:tcPr>
          <w:p w14:paraId="0711E41F" w14:textId="77777777" w:rsidR="003F1AB1" w:rsidRPr="00735593" w:rsidRDefault="003F1AB1" w:rsidP="003F1AB1">
            <w:pPr>
              <w:pStyle w:val="Tablewriting"/>
            </w:pPr>
            <w:r w:rsidRPr="00735593">
              <w:t>5 g of gel (i.e. 50 mg of testosterone which equates to four pump actuations, two 25 mg sachets or one 50 mg sachet) applied once daily at about the same time, preferably in the morning. The daily dose should be adjusted by the doctor depending on the clinical or laboratory response in individual patients, not exceeding 10 g of gel per day. The adjustment of dosage should be achieved by 2.5 g of gel steps.</w:t>
            </w:r>
          </w:p>
        </w:tc>
      </w:tr>
      <w:tr w:rsidR="003F1AB1" w:rsidRPr="00A35800" w14:paraId="5EBF2E03" w14:textId="77777777" w:rsidTr="003F1AB1">
        <w:trPr>
          <w:trHeight w:val="1261"/>
        </w:trPr>
        <w:tc>
          <w:tcPr>
            <w:tcW w:w="2660" w:type="dxa"/>
          </w:tcPr>
          <w:p w14:paraId="643645B0" w14:textId="77777777" w:rsidR="003F1AB1" w:rsidRDefault="003F1AB1" w:rsidP="003F1AB1">
            <w:pPr>
              <w:pStyle w:val="Tablewriting"/>
            </w:pPr>
            <w:proofErr w:type="spellStart"/>
            <w:r>
              <w:t>Testogel</w:t>
            </w:r>
            <w:proofErr w:type="spellEnd"/>
            <w:r>
              <w:rPr>
                <w:rFonts w:ascii="Calibri" w:hAnsi="Calibri"/>
              </w:rPr>
              <w:t xml:space="preserve">® </w:t>
            </w:r>
            <w:proofErr w:type="spellStart"/>
            <w:r>
              <w:rPr>
                <w:rFonts w:ascii="Calibri" w:hAnsi="Calibri"/>
              </w:rPr>
              <w:t>Besins</w:t>
            </w:r>
            <w:proofErr w:type="spellEnd"/>
            <w:r>
              <w:rPr>
                <w:rFonts w:ascii="Calibri" w:hAnsi="Calibri"/>
              </w:rPr>
              <w:t xml:space="preserve"> Healthcare Australia Pty Ltd</w:t>
            </w:r>
          </w:p>
        </w:tc>
        <w:tc>
          <w:tcPr>
            <w:tcW w:w="2268" w:type="dxa"/>
          </w:tcPr>
          <w:p w14:paraId="111C6BC0" w14:textId="77777777" w:rsidR="003F1AB1" w:rsidRDefault="003F1AB1" w:rsidP="003F1AB1">
            <w:pPr>
              <w:pStyle w:val="Tablewriting"/>
            </w:pPr>
            <w:r>
              <w:t>Testosterone topical gel in pump pack</w:t>
            </w:r>
          </w:p>
        </w:tc>
        <w:tc>
          <w:tcPr>
            <w:tcW w:w="4252" w:type="dxa"/>
          </w:tcPr>
          <w:p w14:paraId="0A5E4D11" w14:textId="4D097DB6" w:rsidR="003F1AB1" w:rsidRPr="00735593" w:rsidRDefault="003F1AB1" w:rsidP="003F1AB1">
            <w:pPr>
              <w:pStyle w:val="Tablewriting"/>
            </w:pPr>
            <w:r w:rsidRPr="00F44BA8">
              <w:t>Each pump actuation delivers 12.5 mg of testosterone in 1.25 g of gel and to obtain the equivalent of 50</w:t>
            </w:r>
            <w:r w:rsidR="006E5F0B">
              <w:t> </w:t>
            </w:r>
            <w:r w:rsidRPr="00F44BA8">
              <w:t>mg of testosterone, 4 pump actuations are needed.</w:t>
            </w:r>
            <w:r>
              <w:t xml:space="preserve"> Dose titration as above.</w:t>
            </w:r>
          </w:p>
        </w:tc>
      </w:tr>
      <w:tr w:rsidR="003F1AB1" w:rsidRPr="00A35800" w14:paraId="43A1D629" w14:textId="77777777" w:rsidTr="006E5F0B">
        <w:trPr>
          <w:trHeight w:val="2295"/>
        </w:trPr>
        <w:tc>
          <w:tcPr>
            <w:tcW w:w="2660" w:type="dxa"/>
          </w:tcPr>
          <w:p w14:paraId="41C6EEE5" w14:textId="77777777" w:rsidR="003F1AB1" w:rsidRDefault="003F1AB1" w:rsidP="003F1AB1">
            <w:pPr>
              <w:pStyle w:val="Tablewriting"/>
            </w:pPr>
            <w:proofErr w:type="spellStart"/>
            <w:r>
              <w:t>Androforte</w:t>
            </w:r>
            <w:proofErr w:type="spellEnd"/>
            <w:r>
              <w:rPr>
                <w:rFonts w:ascii="Calibri" w:hAnsi="Calibri"/>
              </w:rPr>
              <w:t>®</w:t>
            </w:r>
            <w:r>
              <w:t xml:space="preserve"> Lawley Pharmaceuticals Pty Ltd</w:t>
            </w:r>
          </w:p>
        </w:tc>
        <w:tc>
          <w:tcPr>
            <w:tcW w:w="2268" w:type="dxa"/>
          </w:tcPr>
          <w:p w14:paraId="07C7AAA0" w14:textId="77777777" w:rsidR="003F1AB1" w:rsidRDefault="003F1AB1" w:rsidP="003F1AB1">
            <w:pPr>
              <w:pStyle w:val="Tablewriting"/>
            </w:pPr>
            <w:r>
              <w:t>Testosterone cream</w:t>
            </w:r>
          </w:p>
        </w:tc>
        <w:tc>
          <w:tcPr>
            <w:tcW w:w="4252" w:type="dxa"/>
          </w:tcPr>
          <w:p w14:paraId="11E97107" w14:textId="77777777" w:rsidR="003F1AB1" w:rsidRPr="00620C5B" w:rsidRDefault="003F1AB1" w:rsidP="003F1AB1">
            <w:pPr>
              <w:pStyle w:val="Tablewriting"/>
            </w:pPr>
            <w:r w:rsidRPr="005E43CA">
              <w:t>The recommended dose is 2 mL of cream (i.e. 100 mg of testosterone) applied once daily at about the same time, preferably in the morning. The daily dose should be adjusted by the doctor depending on the clinical or laboratory response in individual patients, not exceeding 4 mL of cream per day. The adjustment of dosage should be achieved by 1 mL of cream steps.</w:t>
            </w:r>
          </w:p>
        </w:tc>
      </w:tr>
      <w:tr w:rsidR="003F1AB1" w:rsidRPr="00A35800" w14:paraId="34B055CD" w14:textId="77777777" w:rsidTr="003F1AB1">
        <w:trPr>
          <w:trHeight w:val="455"/>
        </w:trPr>
        <w:tc>
          <w:tcPr>
            <w:tcW w:w="2660" w:type="dxa"/>
          </w:tcPr>
          <w:p w14:paraId="32A1BAB6" w14:textId="50D33344" w:rsidR="003F1AB1" w:rsidRDefault="00FB18A9" w:rsidP="00FB18A9">
            <w:pPr>
              <w:pStyle w:val="Tablewriting"/>
            </w:pPr>
            <w:proofErr w:type="spellStart"/>
            <w:r w:rsidRPr="00FB18A9">
              <w:t>Androderm</w:t>
            </w:r>
            <w:proofErr w:type="spellEnd"/>
            <w:r w:rsidRPr="00FB18A9">
              <w:t xml:space="preserve">® </w:t>
            </w:r>
            <w:proofErr w:type="spellStart"/>
            <w:r w:rsidRPr="00FB18A9">
              <w:t>Teva</w:t>
            </w:r>
            <w:proofErr w:type="spellEnd"/>
            <w:r w:rsidRPr="00FB18A9">
              <w:t xml:space="preserve"> Pharma Australia Pty Limited</w:t>
            </w:r>
            <w:r>
              <w:t xml:space="preserve"> </w:t>
            </w:r>
          </w:p>
        </w:tc>
        <w:tc>
          <w:tcPr>
            <w:tcW w:w="2268" w:type="dxa"/>
          </w:tcPr>
          <w:p w14:paraId="0184AD77" w14:textId="77777777" w:rsidR="003F1AB1" w:rsidRDefault="003F1AB1" w:rsidP="003F1AB1">
            <w:pPr>
              <w:pStyle w:val="Tablewriting"/>
            </w:pPr>
            <w:r>
              <w:t>Testosterone transdermal patch</w:t>
            </w:r>
          </w:p>
        </w:tc>
        <w:tc>
          <w:tcPr>
            <w:tcW w:w="4252" w:type="dxa"/>
          </w:tcPr>
          <w:p w14:paraId="3A580DB9" w14:textId="628574A6" w:rsidR="008D10CC" w:rsidRDefault="003F1AB1" w:rsidP="003F1AB1">
            <w:pPr>
              <w:pStyle w:val="Tablewriting"/>
            </w:pPr>
            <w:r w:rsidRPr="00620C5B">
              <w:t xml:space="preserve">5 mg/day </w:t>
            </w:r>
            <w:r>
              <w:t>t</w:t>
            </w:r>
            <w:r w:rsidRPr="00620C5B">
              <w:t xml:space="preserve">ransdermal </w:t>
            </w:r>
            <w:r>
              <w:t>p</w:t>
            </w:r>
            <w:r w:rsidRPr="00620C5B">
              <w:t xml:space="preserve">atch applied nightly (approximately 10.00pm) and worn for 24 hours, providing approximately 5 mg testosterone per day. The dose can be adjusted up to 7.5 mg/day (i.e., one 5 mg/day and one 2.5 mg/day patches or three 2.5 mg/day patches) nightly or down to 2.5 mg/day (i.e., one 2.5 mg/day patch) nightly depending on the serum testosterone measured in the morning after the application. </w:t>
            </w:r>
          </w:p>
          <w:p w14:paraId="34D8E244" w14:textId="53FEB116" w:rsidR="00BE4B03" w:rsidRDefault="00BE4B03" w:rsidP="003F1AB1">
            <w:pPr>
              <w:pStyle w:val="Tablewriting"/>
            </w:pPr>
          </w:p>
          <w:p w14:paraId="6CDC7FCB" w14:textId="77777777" w:rsidR="00BE4B03" w:rsidRDefault="00BE4B03" w:rsidP="003F1AB1">
            <w:pPr>
              <w:pStyle w:val="Tablewriting"/>
            </w:pPr>
          </w:p>
          <w:p w14:paraId="2F63996A" w14:textId="31D4589B" w:rsidR="00FB18A9" w:rsidRDefault="003F1AB1" w:rsidP="003F1AB1">
            <w:pPr>
              <w:pStyle w:val="Tablewriting"/>
            </w:pPr>
            <w:r w:rsidRPr="00620C5B">
              <w:lastRenderedPageBreak/>
              <w:t xml:space="preserve">Measurement of serum testosterone should be repeated taking care to ensure proper patch adhesion and correct time of application before the dose is adjusted. </w:t>
            </w:r>
          </w:p>
          <w:p w14:paraId="52CF74CC" w14:textId="77777777" w:rsidR="00FB18A9" w:rsidRDefault="00FB18A9" w:rsidP="003F1AB1">
            <w:pPr>
              <w:pStyle w:val="Tablewriting"/>
            </w:pPr>
          </w:p>
          <w:p w14:paraId="0DD6DB74" w14:textId="77777777" w:rsidR="008D10CC" w:rsidRDefault="003F1AB1" w:rsidP="003F1AB1">
            <w:pPr>
              <w:pStyle w:val="Tablewriting"/>
            </w:pPr>
            <w:r w:rsidRPr="00620C5B">
              <w:t xml:space="preserve">Treatment in non-virilised patients may be initiated with one </w:t>
            </w:r>
            <w:proofErr w:type="spellStart"/>
            <w:r w:rsidRPr="00620C5B">
              <w:t>Androderm</w:t>
            </w:r>
            <w:proofErr w:type="spellEnd"/>
            <w:r w:rsidRPr="00620C5B">
              <w:t xml:space="preserve">® 2.5 mg/day </w:t>
            </w:r>
            <w:r>
              <w:t>patch</w:t>
            </w:r>
            <w:r w:rsidRPr="00620C5B">
              <w:t xml:space="preserve"> applied nightly. The dose should be adjusted as appropriate. </w:t>
            </w:r>
          </w:p>
          <w:p w14:paraId="6A8957D1" w14:textId="77777777" w:rsidR="008D10CC" w:rsidRDefault="008D10CC" w:rsidP="003F1AB1">
            <w:pPr>
              <w:pStyle w:val="Tablewriting"/>
            </w:pPr>
          </w:p>
          <w:p w14:paraId="59FF5D6F" w14:textId="460C8CFB" w:rsidR="003F1AB1" w:rsidRPr="00620C5B" w:rsidRDefault="003F1AB1" w:rsidP="003F1AB1">
            <w:pPr>
              <w:pStyle w:val="Tablewriting"/>
            </w:pPr>
            <w:r w:rsidRPr="00620C5B">
              <w:t>Three patches per day may be required for men with a higher body weight (&gt;130</w:t>
            </w:r>
            <w:r w:rsidR="006E5F0B">
              <w:t> </w:t>
            </w:r>
            <w:r w:rsidRPr="00620C5B">
              <w:t>kg). The duration of treatment and frequency of testosterone measurements is determined by the physician.</w:t>
            </w:r>
          </w:p>
        </w:tc>
      </w:tr>
      <w:tr w:rsidR="00FB18A9" w:rsidRPr="00A35800" w14:paraId="31ADB6B3" w14:textId="77777777" w:rsidTr="003F1AB1">
        <w:trPr>
          <w:trHeight w:val="455"/>
        </w:trPr>
        <w:tc>
          <w:tcPr>
            <w:tcW w:w="2660" w:type="dxa"/>
          </w:tcPr>
          <w:p w14:paraId="397F157C" w14:textId="18225A7E" w:rsidR="00FB18A9" w:rsidRPr="00FB18A9" w:rsidRDefault="00FB18A9" w:rsidP="00FB18A9">
            <w:pPr>
              <w:pStyle w:val="Tablewriting"/>
            </w:pPr>
            <w:proofErr w:type="spellStart"/>
            <w:r w:rsidRPr="00FB18A9">
              <w:lastRenderedPageBreak/>
              <w:t>Testavan®Ferring</w:t>
            </w:r>
            <w:proofErr w:type="spellEnd"/>
            <w:r w:rsidRPr="00FB18A9">
              <w:t xml:space="preserve"> Pharmaceuticals Pty Limited</w:t>
            </w:r>
          </w:p>
        </w:tc>
        <w:tc>
          <w:tcPr>
            <w:tcW w:w="2268" w:type="dxa"/>
          </w:tcPr>
          <w:p w14:paraId="5B681188" w14:textId="204A1205" w:rsidR="00FB18A9" w:rsidRDefault="00FB18A9" w:rsidP="003F1AB1">
            <w:pPr>
              <w:pStyle w:val="Tablewriting"/>
            </w:pPr>
            <w:r w:rsidRPr="00FB18A9">
              <w:t>Testosterone gel in a metered-dose dispenser with a cap applicator</w:t>
            </w:r>
          </w:p>
        </w:tc>
        <w:tc>
          <w:tcPr>
            <w:tcW w:w="4252" w:type="dxa"/>
          </w:tcPr>
          <w:p w14:paraId="458369E7" w14:textId="422AA596" w:rsidR="00FB18A9" w:rsidRDefault="00FB18A9" w:rsidP="00FB18A9">
            <w:pPr>
              <w:pStyle w:val="Tablewriting"/>
            </w:pPr>
            <w:r>
              <w:t>In adult men, the recommended starting dose is 23 mg testosterone (one pump actuation) applied once daily, preferably in the morning.</w:t>
            </w:r>
          </w:p>
          <w:p w14:paraId="05CF65C1" w14:textId="77777777" w:rsidR="00FB18A9" w:rsidRDefault="00FB18A9" w:rsidP="00FB18A9">
            <w:pPr>
              <w:pStyle w:val="Tablewriting"/>
            </w:pPr>
          </w:p>
          <w:p w14:paraId="5D82A945" w14:textId="6FB46EFA" w:rsidR="00FB18A9" w:rsidRDefault="00FB18A9" w:rsidP="00FB18A9">
            <w:pPr>
              <w:pStyle w:val="Tablewriting"/>
            </w:pPr>
            <w:r>
              <w:t>To ensure proper dosing, serum testosterone levels should be periodically measured and dose titrated to maintain serum testosterone levels.</w:t>
            </w:r>
          </w:p>
          <w:p w14:paraId="78A49A8C" w14:textId="77777777" w:rsidR="00FB18A9" w:rsidRDefault="00FB18A9" w:rsidP="00FB18A9">
            <w:pPr>
              <w:pStyle w:val="Tablewriting"/>
            </w:pPr>
          </w:p>
          <w:p w14:paraId="26E02D41" w14:textId="04937190" w:rsidR="00FB18A9" w:rsidRDefault="00FB18A9" w:rsidP="00FB18A9">
            <w:pPr>
              <w:pStyle w:val="Tablewriting"/>
            </w:pPr>
            <w:r>
              <w:t>Dose titration should be based on both serum testosterone levels and the existence of clinical signs and symptoms related to testosterone deficiency.</w:t>
            </w:r>
          </w:p>
          <w:p w14:paraId="081D61B4" w14:textId="77777777" w:rsidR="00FB18A9" w:rsidRDefault="00FB18A9" w:rsidP="00FB18A9">
            <w:pPr>
              <w:pStyle w:val="Tablewriting"/>
            </w:pPr>
          </w:p>
          <w:p w14:paraId="62F731FB" w14:textId="4613FEA9" w:rsidR="00FB18A9" w:rsidRDefault="00FB18A9" w:rsidP="00FB18A9">
            <w:pPr>
              <w:pStyle w:val="Tablewriting"/>
            </w:pPr>
            <w:r>
              <w:t>The maximum recommended dose is 69 mg testosterone per day, which is equivalent to 3</w:t>
            </w:r>
          </w:p>
          <w:p w14:paraId="4275864B" w14:textId="404550FD" w:rsidR="00FB18A9" w:rsidRPr="00620C5B" w:rsidRDefault="00FB18A9" w:rsidP="00FB18A9">
            <w:pPr>
              <w:pStyle w:val="Tablewriting"/>
            </w:pPr>
            <w:proofErr w:type="gramStart"/>
            <w:r>
              <w:t>pump</w:t>
            </w:r>
            <w:proofErr w:type="gramEnd"/>
            <w:r>
              <w:t xml:space="preserve"> actuations of TESTAVAN.</w:t>
            </w:r>
          </w:p>
        </w:tc>
      </w:tr>
    </w:tbl>
    <w:p w14:paraId="30F7386A" w14:textId="29AC8ECB" w:rsidR="00944E06" w:rsidRDefault="00944E06" w:rsidP="00E65FFF">
      <w:pPr>
        <w:spacing w:line="276" w:lineRule="auto"/>
        <w:rPr>
          <w:b/>
          <w:sz w:val="28"/>
          <w:szCs w:val="28"/>
          <w:lang w:eastAsia="en-US"/>
        </w:rPr>
      </w:pPr>
    </w:p>
    <w:p w14:paraId="5BEEBFA3" w14:textId="77777777" w:rsidR="00336816" w:rsidRPr="00944E06" w:rsidRDefault="00336816" w:rsidP="00944E06">
      <w:pPr>
        <w:rPr>
          <w:sz w:val="28"/>
          <w:szCs w:val="28"/>
          <w:lang w:eastAsia="en-US"/>
        </w:rPr>
      </w:pPr>
    </w:p>
    <w:sectPr w:rsidR="00336816" w:rsidRPr="00944E06" w:rsidSect="00DD188C">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50FC2" w14:textId="77777777" w:rsidR="00B04922" w:rsidRDefault="00B04922" w:rsidP="00A35800">
      <w:r>
        <w:separator/>
      </w:r>
    </w:p>
  </w:endnote>
  <w:endnote w:type="continuationSeparator" w:id="0">
    <w:p w14:paraId="45A4A8C8" w14:textId="77777777" w:rsidR="00B04922" w:rsidRDefault="00B04922"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imes New Roman"/>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BerkeleyStd-Book">
    <w:panose1 w:val="00000000000000000000"/>
    <w:charset w:val="00"/>
    <w:family w:val="auto"/>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rlito">
    <w:altName w:val="Calibri"/>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9D5E5" w14:textId="77777777" w:rsidR="00B04922" w:rsidRDefault="00B04922"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B04922" w:rsidRDefault="00B04922"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138869"/>
      <w:docPartObj>
        <w:docPartGallery w:val="Page Numbers (Bottom of Page)"/>
        <w:docPartUnique/>
      </w:docPartObj>
    </w:sdtPr>
    <w:sdtEndPr/>
    <w:sdtContent>
      <w:sdt>
        <w:sdtPr>
          <w:id w:val="-1302223354"/>
          <w:docPartObj>
            <w:docPartGallery w:val="Page Numbers (Top of Page)"/>
            <w:docPartUnique/>
          </w:docPartObj>
        </w:sdtPr>
        <w:sdtEndPr/>
        <w:sdtContent>
          <w:p w14:paraId="30682B98" w14:textId="4AF0AA10" w:rsidR="00B04922" w:rsidRPr="00CB14DE" w:rsidRDefault="00B04922" w:rsidP="000E72C6">
            <w:pPr>
              <w:pStyle w:val="Footer"/>
              <w:jc w:val="center"/>
              <w:rPr>
                <w:i/>
                <w:sz w:val="20"/>
                <w:szCs w:val="20"/>
              </w:rPr>
            </w:pPr>
            <w:r w:rsidRPr="00CB14DE">
              <w:rPr>
                <w:i/>
                <w:sz w:val="20"/>
                <w:szCs w:val="20"/>
              </w:rPr>
              <w:t>Public Release Document, February 2020 DUSC Meeting</w:t>
            </w:r>
          </w:p>
          <w:p w14:paraId="10292A9A" w14:textId="0F5245A9" w:rsidR="00B04922" w:rsidRDefault="00B04922"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CB14DE">
              <w:rPr>
                <w:bCs/>
                <w:i/>
                <w:noProof/>
                <w:sz w:val="20"/>
              </w:rPr>
              <w:t>26</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CB14DE">
              <w:rPr>
                <w:bCs/>
                <w:i/>
                <w:noProof/>
                <w:sz w:val="20"/>
              </w:rPr>
              <w:t>26</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22E1F" w14:textId="77777777" w:rsidR="00B04922" w:rsidRDefault="00B04922" w:rsidP="007A5733">
    <w:pPr>
      <w:pStyle w:val="Footer"/>
      <w:jc w:val="center"/>
      <w:rPr>
        <w:rStyle w:val="PageNumber"/>
      </w:rPr>
    </w:pPr>
    <w:r>
      <w:rPr>
        <w:rStyle w:val="PageNumber"/>
      </w:rPr>
      <w:t>Committee-in-Confidence</w:t>
    </w:r>
  </w:p>
  <w:p w14:paraId="3CE6880B" w14:textId="77777777" w:rsidR="00B04922" w:rsidRDefault="00B04922"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5EEDE" w14:textId="77777777" w:rsidR="00B04922" w:rsidRDefault="00B04922" w:rsidP="00A35800">
      <w:r>
        <w:separator/>
      </w:r>
    </w:p>
  </w:footnote>
  <w:footnote w:type="continuationSeparator" w:id="0">
    <w:p w14:paraId="7E2CA1E4" w14:textId="77777777" w:rsidR="00B04922" w:rsidRDefault="00B04922" w:rsidP="00A35800">
      <w:r>
        <w:continuationSeparator/>
      </w:r>
    </w:p>
  </w:footnote>
  <w:footnote w:id="1">
    <w:p w14:paraId="1203A83D" w14:textId="77777777" w:rsidR="00B04922" w:rsidRDefault="00B04922" w:rsidP="00B41F5B">
      <w:pPr>
        <w:pStyle w:val="FootnoteText"/>
      </w:pPr>
      <w:r>
        <w:rPr>
          <w:rStyle w:val="FootnoteReference"/>
        </w:rPr>
        <w:footnoteRef/>
      </w:r>
      <w:r>
        <w:t xml:space="preserve"> </w:t>
      </w:r>
      <w:proofErr w:type="spellStart"/>
      <w:r w:rsidRPr="00601ED6">
        <w:t>Yeap</w:t>
      </w:r>
      <w:proofErr w:type="spellEnd"/>
      <w:r w:rsidRPr="00601ED6">
        <w:t xml:space="preserve"> et al. Endocrine Society of Australia position statement on male hypogonadism (part 1): assessment and indications for testosterone therapy. Med J </w:t>
      </w:r>
      <w:proofErr w:type="spellStart"/>
      <w:r w:rsidRPr="00601ED6">
        <w:t>Aust</w:t>
      </w:r>
      <w:proofErr w:type="spellEnd"/>
      <w:r w:rsidRPr="00601ED6">
        <w:t xml:space="preserve"> 2016; 205(4): 173-179. DOI: 10.5694/mja16.00393.</w:t>
      </w:r>
    </w:p>
  </w:footnote>
  <w:footnote w:id="2">
    <w:p w14:paraId="47A7F5AB" w14:textId="77777777" w:rsidR="00B04922" w:rsidRPr="00837F41" w:rsidRDefault="00B04922" w:rsidP="00C847E2">
      <w:pPr>
        <w:pStyle w:val="FootnoteText"/>
        <w:rPr>
          <w:rFonts w:cstheme="minorHAnsi"/>
        </w:rPr>
      </w:pPr>
      <w:r w:rsidRPr="00837F41">
        <w:rPr>
          <w:rStyle w:val="FootnoteReference"/>
          <w:rFonts w:cstheme="minorHAnsi"/>
          <w:sz w:val="20"/>
        </w:rPr>
        <w:footnoteRef/>
      </w:r>
      <w:r w:rsidRPr="00837F41">
        <w:rPr>
          <w:rFonts w:cstheme="minorHAnsi"/>
          <w:sz w:val="20"/>
        </w:rPr>
        <w:t xml:space="preserve"> ABS</w:t>
      </w:r>
      <w:r>
        <w:rPr>
          <w:rFonts w:cstheme="minorHAnsi"/>
          <w:sz w:val="20"/>
        </w:rPr>
        <w:t xml:space="preserve"> 3101.0</w:t>
      </w:r>
      <w:r w:rsidRPr="00837F41">
        <w:rPr>
          <w:rFonts w:cstheme="minorHAnsi"/>
          <w:sz w:val="20"/>
        </w:rPr>
        <w:t xml:space="preserve"> Australian Demographic Statistics, March 2019; released 19 September 2019 &lt;</w:t>
      </w:r>
      <w:hyperlink r:id="rId1" w:history="1">
        <w:r w:rsidRPr="00837F41">
          <w:rPr>
            <w:rStyle w:val="Hyperlink"/>
            <w:rFonts w:cstheme="minorHAnsi"/>
            <w:sz w:val="20"/>
          </w:rPr>
          <w:t>https://www.abs.gov.au/Population</w:t>
        </w:r>
      </w:hyperlink>
      <w:r w:rsidRPr="00837F41">
        <w:rPr>
          <w:rFonts w:cstheme="minorHAnsi"/>
          <w:sz w:val="20"/>
        </w:rPr>
        <w:t>&gt;</w:t>
      </w:r>
    </w:p>
  </w:footnote>
  <w:footnote w:id="3">
    <w:p w14:paraId="154EDEEE" w14:textId="77777777" w:rsidR="00B04922" w:rsidRPr="002B0C94" w:rsidRDefault="00B04922" w:rsidP="00A77C63">
      <w:pPr>
        <w:pStyle w:val="FootnoteText"/>
        <w:rPr>
          <w:sz w:val="20"/>
        </w:rPr>
      </w:pPr>
      <w:r w:rsidRPr="002B0C94">
        <w:rPr>
          <w:rStyle w:val="FootnoteReference"/>
          <w:sz w:val="20"/>
        </w:rPr>
        <w:footnoteRef/>
      </w:r>
      <w:r w:rsidRPr="002B0C94">
        <w:rPr>
          <w:sz w:val="20"/>
        </w:rPr>
        <w:t xml:space="preserve"> </w:t>
      </w:r>
      <w:hyperlink r:id="rId2" w:history="1">
        <w:r w:rsidRPr="002B0C94">
          <w:rPr>
            <w:rStyle w:val="Hyperlink"/>
            <w:sz w:val="20"/>
          </w:rPr>
          <w:t>Principles on the use of direct age-standardisation in administrative data collections</w:t>
        </w:r>
      </w:hyperlink>
      <w:r w:rsidRPr="002B0C94">
        <w:rPr>
          <w:sz w:val="20"/>
        </w:rPr>
        <w:t>, September 2011, AIHW</w:t>
      </w:r>
    </w:p>
  </w:footnote>
  <w:footnote w:id="4">
    <w:p w14:paraId="0A4DD767" w14:textId="59B34526" w:rsidR="00B04922" w:rsidRPr="002B0C94" w:rsidRDefault="00B04922" w:rsidP="00576B18">
      <w:pPr>
        <w:pStyle w:val="FootnoteText"/>
        <w:rPr>
          <w:sz w:val="20"/>
        </w:rPr>
      </w:pPr>
      <w:r w:rsidRPr="002B0C94">
        <w:rPr>
          <w:rStyle w:val="FootnoteReference"/>
          <w:sz w:val="20"/>
        </w:rPr>
        <w:footnoteRef/>
      </w:r>
      <w:r w:rsidRPr="002B0C94">
        <w:rPr>
          <w:sz w:val="20"/>
        </w:rPr>
        <w:t xml:space="preserve"> PBS statistics. Australian Government Department of Human Services Medicare. Canberra. Available from &lt;</w:t>
      </w:r>
      <w:hyperlink r:id="rId3" w:history="1">
        <w:r w:rsidRPr="002B0C94">
          <w:rPr>
            <w:rStyle w:val="Hyperlink"/>
            <w:sz w:val="20"/>
          </w:rPr>
          <w:t>http://medicarestatistics.humanservices.gov.au/statistics/pbs_item.jsp</w:t>
        </w:r>
      </w:hyperlink>
      <w:r w:rsidRPr="002B0C94">
        <w:rPr>
          <w:sz w:val="20"/>
        </w:rPr>
        <w:t xml:space="preserve">&gt;. </w:t>
      </w:r>
    </w:p>
    <w:p w14:paraId="48A73DEF" w14:textId="77777777" w:rsidR="00B04922" w:rsidRPr="00BC5AE2" w:rsidRDefault="00B04922" w:rsidP="00576B18">
      <w:pPr>
        <w:pStyle w:val="FootnoteText"/>
        <w:rPr>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996EE" w14:textId="77777777" w:rsidR="00CB14DE" w:rsidRDefault="00CB14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AC928" w14:textId="77777777" w:rsidR="00CB14DE" w:rsidRDefault="00CB14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0512E" w14:textId="77777777" w:rsidR="00CB14DE" w:rsidRDefault="00CB14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B06D0"/>
    <w:multiLevelType w:val="hybridMultilevel"/>
    <w:tmpl w:val="260E7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7A4E56"/>
    <w:multiLevelType w:val="hybridMultilevel"/>
    <w:tmpl w:val="0D3C19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534406"/>
    <w:multiLevelType w:val="hybridMultilevel"/>
    <w:tmpl w:val="885494FA"/>
    <w:lvl w:ilvl="0" w:tplc="4358134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1F0176"/>
    <w:multiLevelType w:val="hybridMultilevel"/>
    <w:tmpl w:val="74C05E76"/>
    <w:lvl w:ilvl="0" w:tplc="0C090001">
      <w:start w:val="1"/>
      <w:numFmt w:val="bullet"/>
      <w:lvlText w:val=""/>
      <w:lvlJc w:val="left"/>
      <w:pPr>
        <w:ind w:left="360" w:hanging="360"/>
      </w:pPr>
      <w:rPr>
        <w:rFonts w:ascii="Symbol" w:hAnsi="Symbol" w:hint="default"/>
      </w:rPr>
    </w:lvl>
    <w:lvl w:ilvl="1" w:tplc="F432D12C">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3BE7999"/>
    <w:multiLevelType w:val="hybridMultilevel"/>
    <w:tmpl w:val="B35421F2"/>
    <w:lvl w:ilvl="0" w:tplc="A2A4FD9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D37C54"/>
    <w:multiLevelType w:val="hybridMultilevel"/>
    <w:tmpl w:val="FA9831F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A2750F"/>
    <w:multiLevelType w:val="hybridMultilevel"/>
    <w:tmpl w:val="0C72B4E0"/>
    <w:lvl w:ilvl="0" w:tplc="6E5ACDF6">
      <w:start w:val="1"/>
      <w:numFmt w:val="lowerRoman"/>
      <w:lvlText w:val="(%1)"/>
      <w:lvlJc w:val="left"/>
      <w:pPr>
        <w:ind w:left="1288" w:hanging="72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8" w15:restartNumberingAfterBreak="0">
    <w:nsid w:val="3B602272"/>
    <w:multiLevelType w:val="hybridMultilevel"/>
    <w:tmpl w:val="445615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6F6E84"/>
    <w:multiLevelType w:val="hybridMultilevel"/>
    <w:tmpl w:val="44CCD3DE"/>
    <w:lvl w:ilvl="0" w:tplc="58F66B8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CDE2E9D"/>
    <w:multiLevelType w:val="hybridMultilevel"/>
    <w:tmpl w:val="F314DB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6070C60"/>
    <w:multiLevelType w:val="hybridMultilevel"/>
    <w:tmpl w:val="1BF29818"/>
    <w:lvl w:ilvl="0" w:tplc="238C3896">
      <w:start w:val="1"/>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5239BB"/>
    <w:multiLevelType w:val="hybridMultilevel"/>
    <w:tmpl w:val="06A2EA10"/>
    <w:lvl w:ilvl="0" w:tplc="0C090001">
      <w:start w:val="1"/>
      <w:numFmt w:val="bullet"/>
      <w:lvlText w:val=""/>
      <w:lvlJc w:val="left"/>
      <w:pPr>
        <w:ind w:left="720" w:hanging="360"/>
      </w:pPr>
      <w:rPr>
        <w:rFonts w:ascii="Symbol" w:hAnsi="Symbol" w:hint="default"/>
      </w:rPr>
    </w:lvl>
    <w:lvl w:ilvl="1" w:tplc="DF86DD42">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773CCA"/>
    <w:multiLevelType w:val="hybridMultilevel"/>
    <w:tmpl w:val="800A75BE"/>
    <w:lvl w:ilvl="0" w:tplc="3326AEBA">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2336BEA"/>
    <w:multiLevelType w:val="hybridMultilevel"/>
    <w:tmpl w:val="E1645F3A"/>
    <w:lvl w:ilvl="0" w:tplc="287CA7DA">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880EB7"/>
    <w:multiLevelType w:val="hybridMultilevel"/>
    <w:tmpl w:val="F78652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2964486"/>
    <w:multiLevelType w:val="hybridMultilevel"/>
    <w:tmpl w:val="885494FA"/>
    <w:lvl w:ilvl="0" w:tplc="4358134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A0849CA"/>
    <w:multiLevelType w:val="hybridMultilevel"/>
    <w:tmpl w:val="094E5D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9979EE"/>
    <w:multiLevelType w:val="hybridMultilevel"/>
    <w:tmpl w:val="C0D89CB4"/>
    <w:lvl w:ilvl="0" w:tplc="DF86DD4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5"/>
  </w:num>
  <w:num w:numId="4">
    <w:abstractNumId w:val="15"/>
  </w:num>
  <w:num w:numId="5">
    <w:abstractNumId w:val="13"/>
  </w:num>
  <w:num w:numId="6">
    <w:abstractNumId w:val="4"/>
  </w:num>
  <w:num w:numId="7">
    <w:abstractNumId w:val="9"/>
  </w:num>
  <w:num w:numId="8">
    <w:abstractNumId w:val="17"/>
  </w:num>
  <w:num w:numId="9">
    <w:abstractNumId w:val="7"/>
  </w:num>
  <w:num w:numId="10">
    <w:abstractNumId w:val="10"/>
  </w:num>
  <w:num w:numId="11">
    <w:abstractNumId w:val="11"/>
  </w:num>
  <w:num w:numId="12">
    <w:abstractNumId w:val="2"/>
  </w:num>
  <w:num w:numId="13">
    <w:abstractNumId w:val="0"/>
  </w:num>
  <w:num w:numId="14">
    <w:abstractNumId w:val="1"/>
  </w:num>
  <w:num w:numId="15">
    <w:abstractNumId w:val="6"/>
  </w:num>
  <w:num w:numId="16">
    <w:abstractNumId w:val="8"/>
  </w:num>
  <w:num w:numId="17">
    <w:abstractNumId w:val="12"/>
  </w:num>
  <w:num w:numId="18">
    <w:abstractNumId w:val="19"/>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41"/>
    <w:rsid w:val="00007E85"/>
    <w:rsid w:val="00013465"/>
    <w:rsid w:val="00014AB9"/>
    <w:rsid w:val="000226B3"/>
    <w:rsid w:val="0002352D"/>
    <w:rsid w:val="00024549"/>
    <w:rsid w:val="000313C0"/>
    <w:rsid w:val="00037640"/>
    <w:rsid w:val="00046876"/>
    <w:rsid w:val="000500B9"/>
    <w:rsid w:val="000544B6"/>
    <w:rsid w:val="00055154"/>
    <w:rsid w:val="00057231"/>
    <w:rsid w:val="000604AF"/>
    <w:rsid w:val="000707A1"/>
    <w:rsid w:val="000831C0"/>
    <w:rsid w:val="0008651B"/>
    <w:rsid w:val="00086C11"/>
    <w:rsid w:val="0008796B"/>
    <w:rsid w:val="00094DCF"/>
    <w:rsid w:val="000951A1"/>
    <w:rsid w:val="00096983"/>
    <w:rsid w:val="000A0DAE"/>
    <w:rsid w:val="000A6CFD"/>
    <w:rsid w:val="000B0982"/>
    <w:rsid w:val="000B796C"/>
    <w:rsid w:val="000C46BB"/>
    <w:rsid w:val="000C4D9D"/>
    <w:rsid w:val="000C50CE"/>
    <w:rsid w:val="000C7C4B"/>
    <w:rsid w:val="000C7D8B"/>
    <w:rsid w:val="000D154E"/>
    <w:rsid w:val="000D500E"/>
    <w:rsid w:val="000E485D"/>
    <w:rsid w:val="000E72C6"/>
    <w:rsid w:val="000F1893"/>
    <w:rsid w:val="000F2F51"/>
    <w:rsid w:val="000F576F"/>
    <w:rsid w:val="000F63EE"/>
    <w:rsid w:val="000F6CC9"/>
    <w:rsid w:val="00113CF8"/>
    <w:rsid w:val="00113D74"/>
    <w:rsid w:val="00114681"/>
    <w:rsid w:val="00117C5C"/>
    <w:rsid w:val="001310AE"/>
    <w:rsid w:val="00136C4E"/>
    <w:rsid w:val="001420B3"/>
    <w:rsid w:val="00145BDD"/>
    <w:rsid w:val="001460C4"/>
    <w:rsid w:val="00153820"/>
    <w:rsid w:val="0015691C"/>
    <w:rsid w:val="001614B1"/>
    <w:rsid w:val="001621F7"/>
    <w:rsid w:val="001624D7"/>
    <w:rsid w:val="00177B86"/>
    <w:rsid w:val="00182585"/>
    <w:rsid w:val="00187569"/>
    <w:rsid w:val="00191182"/>
    <w:rsid w:val="0019664D"/>
    <w:rsid w:val="001A6103"/>
    <w:rsid w:val="001B0C10"/>
    <w:rsid w:val="001B0F81"/>
    <w:rsid w:val="001B5D37"/>
    <w:rsid w:val="001C2940"/>
    <w:rsid w:val="001C4016"/>
    <w:rsid w:val="001C548D"/>
    <w:rsid w:val="001C6A5D"/>
    <w:rsid w:val="001E31A6"/>
    <w:rsid w:val="001E42C7"/>
    <w:rsid w:val="001E4CAB"/>
    <w:rsid w:val="001F0A4E"/>
    <w:rsid w:val="001F2F3E"/>
    <w:rsid w:val="001F4906"/>
    <w:rsid w:val="001F7C4A"/>
    <w:rsid w:val="00201982"/>
    <w:rsid w:val="00203A14"/>
    <w:rsid w:val="0020578A"/>
    <w:rsid w:val="00207631"/>
    <w:rsid w:val="00214013"/>
    <w:rsid w:val="00220FC1"/>
    <w:rsid w:val="00222E9A"/>
    <w:rsid w:val="0023179D"/>
    <w:rsid w:val="00233BB5"/>
    <w:rsid w:val="0025389D"/>
    <w:rsid w:val="00254E02"/>
    <w:rsid w:val="0025665E"/>
    <w:rsid w:val="0026265F"/>
    <w:rsid w:val="00273315"/>
    <w:rsid w:val="00286C3A"/>
    <w:rsid w:val="002930F5"/>
    <w:rsid w:val="002A06B7"/>
    <w:rsid w:val="002B08B5"/>
    <w:rsid w:val="002B0C94"/>
    <w:rsid w:val="002C6E0C"/>
    <w:rsid w:val="002D144A"/>
    <w:rsid w:val="002D38D6"/>
    <w:rsid w:val="002D6063"/>
    <w:rsid w:val="002E19A3"/>
    <w:rsid w:val="002E212B"/>
    <w:rsid w:val="002E3337"/>
    <w:rsid w:val="002E6D03"/>
    <w:rsid w:val="002F49A8"/>
    <w:rsid w:val="002F5E66"/>
    <w:rsid w:val="002F61CA"/>
    <w:rsid w:val="0030010D"/>
    <w:rsid w:val="0030308F"/>
    <w:rsid w:val="003216A3"/>
    <w:rsid w:val="003305CB"/>
    <w:rsid w:val="0033504C"/>
    <w:rsid w:val="00336816"/>
    <w:rsid w:val="003370D0"/>
    <w:rsid w:val="00337355"/>
    <w:rsid w:val="003402E4"/>
    <w:rsid w:val="00340F95"/>
    <w:rsid w:val="003531ED"/>
    <w:rsid w:val="00355DCD"/>
    <w:rsid w:val="00360B9A"/>
    <w:rsid w:val="00364574"/>
    <w:rsid w:val="0039017F"/>
    <w:rsid w:val="00392BB3"/>
    <w:rsid w:val="00394AEE"/>
    <w:rsid w:val="003960BE"/>
    <w:rsid w:val="0039761F"/>
    <w:rsid w:val="003C2D98"/>
    <w:rsid w:val="003C6647"/>
    <w:rsid w:val="003D027B"/>
    <w:rsid w:val="003D0641"/>
    <w:rsid w:val="003D3A96"/>
    <w:rsid w:val="003D3B9C"/>
    <w:rsid w:val="003E37D2"/>
    <w:rsid w:val="003F1AB1"/>
    <w:rsid w:val="003F41CA"/>
    <w:rsid w:val="00404F03"/>
    <w:rsid w:val="00412051"/>
    <w:rsid w:val="00423B94"/>
    <w:rsid w:val="00447268"/>
    <w:rsid w:val="004549DA"/>
    <w:rsid w:val="00463731"/>
    <w:rsid w:val="0046400A"/>
    <w:rsid w:val="00467B25"/>
    <w:rsid w:val="00481108"/>
    <w:rsid w:val="0049042B"/>
    <w:rsid w:val="004911C6"/>
    <w:rsid w:val="00495473"/>
    <w:rsid w:val="004A458E"/>
    <w:rsid w:val="004B23E7"/>
    <w:rsid w:val="004B306F"/>
    <w:rsid w:val="004B4DB9"/>
    <w:rsid w:val="004C104C"/>
    <w:rsid w:val="004C3186"/>
    <w:rsid w:val="004C5042"/>
    <w:rsid w:val="004E4422"/>
    <w:rsid w:val="004E7A8B"/>
    <w:rsid w:val="00503998"/>
    <w:rsid w:val="0050623B"/>
    <w:rsid w:val="00523181"/>
    <w:rsid w:val="00524D13"/>
    <w:rsid w:val="005339F6"/>
    <w:rsid w:val="00535F7B"/>
    <w:rsid w:val="00537316"/>
    <w:rsid w:val="005420D8"/>
    <w:rsid w:val="00543B09"/>
    <w:rsid w:val="0054650B"/>
    <w:rsid w:val="005560A4"/>
    <w:rsid w:val="0056781F"/>
    <w:rsid w:val="00572FA7"/>
    <w:rsid w:val="00576B18"/>
    <w:rsid w:val="00587724"/>
    <w:rsid w:val="00591512"/>
    <w:rsid w:val="005A0E90"/>
    <w:rsid w:val="005A30E3"/>
    <w:rsid w:val="005B2D91"/>
    <w:rsid w:val="005B48B4"/>
    <w:rsid w:val="005B5019"/>
    <w:rsid w:val="005B7386"/>
    <w:rsid w:val="005C44F0"/>
    <w:rsid w:val="005C5323"/>
    <w:rsid w:val="005C6661"/>
    <w:rsid w:val="005C6E3B"/>
    <w:rsid w:val="005D474B"/>
    <w:rsid w:val="005E085C"/>
    <w:rsid w:val="005E147D"/>
    <w:rsid w:val="005E22C2"/>
    <w:rsid w:val="005E57BB"/>
    <w:rsid w:val="005F0017"/>
    <w:rsid w:val="005F6F7B"/>
    <w:rsid w:val="006014F1"/>
    <w:rsid w:val="0061357B"/>
    <w:rsid w:val="00614A7D"/>
    <w:rsid w:val="006311C2"/>
    <w:rsid w:val="00633BE9"/>
    <w:rsid w:val="0063631C"/>
    <w:rsid w:val="0063757B"/>
    <w:rsid w:val="006377CE"/>
    <w:rsid w:val="006421E8"/>
    <w:rsid w:val="00653387"/>
    <w:rsid w:val="006537D9"/>
    <w:rsid w:val="00664A48"/>
    <w:rsid w:val="00665DEF"/>
    <w:rsid w:val="00675BB1"/>
    <w:rsid w:val="006775F1"/>
    <w:rsid w:val="006861C5"/>
    <w:rsid w:val="006929FF"/>
    <w:rsid w:val="00692AA7"/>
    <w:rsid w:val="006938C6"/>
    <w:rsid w:val="00697FEC"/>
    <w:rsid w:val="006A175F"/>
    <w:rsid w:val="006A39C7"/>
    <w:rsid w:val="006A44F5"/>
    <w:rsid w:val="006B4537"/>
    <w:rsid w:val="006B5F85"/>
    <w:rsid w:val="006B6929"/>
    <w:rsid w:val="006B709B"/>
    <w:rsid w:val="006C54AF"/>
    <w:rsid w:val="006C5D09"/>
    <w:rsid w:val="006E0181"/>
    <w:rsid w:val="006E5F0B"/>
    <w:rsid w:val="006F39E2"/>
    <w:rsid w:val="00700C0E"/>
    <w:rsid w:val="00705DAD"/>
    <w:rsid w:val="007071AE"/>
    <w:rsid w:val="00711015"/>
    <w:rsid w:val="007247B9"/>
    <w:rsid w:val="00727D85"/>
    <w:rsid w:val="007344E6"/>
    <w:rsid w:val="007346C7"/>
    <w:rsid w:val="00736041"/>
    <w:rsid w:val="007408C7"/>
    <w:rsid w:val="007465DA"/>
    <w:rsid w:val="007470D2"/>
    <w:rsid w:val="00752C7F"/>
    <w:rsid w:val="007536C9"/>
    <w:rsid w:val="00760944"/>
    <w:rsid w:val="00776598"/>
    <w:rsid w:val="00781832"/>
    <w:rsid w:val="00792831"/>
    <w:rsid w:val="00792948"/>
    <w:rsid w:val="00796E84"/>
    <w:rsid w:val="007A3ADE"/>
    <w:rsid w:val="007A5733"/>
    <w:rsid w:val="007A5774"/>
    <w:rsid w:val="007A7A4A"/>
    <w:rsid w:val="007B116B"/>
    <w:rsid w:val="007B3454"/>
    <w:rsid w:val="007B4BA2"/>
    <w:rsid w:val="00801E74"/>
    <w:rsid w:val="0080485E"/>
    <w:rsid w:val="008142B4"/>
    <w:rsid w:val="00827A5A"/>
    <w:rsid w:val="00832324"/>
    <w:rsid w:val="00835337"/>
    <w:rsid w:val="00837F41"/>
    <w:rsid w:val="00845216"/>
    <w:rsid w:val="00846DCD"/>
    <w:rsid w:val="00847AA9"/>
    <w:rsid w:val="00851D85"/>
    <w:rsid w:val="008529BF"/>
    <w:rsid w:val="00860CCB"/>
    <w:rsid w:val="00862DFC"/>
    <w:rsid w:val="00864F50"/>
    <w:rsid w:val="0086555D"/>
    <w:rsid w:val="008740A3"/>
    <w:rsid w:val="00882C8E"/>
    <w:rsid w:val="0089297B"/>
    <w:rsid w:val="008945F8"/>
    <w:rsid w:val="008B5593"/>
    <w:rsid w:val="008B7E9F"/>
    <w:rsid w:val="008C36CA"/>
    <w:rsid w:val="008D07EA"/>
    <w:rsid w:val="008D10CC"/>
    <w:rsid w:val="008E3F8C"/>
    <w:rsid w:val="008F2930"/>
    <w:rsid w:val="00902FD0"/>
    <w:rsid w:val="009053D3"/>
    <w:rsid w:val="0090691F"/>
    <w:rsid w:val="00917306"/>
    <w:rsid w:val="009178B7"/>
    <w:rsid w:val="009202A8"/>
    <w:rsid w:val="0092167B"/>
    <w:rsid w:val="00930D67"/>
    <w:rsid w:val="0093111F"/>
    <w:rsid w:val="00935689"/>
    <w:rsid w:val="00936048"/>
    <w:rsid w:val="00936BCD"/>
    <w:rsid w:val="00943916"/>
    <w:rsid w:val="0094406A"/>
    <w:rsid w:val="00944E06"/>
    <w:rsid w:val="0095303B"/>
    <w:rsid w:val="009663B6"/>
    <w:rsid w:val="00974A47"/>
    <w:rsid w:val="00980286"/>
    <w:rsid w:val="00990DCF"/>
    <w:rsid w:val="00996E06"/>
    <w:rsid w:val="009A4CD6"/>
    <w:rsid w:val="009A4DB4"/>
    <w:rsid w:val="009A537C"/>
    <w:rsid w:val="009A5F12"/>
    <w:rsid w:val="009A6DF1"/>
    <w:rsid w:val="009B3C83"/>
    <w:rsid w:val="009B4BDA"/>
    <w:rsid w:val="009C0886"/>
    <w:rsid w:val="009C19EE"/>
    <w:rsid w:val="009C28D0"/>
    <w:rsid w:val="009C35F2"/>
    <w:rsid w:val="009C7782"/>
    <w:rsid w:val="009D1ED5"/>
    <w:rsid w:val="009D4C13"/>
    <w:rsid w:val="009E21A7"/>
    <w:rsid w:val="00A103ED"/>
    <w:rsid w:val="00A13C60"/>
    <w:rsid w:val="00A15134"/>
    <w:rsid w:val="00A341A3"/>
    <w:rsid w:val="00A35800"/>
    <w:rsid w:val="00A35ABC"/>
    <w:rsid w:val="00A44BE2"/>
    <w:rsid w:val="00A52918"/>
    <w:rsid w:val="00A547B3"/>
    <w:rsid w:val="00A549D5"/>
    <w:rsid w:val="00A70E82"/>
    <w:rsid w:val="00A77C63"/>
    <w:rsid w:val="00A84CAD"/>
    <w:rsid w:val="00A90E50"/>
    <w:rsid w:val="00A94609"/>
    <w:rsid w:val="00A95FA5"/>
    <w:rsid w:val="00A96D92"/>
    <w:rsid w:val="00AA2447"/>
    <w:rsid w:val="00AA7770"/>
    <w:rsid w:val="00AB199C"/>
    <w:rsid w:val="00AB316E"/>
    <w:rsid w:val="00AB3733"/>
    <w:rsid w:val="00AB588C"/>
    <w:rsid w:val="00AB7897"/>
    <w:rsid w:val="00AC5054"/>
    <w:rsid w:val="00AE059D"/>
    <w:rsid w:val="00AE4BAC"/>
    <w:rsid w:val="00AF0C67"/>
    <w:rsid w:val="00AF10B8"/>
    <w:rsid w:val="00B034FC"/>
    <w:rsid w:val="00B03D1A"/>
    <w:rsid w:val="00B04922"/>
    <w:rsid w:val="00B05310"/>
    <w:rsid w:val="00B07446"/>
    <w:rsid w:val="00B10A0B"/>
    <w:rsid w:val="00B16AA2"/>
    <w:rsid w:val="00B27272"/>
    <w:rsid w:val="00B30D85"/>
    <w:rsid w:val="00B342D4"/>
    <w:rsid w:val="00B34E72"/>
    <w:rsid w:val="00B35A4A"/>
    <w:rsid w:val="00B3609A"/>
    <w:rsid w:val="00B4014C"/>
    <w:rsid w:val="00B41F5B"/>
    <w:rsid w:val="00B453CF"/>
    <w:rsid w:val="00B63FD7"/>
    <w:rsid w:val="00B720DB"/>
    <w:rsid w:val="00B816D9"/>
    <w:rsid w:val="00B911D7"/>
    <w:rsid w:val="00B9120F"/>
    <w:rsid w:val="00B9216C"/>
    <w:rsid w:val="00B924A4"/>
    <w:rsid w:val="00BA2E91"/>
    <w:rsid w:val="00BB0D1A"/>
    <w:rsid w:val="00BB1D3B"/>
    <w:rsid w:val="00BB63A9"/>
    <w:rsid w:val="00BC1AD4"/>
    <w:rsid w:val="00BC35ED"/>
    <w:rsid w:val="00BC51A5"/>
    <w:rsid w:val="00BD75FC"/>
    <w:rsid w:val="00BE205A"/>
    <w:rsid w:val="00BE3802"/>
    <w:rsid w:val="00BE4B03"/>
    <w:rsid w:val="00BE6C3C"/>
    <w:rsid w:val="00BF238E"/>
    <w:rsid w:val="00BF2F4A"/>
    <w:rsid w:val="00BF48A8"/>
    <w:rsid w:val="00BF544D"/>
    <w:rsid w:val="00C0076F"/>
    <w:rsid w:val="00C0119A"/>
    <w:rsid w:val="00C02CED"/>
    <w:rsid w:val="00C0301C"/>
    <w:rsid w:val="00C050B6"/>
    <w:rsid w:val="00C10F12"/>
    <w:rsid w:val="00C245EA"/>
    <w:rsid w:val="00C256F6"/>
    <w:rsid w:val="00C3097E"/>
    <w:rsid w:val="00C35ECC"/>
    <w:rsid w:val="00C361A8"/>
    <w:rsid w:val="00C36F1D"/>
    <w:rsid w:val="00C41246"/>
    <w:rsid w:val="00C42A4B"/>
    <w:rsid w:val="00C45E5F"/>
    <w:rsid w:val="00C46291"/>
    <w:rsid w:val="00C50FDC"/>
    <w:rsid w:val="00C63412"/>
    <w:rsid w:val="00C70686"/>
    <w:rsid w:val="00C714D0"/>
    <w:rsid w:val="00C779E1"/>
    <w:rsid w:val="00C847E2"/>
    <w:rsid w:val="00C90EF4"/>
    <w:rsid w:val="00CA015A"/>
    <w:rsid w:val="00CB14DE"/>
    <w:rsid w:val="00CB4715"/>
    <w:rsid w:val="00CB6D99"/>
    <w:rsid w:val="00CC1AA3"/>
    <w:rsid w:val="00CD4486"/>
    <w:rsid w:val="00CF5E22"/>
    <w:rsid w:val="00D048B9"/>
    <w:rsid w:val="00D056B2"/>
    <w:rsid w:val="00D066C1"/>
    <w:rsid w:val="00D06A44"/>
    <w:rsid w:val="00D151EB"/>
    <w:rsid w:val="00D15BF5"/>
    <w:rsid w:val="00D244C9"/>
    <w:rsid w:val="00D300E0"/>
    <w:rsid w:val="00D374CD"/>
    <w:rsid w:val="00D6011E"/>
    <w:rsid w:val="00D64C80"/>
    <w:rsid w:val="00D650CE"/>
    <w:rsid w:val="00D6621C"/>
    <w:rsid w:val="00D71719"/>
    <w:rsid w:val="00D75E00"/>
    <w:rsid w:val="00D776DA"/>
    <w:rsid w:val="00D8758B"/>
    <w:rsid w:val="00D942B3"/>
    <w:rsid w:val="00D94863"/>
    <w:rsid w:val="00DA3C08"/>
    <w:rsid w:val="00DA4923"/>
    <w:rsid w:val="00DA7D09"/>
    <w:rsid w:val="00DB1501"/>
    <w:rsid w:val="00DB7BAB"/>
    <w:rsid w:val="00DC2630"/>
    <w:rsid w:val="00DC3747"/>
    <w:rsid w:val="00DC49E9"/>
    <w:rsid w:val="00DC55E4"/>
    <w:rsid w:val="00DC6F10"/>
    <w:rsid w:val="00DC7D71"/>
    <w:rsid w:val="00DD188C"/>
    <w:rsid w:val="00DD29A3"/>
    <w:rsid w:val="00DD48EE"/>
    <w:rsid w:val="00DE0B96"/>
    <w:rsid w:val="00DE10B9"/>
    <w:rsid w:val="00DF0B13"/>
    <w:rsid w:val="00DF2EB8"/>
    <w:rsid w:val="00DF4A94"/>
    <w:rsid w:val="00DF6003"/>
    <w:rsid w:val="00DF67FB"/>
    <w:rsid w:val="00E00095"/>
    <w:rsid w:val="00E04DB0"/>
    <w:rsid w:val="00E066C3"/>
    <w:rsid w:val="00E10D8C"/>
    <w:rsid w:val="00E111A1"/>
    <w:rsid w:val="00E1353A"/>
    <w:rsid w:val="00E14DDF"/>
    <w:rsid w:val="00E1564B"/>
    <w:rsid w:val="00E208A0"/>
    <w:rsid w:val="00E25B49"/>
    <w:rsid w:val="00E371EA"/>
    <w:rsid w:val="00E37733"/>
    <w:rsid w:val="00E42852"/>
    <w:rsid w:val="00E626C7"/>
    <w:rsid w:val="00E64429"/>
    <w:rsid w:val="00E65FFF"/>
    <w:rsid w:val="00E6688A"/>
    <w:rsid w:val="00E67665"/>
    <w:rsid w:val="00E677DD"/>
    <w:rsid w:val="00E677DE"/>
    <w:rsid w:val="00E7594B"/>
    <w:rsid w:val="00E76A08"/>
    <w:rsid w:val="00E84BFD"/>
    <w:rsid w:val="00EB4688"/>
    <w:rsid w:val="00EB6C07"/>
    <w:rsid w:val="00EB7138"/>
    <w:rsid w:val="00EC028D"/>
    <w:rsid w:val="00ED633B"/>
    <w:rsid w:val="00EE2BBB"/>
    <w:rsid w:val="00EE478C"/>
    <w:rsid w:val="00F1132C"/>
    <w:rsid w:val="00F12047"/>
    <w:rsid w:val="00F15DD5"/>
    <w:rsid w:val="00F17D4B"/>
    <w:rsid w:val="00F23139"/>
    <w:rsid w:val="00F36070"/>
    <w:rsid w:val="00F45D02"/>
    <w:rsid w:val="00F5447C"/>
    <w:rsid w:val="00F57EA5"/>
    <w:rsid w:val="00F66CD5"/>
    <w:rsid w:val="00F67A9A"/>
    <w:rsid w:val="00F70F4E"/>
    <w:rsid w:val="00F73113"/>
    <w:rsid w:val="00F75FC4"/>
    <w:rsid w:val="00F85981"/>
    <w:rsid w:val="00F87263"/>
    <w:rsid w:val="00F93725"/>
    <w:rsid w:val="00FA3276"/>
    <w:rsid w:val="00FA4890"/>
    <w:rsid w:val="00FB18A9"/>
    <w:rsid w:val="00FB5CC7"/>
    <w:rsid w:val="00FB77FA"/>
    <w:rsid w:val="00FC3C70"/>
    <w:rsid w:val="00FC4A73"/>
    <w:rsid w:val="00FC559C"/>
    <w:rsid w:val="00FC7F0D"/>
    <w:rsid w:val="00FD70AC"/>
    <w:rsid w:val="00FE3ED6"/>
    <w:rsid w:val="00FE645A"/>
    <w:rsid w:val="00FF15CF"/>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ecimalSymbol w:val="."/>
  <w:listSeparator w:val=","/>
  <w14:docId w14:val="3FC01F9B"/>
  <w15:docId w15:val="{7CE8CC4A-A350-47BE-A6A2-61EBADE6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table" w:customStyle="1" w:styleId="TableGrid1">
    <w:name w:val="Table Grid1"/>
    <w:basedOn w:val="TableNormal"/>
    <w:next w:val="TableGrid"/>
    <w:uiPriority w:val="59"/>
    <w:rsid w:val="003F1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15BF5"/>
    <w:rPr>
      <w:color w:val="800080" w:themeColor="followedHyperlink"/>
      <w:u w:val="single"/>
    </w:rPr>
  </w:style>
  <w:style w:type="paragraph" w:styleId="Revision">
    <w:name w:val="Revision"/>
    <w:hidden/>
    <w:uiPriority w:val="99"/>
    <w:semiHidden/>
    <w:rsid w:val="00862DFC"/>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61926">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538322974">
      <w:bodyDiv w:val="1"/>
      <w:marLeft w:val="0"/>
      <w:marRight w:val="0"/>
      <w:marTop w:val="0"/>
      <w:marBottom w:val="0"/>
      <w:divBdr>
        <w:top w:val="none" w:sz="0" w:space="0" w:color="auto"/>
        <w:left w:val="none" w:sz="0" w:space="0" w:color="auto"/>
        <w:bottom w:val="none" w:sz="0" w:space="0" w:color="auto"/>
        <w:right w:val="none" w:sz="0" w:space="0" w:color="auto"/>
      </w:divBdr>
    </w:div>
    <w:div w:id="965432177">
      <w:bodyDiv w:val="1"/>
      <w:marLeft w:val="0"/>
      <w:marRight w:val="0"/>
      <w:marTop w:val="0"/>
      <w:marBottom w:val="0"/>
      <w:divBdr>
        <w:top w:val="none" w:sz="0" w:space="0" w:color="auto"/>
        <w:left w:val="none" w:sz="0" w:space="0" w:color="auto"/>
        <w:bottom w:val="none" w:sz="0" w:space="0" w:color="auto"/>
        <w:right w:val="none" w:sz="0" w:space="0" w:color="auto"/>
      </w:divBdr>
      <w:divsChild>
        <w:div w:id="1477454739">
          <w:marLeft w:val="0"/>
          <w:marRight w:val="0"/>
          <w:marTop w:val="0"/>
          <w:marBottom w:val="0"/>
          <w:divBdr>
            <w:top w:val="none" w:sz="0" w:space="0" w:color="auto"/>
            <w:left w:val="none" w:sz="0" w:space="0" w:color="auto"/>
            <w:bottom w:val="none" w:sz="0" w:space="0" w:color="auto"/>
            <w:right w:val="none" w:sz="0" w:space="0" w:color="auto"/>
          </w:divBdr>
          <w:divsChild>
            <w:div w:id="1276600406">
              <w:marLeft w:val="0"/>
              <w:marRight w:val="0"/>
              <w:marTop w:val="0"/>
              <w:marBottom w:val="0"/>
              <w:divBdr>
                <w:top w:val="none" w:sz="0" w:space="0" w:color="auto"/>
                <w:left w:val="none" w:sz="0" w:space="0" w:color="auto"/>
                <w:bottom w:val="none" w:sz="0" w:space="0" w:color="auto"/>
                <w:right w:val="none" w:sz="0" w:space="0" w:color="auto"/>
              </w:divBdr>
              <w:divsChild>
                <w:div w:id="1391155999">
                  <w:marLeft w:val="0"/>
                  <w:marRight w:val="0"/>
                  <w:marTop w:val="0"/>
                  <w:marBottom w:val="0"/>
                  <w:divBdr>
                    <w:top w:val="none" w:sz="0" w:space="0" w:color="auto"/>
                    <w:left w:val="none" w:sz="0" w:space="0" w:color="auto"/>
                    <w:bottom w:val="none" w:sz="0" w:space="0" w:color="auto"/>
                    <w:right w:val="none" w:sz="0" w:space="0" w:color="auto"/>
                  </w:divBdr>
                  <w:divsChild>
                    <w:div w:id="450174390">
                      <w:marLeft w:val="0"/>
                      <w:marRight w:val="0"/>
                      <w:marTop w:val="0"/>
                      <w:marBottom w:val="0"/>
                      <w:divBdr>
                        <w:top w:val="none" w:sz="0" w:space="0" w:color="auto"/>
                        <w:left w:val="none" w:sz="0" w:space="0" w:color="auto"/>
                        <w:bottom w:val="none" w:sz="0" w:space="0" w:color="auto"/>
                        <w:right w:val="none" w:sz="0" w:space="0" w:color="auto"/>
                      </w:divBdr>
                      <w:divsChild>
                        <w:div w:id="564023232">
                          <w:marLeft w:val="0"/>
                          <w:marRight w:val="0"/>
                          <w:marTop w:val="0"/>
                          <w:marBottom w:val="0"/>
                          <w:divBdr>
                            <w:top w:val="none" w:sz="0" w:space="0" w:color="auto"/>
                            <w:left w:val="none" w:sz="0" w:space="0" w:color="auto"/>
                            <w:bottom w:val="none" w:sz="0" w:space="0" w:color="auto"/>
                            <w:right w:val="none" w:sz="0" w:space="0" w:color="auto"/>
                          </w:divBdr>
                          <w:divsChild>
                            <w:div w:id="1119298046">
                              <w:marLeft w:val="0"/>
                              <w:marRight w:val="0"/>
                              <w:marTop w:val="0"/>
                              <w:marBottom w:val="0"/>
                              <w:divBdr>
                                <w:top w:val="none" w:sz="0" w:space="0" w:color="auto"/>
                                <w:left w:val="none" w:sz="0" w:space="0" w:color="auto"/>
                                <w:bottom w:val="none" w:sz="0" w:space="0" w:color="auto"/>
                                <w:right w:val="none" w:sz="0" w:space="0" w:color="auto"/>
                              </w:divBdr>
                              <w:divsChild>
                                <w:div w:id="1015963183">
                                  <w:marLeft w:val="0"/>
                                  <w:marRight w:val="0"/>
                                  <w:marTop w:val="0"/>
                                  <w:marBottom w:val="0"/>
                                  <w:divBdr>
                                    <w:top w:val="none" w:sz="0" w:space="0" w:color="auto"/>
                                    <w:left w:val="none" w:sz="0" w:space="0" w:color="auto"/>
                                    <w:bottom w:val="none" w:sz="0" w:space="0" w:color="auto"/>
                                    <w:right w:val="none" w:sz="0" w:space="0" w:color="auto"/>
                                  </w:divBdr>
                                  <w:divsChild>
                                    <w:div w:id="983896854">
                                      <w:marLeft w:val="0"/>
                                      <w:marRight w:val="0"/>
                                      <w:marTop w:val="0"/>
                                      <w:marBottom w:val="0"/>
                                      <w:divBdr>
                                        <w:top w:val="none" w:sz="0" w:space="0" w:color="auto"/>
                                        <w:left w:val="none" w:sz="0" w:space="0" w:color="auto"/>
                                        <w:bottom w:val="none" w:sz="0" w:space="0" w:color="auto"/>
                                        <w:right w:val="none" w:sz="0" w:space="0" w:color="auto"/>
                                      </w:divBdr>
                                      <w:divsChild>
                                        <w:div w:id="12678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205260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s.gov.au/info/industry/listing/participants/public-release-docs/testosterone-utilisation-analysis-Oct-2012" TargetMode="External"/><Relationship Id="rId13" Type="http://schemas.openxmlformats.org/officeDocument/2006/relationships/hyperlink" Target="http://tga.gov.au/hp/information-medicines-pi.htm" TargetMode="External"/><Relationship Id="rId18" Type="http://schemas.openxmlformats.org/officeDocument/2006/relationships/footer" Target="footer2.xml"/><Relationship Id="rId26"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yperlink" Target="file:///\\central.health\DFSGroupData\Sites\CO1\CO\PBD\PEB\EVAL\DUSC\DUSC%20Documents\Predicted%20vs%20actual%20usage\pbs.gov.au" TargetMode="External"/><Relationship Id="rId17" Type="http://schemas.openxmlformats.org/officeDocument/2006/relationships/footer" Target="footer1.xml"/><Relationship Id="rId25"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bs.gov.au/pbs/home" TargetMode="External"/><Relationship Id="rId24"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hart" Target="charts/chart3.xml"/><Relationship Id="rId28" Type="http://schemas.openxmlformats.org/officeDocument/2006/relationships/chart" Target="charts/chart8.xml"/><Relationship Id="rId10" Type="http://schemas.openxmlformats.org/officeDocument/2006/relationships/hyperlink" Target="http://www.pbs.gov.au/pbs/home"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bs.gov.au/info/industry/listing/participants/public-release-docs/2016-09/testosterone-2016-09" TargetMode="External"/><Relationship Id="rId14" Type="http://schemas.openxmlformats.org/officeDocument/2006/relationships/hyperlink" Target="http://www.tga.gov.au/consumers/information-medicines-cmi.htm" TargetMode="External"/><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medicarestatistics.humanservices.gov.au/statistics/pbs_item.jsp" TargetMode="External"/><Relationship Id="rId2" Type="http://schemas.openxmlformats.org/officeDocument/2006/relationships/hyperlink" Target="http://www.aihw.gov.au/WorkArea/DownloadAsset.aspx?id=10737420130" TargetMode="External"/><Relationship Id="rId1" Type="http://schemas.openxmlformats.org/officeDocument/2006/relationships/hyperlink" Target="https://www.abs.gov.au/Populatio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entral.health\DfsUserEnv\Users\User_13\MCMAHV\Desktop\Testosterone\D1198_PAT_CNT%20by%20supp%20year%20&amp;%20therapy.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entral.health\DfsUserEnv\Users\User_13\MCMAHV\Desktop\Testosterone\D1198_PAT_CNT%20by%20supp%20year%20&amp;%20therapy,%20v2%20+%20gender.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entral.health\DfsUserEnv\Users\User_13\MCMAHV\Desktop\Testosterone\D1198_PAT_CNT%20by%20supp%20year%20&amp;%20therapy,%20v2%20+%20gender.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entral.health\DfsUserEnv\Users\User_13\MCMAHV\Desktop\Testosterone\D1198_PAT_CNT%20by%20supp%20year%20&amp;%20therapy,%20v2%20+%20gender.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entral.health\DfsUserEnv\Users\User_13\MCMAHV\Desktop\Testosterone\D1198_PAT_CNT%20by%20supp%20year%20&amp;%20therapy,%20v2%20+%20gender.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[D1198 - SCRPT_SUM2_VM edits.xlsx]Figure1-Rx callouts!PivotTable1</c:name>
    <c:fmtId val="32"/>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w="28575" cap="rnd">
            <a:solidFill>
              <a:schemeClr val="accent1"/>
            </a:solidFill>
            <a:round/>
          </a:ln>
          <a:effectLst/>
        </c:spPr>
        <c:marker>
          <c:symbol val="none"/>
        </c:marker>
      </c:pivotFmt>
      <c:pivotFmt>
        <c:idx val="3"/>
        <c:spPr>
          <a:solidFill>
            <a:schemeClr val="accent1"/>
          </a:solidFill>
          <a:ln w="28575" cap="rnd">
            <a:solidFill>
              <a:schemeClr val="accent1"/>
            </a:solidFill>
            <a:round/>
          </a:ln>
          <a:effectLst/>
        </c:spPr>
        <c:marker>
          <c:symbol val="none"/>
        </c:marker>
      </c:pivotFmt>
      <c:pivotFmt>
        <c:idx val="4"/>
        <c:spPr>
          <a:solidFill>
            <a:schemeClr val="accent1"/>
          </a:solidFill>
          <a:ln w="28575" cap="rnd">
            <a:solidFill>
              <a:schemeClr val="accent1"/>
            </a:solidFill>
            <a:round/>
          </a:ln>
          <a:effectLst/>
        </c:spPr>
        <c:marker>
          <c:symbol val="none"/>
        </c:marker>
      </c:pivotFmt>
      <c:pivotFmt>
        <c:idx val="5"/>
        <c:spPr>
          <a:solidFill>
            <a:schemeClr val="accent1"/>
          </a:solidFill>
          <a:ln w="28575" cap="rnd">
            <a:solidFill>
              <a:schemeClr val="accent1"/>
            </a:solidFill>
            <a:round/>
          </a:ln>
          <a:effectLst/>
        </c:spPr>
        <c:marker>
          <c:symbol val="none"/>
        </c:marker>
      </c:pivotFmt>
      <c:pivotFmt>
        <c:idx val="6"/>
        <c:spPr>
          <a:solidFill>
            <a:schemeClr val="accent1"/>
          </a:solidFill>
          <a:ln w="28575" cap="rnd">
            <a:solidFill>
              <a:schemeClr val="accent1"/>
            </a:solidFill>
            <a:round/>
          </a:ln>
          <a:effectLst/>
        </c:spPr>
        <c:marker>
          <c:symbol val="none"/>
        </c:marker>
      </c:pivotFmt>
      <c:pivotFmt>
        <c:idx val="7"/>
        <c:spPr>
          <a:solidFill>
            <a:schemeClr val="accent1"/>
          </a:solidFill>
          <a:ln w="28575" cap="rnd">
            <a:solidFill>
              <a:schemeClr val="accent1"/>
            </a:solidFill>
            <a:round/>
          </a:ln>
          <a:effectLst/>
        </c:spPr>
        <c:marker>
          <c:symbol val="none"/>
        </c:marker>
        <c:dLbl>
          <c:idx val="0"/>
          <c:spPr>
            <a:solidFill>
              <a:sysClr val="window" lastClr="FFFFFF"/>
            </a:solidFill>
            <a:ln w="12700" cap="flat" cmpd="sng" algn="ctr">
              <a:solidFill>
                <a:srgbClr val="5B9BD5"/>
              </a:solidFill>
              <a:prstDash val="solid"/>
              <a:miter lim="800000"/>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0"/>
          <c:showSerName val="0"/>
          <c:showPercent val="0"/>
          <c:showBubbleSize val="0"/>
          <c:separator>
</c:separator>
          <c:extLst>
            <c:ext xmlns:c15="http://schemas.microsoft.com/office/drawing/2012/chart" uri="{CE6537A1-D6FC-4f65-9D91-7224C49458BB}">
              <c15:spPr xmlns:c15="http://schemas.microsoft.com/office/drawing/2012/chart">
                <a:prstGeom prst="wedgeRoundRectCallout">
                  <a:avLst/>
                </a:prstGeom>
                <a:noFill/>
                <a:ln>
                  <a:noFill/>
                </a:ln>
              </c15:spPr>
            </c:ext>
          </c:extLst>
        </c:dLbl>
      </c:pivotFmt>
      <c:pivotFmt>
        <c:idx val="8"/>
        <c:dLbl>
          <c:idx val="0"/>
          <c:layout>
            <c:manualLayout>
              <c:x val="-2.9940119760479042E-2"/>
              <c:y val="-0.12257076609818392"/>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fld id="{03858C4C-1298-443A-BFD2-EA0C86511FBE}" type="CELLREF">
                  <a:rPr lang="en-US">
                    <a:solidFill>
                      <a:schemeClr val="dk1"/>
                    </a:solidFill>
                    <a:latin typeface="+mn-lt"/>
                    <a:ea typeface="+mn-ea"/>
                    <a:cs typeface="+mn-cs"/>
                  </a:rPr>
                  <a:pPr>
                    <a:defRPr sz="900" b="0" i="0" u="none" strike="noStrike" kern="1200" baseline="0">
                      <a:solidFill>
                        <a:schemeClr val="dk1"/>
                      </a:solidFill>
                      <a:latin typeface="+mn-lt"/>
                      <a:ea typeface="+mn-ea"/>
                      <a:cs typeface="+mn-cs"/>
                    </a:defRPr>
                  </a:pPr>
                  <a:t>[CELLREF]</a:t>
                </a:fld>
                <a:endParaRPr lang="en-AU"/>
              </a:p>
            </c:rich>
          </c:tx>
          <c:spPr>
            <a:solidFill>
              <a:sysClr val="window" lastClr="FFFFFF"/>
            </a:solidFill>
            <a:ln w="12700" cap="flat" cmpd="sng" algn="ctr">
              <a:solidFill>
                <a:srgbClr val="5B9BD5"/>
              </a:solidFill>
              <a:prstDash val="solid"/>
              <a:miter lim="800000"/>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oundRectCallout">
                  <a:avLst/>
                </a:prstGeom>
                <a:noFill/>
                <a:ln>
                  <a:noFill/>
                </a:ln>
              </c15:spPr>
              <c15:layout>
                <c:manualLayout>
                  <c:w val="9.0593825472414749E-2"/>
                  <c:h val="6.4203006014382724E-2"/>
                </c:manualLayout>
              </c15:layout>
              <c15:dlblFieldTable/>
              <c15:showDataLabelsRange val="0"/>
            </c:ext>
          </c:extLst>
        </c:dLbl>
      </c:pivotFmt>
      <c:pivotFmt>
        <c:idx val="9"/>
        <c:dLbl>
          <c:idx val="0"/>
          <c:layout>
            <c:manualLayout>
              <c:x val="1.1976047904191617E-2"/>
              <c:y val="0.13153961136023909"/>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fld id="{B25AD5B2-39BC-413F-9E60-A69D3FCEA8E2}" type="CELLREF">
                  <a:rPr lang="en-US"/>
                  <a:pPr>
                    <a:defRPr sz="900" b="0" i="0" u="none" strike="noStrike" kern="1200" baseline="0">
                      <a:solidFill>
                        <a:schemeClr val="dk1"/>
                      </a:solidFill>
                      <a:latin typeface="+mn-lt"/>
                      <a:ea typeface="+mn-ea"/>
                      <a:cs typeface="+mn-cs"/>
                    </a:defRPr>
                  </a:pPr>
                  <a:t>[CELLREF]</a:t>
                </a:fld>
                <a:endParaRPr lang="en-AU"/>
              </a:p>
            </c:rich>
          </c:tx>
          <c:spPr>
            <a:solidFill>
              <a:sysClr val="window" lastClr="FFFFFF"/>
            </a:solidFill>
            <a:ln w="12700" cap="flat" cmpd="sng" algn="ctr">
              <a:solidFill>
                <a:srgbClr val="5B9BD5"/>
              </a:solidFill>
              <a:prstDash val="solid"/>
              <a:miter lim="800000"/>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oundRectCallout">
                  <a:avLst/>
                </a:prstGeom>
                <a:noFill/>
                <a:ln>
                  <a:noFill/>
                </a:ln>
              </c15:spPr>
              <c15:layout>
                <c:manualLayout>
                  <c:w val="0.10037405503952725"/>
                  <c:h val="0.11378709948251985"/>
                </c:manualLayout>
              </c15:layout>
              <c15:dlblFieldTable/>
              <c15:showDataLabelsRange val="0"/>
            </c:ext>
          </c:extLst>
        </c:dLbl>
      </c:pivotFmt>
      <c:pivotFmt>
        <c:idx val="10"/>
        <c:dLbl>
          <c:idx val="0"/>
          <c:layout>
            <c:manualLayout>
              <c:x val="-9.1816314876808067E-2"/>
              <c:y val="-0.17638266068759342"/>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fld id="{0077E267-DEB6-4C87-A980-B840B63C45A4}" type="CELLREF">
                  <a:rPr lang="en-US"/>
                  <a:pPr>
                    <a:defRPr sz="900" b="0" i="0" u="none" strike="noStrike" kern="1200" baseline="0">
                      <a:solidFill>
                        <a:schemeClr val="dk1"/>
                      </a:solidFill>
                      <a:latin typeface="+mn-lt"/>
                      <a:ea typeface="+mn-ea"/>
                      <a:cs typeface="+mn-cs"/>
                    </a:defRPr>
                  </a:pPr>
                  <a:t>[CELLREF]</a:t>
                </a:fld>
                <a:endParaRPr lang="en-AU"/>
              </a:p>
            </c:rich>
          </c:tx>
          <c:spPr>
            <a:solidFill>
              <a:sysClr val="window" lastClr="FFFFFF"/>
            </a:solidFill>
            <a:ln w="12700" cap="flat" cmpd="sng" algn="ctr">
              <a:solidFill>
                <a:srgbClr val="5B9BD5"/>
              </a:solidFill>
              <a:prstDash val="solid"/>
              <a:miter lim="800000"/>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oundRectCallout">
                  <a:avLst/>
                </a:prstGeom>
                <a:noFill/>
                <a:ln>
                  <a:noFill/>
                </a:ln>
              </c15:spPr>
              <c15:layout>
                <c:manualLayout>
                  <c:w val="0.10018577019189966"/>
                  <c:h val="0.12110040056652112"/>
                </c:manualLayout>
              </c15:layout>
              <c15:dlblFieldTable/>
              <c15:showDataLabelsRange val="0"/>
            </c:ext>
          </c:extLst>
        </c:dLbl>
      </c:pivotFmt>
      <c:pivotFmt>
        <c:idx val="11"/>
        <c:dLbl>
          <c:idx val="0"/>
          <c:layout>
            <c:manualLayout>
              <c:x val="-0.10379241516966067"/>
              <c:y val="9.5665171898355758E-2"/>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fld id="{AA5DC0A2-9AEE-46DF-9A2E-8F3179E6A69E}" type="CELLREF">
                  <a:rPr lang="en-US"/>
                  <a:pPr>
                    <a:defRPr sz="900" b="0" i="0" u="none" strike="noStrike" kern="1200" baseline="0">
                      <a:solidFill>
                        <a:schemeClr val="dk1"/>
                      </a:solidFill>
                      <a:latin typeface="+mn-lt"/>
                      <a:ea typeface="+mn-ea"/>
                      <a:cs typeface="+mn-cs"/>
                    </a:defRPr>
                  </a:pPr>
                  <a:t>[CELLREF]</a:t>
                </a:fld>
                <a:endParaRPr lang="en-AU"/>
              </a:p>
            </c:rich>
          </c:tx>
          <c:spPr>
            <a:solidFill>
              <a:sysClr val="window" lastClr="FFFFFF"/>
            </a:solidFill>
            <a:ln w="12700" cap="flat" cmpd="sng" algn="ctr">
              <a:solidFill>
                <a:srgbClr val="5B9BD5"/>
              </a:solidFill>
              <a:prstDash val="solid"/>
              <a:miter lim="800000"/>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oundRectCallout">
                  <a:avLst/>
                </a:prstGeom>
                <a:noFill/>
                <a:ln>
                  <a:noFill/>
                </a:ln>
              </c15:spPr>
              <c15:layout>
                <c:manualLayout>
                  <c:w val="0.11488058004725457"/>
                  <c:h val="5.5330594886401532E-2"/>
                </c:manualLayout>
              </c15:layout>
              <c15:dlblFieldTable/>
              <c15:showDataLabelsRange val="0"/>
            </c:ext>
          </c:extLst>
        </c:dLbl>
      </c:pivotFmt>
      <c:pivotFmt>
        <c:idx val="12"/>
        <c:dLbl>
          <c:idx val="0"/>
          <c:layout>
            <c:manualLayout>
              <c:x val="-8.649367930805155E-3"/>
              <c:y val="0.1723966118584952"/>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fld id="{BF888C08-995B-4B35-A84B-DBACD853939C}" type="CELLREF">
                  <a:rPr lang="en-US"/>
                  <a:pPr>
                    <a:defRPr sz="900" b="0" i="0" u="none" strike="noStrike" kern="1200" baseline="0">
                      <a:solidFill>
                        <a:schemeClr val="dk1"/>
                      </a:solidFill>
                      <a:latin typeface="+mn-lt"/>
                      <a:ea typeface="+mn-ea"/>
                      <a:cs typeface="+mn-cs"/>
                    </a:defRPr>
                  </a:pPr>
                  <a:t>[CELLREF]</a:t>
                </a:fld>
                <a:endParaRPr lang="en-AU"/>
              </a:p>
            </c:rich>
          </c:tx>
          <c:spPr>
            <a:solidFill>
              <a:sysClr val="window" lastClr="FFFFFF"/>
            </a:solidFill>
            <a:ln w="12700" cap="flat" cmpd="sng" algn="ctr">
              <a:solidFill>
                <a:srgbClr val="5B9BD5"/>
              </a:solidFill>
              <a:prstDash val="solid"/>
              <a:miter lim="800000"/>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oundRectCallout">
                  <a:avLst/>
                </a:prstGeom>
                <a:noFill/>
                <a:ln>
                  <a:noFill/>
                </a:ln>
              </c15:spPr>
              <c15:layout>
                <c:manualLayout>
                  <c:w val="9.3541316317496251E-2"/>
                  <c:h val="0.11711435173742296"/>
                </c:manualLayout>
              </c15:layout>
              <c15:dlblFieldTable/>
              <c15:showDataLabelsRange val="0"/>
            </c:ext>
          </c:extLst>
        </c:dLbl>
      </c:pivotFmt>
      <c:pivotFmt>
        <c:idx val="13"/>
        <c:dLbl>
          <c:idx val="0"/>
          <c:layout>
            <c:manualLayout>
              <c:x val="-0.13439781853615604"/>
              <c:y val="4.1853512705530643E-2"/>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fld id="{658D1C64-76AD-4387-B21E-F49BB5AEDF61}" type="CELLREF">
                  <a:rPr lang="en-US"/>
                  <a:pPr>
                    <a:defRPr sz="900" b="0" i="0" u="none" strike="noStrike" kern="1200" baseline="0">
                      <a:solidFill>
                        <a:schemeClr val="dk1"/>
                      </a:solidFill>
                      <a:latin typeface="+mn-lt"/>
                      <a:ea typeface="+mn-ea"/>
                      <a:cs typeface="+mn-cs"/>
                    </a:defRPr>
                  </a:pPr>
                  <a:t>[CELLREF]</a:t>
                </a:fld>
                <a:endParaRPr lang="en-AU"/>
              </a:p>
            </c:rich>
          </c:tx>
          <c:spPr>
            <a:solidFill>
              <a:sysClr val="window" lastClr="FFFFFF"/>
            </a:solidFill>
            <a:ln w="12700" cap="flat" cmpd="sng" algn="ctr">
              <a:solidFill>
                <a:srgbClr val="5B9BD5"/>
              </a:solidFill>
              <a:prstDash val="solid"/>
              <a:miter lim="800000"/>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oundRectCallout">
                  <a:avLst/>
                </a:prstGeom>
                <a:noFill/>
                <a:ln>
                  <a:noFill/>
                </a:ln>
              </c15:spPr>
              <c15:layout>
                <c:manualLayout>
                  <c:w val="0.10429105044504167"/>
                  <c:h val="0.11512132732287388"/>
                </c:manualLayout>
              </c15:layout>
              <c15:dlblFieldTable/>
              <c15:showDataLabelsRange val="0"/>
            </c:ext>
          </c:extLst>
        </c:dLbl>
      </c:pivotFmt>
      <c:pivotFmt>
        <c:idx val="14"/>
        <c:spPr>
          <a:solidFill>
            <a:schemeClr val="accent1"/>
          </a:solidFill>
          <a:ln w="28575" cap="rnd">
            <a:solidFill>
              <a:schemeClr val="accent1"/>
            </a:solidFill>
            <a:round/>
          </a:ln>
          <a:effectLst/>
        </c:spPr>
        <c:marker>
          <c:symbol val="none"/>
        </c:marker>
        <c:dLbl>
          <c:idx val="0"/>
          <c:layout>
            <c:manualLayout>
              <c:x val="-0.11443779108449767"/>
              <c:y val="0.1096163428001993"/>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fld id="{AA5DC0A2-9AEE-46DF-9A2E-8F3179E6A69E}" type="CELLREF">
                  <a:rPr lang="en-US"/>
                  <a:pPr>
                    <a:defRPr sz="900" b="0" i="0" u="none" strike="noStrike" kern="1200" baseline="0">
                      <a:solidFill>
                        <a:schemeClr val="dk1"/>
                      </a:solidFill>
                      <a:latin typeface="+mn-lt"/>
                      <a:ea typeface="+mn-ea"/>
                      <a:cs typeface="+mn-cs"/>
                    </a:defRPr>
                  </a:pPr>
                  <a:t>[CELLREF]</a:t>
                </a:fld>
                <a:endParaRPr lang="en-AU"/>
              </a:p>
            </c:rich>
          </c:tx>
          <c:spPr>
            <a:solidFill>
              <a:sysClr val="window" lastClr="FFFFFF"/>
            </a:solidFill>
            <a:ln w="12700" cap="flat" cmpd="sng" algn="ctr">
              <a:solidFill>
                <a:srgbClr val="5B9BD5"/>
              </a:solidFill>
              <a:prstDash val="solid"/>
              <a:miter lim="800000"/>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oundRectCallout">
                  <a:avLst/>
                </a:prstGeom>
                <a:noFill/>
                <a:ln>
                  <a:noFill/>
                </a:ln>
              </c15:spPr>
              <c15:layout>
                <c:manualLayout>
                  <c:w val="9.3589828217580578E-2"/>
                  <c:h val="8.3232936690088632E-2"/>
                </c:manualLayout>
              </c15:layout>
              <c15:dlblFieldTable/>
              <c15:showDataLabelsRange val="0"/>
            </c:ext>
          </c:extLst>
        </c:dLbl>
      </c:pivotFmt>
      <c:pivotFmt>
        <c:idx val="15"/>
        <c:spPr>
          <a:solidFill>
            <a:schemeClr val="accent1"/>
          </a:solidFill>
          <a:ln w="28575" cap="rnd">
            <a:solidFill>
              <a:schemeClr val="accent1"/>
            </a:solidFill>
            <a:round/>
          </a:ln>
          <a:effectLst/>
        </c:spPr>
        <c:marker>
          <c:symbol val="none"/>
        </c:marker>
        <c:dLbl>
          <c:idx val="0"/>
          <c:spPr>
            <a:solidFill>
              <a:sysClr val="window" lastClr="FFFFFF"/>
            </a:solidFill>
            <a:ln w="12700" cap="flat" cmpd="sng" algn="ctr">
              <a:solidFill>
                <a:srgbClr val="5B9BD5"/>
              </a:solidFill>
              <a:prstDash val="solid"/>
              <a:miter lim="800000"/>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0"/>
          <c:showSerName val="0"/>
          <c:showPercent val="0"/>
          <c:showBubbleSize val="0"/>
          <c:separator>
</c:separator>
          <c:extLst>
            <c:ext xmlns:c15="http://schemas.microsoft.com/office/drawing/2012/chart" uri="{CE6537A1-D6FC-4f65-9D91-7224C49458BB}">
              <c15:spPr xmlns:c15="http://schemas.microsoft.com/office/drawing/2012/chart">
                <a:prstGeom prst="wedgeRoundRectCallout">
                  <a:avLst/>
                </a:prstGeom>
                <a:noFill/>
                <a:ln>
                  <a:noFill/>
                </a:ln>
              </c15:spPr>
            </c:ext>
          </c:extLst>
        </c:dLbl>
      </c:pivotFmt>
      <c:pivotFmt>
        <c:idx val="16"/>
        <c:spPr>
          <a:solidFill>
            <a:schemeClr val="accent1"/>
          </a:solidFill>
          <a:ln w="28575" cap="rnd">
            <a:solidFill>
              <a:schemeClr val="accent1"/>
            </a:solidFill>
            <a:round/>
          </a:ln>
          <a:effectLst/>
        </c:spPr>
        <c:marker>
          <c:symbol val="none"/>
        </c:marker>
        <c:dLbl>
          <c:idx val="0"/>
          <c:layout>
            <c:manualLayout>
              <c:x val="-0.13439781853615604"/>
              <c:y val="4.1853512705530643E-2"/>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fld id="{658D1C64-76AD-4387-B21E-F49BB5AEDF61}" type="CELLREF">
                  <a:rPr lang="en-US"/>
                  <a:pPr>
                    <a:defRPr sz="900" b="0" i="0" u="none" strike="noStrike" kern="1200" baseline="0">
                      <a:solidFill>
                        <a:schemeClr val="dk1"/>
                      </a:solidFill>
                      <a:latin typeface="+mn-lt"/>
                      <a:ea typeface="+mn-ea"/>
                      <a:cs typeface="+mn-cs"/>
                    </a:defRPr>
                  </a:pPr>
                  <a:t>[CELLREF]</a:t>
                </a:fld>
                <a:endParaRPr lang="en-AU"/>
              </a:p>
            </c:rich>
          </c:tx>
          <c:spPr>
            <a:solidFill>
              <a:sysClr val="window" lastClr="FFFFFF"/>
            </a:solidFill>
            <a:ln w="12700" cap="flat" cmpd="sng" algn="ctr">
              <a:solidFill>
                <a:srgbClr val="5B9BD5"/>
              </a:solidFill>
              <a:prstDash val="solid"/>
              <a:miter lim="800000"/>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oundRectCallout">
                  <a:avLst/>
                </a:prstGeom>
                <a:noFill/>
                <a:ln>
                  <a:noFill/>
                </a:ln>
              </c15:spPr>
              <c15:layout>
                <c:manualLayout>
                  <c:w val="0.10429105044504167"/>
                  <c:h val="0.11512132732287388"/>
                </c:manualLayout>
              </c15:layout>
              <c15:dlblFieldTable/>
              <c15:showDataLabelsRange val="0"/>
            </c:ext>
          </c:extLst>
        </c:dLbl>
      </c:pivotFmt>
      <c:pivotFmt>
        <c:idx val="17"/>
        <c:spPr>
          <a:solidFill>
            <a:schemeClr val="accent1"/>
          </a:solidFill>
          <a:ln w="28575" cap="rnd">
            <a:solidFill>
              <a:schemeClr val="accent1"/>
            </a:solidFill>
            <a:round/>
          </a:ln>
          <a:effectLst/>
        </c:spPr>
        <c:marker>
          <c:symbol val="none"/>
        </c:marker>
        <c:dLbl>
          <c:idx val="0"/>
          <c:layout>
            <c:manualLayout>
              <c:x val="-8.649367930805155E-3"/>
              <c:y val="0.1723966118584952"/>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fld id="{BF888C08-995B-4B35-A84B-DBACD853939C}" type="CELLREF">
                  <a:rPr lang="en-US"/>
                  <a:pPr>
                    <a:defRPr sz="900" b="0" i="0" u="none" strike="noStrike" kern="1200" baseline="0">
                      <a:solidFill>
                        <a:schemeClr val="dk1"/>
                      </a:solidFill>
                      <a:latin typeface="+mn-lt"/>
                      <a:ea typeface="+mn-ea"/>
                      <a:cs typeface="+mn-cs"/>
                    </a:defRPr>
                  </a:pPr>
                  <a:t>[CELLREF]</a:t>
                </a:fld>
                <a:endParaRPr lang="en-AU"/>
              </a:p>
            </c:rich>
          </c:tx>
          <c:spPr>
            <a:solidFill>
              <a:sysClr val="window" lastClr="FFFFFF"/>
            </a:solidFill>
            <a:ln w="12700" cap="flat" cmpd="sng" algn="ctr">
              <a:solidFill>
                <a:srgbClr val="5B9BD5"/>
              </a:solidFill>
              <a:prstDash val="solid"/>
              <a:miter lim="800000"/>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oundRectCallout">
                  <a:avLst/>
                </a:prstGeom>
                <a:noFill/>
                <a:ln>
                  <a:noFill/>
                </a:ln>
              </c15:spPr>
              <c15:layout>
                <c:manualLayout>
                  <c:w val="9.3541316317496251E-2"/>
                  <c:h val="0.11711435173742296"/>
                </c:manualLayout>
              </c15:layout>
              <c15:dlblFieldTable/>
              <c15:showDataLabelsRange val="0"/>
            </c:ext>
          </c:extLst>
        </c:dLbl>
      </c:pivotFmt>
      <c:pivotFmt>
        <c:idx val="18"/>
        <c:spPr>
          <a:solidFill>
            <a:schemeClr val="accent1"/>
          </a:solidFill>
          <a:ln w="28575" cap="rnd">
            <a:solidFill>
              <a:schemeClr val="accent1"/>
            </a:solidFill>
            <a:round/>
          </a:ln>
          <a:effectLst/>
        </c:spPr>
        <c:marker>
          <c:symbol val="none"/>
        </c:marker>
        <c:dLbl>
          <c:idx val="0"/>
          <c:layout>
            <c:manualLayout>
              <c:x val="-9.1816314876808067E-2"/>
              <c:y val="-0.17638266068759342"/>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fld id="{0077E267-DEB6-4C87-A980-B840B63C45A4}" type="CELLREF">
                  <a:rPr lang="en-US"/>
                  <a:pPr>
                    <a:defRPr sz="900" b="0" i="0" u="none" strike="noStrike" kern="1200" baseline="0">
                      <a:solidFill>
                        <a:schemeClr val="dk1"/>
                      </a:solidFill>
                      <a:latin typeface="+mn-lt"/>
                      <a:ea typeface="+mn-ea"/>
                      <a:cs typeface="+mn-cs"/>
                    </a:defRPr>
                  </a:pPr>
                  <a:t>[CELLREF]</a:t>
                </a:fld>
                <a:endParaRPr lang="en-AU"/>
              </a:p>
            </c:rich>
          </c:tx>
          <c:spPr>
            <a:solidFill>
              <a:sysClr val="window" lastClr="FFFFFF"/>
            </a:solidFill>
            <a:ln w="12700" cap="flat" cmpd="sng" algn="ctr">
              <a:solidFill>
                <a:srgbClr val="5B9BD5"/>
              </a:solidFill>
              <a:prstDash val="solid"/>
              <a:miter lim="800000"/>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oundRectCallout">
                  <a:avLst/>
                </a:prstGeom>
                <a:noFill/>
                <a:ln>
                  <a:noFill/>
                </a:ln>
              </c15:spPr>
              <c15:layout>
                <c:manualLayout>
                  <c:w val="0.10018577019189966"/>
                  <c:h val="0.12110040056652112"/>
                </c:manualLayout>
              </c15:layout>
              <c15:dlblFieldTable/>
              <c15:showDataLabelsRange val="0"/>
            </c:ext>
          </c:extLst>
        </c:dLbl>
      </c:pivotFmt>
      <c:pivotFmt>
        <c:idx val="19"/>
        <c:spPr>
          <a:solidFill>
            <a:schemeClr val="accent1"/>
          </a:solidFill>
          <a:ln w="28575" cap="rnd">
            <a:solidFill>
              <a:schemeClr val="accent1"/>
            </a:solidFill>
            <a:round/>
          </a:ln>
          <a:effectLst/>
        </c:spPr>
        <c:marker>
          <c:symbol val="none"/>
        </c:marker>
        <c:dLbl>
          <c:idx val="0"/>
          <c:layout>
            <c:manualLayout>
              <c:x val="1.1976047904191617E-2"/>
              <c:y val="0.13153961136023909"/>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fld id="{B25AD5B2-39BC-413F-9E60-A69D3FCEA8E2}" type="CELLREF">
                  <a:rPr lang="en-US"/>
                  <a:pPr>
                    <a:defRPr sz="900" b="0" i="0" u="none" strike="noStrike" kern="1200" baseline="0">
                      <a:solidFill>
                        <a:schemeClr val="dk1"/>
                      </a:solidFill>
                      <a:latin typeface="+mn-lt"/>
                      <a:ea typeface="+mn-ea"/>
                      <a:cs typeface="+mn-cs"/>
                    </a:defRPr>
                  </a:pPr>
                  <a:t>[CELLREF]</a:t>
                </a:fld>
                <a:endParaRPr lang="en-AU"/>
              </a:p>
            </c:rich>
          </c:tx>
          <c:spPr>
            <a:solidFill>
              <a:sysClr val="window" lastClr="FFFFFF"/>
            </a:solidFill>
            <a:ln w="12700" cap="flat" cmpd="sng" algn="ctr">
              <a:solidFill>
                <a:srgbClr val="5B9BD5"/>
              </a:solidFill>
              <a:prstDash val="solid"/>
              <a:miter lim="800000"/>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oundRectCallout">
                  <a:avLst/>
                </a:prstGeom>
                <a:noFill/>
                <a:ln>
                  <a:noFill/>
                </a:ln>
              </c15:spPr>
              <c15:layout>
                <c:manualLayout>
                  <c:w val="0.10037405503952725"/>
                  <c:h val="0.11378709948251985"/>
                </c:manualLayout>
              </c15:layout>
              <c15:dlblFieldTable/>
              <c15:showDataLabelsRange val="0"/>
            </c:ext>
          </c:extLst>
        </c:dLbl>
      </c:pivotFmt>
      <c:pivotFmt>
        <c:idx val="20"/>
        <c:spPr>
          <a:solidFill>
            <a:schemeClr val="accent1"/>
          </a:solidFill>
          <a:ln w="28575" cap="rnd">
            <a:solidFill>
              <a:schemeClr val="accent1"/>
            </a:solidFill>
            <a:round/>
          </a:ln>
          <a:effectLst/>
        </c:spPr>
        <c:marker>
          <c:symbol val="none"/>
        </c:marker>
        <c:dLbl>
          <c:idx val="0"/>
          <c:layout>
            <c:manualLayout>
              <c:x val="-2.9940119760479042E-2"/>
              <c:y val="-0.12257076609818392"/>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fld id="{03858C4C-1298-443A-BFD2-EA0C86511FBE}" type="CELLREF">
                  <a:rPr lang="en-US">
                    <a:solidFill>
                      <a:schemeClr val="dk1"/>
                    </a:solidFill>
                    <a:latin typeface="+mn-lt"/>
                    <a:ea typeface="+mn-ea"/>
                    <a:cs typeface="+mn-cs"/>
                  </a:rPr>
                  <a:pPr>
                    <a:defRPr sz="900" b="0" i="0" u="none" strike="noStrike" kern="1200" baseline="0">
                      <a:solidFill>
                        <a:schemeClr val="dk1"/>
                      </a:solidFill>
                      <a:latin typeface="+mn-lt"/>
                      <a:ea typeface="+mn-ea"/>
                      <a:cs typeface="+mn-cs"/>
                    </a:defRPr>
                  </a:pPr>
                  <a:t>[CELLREF]</a:t>
                </a:fld>
                <a:endParaRPr lang="en-AU"/>
              </a:p>
            </c:rich>
          </c:tx>
          <c:spPr>
            <a:solidFill>
              <a:sysClr val="window" lastClr="FFFFFF"/>
            </a:solidFill>
            <a:ln w="12700" cap="flat" cmpd="sng" algn="ctr">
              <a:solidFill>
                <a:srgbClr val="5B9BD5"/>
              </a:solidFill>
              <a:prstDash val="solid"/>
              <a:miter lim="800000"/>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oundRectCallout">
                  <a:avLst/>
                </a:prstGeom>
                <a:noFill/>
                <a:ln>
                  <a:noFill/>
                </a:ln>
              </c15:spPr>
              <c15:layout>
                <c:manualLayout>
                  <c:w val="9.0593825472414749E-2"/>
                  <c:h val="6.4203006014382724E-2"/>
                </c:manualLayout>
              </c15:layout>
              <c15:dlblFieldTable/>
              <c15:showDataLabelsRange val="0"/>
            </c:ext>
          </c:extLst>
        </c:dLbl>
      </c:pivotFmt>
      <c:pivotFmt>
        <c:idx val="21"/>
        <c:spPr>
          <a:solidFill>
            <a:schemeClr val="accent1"/>
          </a:solidFill>
          <a:ln w="28575" cap="rnd">
            <a:solidFill>
              <a:schemeClr val="accent1"/>
            </a:solidFill>
            <a:round/>
          </a:ln>
          <a:effectLst/>
        </c:spPr>
        <c:marker>
          <c:symbol val="none"/>
        </c:marker>
        <c:dLbl>
          <c:idx val="0"/>
          <c:spPr>
            <a:solidFill>
              <a:sysClr val="window" lastClr="FFFFFF"/>
            </a:solidFill>
            <a:ln w="12700" cap="flat" cmpd="sng" algn="ctr">
              <a:solidFill>
                <a:srgbClr val="5B9BD5"/>
              </a:solidFill>
              <a:prstDash val="solid"/>
              <a:miter lim="800000"/>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0"/>
          <c:showSerName val="0"/>
          <c:showPercent val="0"/>
          <c:showBubbleSize val="0"/>
          <c:separator>
</c:separator>
          <c:extLst>
            <c:ext xmlns:c15="http://schemas.microsoft.com/office/drawing/2012/chart" uri="{CE6537A1-D6FC-4f65-9D91-7224C49458BB}">
              <c15:spPr xmlns:c15="http://schemas.microsoft.com/office/drawing/2012/chart">
                <a:prstGeom prst="wedgeRoundRectCallout">
                  <a:avLst/>
                </a:prstGeom>
                <a:noFill/>
                <a:ln>
                  <a:noFill/>
                </a:ln>
              </c15:spPr>
            </c:ext>
          </c:extLst>
        </c:dLbl>
      </c:pivotFmt>
      <c:pivotFmt>
        <c:idx val="22"/>
        <c:spPr>
          <a:solidFill>
            <a:schemeClr val="accent1"/>
          </a:solidFill>
          <a:ln w="28575" cap="rnd">
            <a:solidFill>
              <a:schemeClr val="accent1"/>
            </a:solidFill>
            <a:round/>
          </a:ln>
          <a:effectLst/>
        </c:spPr>
        <c:marker>
          <c:symbol val="none"/>
        </c:marker>
        <c:dLbl>
          <c:idx val="0"/>
          <c:layout>
            <c:manualLayout>
              <c:x val="-0.13439781853615604"/>
              <c:y val="4.1853512705530643E-2"/>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fld id="{658D1C64-76AD-4387-B21E-F49BB5AEDF61}" type="CELLREF">
                  <a:rPr lang="en-US"/>
                  <a:pPr>
                    <a:defRPr sz="900" b="0" i="0" u="none" strike="noStrike" kern="1200" baseline="0">
                      <a:solidFill>
                        <a:schemeClr val="dk1"/>
                      </a:solidFill>
                      <a:latin typeface="+mn-lt"/>
                      <a:ea typeface="+mn-ea"/>
                      <a:cs typeface="+mn-cs"/>
                    </a:defRPr>
                  </a:pPr>
                  <a:t>[CELLREF]</a:t>
                </a:fld>
                <a:endParaRPr lang="en-AU"/>
              </a:p>
            </c:rich>
          </c:tx>
          <c:spPr>
            <a:solidFill>
              <a:sysClr val="window" lastClr="FFFFFF"/>
            </a:solidFill>
            <a:ln w="12700" cap="flat" cmpd="sng" algn="ctr">
              <a:solidFill>
                <a:srgbClr val="5B9BD5"/>
              </a:solidFill>
              <a:prstDash val="solid"/>
              <a:miter lim="800000"/>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oundRectCallout">
                  <a:avLst/>
                </a:prstGeom>
                <a:noFill/>
                <a:ln>
                  <a:noFill/>
                </a:ln>
              </c15:spPr>
              <c15:layout>
                <c:manualLayout>
                  <c:w val="0.10429105044504167"/>
                  <c:h val="0.11512132732287388"/>
                </c:manualLayout>
              </c15:layout>
              <c15:dlblFieldTable/>
              <c15:showDataLabelsRange val="0"/>
            </c:ext>
          </c:extLst>
        </c:dLbl>
      </c:pivotFmt>
      <c:pivotFmt>
        <c:idx val="23"/>
        <c:spPr>
          <a:solidFill>
            <a:schemeClr val="accent1"/>
          </a:solidFill>
          <a:ln w="28575" cap="rnd">
            <a:solidFill>
              <a:schemeClr val="accent1"/>
            </a:solidFill>
            <a:round/>
          </a:ln>
          <a:effectLst/>
        </c:spPr>
        <c:marker>
          <c:symbol val="none"/>
        </c:marker>
        <c:dLbl>
          <c:idx val="0"/>
          <c:layout>
            <c:manualLayout>
              <c:x val="-0.11443779108449767"/>
              <c:y val="0.1096163428001993"/>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fld id="{AA5DC0A2-9AEE-46DF-9A2E-8F3179E6A69E}" type="CELLREF">
                  <a:rPr lang="en-US"/>
                  <a:pPr>
                    <a:defRPr sz="900" b="0" i="0" u="none" strike="noStrike" kern="1200" baseline="0">
                      <a:solidFill>
                        <a:schemeClr val="dk1"/>
                      </a:solidFill>
                      <a:latin typeface="+mn-lt"/>
                      <a:ea typeface="+mn-ea"/>
                      <a:cs typeface="+mn-cs"/>
                    </a:defRPr>
                  </a:pPr>
                  <a:t>[CELLREF]</a:t>
                </a:fld>
                <a:endParaRPr lang="en-AU"/>
              </a:p>
            </c:rich>
          </c:tx>
          <c:spPr>
            <a:solidFill>
              <a:sysClr val="window" lastClr="FFFFFF"/>
            </a:solidFill>
            <a:ln w="12700" cap="flat" cmpd="sng" algn="ctr">
              <a:solidFill>
                <a:srgbClr val="5B9BD5"/>
              </a:solidFill>
              <a:prstDash val="solid"/>
              <a:miter lim="800000"/>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oundRectCallout">
                  <a:avLst/>
                </a:prstGeom>
                <a:noFill/>
                <a:ln>
                  <a:noFill/>
                </a:ln>
              </c15:spPr>
              <c15:layout>
                <c:manualLayout>
                  <c:w val="9.3589828217580578E-2"/>
                  <c:h val="8.3232936690088632E-2"/>
                </c:manualLayout>
              </c15:layout>
              <c15:dlblFieldTable/>
              <c15:showDataLabelsRange val="0"/>
            </c:ext>
          </c:extLst>
        </c:dLbl>
      </c:pivotFmt>
      <c:pivotFmt>
        <c:idx val="24"/>
        <c:spPr>
          <a:solidFill>
            <a:schemeClr val="accent1"/>
          </a:solidFill>
          <a:ln w="28575" cap="rnd">
            <a:solidFill>
              <a:schemeClr val="accent1"/>
            </a:solidFill>
            <a:round/>
          </a:ln>
          <a:effectLst/>
        </c:spPr>
        <c:marker>
          <c:symbol val="none"/>
        </c:marker>
        <c:dLbl>
          <c:idx val="0"/>
          <c:layout>
            <c:manualLayout>
              <c:x val="-8.649367930805155E-3"/>
              <c:y val="0.1723966118584952"/>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fld id="{BF888C08-995B-4B35-A84B-DBACD853939C}" type="CELLREF">
                  <a:rPr lang="en-US"/>
                  <a:pPr>
                    <a:defRPr sz="900" b="0" i="0" u="none" strike="noStrike" kern="1200" baseline="0">
                      <a:solidFill>
                        <a:schemeClr val="dk1"/>
                      </a:solidFill>
                      <a:latin typeface="+mn-lt"/>
                      <a:ea typeface="+mn-ea"/>
                      <a:cs typeface="+mn-cs"/>
                    </a:defRPr>
                  </a:pPr>
                  <a:t>[CELLREF]</a:t>
                </a:fld>
                <a:endParaRPr lang="en-AU"/>
              </a:p>
            </c:rich>
          </c:tx>
          <c:spPr>
            <a:solidFill>
              <a:sysClr val="window" lastClr="FFFFFF"/>
            </a:solidFill>
            <a:ln w="12700" cap="flat" cmpd="sng" algn="ctr">
              <a:solidFill>
                <a:srgbClr val="5B9BD5"/>
              </a:solidFill>
              <a:prstDash val="solid"/>
              <a:miter lim="800000"/>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oundRectCallout">
                  <a:avLst/>
                </a:prstGeom>
                <a:noFill/>
                <a:ln>
                  <a:noFill/>
                </a:ln>
              </c15:spPr>
              <c15:layout>
                <c:manualLayout>
                  <c:w val="9.3541316317496251E-2"/>
                  <c:h val="0.11711435173742296"/>
                </c:manualLayout>
              </c15:layout>
              <c15:dlblFieldTable/>
              <c15:showDataLabelsRange val="0"/>
            </c:ext>
          </c:extLst>
        </c:dLbl>
      </c:pivotFmt>
      <c:pivotFmt>
        <c:idx val="25"/>
        <c:spPr>
          <a:solidFill>
            <a:schemeClr val="accent1"/>
          </a:solidFill>
          <a:ln w="28575" cap="rnd">
            <a:solidFill>
              <a:schemeClr val="accent1"/>
            </a:solidFill>
            <a:round/>
          </a:ln>
          <a:effectLst/>
        </c:spPr>
        <c:marker>
          <c:symbol val="none"/>
        </c:marker>
        <c:dLbl>
          <c:idx val="0"/>
          <c:layout>
            <c:manualLayout>
              <c:x val="-9.1816314876808067E-2"/>
              <c:y val="-0.17638266068759342"/>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fld id="{0077E267-DEB6-4C87-A980-B840B63C45A4}" type="CELLREF">
                  <a:rPr lang="en-US"/>
                  <a:pPr>
                    <a:defRPr sz="900" b="0" i="0" u="none" strike="noStrike" kern="1200" baseline="0">
                      <a:solidFill>
                        <a:schemeClr val="dk1"/>
                      </a:solidFill>
                      <a:latin typeface="+mn-lt"/>
                      <a:ea typeface="+mn-ea"/>
                      <a:cs typeface="+mn-cs"/>
                    </a:defRPr>
                  </a:pPr>
                  <a:t>[CELLREF]</a:t>
                </a:fld>
                <a:endParaRPr lang="en-AU"/>
              </a:p>
            </c:rich>
          </c:tx>
          <c:spPr>
            <a:solidFill>
              <a:sysClr val="window" lastClr="FFFFFF"/>
            </a:solidFill>
            <a:ln w="12700" cap="flat" cmpd="sng" algn="ctr">
              <a:solidFill>
                <a:srgbClr val="5B9BD5"/>
              </a:solidFill>
              <a:prstDash val="solid"/>
              <a:miter lim="800000"/>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oundRectCallout">
                  <a:avLst/>
                </a:prstGeom>
                <a:noFill/>
                <a:ln>
                  <a:noFill/>
                </a:ln>
              </c15:spPr>
              <c15:layout>
                <c:manualLayout>
                  <c:w val="0.10018577019189966"/>
                  <c:h val="0.12110040056652112"/>
                </c:manualLayout>
              </c15:layout>
              <c15:dlblFieldTable/>
              <c15:showDataLabelsRange val="0"/>
            </c:ext>
          </c:extLst>
        </c:dLbl>
      </c:pivotFmt>
      <c:pivotFmt>
        <c:idx val="26"/>
        <c:spPr>
          <a:solidFill>
            <a:schemeClr val="accent1"/>
          </a:solidFill>
          <a:ln w="28575" cap="rnd">
            <a:solidFill>
              <a:schemeClr val="accent1"/>
            </a:solidFill>
            <a:round/>
          </a:ln>
          <a:effectLst/>
        </c:spPr>
        <c:marker>
          <c:symbol val="none"/>
        </c:marker>
        <c:dLbl>
          <c:idx val="0"/>
          <c:layout>
            <c:manualLayout>
              <c:x val="1.1976047904191617E-2"/>
              <c:y val="0.13153961136023909"/>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fld id="{B25AD5B2-39BC-413F-9E60-A69D3FCEA8E2}" type="CELLREF">
                  <a:rPr lang="en-US"/>
                  <a:pPr>
                    <a:defRPr sz="900" b="0" i="0" u="none" strike="noStrike" kern="1200" baseline="0">
                      <a:solidFill>
                        <a:schemeClr val="dk1"/>
                      </a:solidFill>
                      <a:latin typeface="+mn-lt"/>
                      <a:ea typeface="+mn-ea"/>
                      <a:cs typeface="+mn-cs"/>
                    </a:defRPr>
                  </a:pPr>
                  <a:t>[CELLREF]</a:t>
                </a:fld>
                <a:endParaRPr lang="en-AU"/>
              </a:p>
            </c:rich>
          </c:tx>
          <c:spPr>
            <a:solidFill>
              <a:sysClr val="window" lastClr="FFFFFF"/>
            </a:solidFill>
            <a:ln w="12700" cap="flat" cmpd="sng" algn="ctr">
              <a:solidFill>
                <a:srgbClr val="5B9BD5"/>
              </a:solidFill>
              <a:prstDash val="solid"/>
              <a:miter lim="800000"/>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oundRectCallout">
                  <a:avLst/>
                </a:prstGeom>
                <a:noFill/>
                <a:ln>
                  <a:noFill/>
                </a:ln>
              </c15:spPr>
              <c15:layout>
                <c:manualLayout>
                  <c:w val="0.10037405503952725"/>
                  <c:h val="0.11378709948251985"/>
                </c:manualLayout>
              </c15:layout>
              <c15:dlblFieldTable/>
              <c15:showDataLabelsRange val="0"/>
            </c:ext>
          </c:extLst>
        </c:dLbl>
      </c:pivotFmt>
      <c:pivotFmt>
        <c:idx val="27"/>
        <c:spPr>
          <a:solidFill>
            <a:schemeClr val="accent1"/>
          </a:solidFill>
          <a:ln w="28575" cap="rnd">
            <a:solidFill>
              <a:schemeClr val="accent1"/>
            </a:solidFill>
            <a:round/>
          </a:ln>
          <a:effectLst/>
        </c:spPr>
        <c:marker>
          <c:symbol val="none"/>
        </c:marker>
        <c:dLbl>
          <c:idx val="0"/>
          <c:layout>
            <c:manualLayout>
              <c:x val="-2.9940119760479042E-2"/>
              <c:y val="-0.12257076609818392"/>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fld id="{03858C4C-1298-443A-BFD2-EA0C86511FBE}" type="CELLREF">
                  <a:rPr lang="en-US">
                    <a:solidFill>
                      <a:schemeClr val="dk1"/>
                    </a:solidFill>
                    <a:latin typeface="+mn-lt"/>
                    <a:ea typeface="+mn-ea"/>
                    <a:cs typeface="+mn-cs"/>
                  </a:rPr>
                  <a:pPr>
                    <a:defRPr sz="900" b="0" i="0" u="none" strike="noStrike" kern="1200" baseline="0">
                      <a:solidFill>
                        <a:schemeClr val="dk1"/>
                      </a:solidFill>
                      <a:latin typeface="+mn-lt"/>
                      <a:ea typeface="+mn-ea"/>
                      <a:cs typeface="+mn-cs"/>
                    </a:defRPr>
                  </a:pPr>
                  <a:t>[CELLREF]</a:t>
                </a:fld>
                <a:endParaRPr lang="en-AU"/>
              </a:p>
            </c:rich>
          </c:tx>
          <c:spPr>
            <a:solidFill>
              <a:sysClr val="window" lastClr="FFFFFF"/>
            </a:solidFill>
            <a:ln w="12700" cap="flat" cmpd="sng" algn="ctr">
              <a:solidFill>
                <a:srgbClr val="5B9BD5"/>
              </a:solidFill>
              <a:prstDash val="solid"/>
              <a:miter lim="800000"/>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oundRectCallout">
                  <a:avLst/>
                </a:prstGeom>
                <a:noFill/>
                <a:ln>
                  <a:noFill/>
                </a:ln>
              </c15:spPr>
              <c15:layout>
                <c:manualLayout>
                  <c:w val="9.0593825472414749E-2"/>
                  <c:h val="6.4203006014382724E-2"/>
                </c:manualLayout>
              </c15:layout>
              <c15:dlblFieldTable/>
              <c15:showDataLabelsRange val="0"/>
            </c:ext>
          </c:extLst>
        </c:dLbl>
      </c:pivotFmt>
      <c:pivotFmt>
        <c:idx val="28"/>
        <c:spPr>
          <a:solidFill>
            <a:schemeClr val="accent1"/>
          </a:solidFill>
          <a:ln w="28575" cap="rnd">
            <a:solidFill>
              <a:schemeClr val="accent1"/>
            </a:solidFill>
            <a:round/>
          </a:ln>
          <a:effectLst/>
        </c:spPr>
        <c:marker>
          <c:symbol val="none"/>
        </c:marker>
        <c:dLbl>
          <c:idx val="0"/>
          <c:spPr>
            <a:solidFill>
              <a:sysClr val="window" lastClr="FFFFFF"/>
            </a:solidFill>
            <a:ln w="12700" cap="flat" cmpd="sng" algn="ctr">
              <a:solidFill>
                <a:srgbClr val="5B9BD5"/>
              </a:solidFill>
              <a:prstDash val="solid"/>
              <a:miter lim="800000"/>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0"/>
          <c:showSerName val="0"/>
          <c:showPercent val="0"/>
          <c:showBubbleSize val="0"/>
          <c:separator>
</c:separator>
          <c:extLst>
            <c:ext xmlns:c15="http://schemas.microsoft.com/office/drawing/2012/chart" uri="{CE6537A1-D6FC-4f65-9D91-7224C49458BB}">
              <c15:spPr xmlns:c15="http://schemas.microsoft.com/office/drawing/2012/chart">
                <a:prstGeom prst="wedgeRoundRectCallout">
                  <a:avLst/>
                </a:prstGeom>
                <a:noFill/>
                <a:ln>
                  <a:noFill/>
                </a:ln>
              </c15:spPr>
            </c:ext>
          </c:extLst>
        </c:dLbl>
      </c:pivotFmt>
      <c:pivotFmt>
        <c:idx val="29"/>
        <c:spPr>
          <a:solidFill>
            <a:schemeClr val="accent1"/>
          </a:solidFill>
          <a:ln w="28575" cap="rnd">
            <a:solidFill>
              <a:schemeClr val="accent1"/>
            </a:solidFill>
            <a:round/>
          </a:ln>
          <a:effectLst/>
        </c:spPr>
        <c:marker>
          <c:symbol val="none"/>
        </c:marker>
        <c:dLbl>
          <c:idx val="0"/>
          <c:layout>
            <c:manualLayout>
              <c:x val="-0.13439781853615604"/>
              <c:y val="4.1853512705530643E-2"/>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fld id="{658D1C64-76AD-4387-B21E-F49BB5AEDF61}" type="CELLREF">
                  <a:rPr lang="en-US"/>
                  <a:pPr>
                    <a:defRPr sz="900" b="0" i="0" u="none" strike="noStrike" kern="1200" baseline="0">
                      <a:solidFill>
                        <a:schemeClr val="dk1"/>
                      </a:solidFill>
                      <a:latin typeface="+mn-lt"/>
                      <a:ea typeface="+mn-ea"/>
                      <a:cs typeface="+mn-cs"/>
                    </a:defRPr>
                  </a:pPr>
                  <a:t>[CELLREF]</a:t>
                </a:fld>
                <a:endParaRPr lang="en-AU"/>
              </a:p>
            </c:rich>
          </c:tx>
          <c:spPr>
            <a:solidFill>
              <a:sysClr val="window" lastClr="FFFFFF"/>
            </a:solidFill>
            <a:ln w="12700" cap="flat" cmpd="sng" algn="ctr">
              <a:solidFill>
                <a:srgbClr val="5B9BD5"/>
              </a:solidFill>
              <a:prstDash val="solid"/>
              <a:miter lim="800000"/>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oundRectCallout">
                  <a:avLst/>
                </a:prstGeom>
                <a:noFill/>
                <a:ln>
                  <a:noFill/>
                </a:ln>
              </c15:spPr>
              <c15:layout>
                <c:manualLayout>
                  <c:w val="0.10429105044504167"/>
                  <c:h val="0.11512132732287388"/>
                </c:manualLayout>
              </c15:layout>
              <c15:dlblFieldTable/>
              <c15:showDataLabelsRange val="0"/>
            </c:ext>
          </c:extLst>
        </c:dLbl>
      </c:pivotFmt>
      <c:pivotFmt>
        <c:idx val="30"/>
        <c:spPr>
          <a:solidFill>
            <a:schemeClr val="accent1"/>
          </a:solidFill>
          <a:ln w="28575" cap="rnd">
            <a:solidFill>
              <a:schemeClr val="accent1"/>
            </a:solidFill>
            <a:round/>
          </a:ln>
          <a:effectLst/>
        </c:spPr>
        <c:marker>
          <c:symbol val="none"/>
        </c:marker>
        <c:dLbl>
          <c:idx val="0"/>
          <c:layout>
            <c:manualLayout>
              <c:x val="-0.11443779108449767"/>
              <c:y val="0.1096163428001993"/>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fld id="{AA5DC0A2-9AEE-46DF-9A2E-8F3179E6A69E}" type="CELLREF">
                  <a:rPr lang="en-US"/>
                  <a:pPr>
                    <a:defRPr sz="900" b="0" i="0" u="none" strike="noStrike" kern="1200" baseline="0">
                      <a:solidFill>
                        <a:schemeClr val="dk1"/>
                      </a:solidFill>
                      <a:latin typeface="+mn-lt"/>
                      <a:ea typeface="+mn-ea"/>
                      <a:cs typeface="+mn-cs"/>
                    </a:defRPr>
                  </a:pPr>
                  <a:t>[CELLREF]</a:t>
                </a:fld>
                <a:endParaRPr lang="en-AU"/>
              </a:p>
            </c:rich>
          </c:tx>
          <c:spPr>
            <a:solidFill>
              <a:sysClr val="window" lastClr="FFFFFF"/>
            </a:solidFill>
            <a:ln w="12700" cap="flat" cmpd="sng" algn="ctr">
              <a:solidFill>
                <a:srgbClr val="5B9BD5"/>
              </a:solidFill>
              <a:prstDash val="solid"/>
              <a:miter lim="800000"/>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oundRectCallout">
                  <a:avLst/>
                </a:prstGeom>
                <a:noFill/>
                <a:ln>
                  <a:noFill/>
                </a:ln>
              </c15:spPr>
              <c15:layout>
                <c:manualLayout>
                  <c:w val="9.3589828217580578E-2"/>
                  <c:h val="8.3232936690088632E-2"/>
                </c:manualLayout>
              </c15:layout>
              <c15:dlblFieldTable/>
              <c15:showDataLabelsRange val="0"/>
            </c:ext>
          </c:extLst>
        </c:dLbl>
      </c:pivotFmt>
      <c:pivotFmt>
        <c:idx val="31"/>
        <c:spPr>
          <a:solidFill>
            <a:schemeClr val="accent1"/>
          </a:solidFill>
          <a:ln w="28575" cap="rnd">
            <a:solidFill>
              <a:schemeClr val="accent1"/>
            </a:solidFill>
            <a:round/>
          </a:ln>
          <a:effectLst/>
        </c:spPr>
        <c:marker>
          <c:symbol val="none"/>
        </c:marker>
        <c:dLbl>
          <c:idx val="0"/>
          <c:layout>
            <c:manualLayout>
              <c:x val="-8.649367930805155E-3"/>
              <c:y val="0.1723966118584952"/>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fld id="{BF888C08-995B-4B35-A84B-DBACD853939C}" type="CELLREF">
                  <a:rPr lang="en-US"/>
                  <a:pPr>
                    <a:defRPr sz="900" b="0" i="0" u="none" strike="noStrike" kern="1200" baseline="0">
                      <a:solidFill>
                        <a:schemeClr val="dk1"/>
                      </a:solidFill>
                      <a:latin typeface="+mn-lt"/>
                      <a:ea typeface="+mn-ea"/>
                      <a:cs typeface="+mn-cs"/>
                    </a:defRPr>
                  </a:pPr>
                  <a:t>[CELLREF]</a:t>
                </a:fld>
                <a:endParaRPr lang="en-AU"/>
              </a:p>
            </c:rich>
          </c:tx>
          <c:spPr>
            <a:solidFill>
              <a:sysClr val="window" lastClr="FFFFFF"/>
            </a:solidFill>
            <a:ln w="12700" cap="flat" cmpd="sng" algn="ctr">
              <a:solidFill>
                <a:srgbClr val="5B9BD5"/>
              </a:solidFill>
              <a:prstDash val="solid"/>
              <a:miter lim="800000"/>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oundRectCallout">
                  <a:avLst/>
                </a:prstGeom>
                <a:noFill/>
                <a:ln>
                  <a:noFill/>
                </a:ln>
              </c15:spPr>
              <c15:layout>
                <c:manualLayout>
                  <c:w val="9.3541316317496251E-2"/>
                  <c:h val="0.11711435173742296"/>
                </c:manualLayout>
              </c15:layout>
              <c15:dlblFieldTable/>
              <c15:showDataLabelsRange val="0"/>
            </c:ext>
          </c:extLst>
        </c:dLbl>
      </c:pivotFmt>
      <c:pivotFmt>
        <c:idx val="32"/>
        <c:spPr>
          <a:solidFill>
            <a:schemeClr val="accent1"/>
          </a:solidFill>
          <a:ln w="28575" cap="rnd">
            <a:solidFill>
              <a:schemeClr val="accent1"/>
            </a:solidFill>
            <a:round/>
          </a:ln>
          <a:effectLst/>
        </c:spPr>
        <c:marker>
          <c:symbol val="none"/>
        </c:marker>
        <c:dLbl>
          <c:idx val="0"/>
          <c:layout>
            <c:manualLayout>
              <c:x val="-9.1816314876808067E-2"/>
              <c:y val="-0.17638266068759342"/>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fld id="{0077E267-DEB6-4C87-A980-B840B63C45A4}" type="CELLREF">
                  <a:rPr lang="en-US"/>
                  <a:pPr>
                    <a:defRPr sz="900" b="0" i="0" u="none" strike="noStrike" kern="1200" baseline="0">
                      <a:solidFill>
                        <a:schemeClr val="dk1"/>
                      </a:solidFill>
                      <a:latin typeface="+mn-lt"/>
                      <a:ea typeface="+mn-ea"/>
                      <a:cs typeface="+mn-cs"/>
                    </a:defRPr>
                  </a:pPr>
                  <a:t>[CELLREF]</a:t>
                </a:fld>
                <a:endParaRPr lang="en-AU"/>
              </a:p>
            </c:rich>
          </c:tx>
          <c:spPr>
            <a:solidFill>
              <a:sysClr val="window" lastClr="FFFFFF"/>
            </a:solidFill>
            <a:ln w="12700" cap="flat" cmpd="sng" algn="ctr">
              <a:solidFill>
                <a:srgbClr val="5B9BD5"/>
              </a:solidFill>
              <a:prstDash val="solid"/>
              <a:miter lim="800000"/>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oundRectCallout">
                  <a:avLst/>
                </a:prstGeom>
                <a:noFill/>
                <a:ln>
                  <a:noFill/>
                </a:ln>
              </c15:spPr>
              <c15:layout>
                <c:manualLayout>
                  <c:w val="0.10018577019189966"/>
                  <c:h val="0.12110040056652112"/>
                </c:manualLayout>
              </c15:layout>
              <c15:dlblFieldTable/>
              <c15:showDataLabelsRange val="0"/>
            </c:ext>
          </c:extLst>
        </c:dLbl>
      </c:pivotFmt>
      <c:pivotFmt>
        <c:idx val="33"/>
        <c:spPr>
          <a:solidFill>
            <a:schemeClr val="accent1"/>
          </a:solidFill>
          <a:ln w="28575" cap="rnd">
            <a:solidFill>
              <a:schemeClr val="accent1"/>
            </a:solidFill>
            <a:round/>
          </a:ln>
          <a:effectLst/>
        </c:spPr>
        <c:marker>
          <c:symbol val="none"/>
        </c:marker>
        <c:dLbl>
          <c:idx val="0"/>
          <c:layout>
            <c:manualLayout>
              <c:x val="1.1976047904191617E-2"/>
              <c:y val="0.13153961136023909"/>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fld id="{B25AD5B2-39BC-413F-9E60-A69D3FCEA8E2}" type="CELLREF">
                  <a:rPr lang="en-US"/>
                  <a:pPr>
                    <a:defRPr sz="900" b="0" i="0" u="none" strike="noStrike" kern="1200" baseline="0">
                      <a:solidFill>
                        <a:schemeClr val="dk1"/>
                      </a:solidFill>
                      <a:latin typeface="+mn-lt"/>
                      <a:ea typeface="+mn-ea"/>
                      <a:cs typeface="+mn-cs"/>
                    </a:defRPr>
                  </a:pPr>
                  <a:t>[CELLREF]</a:t>
                </a:fld>
                <a:endParaRPr lang="en-AU"/>
              </a:p>
            </c:rich>
          </c:tx>
          <c:spPr>
            <a:solidFill>
              <a:sysClr val="window" lastClr="FFFFFF"/>
            </a:solidFill>
            <a:ln w="12700" cap="flat" cmpd="sng" algn="ctr">
              <a:solidFill>
                <a:srgbClr val="5B9BD5"/>
              </a:solidFill>
              <a:prstDash val="solid"/>
              <a:miter lim="800000"/>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oundRectCallout">
                  <a:avLst/>
                </a:prstGeom>
                <a:noFill/>
                <a:ln>
                  <a:noFill/>
                </a:ln>
              </c15:spPr>
              <c15:layout>
                <c:manualLayout>
                  <c:w val="0.10037405503952725"/>
                  <c:h val="0.11378709948251985"/>
                </c:manualLayout>
              </c15:layout>
              <c15:dlblFieldTable/>
              <c15:showDataLabelsRange val="0"/>
            </c:ext>
          </c:extLst>
        </c:dLbl>
      </c:pivotFmt>
      <c:pivotFmt>
        <c:idx val="34"/>
        <c:spPr>
          <a:solidFill>
            <a:schemeClr val="accent1"/>
          </a:solidFill>
          <a:ln w="28575" cap="rnd">
            <a:solidFill>
              <a:schemeClr val="accent1"/>
            </a:solidFill>
            <a:round/>
          </a:ln>
          <a:effectLst/>
        </c:spPr>
        <c:marker>
          <c:symbol val="none"/>
        </c:marker>
        <c:dLbl>
          <c:idx val="0"/>
          <c:layout>
            <c:manualLayout>
              <c:x val="-2.9940119760479042E-2"/>
              <c:y val="-0.12257076609818392"/>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fld id="{03858C4C-1298-443A-BFD2-EA0C86511FBE}" type="CELLREF">
                  <a:rPr lang="en-US">
                    <a:solidFill>
                      <a:schemeClr val="dk1"/>
                    </a:solidFill>
                    <a:latin typeface="+mn-lt"/>
                    <a:ea typeface="+mn-ea"/>
                    <a:cs typeface="+mn-cs"/>
                  </a:rPr>
                  <a:pPr>
                    <a:defRPr sz="900" b="0" i="0" u="none" strike="noStrike" kern="1200" baseline="0">
                      <a:solidFill>
                        <a:schemeClr val="dk1"/>
                      </a:solidFill>
                      <a:latin typeface="+mn-lt"/>
                      <a:ea typeface="+mn-ea"/>
                      <a:cs typeface="+mn-cs"/>
                    </a:defRPr>
                  </a:pPr>
                  <a:t>[CELLREF]</a:t>
                </a:fld>
                <a:endParaRPr lang="en-AU"/>
              </a:p>
            </c:rich>
          </c:tx>
          <c:spPr>
            <a:solidFill>
              <a:sysClr val="window" lastClr="FFFFFF"/>
            </a:solidFill>
            <a:ln w="12700" cap="flat" cmpd="sng" algn="ctr">
              <a:solidFill>
                <a:srgbClr val="5B9BD5"/>
              </a:solidFill>
              <a:prstDash val="solid"/>
              <a:miter lim="800000"/>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oundRectCallout">
                  <a:avLst/>
                </a:prstGeom>
                <a:noFill/>
                <a:ln>
                  <a:noFill/>
                </a:ln>
              </c15:spPr>
              <c15:layout>
                <c:manualLayout>
                  <c:w val="9.0593825472414749E-2"/>
                  <c:h val="6.4203006014382724E-2"/>
                </c:manualLayout>
              </c15:layout>
              <c15:dlblFieldTable/>
              <c15:showDataLabelsRange val="0"/>
            </c:ext>
          </c:extLst>
        </c:dLbl>
      </c:pivotFmt>
    </c:pivotFmts>
    <c:plotArea>
      <c:layout/>
      <c:lineChart>
        <c:grouping val="standard"/>
        <c:varyColors val="0"/>
        <c:ser>
          <c:idx val="0"/>
          <c:order val="0"/>
          <c:tx>
            <c:strRef>
              <c:f>'Figure1-Rx callouts'!$B$1</c:f>
              <c:strCache>
                <c:ptCount val="1"/>
                <c:pt idx="0">
                  <c:v>Total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Pt>
            <c:idx val="13"/>
            <c:marker>
              <c:symbol val="circle"/>
              <c:size val="5"/>
              <c:spPr>
                <a:solidFill>
                  <a:schemeClr val="accent1"/>
                </a:solidFill>
                <a:ln w="9525">
                  <a:solidFill>
                    <a:schemeClr val="accent1"/>
                  </a:solidFill>
                </a:ln>
                <a:effectLst/>
              </c:spPr>
            </c:marker>
            <c:bubble3D val="0"/>
            <c:spPr>
              <a:ln w="28575" cap="rnd">
                <a:solidFill>
                  <a:schemeClr val="accent1"/>
                </a:solidFill>
                <a:round/>
              </a:ln>
              <a:effectLst/>
            </c:spPr>
            <c:extLst>
              <c:ext xmlns:c16="http://schemas.microsoft.com/office/drawing/2014/chart" uri="{C3380CC4-5D6E-409C-BE32-E72D297353CC}">
                <c16:uniqueId val="{00000001-A2C9-49AF-8E5B-865E581684E9}"/>
              </c:ext>
            </c:extLst>
          </c:dPt>
          <c:dLbls>
            <c:dLbl>
              <c:idx val="12"/>
              <c:layout>
                <c:manualLayout>
                  <c:x val="-0.17688760671595141"/>
                  <c:y val="4.6319291030900919E-2"/>
                </c:manualLayout>
              </c:layout>
              <c:tx>
                <c:rich>
                  <a:bodyPr/>
                  <a:lstStyle/>
                  <a:p>
                    <a:fld id="{658D1C64-76AD-4387-B21E-F49BB5AEDF61}" type="CELLREF">
                      <a:rPr lang="en-US"/>
                      <a:pPr/>
                      <a:t>[CELLREF]</a:t>
                    </a:fld>
                    <a:endParaRPr lang="en-AU"/>
                  </a:p>
                </c:rich>
              </c:tx>
              <c:showLegendKey val="0"/>
              <c:showVal val="0"/>
              <c:showCatName val="1"/>
              <c:showSerName val="0"/>
              <c:showPercent val="0"/>
              <c:showBubbleSize val="0"/>
              <c:separator>
</c:separator>
              <c:extLst>
                <c:ext xmlns:c15="http://schemas.microsoft.com/office/drawing/2012/chart" uri="{CE6537A1-D6FC-4f65-9D91-7224C49458BB}">
                  <c15:layout>
                    <c:manualLayout>
                      <c:w val="0.13559929682662195"/>
                      <c:h val="0.11512132770832473"/>
                    </c:manualLayout>
                  </c15:layout>
                  <c15:dlblFieldTable>
                    <c15:dlblFTEntry>
                      <c15:txfldGUID>{658D1C64-76AD-4387-B21E-F49BB5AEDF61}</c15:txfldGUID>
                      <c15:f>'Figure1-Rx callouts'!$V$4</c15:f>
                      <c15:dlblFieldTableCache>
                        <c:ptCount val="1"/>
                        <c:pt idx="0">
                          <c:v>1 April 2015 restriction change androgen deficiency</c:v>
                        </c:pt>
                      </c15:dlblFieldTableCache>
                    </c15:dlblFTEntry>
                  </c15:dlblFieldTable>
                  <c15:showDataLabelsRange val="0"/>
                </c:ext>
                <c:ext xmlns:c16="http://schemas.microsoft.com/office/drawing/2014/chart" uri="{C3380CC4-5D6E-409C-BE32-E72D297353CC}">
                  <c16:uniqueId val="{00000002-A2C9-49AF-8E5B-865E581684E9}"/>
                </c:ext>
              </c:extLst>
            </c:dLbl>
            <c:dLbl>
              <c:idx val="13"/>
              <c:layout>
                <c:manualLayout>
                  <c:x val="-0.10623803181966987"/>
                  <c:y val="0.12301372452974582"/>
                </c:manualLayout>
              </c:layout>
              <c:tx>
                <c:rich>
                  <a:bodyPr/>
                  <a:lstStyle/>
                  <a:p>
                    <a:fld id="{AA5DC0A2-9AEE-46DF-9A2E-8F3179E6A69E}" type="CELLREF">
                      <a:rPr lang="en-US"/>
                      <a:pPr/>
                      <a:t>[CELLREF]</a:t>
                    </a:fld>
                    <a:endParaRPr lang="en-AU"/>
                  </a:p>
                </c:rich>
              </c:tx>
              <c:showLegendKey val="0"/>
              <c:showVal val="0"/>
              <c:showCatName val="1"/>
              <c:showSerName val="0"/>
              <c:showPercent val="0"/>
              <c:showBubbleSize val="0"/>
              <c:separator>
</c:separator>
              <c:extLst>
                <c:ext xmlns:c15="http://schemas.microsoft.com/office/drawing/2012/chart" uri="{CE6537A1-D6FC-4f65-9D91-7224C49458BB}">
                  <c15:layout>
                    <c:manualLayout>
                      <c:w val="0.10998934674723618"/>
                      <c:h val="0.11002770014918167"/>
                    </c:manualLayout>
                  </c15:layout>
                  <c15:dlblFieldTable>
                    <c15:dlblFTEntry>
                      <c15:txfldGUID>{AA5DC0A2-9AEE-46DF-9A2E-8F3179E6A69E}</c15:txfldGUID>
                      <c15:f>'Figure1-Rx callouts'!$V$5</c15:f>
                      <c15:dlblFieldTableCache>
                        <c:ptCount val="1"/>
                        <c:pt idx="0">
                          <c:v>1 August 2015 cream and 1% gel added</c:v>
                        </c:pt>
                      </c15:dlblFieldTableCache>
                    </c15:dlblFTEntry>
                  </c15:dlblFieldTable>
                  <c15:showDataLabelsRange val="0"/>
                </c:ext>
                <c:ext xmlns:c16="http://schemas.microsoft.com/office/drawing/2014/chart" uri="{C3380CC4-5D6E-409C-BE32-E72D297353CC}">
                  <c16:uniqueId val="{00000001-A2C9-49AF-8E5B-865E581684E9}"/>
                </c:ext>
              </c:extLst>
            </c:dLbl>
            <c:dLbl>
              <c:idx val="14"/>
              <c:layout>
                <c:manualLayout>
                  <c:x val="-7.4543421543048882E-2"/>
                  <c:y val="-0.25895305958655995"/>
                </c:manualLayout>
              </c:layout>
              <c:tx>
                <c:rich>
                  <a:bodyPr/>
                  <a:lstStyle/>
                  <a:p>
                    <a:r>
                      <a:rPr lang="en-US" baseline="0"/>
                      <a:t>1 October 2015 </a:t>
                    </a:r>
                  </a:p>
                  <a:p>
                    <a:r>
                      <a:rPr lang="en-US"/>
                      <a:t>removed "patient must be male"</a:t>
                    </a:r>
                  </a:p>
                </c:rich>
              </c:tx>
              <c:showLegendKey val="0"/>
              <c:showVal val="1"/>
              <c:showCatName val="1"/>
              <c:showSerName val="0"/>
              <c:showPercent val="0"/>
              <c:showBubbleSize val="0"/>
              <c:separator>
</c:separator>
              <c:extLst>
                <c:ext xmlns:c15="http://schemas.microsoft.com/office/drawing/2012/chart" uri="{CE6537A1-D6FC-4f65-9D91-7224C49458BB}">
                  <c15:layout>
                    <c:manualLayout>
                      <c:w val="0.12569770001261957"/>
                      <c:h val="0.11028784625062361"/>
                    </c:manualLayout>
                  </c15:layout>
                </c:ext>
                <c:ext xmlns:c16="http://schemas.microsoft.com/office/drawing/2014/chart" uri="{C3380CC4-5D6E-409C-BE32-E72D297353CC}">
                  <c16:uniqueId val="{00000008-A2C9-49AF-8E5B-865E581684E9}"/>
                </c:ext>
              </c:extLst>
            </c:dLbl>
            <c:dLbl>
              <c:idx val="17"/>
              <c:layout>
                <c:manualLayout>
                  <c:x val="5.5138797216053356E-3"/>
                  <c:y val="0.17239663710552569"/>
                </c:manualLayout>
              </c:layout>
              <c:tx>
                <c:rich>
                  <a:bodyPr/>
                  <a:lstStyle/>
                  <a:p>
                    <a:fld id="{BF888C08-995B-4B35-A84B-DBACD853939C}" type="CELLREF">
                      <a:rPr lang="en-US"/>
                      <a:pPr/>
                      <a:t>[CELLREF]</a:t>
                    </a:fld>
                    <a:endParaRPr lang="en-AU"/>
                  </a:p>
                </c:rich>
              </c:tx>
              <c:showLegendKey val="0"/>
              <c:showVal val="0"/>
              <c:showCatName val="1"/>
              <c:showSerName val="0"/>
              <c:showPercent val="0"/>
              <c:showBubbleSize val="0"/>
              <c:separator>
</c:separator>
              <c:extLst>
                <c:ext xmlns:c15="http://schemas.microsoft.com/office/drawing/2012/chart" uri="{CE6537A1-D6FC-4f65-9D91-7224C49458BB}">
                  <c15:layout>
                    <c:manualLayout>
                      <c:w val="0.12186781162231723"/>
                      <c:h val="0.11711440223148394"/>
                    </c:manualLayout>
                  </c15:layout>
                  <c15:dlblFieldTable>
                    <c15:dlblFTEntry>
                      <c15:txfldGUID>{BF888C08-995B-4B35-A84B-DBACD853939C}</c15:txfldGUID>
                      <c15:f>'Figure1-Rx callouts'!$V$6</c15:f>
                      <c15:dlblFieldTableCache>
                        <c:ptCount val="1"/>
                        <c:pt idx="0">
                          <c:v>1 August 2016 minor restriction wording change</c:v>
                        </c:pt>
                      </c15:dlblFieldTableCache>
                    </c15:dlblFTEntry>
                  </c15:dlblFieldTable>
                  <c15:showDataLabelsRange val="0"/>
                </c:ext>
                <c:ext xmlns:c16="http://schemas.microsoft.com/office/drawing/2014/chart" uri="{C3380CC4-5D6E-409C-BE32-E72D297353CC}">
                  <c16:uniqueId val="{00000003-A2C9-49AF-8E5B-865E581684E9}"/>
                </c:ext>
              </c:extLst>
            </c:dLbl>
            <c:dLbl>
              <c:idx val="20"/>
              <c:layout>
                <c:manualLayout>
                  <c:x val="-9.1816314173866653E-2"/>
                  <c:y val="-0.1475728687797952"/>
                </c:manualLayout>
              </c:layout>
              <c:tx>
                <c:rich>
                  <a:bodyPr/>
                  <a:lstStyle/>
                  <a:p>
                    <a:fld id="{0077E267-DEB6-4C87-A980-B840B63C45A4}" type="CELLREF">
                      <a:rPr lang="en-US"/>
                      <a:pPr/>
                      <a:t>[CELLREF]</a:t>
                    </a:fld>
                    <a:endParaRPr lang="en-AU"/>
                  </a:p>
                </c:rich>
              </c:tx>
              <c:showLegendKey val="0"/>
              <c:showVal val="0"/>
              <c:showCatName val="1"/>
              <c:showSerName val="0"/>
              <c:showPercent val="0"/>
              <c:showBubbleSize val="0"/>
              <c:separator>
</c:separator>
              <c:extLst>
                <c:ext xmlns:c15="http://schemas.microsoft.com/office/drawing/2012/chart" uri="{CE6537A1-D6FC-4f65-9D91-7224C49458BB}">
                  <c15:layout>
                    <c:manualLayout>
                      <c:w val="0.10018577159778247"/>
                      <c:h val="0.17871998438211753"/>
                    </c:manualLayout>
                  </c15:layout>
                  <c15:dlblFieldTable>
                    <c15:dlblFTEntry>
                      <c15:txfldGUID>{0077E267-DEB6-4C87-A980-B840B63C45A4}</c15:txfldGUID>
                      <c15:f>'Figure1-Rx callouts'!$V$7</c15:f>
                      <c15:dlblFieldTableCache>
                        <c:ptCount val="1"/>
                        <c:pt idx="0">
                          <c:v>1 June 2017 added specialist general paediatrician</c:v>
                        </c:pt>
                      </c15:dlblFieldTableCache>
                    </c15:dlblFTEntry>
                  </c15:dlblFieldTable>
                  <c15:showDataLabelsRange val="0"/>
                </c:ext>
                <c:ext xmlns:c16="http://schemas.microsoft.com/office/drawing/2014/chart" uri="{C3380CC4-5D6E-409C-BE32-E72D297353CC}">
                  <c16:uniqueId val="{00000004-A2C9-49AF-8E5B-865E581684E9}"/>
                </c:ext>
              </c:extLst>
            </c:dLbl>
            <c:dLbl>
              <c:idx val="23"/>
              <c:layout>
                <c:manualLayout>
                  <c:x val="1.719409344578544E-2"/>
                  <c:y val="0.16902004482975552"/>
                </c:manualLayout>
              </c:layout>
              <c:tx>
                <c:rich>
                  <a:bodyPr/>
                  <a:lstStyle/>
                  <a:p>
                    <a:fld id="{B25AD5B2-39BC-413F-9E60-A69D3FCEA8E2}" type="CELLREF">
                      <a:rPr lang="en-US"/>
                      <a:pPr/>
                      <a:t>[CELLREF]</a:t>
                    </a:fld>
                    <a:endParaRPr lang="en-AU"/>
                  </a:p>
                </c:rich>
              </c:tx>
              <c:showLegendKey val="0"/>
              <c:showVal val="0"/>
              <c:showCatName val="1"/>
              <c:showSerName val="0"/>
              <c:showPercent val="0"/>
              <c:showBubbleSize val="0"/>
              <c:separator>
</c:separator>
              <c:extLst>
                <c:ext xmlns:c15="http://schemas.microsoft.com/office/drawing/2012/chart" uri="{CE6537A1-D6FC-4f65-9D91-7224C49458BB}">
                  <c15:layout>
                    <c:manualLayout>
                      <c:w val="0.11081014612271489"/>
                      <c:h val="0.18874796642155267"/>
                    </c:manualLayout>
                  </c15:layout>
                  <c15:dlblFieldTable>
                    <c15:dlblFTEntry>
                      <c15:txfldGUID>{B25AD5B2-39BC-413F-9E60-A69D3FCEA8E2}</c15:txfldGUID>
                      <c15:f>'Figure1-Rx callouts'!$V$8</c15:f>
                      <c15:dlblFieldTableCache>
                        <c:ptCount val="1"/>
                        <c:pt idx="0">
                          <c:v>1 January 2018 solution delisted 1 February 2018 enantate delisted</c:v>
                        </c:pt>
                      </c15:dlblFieldTableCache>
                    </c15:dlblFTEntry>
                  </c15:dlblFieldTable>
                  <c15:showDataLabelsRange val="0"/>
                </c:ext>
                <c:ext xmlns:c16="http://schemas.microsoft.com/office/drawing/2014/chart" uri="{C3380CC4-5D6E-409C-BE32-E72D297353CC}">
                  <c16:uniqueId val="{00000005-A2C9-49AF-8E5B-865E581684E9}"/>
                </c:ext>
              </c:extLst>
            </c:dLbl>
            <c:dLbl>
              <c:idx val="29"/>
              <c:layout>
                <c:manualLayout>
                  <c:x val="-2.6212935015021456E-2"/>
                  <c:y val="-0.11155151250573536"/>
                </c:manualLayout>
              </c:layout>
              <c:tx>
                <c:rich>
                  <a:bodyPr/>
                  <a:lstStyle/>
                  <a:p>
                    <a:fld id="{03858C4C-1298-443A-BFD2-EA0C86511FBE}" type="CELLREF">
                      <a:rPr lang="en-US">
                        <a:solidFill>
                          <a:schemeClr val="dk1"/>
                        </a:solidFill>
                        <a:latin typeface="+mn-lt"/>
                        <a:ea typeface="+mn-ea"/>
                        <a:cs typeface="+mn-cs"/>
                      </a:rPr>
                      <a:pPr/>
                      <a:t>[CELLREF]</a:t>
                    </a:fld>
                    <a:endParaRPr lang="en-AU"/>
                  </a:p>
                </c:rich>
              </c:tx>
              <c:showLegendKey val="0"/>
              <c:showVal val="0"/>
              <c:showCatName val="1"/>
              <c:showSerName val="0"/>
              <c:showPercent val="0"/>
              <c:showBubbleSize val="0"/>
              <c:separator>
</c:separator>
              <c:extLst>
                <c:ext xmlns:c15="http://schemas.microsoft.com/office/drawing/2012/chart" uri="{CE6537A1-D6FC-4f65-9D91-7224C49458BB}">
                  <c15:layout>
                    <c:manualLayout>
                      <c:w val="9.8048194963329921E-2"/>
                      <c:h val="8.6241513199279835E-2"/>
                    </c:manualLayout>
                  </c15:layout>
                  <c15:dlblFieldTable>
                    <c15:dlblFTEntry>
                      <c15:txfldGUID>{03858C4C-1298-443A-BFD2-EA0C86511FBE}</c15:txfldGUID>
                      <c15:f>'Figure1-Rx callouts'!$V$9</c15:f>
                      <c15:dlblFieldTableCache>
                        <c:ptCount val="1"/>
                        <c:pt idx="0">
                          <c:v>1 August 2019 2% gel added</c:v>
                        </c:pt>
                      </c15:dlblFieldTableCache>
                    </c15:dlblFTEntry>
                  </c15:dlblFieldTable>
                  <c15:showDataLabelsRange val="0"/>
                </c:ext>
                <c:ext xmlns:c16="http://schemas.microsoft.com/office/drawing/2014/chart" uri="{C3380CC4-5D6E-409C-BE32-E72D297353CC}">
                  <c16:uniqueId val="{00000006-A2C9-49AF-8E5B-865E581684E9}"/>
                </c:ext>
              </c:extLst>
            </c:dLbl>
            <c:spPr>
              <a:solidFill>
                <a:sysClr val="window" lastClr="FFFFFF"/>
              </a:solidFill>
              <a:ln w="12700" cap="flat" cmpd="sng" algn="ctr">
                <a:solidFill>
                  <a:srgbClr val="4F81BD"/>
                </a:solidFill>
                <a:prstDash val="solid"/>
                <a:miter lim="800000"/>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0"/>
            <c:showSerName val="0"/>
            <c:showPercent val="0"/>
            <c:showBubbleSize val="0"/>
            <c:separator>
</c:separator>
            <c:extLst>
              <c:ext xmlns:c15="http://schemas.microsoft.com/office/drawing/2012/chart" uri="{CE6537A1-D6FC-4f65-9D91-7224C49458BB}">
                <c15:spPr xmlns:c15="http://schemas.microsoft.com/office/drawing/2012/chart">
                  <a:prstGeom prst="wedgeRoundRectCallout">
                    <a:avLst/>
                  </a:prstGeom>
                  <a:noFill/>
                  <a:ln>
                    <a:noFill/>
                  </a:ln>
                </c15:spPr>
                <c15:showLeaderLines val="0"/>
              </c:ext>
            </c:extLst>
          </c:dLbls>
          <c:cat>
            <c:strRef>
              <c:f>'Figure1-Rx callouts'!$A$2:$A$32</c:f>
              <c:strCache>
                <c:ptCount val="30"/>
                <c:pt idx="0">
                  <c:v> 2012Q2</c:v>
                </c:pt>
                <c:pt idx="1">
                  <c:v> 2012Q3</c:v>
                </c:pt>
                <c:pt idx="2">
                  <c:v> 2012Q4</c:v>
                </c:pt>
                <c:pt idx="3">
                  <c:v> 2013Q1</c:v>
                </c:pt>
                <c:pt idx="4">
                  <c:v> 2013Q2</c:v>
                </c:pt>
                <c:pt idx="5">
                  <c:v> 2013Q3</c:v>
                </c:pt>
                <c:pt idx="6">
                  <c:v> 2013Q4</c:v>
                </c:pt>
                <c:pt idx="7">
                  <c:v> 2014Q1</c:v>
                </c:pt>
                <c:pt idx="8">
                  <c:v> 2014Q2</c:v>
                </c:pt>
                <c:pt idx="9">
                  <c:v> 2014Q3</c:v>
                </c:pt>
                <c:pt idx="10">
                  <c:v> 2014Q4</c:v>
                </c:pt>
                <c:pt idx="11">
                  <c:v> 2015Q1</c:v>
                </c:pt>
                <c:pt idx="12">
                  <c:v> 2015Q2</c:v>
                </c:pt>
                <c:pt idx="13">
                  <c:v> 2015Q3</c:v>
                </c:pt>
                <c:pt idx="14">
                  <c:v> 2015Q4</c:v>
                </c:pt>
                <c:pt idx="15">
                  <c:v> 2016Q1</c:v>
                </c:pt>
                <c:pt idx="16">
                  <c:v> 2016Q2</c:v>
                </c:pt>
                <c:pt idx="17">
                  <c:v> 2016Q3</c:v>
                </c:pt>
                <c:pt idx="18">
                  <c:v> 2016Q4</c:v>
                </c:pt>
                <c:pt idx="19">
                  <c:v> 2017Q1</c:v>
                </c:pt>
                <c:pt idx="20">
                  <c:v> 2017Q2</c:v>
                </c:pt>
                <c:pt idx="21">
                  <c:v> 2017Q3</c:v>
                </c:pt>
                <c:pt idx="22">
                  <c:v> 2017Q4</c:v>
                </c:pt>
                <c:pt idx="23">
                  <c:v> 2018Q1</c:v>
                </c:pt>
                <c:pt idx="24">
                  <c:v> 2018Q2</c:v>
                </c:pt>
                <c:pt idx="25">
                  <c:v> 2018Q3</c:v>
                </c:pt>
                <c:pt idx="26">
                  <c:v> 2018Q4</c:v>
                </c:pt>
                <c:pt idx="27">
                  <c:v> 2019Q1</c:v>
                </c:pt>
                <c:pt idx="28">
                  <c:v> 2019Q2</c:v>
                </c:pt>
                <c:pt idx="29">
                  <c:v> 2019Q3</c:v>
                </c:pt>
              </c:strCache>
            </c:strRef>
          </c:cat>
          <c:val>
            <c:numRef>
              <c:f>'Figure1-Rx callouts'!$B$2:$B$32</c:f>
              <c:numCache>
                <c:formatCode>General</c:formatCode>
                <c:ptCount val="30"/>
                <c:pt idx="0">
                  <c:v>46225</c:v>
                </c:pt>
                <c:pt idx="1">
                  <c:v>47188</c:v>
                </c:pt>
                <c:pt idx="2">
                  <c:v>52571</c:v>
                </c:pt>
                <c:pt idx="3">
                  <c:v>46464</c:v>
                </c:pt>
                <c:pt idx="4">
                  <c:v>51900</c:v>
                </c:pt>
                <c:pt idx="5">
                  <c:v>53618</c:v>
                </c:pt>
                <c:pt idx="6">
                  <c:v>58318</c:v>
                </c:pt>
                <c:pt idx="7">
                  <c:v>50410</c:v>
                </c:pt>
                <c:pt idx="8">
                  <c:v>54055</c:v>
                </c:pt>
                <c:pt idx="9">
                  <c:v>56258</c:v>
                </c:pt>
                <c:pt idx="10">
                  <c:v>62273</c:v>
                </c:pt>
                <c:pt idx="11">
                  <c:v>55225</c:v>
                </c:pt>
                <c:pt idx="12">
                  <c:v>47602</c:v>
                </c:pt>
                <c:pt idx="13">
                  <c:v>40470</c:v>
                </c:pt>
                <c:pt idx="14">
                  <c:v>40276</c:v>
                </c:pt>
                <c:pt idx="15">
                  <c:v>35308</c:v>
                </c:pt>
                <c:pt idx="16">
                  <c:v>37974</c:v>
                </c:pt>
                <c:pt idx="17">
                  <c:v>39287</c:v>
                </c:pt>
                <c:pt idx="18">
                  <c:v>42815</c:v>
                </c:pt>
                <c:pt idx="19">
                  <c:v>38525</c:v>
                </c:pt>
                <c:pt idx="20">
                  <c:v>40350</c:v>
                </c:pt>
                <c:pt idx="21">
                  <c:v>41016</c:v>
                </c:pt>
                <c:pt idx="22">
                  <c:v>44706</c:v>
                </c:pt>
                <c:pt idx="23">
                  <c:v>36482</c:v>
                </c:pt>
                <c:pt idx="24">
                  <c:v>37675</c:v>
                </c:pt>
                <c:pt idx="25">
                  <c:v>38741</c:v>
                </c:pt>
                <c:pt idx="26">
                  <c:v>43361</c:v>
                </c:pt>
                <c:pt idx="27">
                  <c:v>39324</c:v>
                </c:pt>
                <c:pt idx="28">
                  <c:v>41828</c:v>
                </c:pt>
                <c:pt idx="29">
                  <c:v>42657</c:v>
                </c:pt>
              </c:numCache>
            </c:numRef>
          </c:val>
          <c:smooth val="0"/>
          <c:extLst>
            <c:ext xmlns:c16="http://schemas.microsoft.com/office/drawing/2014/chart" uri="{C3380CC4-5D6E-409C-BE32-E72D297353CC}">
              <c16:uniqueId val="{00000007-A2C9-49AF-8E5B-865E581684E9}"/>
            </c:ext>
          </c:extLst>
        </c:ser>
        <c:dLbls>
          <c:showLegendKey val="0"/>
          <c:showVal val="0"/>
          <c:showCatName val="0"/>
          <c:showSerName val="0"/>
          <c:showPercent val="0"/>
          <c:showBubbleSize val="0"/>
        </c:dLbls>
        <c:marker val="1"/>
        <c:smooth val="0"/>
        <c:axId val="589996752"/>
        <c:axId val="589999048"/>
      </c:lineChart>
      <c:catAx>
        <c:axId val="5899967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AU"/>
                  <a:t>Quarter of supply</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dk1"/>
                </a:solidFill>
                <a:latin typeface="+mn-lt"/>
                <a:ea typeface="+mn-ea"/>
                <a:cs typeface="+mn-cs"/>
              </a:defRPr>
            </a:pPr>
            <a:endParaRPr lang="en-US"/>
          </a:p>
        </c:txPr>
        <c:crossAx val="589999048"/>
        <c:crosses val="autoZero"/>
        <c:auto val="1"/>
        <c:lblAlgn val="ctr"/>
        <c:lblOffset val="100"/>
        <c:noMultiLvlLbl val="0"/>
      </c:catAx>
      <c:valAx>
        <c:axId val="589999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AU"/>
                  <a:t>Number of prescriptions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589996752"/>
        <c:crosses val="autoZero"/>
        <c:crossBetween val="between"/>
      </c:valAx>
      <c:spPr>
        <a:noFill/>
        <a:ln>
          <a:noFill/>
        </a:ln>
        <a:effectLst/>
      </c:spPr>
    </c:plotArea>
    <c:plotVisOnly val="1"/>
    <c:dispBlanksAs val="gap"/>
    <c:showDLblsOverMax val="0"/>
  </c:chart>
  <c:spPr>
    <a:solidFill>
      <a:schemeClr val="lt1"/>
    </a:solidFill>
    <a:ln w="12700" cap="flat" cmpd="sng" algn="ctr">
      <a:solidFill>
        <a:schemeClr val="bg2"/>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[D1198 - SCRPT_SUM2_VM edits.xlsx]Figure2 form by qtr!PivotTable3</c:name>
    <c:fmtId val="4"/>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w="28575" cap="rnd">
            <a:solidFill>
              <a:schemeClr val="accent1"/>
            </a:solidFill>
            <a:round/>
          </a:ln>
          <a:effectLst/>
        </c:spPr>
        <c:marker>
          <c:symbol val="none"/>
        </c:marker>
      </c:pivotFmt>
      <c:pivotFmt>
        <c:idx val="9"/>
        <c:spPr>
          <a:solidFill>
            <a:schemeClr val="accent1"/>
          </a:solidFill>
          <a:ln w="28575" cap="rnd">
            <a:solidFill>
              <a:schemeClr val="accent1"/>
            </a:solidFill>
            <a:round/>
          </a:ln>
          <a:effectLst/>
        </c:spPr>
        <c:marker>
          <c:symbol val="none"/>
        </c:marker>
      </c:pivotFmt>
      <c:pivotFmt>
        <c:idx val="10"/>
        <c:spPr>
          <a:solidFill>
            <a:schemeClr val="accent1"/>
          </a:solidFill>
          <a:ln w="28575" cap="rnd">
            <a:solidFill>
              <a:schemeClr val="accent1"/>
            </a:solidFill>
            <a:round/>
          </a:ln>
          <a:effectLst/>
        </c:spPr>
        <c:marker>
          <c:symbol val="none"/>
        </c:marker>
      </c:pivotFmt>
      <c:pivotFmt>
        <c:idx val="11"/>
        <c:spPr>
          <a:solidFill>
            <a:schemeClr val="accent1"/>
          </a:solidFill>
          <a:ln w="28575" cap="rnd">
            <a:solidFill>
              <a:schemeClr val="accent1"/>
            </a:solidFill>
            <a:round/>
          </a:ln>
          <a:effectLst/>
        </c:spPr>
        <c:marker>
          <c:symbol val="none"/>
        </c:marker>
      </c:pivotFmt>
      <c:pivotFmt>
        <c:idx val="12"/>
        <c:spPr>
          <a:solidFill>
            <a:schemeClr val="accent1"/>
          </a:solidFill>
          <a:ln w="28575" cap="rnd">
            <a:solidFill>
              <a:schemeClr val="accent1"/>
            </a:solidFill>
            <a:round/>
          </a:ln>
          <a:effectLst/>
        </c:spPr>
        <c:marker>
          <c:symbol val="none"/>
        </c:marker>
      </c:pivotFmt>
      <c:pivotFmt>
        <c:idx val="13"/>
        <c:spPr>
          <a:solidFill>
            <a:schemeClr val="accent1"/>
          </a:solidFill>
          <a:ln w="28575" cap="rnd">
            <a:solidFill>
              <a:schemeClr val="accent1"/>
            </a:solidFill>
            <a:round/>
          </a:ln>
          <a:effectLst/>
        </c:spPr>
        <c:marker>
          <c:symbol val="none"/>
        </c:marker>
      </c:pivotFmt>
      <c:pivotFmt>
        <c:idx val="14"/>
        <c:spPr>
          <a:solidFill>
            <a:schemeClr val="accent1"/>
          </a:solidFill>
          <a:ln w="28575" cap="rnd">
            <a:solidFill>
              <a:schemeClr val="accent1"/>
            </a:solidFill>
            <a:round/>
          </a:ln>
          <a:effectLst/>
        </c:spPr>
        <c:marker>
          <c:symbol val="none"/>
        </c:marker>
      </c:pivotFmt>
      <c:pivotFmt>
        <c:idx val="15"/>
        <c:spPr>
          <a:solidFill>
            <a:schemeClr val="accent1"/>
          </a:solidFill>
          <a:ln w="28575" cap="rnd">
            <a:solidFill>
              <a:schemeClr val="accent1"/>
            </a:solidFill>
            <a:round/>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
        <c:idx val="18"/>
        <c:spPr>
          <a:solidFill>
            <a:schemeClr val="accent1"/>
          </a:solidFill>
          <a:ln w="28575" cap="rnd">
            <a:solidFill>
              <a:schemeClr val="accent1"/>
            </a:solidFill>
            <a:round/>
          </a:ln>
          <a:effectLst/>
        </c:spPr>
        <c:marker>
          <c:symbol val="none"/>
        </c:marker>
      </c:pivotFmt>
      <c:pivotFmt>
        <c:idx val="19"/>
        <c:spPr>
          <a:solidFill>
            <a:schemeClr val="accent1"/>
          </a:solidFill>
          <a:ln w="28575" cap="rnd">
            <a:solidFill>
              <a:schemeClr val="accent1"/>
            </a:solidFill>
            <a:round/>
          </a:ln>
          <a:effectLst/>
        </c:spPr>
        <c:marker>
          <c:symbol val="none"/>
        </c:marker>
      </c:pivotFmt>
      <c:pivotFmt>
        <c:idx val="20"/>
        <c:spPr>
          <a:solidFill>
            <a:schemeClr val="accent1"/>
          </a:solidFill>
          <a:ln w="28575" cap="rnd">
            <a:solidFill>
              <a:schemeClr val="accent1"/>
            </a:solidFill>
            <a:round/>
          </a:ln>
          <a:effectLst/>
        </c:spPr>
        <c:marker>
          <c:symbol val="none"/>
        </c:marker>
      </c:pivotFmt>
      <c:pivotFmt>
        <c:idx val="21"/>
        <c:spPr>
          <a:solidFill>
            <a:schemeClr val="accent1"/>
          </a:solidFill>
          <a:ln w="28575" cap="rnd">
            <a:solidFill>
              <a:schemeClr val="accent1"/>
            </a:solidFill>
            <a:round/>
          </a:ln>
          <a:effectLst/>
        </c:spPr>
        <c:marker>
          <c:symbol val="none"/>
        </c:marker>
      </c:pivotFmt>
      <c:pivotFmt>
        <c:idx val="22"/>
        <c:spPr>
          <a:solidFill>
            <a:schemeClr val="accent1"/>
          </a:solidFill>
          <a:ln w="28575" cap="rnd">
            <a:solidFill>
              <a:schemeClr val="accent1"/>
            </a:solidFill>
            <a:round/>
          </a:ln>
          <a:effectLst/>
        </c:spPr>
        <c:marker>
          <c:symbol val="none"/>
        </c:marker>
      </c:pivotFmt>
      <c:pivotFmt>
        <c:idx val="23"/>
        <c:spPr>
          <a:solidFill>
            <a:schemeClr val="accent1"/>
          </a:solidFill>
          <a:ln w="28575" cap="rnd">
            <a:solidFill>
              <a:schemeClr val="accent1"/>
            </a:solidFill>
            <a:round/>
          </a:ln>
          <a:effectLst/>
        </c:spPr>
        <c:marker>
          <c:symbol val="none"/>
        </c:marker>
      </c:pivotFmt>
      <c:pivotFmt>
        <c:idx val="24"/>
        <c:spPr>
          <a:solidFill>
            <a:schemeClr val="accent1"/>
          </a:solidFill>
          <a:ln w="28575" cap="rnd">
            <a:solidFill>
              <a:schemeClr val="accent1"/>
            </a:solidFill>
            <a:round/>
          </a:ln>
          <a:effectLst/>
        </c:spPr>
        <c:marker>
          <c:symbol val="none"/>
        </c:marker>
      </c:pivotFmt>
      <c:pivotFmt>
        <c:idx val="25"/>
        <c:spPr>
          <a:solidFill>
            <a:schemeClr val="accent1"/>
          </a:solidFill>
          <a:ln w="28575" cap="rnd">
            <a:solidFill>
              <a:schemeClr val="accent1"/>
            </a:solidFill>
            <a:round/>
          </a:ln>
          <a:effectLst/>
        </c:spPr>
        <c:marker>
          <c:symbol val="none"/>
        </c:marker>
      </c:pivotFmt>
      <c:pivotFmt>
        <c:idx val="26"/>
        <c:spPr>
          <a:solidFill>
            <a:schemeClr val="accent1"/>
          </a:solidFill>
          <a:ln w="28575" cap="rnd">
            <a:solidFill>
              <a:schemeClr val="accent1"/>
            </a:solidFill>
            <a:round/>
          </a:ln>
          <a:effectLst/>
        </c:spPr>
        <c:marker>
          <c:symbol val="none"/>
        </c:marker>
      </c:pivotFmt>
      <c:pivotFmt>
        <c:idx val="27"/>
        <c:spPr>
          <a:solidFill>
            <a:schemeClr val="accent1"/>
          </a:solidFill>
          <a:ln w="28575" cap="rnd">
            <a:solidFill>
              <a:schemeClr val="accent1"/>
            </a:solidFill>
            <a:round/>
          </a:ln>
          <a:effectLst/>
        </c:spPr>
        <c:marker>
          <c:symbol val="none"/>
        </c:marker>
      </c:pivotFmt>
      <c:pivotFmt>
        <c:idx val="28"/>
        <c:spPr>
          <a:solidFill>
            <a:schemeClr val="accent1"/>
          </a:solidFill>
          <a:ln w="28575" cap="rnd">
            <a:solidFill>
              <a:schemeClr val="accent1"/>
            </a:solidFill>
            <a:round/>
          </a:ln>
          <a:effectLst/>
        </c:spPr>
        <c:marker>
          <c:symbol val="none"/>
        </c:marker>
      </c:pivotFmt>
      <c:pivotFmt>
        <c:idx val="29"/>
        <c:spPr>
          <a:solidFill>
            <a:schemeClr val="accent1"/>
          </a:solidFill>
          <a:ln w="28575" cap="rnd">
            <a:solidFill>
              <a:schemeClr val="accent1"/>
            </a:solidFill>
            <a:round/>
          </a:ln>
          <a:effectLst/>
        </c:spPr>
        <c:marker>
          <c:symbol val="none"/>
        </c:marker>
      </c:pivotFmt>
      <c:pivotFmt>
        <c:idx val="30"/>
        <c:spPr>
          <a:solidFill>
            <a:schemeClr val="accent1"/>
          </a:solidFill>
          <a:ln w="28575" cap="rnd">
            <a:solidFill>
              <a:schemeClr val="accent1"/>
            </a:solidFill>
            <a:round/>
          </a:ln>
          <a:effectLst/>
        </c:spPr>
        <c:marker>
          <c:symbol val="none"/>
        </c:marker>
      </c:pivotFmt>
      <c:pivotFmt>
        <c:idx val="31"/>
        <c:spPr>
          <a:solidFill>
            <a:schemeClr val="accent1"/>
          </a:solidFill>
          <a:ln w="28575" cap="rnd">
            <a:solidFill>
              <a:schemeClr val="accent1"/>
            </a:solidFill>
            <a:round/>
          </a:ln>
          <a:effectLst/>
        </c:spPr>
        <c:marker>
          <c:symbol val="none"/>
        </c:marker>
      </c:pivotFmt>
      <c:pivotFmt>
        <c:idx val="32"/>
        <c:spPr>
          <a:solidFill>
            <a:schemeClr val="accent1"/>
          </a:solidFill>
          <a:ln w="28575" cap="rnd">
            <a:solidFill>
              <a:schemeClr val="accent1"/>
            </a:solidFill>
            <a:round/>
          </a:ln>
          <a:effectLst/>
        </c:spPr>
        <c:marker>
          <c:symbol val="none"/>
        </c:marker>
      </c:pivotFmt>
      <c:pivotFmt>
        <c:idx val="33"/>
        <c:spPr>
          <a:solidFill>
            <a:schemeClr val="accent1"/>
          </a:solidFill>
          <a:ln w="28575" cap="rnd">
            <a:solidFill>
              <a:schemeClr val="accent1"/>
            </a:solidFill>
            <a:round/>
          </a:ln>
          <a:effectLst/>
        </c:spPr>
        <c:marker>
          <c:symbol val="none"/>
        </c:marker>
      </c:pivotFmt>
      <c:pivotFmt>
        <c:idx val="34"/>
        <c:spPr>
          <a:solidFill>
            <a:schemeClr val="accent1"/>
          </a:solidFill>
          <a:ln w="28575" cap="rnd">
            <a:solidFill>
              <a:schemeClr val="accent1"/>
            </a:solidFill>
            <a:round/>
          </a:ln>
          <a:effectLst/>
        </c:spPr>
        <c:marker>
          <c:symbol val="none"/>
        </c:marker>
      </c:pivotFmt>
      <c:pivotFmt>
        <c:idx val="35"/>
        <c:spPr>
          <a:solidFill>
            <a:schemeClr val="accent1"/>
          </a:solidFill>
          <a:ln w="28575" cap="rnd">
            <a:solidFill>
              <a:schemeClr val="accent1"/>
            </a:solidFill>
            <a:round/>
          </a:ln>
          <a:effectLst/>
        </c:spPr>
        <c:marker>
          <c:symbol val="none"/>
        </c:marker>
      </c:pivotFmt>
      <c:pivotFmt>
        <c:idx val="36"/>
        <c:spPr>
          <a:solidFill>
            <a:schemeClr val="accent1"/>
          </a:solidFill>
          <a:ln w="28575" cap="rnd">
            <a:solidFill>
              <a:schemeClr val="accent1"/>
            </a:solidFill>
            <a:round/>
          </a:ln>
          <a:effectLst/>
        </c:spPr>
        <c:marker>
          <c:symbol val="none"/>
        </c:marker>
      </c:pivotFmt>
    </c:pivotFmts>
    <c:plotArea>
      <c:layout>
        <c:manualLayout>
          <c:layoutTarget val="inner"/>
          <c:xMode val="edge"/>
          <c:yMode val="edge"/>
          <c:x val="0.11195941413876799"/>
          <c:y val="6.8973731224773377E-2"/>
          <c:w val="0.87873453129958623"/>
          <c:h val="0.62139205442770129"/>
        </c:manualLayout>
      </c:layout>
      <c:lineChart>
        <c:grouping val="standard"/>
        <c:varyColors val="0"/>
        <c:ser>
          <c:idx val="0"/>
          <c:order val="0"/>
          <c:tx>
            <c:strRef>
              <c:f>'Figure2 form by qtr'!$B$1:$B$2</c:f>
              <c:strCache>
                <c:ptCount val="1"/>
                <c:pt idx="0">
                  <c:v>injection</c:v>
                </c:pt>
              </c:strCache>
            </c:strRef>
          </c:tx>
          <c:spPr>
            <a:ln w="28575" cap="rnd">
              <a:solidFill>
                <a:schemeClr val="accent1"/>
              </a:solidFill>
              <a:round/>
            </a:ln>
            <a:effectLst/>
          </c:spPr>
          <c:marker>
            <c:symbol val="none"/>
          </c:marker>
          <c:cat>
            <c:strRef>
              <c:f>'Figure2 form by qtr'!$A$3:$A$33</c:f>
              <c:strCache>
                <c:ptCount val="30"/>
                <c:pt idx="0">
                  <c:v> 2012Q2</c:v>
                </c:pt>
                <c:pt idx="1">
                  <c:v> 2012Q3</c:v>
                </c:pt>
                <c:pt idx="2">
                  <c:v> 2012Q4</c:v>
                </c:pt>
                <c:pt idx="3">
                  <c:v> 2013Q1</c:v>
                </c:pt>
                <c:pt idx="4">
                  <c:v> 2013Q2</c:v>
                </c:pt>
                <c:pt idx="5">
                  <c:v> 2013Q3</c:v>
                </c:pt>
                <c:pt idx="6">
                  <c:v> 2013Q4</c:v>
                </c:pt>
                <c:pt idx="7">
                  <c:v> 2014Q1</c:v>
                </c:pt>
                <c:pt idx="8">
                  <c:v> 2014Q2</c:v>
                </c:pt>
                <c:pt idx="9">
                  <c:v> 2014Q3</c:v>
                </c:pt>
                <c:pt idx="10">
                  <c:v> 2014Q4</c:v>
                </c:pt>
                <c:pt idx="11">
                  <c:v> 2015Q1</c:v>
                </c:pt>
                <c:pt idx="12">
                  <c:v> 2015Q2</c:v>
                </c:pt>
                <c:pt idx="13">
                  <c:v> 2015Q3</c:v>
                </c:pt>
                <c:pt idx="14">
                  <c:v> 2015Q4</c:v>
                </c:pt>
                <c:pt idx="15">
                  <c:v> 2016Q1</c:v>
                </c:pt>
                <c:pt idx="16">
                  <c:v> 2016Q2</c:v>
                </c:pt>
                <c:pt idx="17">
                  <c:v> 2016Q3</c:v>
                </c:pt>
                <c:pt idx="18">
                  <c:v> 2016Q4</c:v>
                </c:pt>
                <c:pt idx="19">
                  <c:v> 2017Q1</c:v>
                </c:pt>
                <c:pt idx="20">
                  <c:v> 2017Q2</c:v>
                </c:pt>
                <c:pt idx="21">
                  <c:v> 2017Q3</c:v>
                </c:pt>
                <c:pt idx="22">
                  <c:v> 2017Q4</c:v>
                </c:pt>
                <c:pt idx="23">
                  <c:v> 2018Q1</c:v>
                </c:pt>
                <c:pt idx="24">
                  <c:v> 2018Q2</c:v>
                </c:pt>
                <c:pt idx="25">
                  <c:v> 2018Q3</c:v>
                </c:pt>
                <c:pt idx="26">
                  <c:v> 2018Q4</c:v>
                </c:pt>
                <c:pt idx="27">
                  <c:v> 2019Q1</c:v>
                </c:pt>
                <c:pt idx="28">
                  <c:v> 2019Q2</c:v>
                </c:pt>
                <c:pt idx="29">
                  <c:v> 2019Q3</c:v>
                </c:pt>
              </c:strCache>
            </c:strRef>
          </c:cat>
          <c:val>
            <c:numRef>
              <c:f>'Figure2 form by qtr'!$B$3:$B$33</c:f>
              <c:numCache>
                <c:formatCode>General</c:formatCode>
                <c:ptCount val="30"/>
                <c:pt idx="0">
                  <c:v>20719</c:v>
                </c:pt>
                <c:pt idx="1">
                  <c:v>21640</c:v>
                </c:pt>
                <c:pt idx="2">
                  <c:v>24375</c:v>
                </c:pt>
                <c:pt idx="3">
                  <c:v>21719</c:v>
                </c:pt>
                <c:pt idx="4">
                  <c:v>23788</c:v>
                </c:pt>
                <c:pt idx="5">
                  <c:v>24499</c:v>
                </c:pt>
                <c:pt idx="6">
                  <c:v>26622</c:v>
                </c:pt>
                <c:pt idx="7">
                  <c:v>23021</c:v>
                </c:pt>
                <c:pt idx="8">
                  <c:v>24484</c:v>
                </c:pt>
                <c:pt idx="9">
                  <c:v>25262</c:v>
                </c:pt>
                <c:pt idx="10">
                  <c:v>28056</c:v>
                </c:pt>
                <c:pt idx="11">
                  <c:v>24872</c:v>
                </c:pt>
                <c:pt idx="12">
                  <c:v>19748</c:v>
                </c:pt>
                <c:pt idx="13">
                  <c:v>17309</c:v>
                </c:pt>
                <c:pt idx="14">
                  <c:v>18018</c:v>
                </c:pt>
                <c:pt idx="15">
                  <c:v>16314</c:v>
                </c:pt>
                <c:pt idx="16">
                  <c:v>17896</c:v>
                </c:pt>
                <c:pt idx="17">
                  <c:v>18891</c:v>
                </c:pt>
                <c:pt idx="18">
                  <c:v>20384</c:v>
                </c:pt>
                <c:pt idx="19">
                  <c:v>18801</c:v>
                </c:pt>
                <c:pt idx="20">
                  <c:v>19858</c:v>
                </c:pt>
                <c:pt idx="21">
                  <c:v>20276</c:v>
                </c:pt>
                <c:pt idx="22">
                  <c:v>21637</c:v>
                </c:pt>
                <c:pt idx="23">
                  <c:v>18630</c:v>
                </c:pt>
                <c:pt idx="24">
                  <c:v>18822</c:v>
                </c:pt>
                <c:pt idx="25">
                  <c:v>19235</c:v>
                </c:pt>
                <c:pt idx="26">
                  <c:v>21421</c:v>
                </c:pt>
                <c:pt idx="27">
                  <c:v>19998</c:v>
                </c:pt>
                <c:pt idx="28">
                  <c:v>21103</c:v>
                </c:pt>
                <c:pt idx="29">
                  <c:v>21522</c:v>
                </c:pt>
              </c:numCache>
            </c:numRef>
          </c:val>
          <c:smooth val="0"/>
          <c:extLst>
            <c:ext xmlns:c16="http://schemas.microsoft.com/office/drawing/2014/chart" uri="{C3380CC4-5D6E-409C-BE32-E72D297353CC}">
              <c16:uniqueId val="{00000000-1371-4AFA-B61A-A4220E3F51D5}"/>
            </c:ext>
          </c:extLst>
        </c:ser>
        <c:ser>
          <c:idx val="1"/>
          <c:order val="1"/>
          <c:tx>
            <c:strRef>
              <c:f>'Figure2 form by qtr'!$C$1:$C$2</c:f>
              <c:strCache>
                <c:ptCount val="1"/>
                <c:pt idx="0">
                  <c:v>transdermal gel</c:v>
                </c:pt>
              </c:strCache>
            </c:strRef>
          </c:tx>
          <c:spPr>
            <a:ln w="28575" cap="rnd">
              <a:solidFill>
                <a:schemeClr val="accent2"/>
              </a:solidFill>
              <a:round/>
            </a:ln>
            <a:effectLst/>
          </c:spPr>
          <c:marker>
            <c:symbol val="none"/>
          </c:marker>
          <c:cat>
            <c:strRef>
              <c:f>'Figure2 form by qtr'!$A$3:$A$33</c:f>
              <c:strCache>
                <c:ptCount val="30"/>
                <c:pt idx="0">
                  <c:v> 2012Q2</c:v>
                </c:pt>
                <c:pt idx="1">
                  <c:v> 2012Q3</c:v>
                </c:pt>
                <c:pt idx="2">
                  <c:v> 2012Q4</c:v>
                </c:pt>
                <c:pt idx="3">
                  <c:v> 2013Q1</c:v>
                </c:pt>
                <c:pt idx="4">
                  <c:v> 2013Q2</c:v>
                </c:pt>
                <c:pt idx="5">
                  <c:v> 2013Q3</c:v>
                </c:pt>
                <c:pt idx="6">
                  <c:v> 2013Q4</c:v>
                </c:pt>
                <c:pt idx="7">
                  <c:v> 2014Q1</c:v>
                </c:pt>
                <c:pt idx="8">
                  <c:v> 2014Q2</c:v>
                </c:pt>
                <c:pt idx="9">
                  <c:v> 2014Q3</c:v>
                </c:pt>
                <c:pt idx="10">
                  <c:v> 2014Q4</c:v>
                </c:pt>
                <c:pt idx="11">
                  <c:v> 2015Q1</c:v>
                </c:pt>
                <c:pt idx="12">
                  <c:v> 2015Q2</c:v>
                </c:pt>
                <c:pt idx="13">
                  <c:v> 2015Q3</c:v>
                </c:pt>
                <c:pt idx="14">
                  <c:v> 2015Q4</c:v>
                </c:pt>
                <c:pt idx="15">
                  <c:v> 2016Q1</c:v>
                </c:pt>
                <c:pt idx="16">
                  <c:v> 2016Q2</c:v>
                </c:pt>
                <c:pt idx="17">
                  <c:v> 2016Q3</c:v>
                </c:pt>
                <c:pt idx="18">
                  <c:v> 2016Q4</c:v>
                </c:pt>
                <c:pt idx="19">
                  <c:v> 2017Q1</c:v>
                </c:pt>
                <c:pt idx="20">
                  <c:v> 2017Q2</c:v>
                </c:pt>
                <c:pt idx="21">
                  <c:v> 2017Q3</c:v>
                </c:pt>
                <c:pt idx="22">
                  <c:v> 2017Q4</c:v>
                </c:pt>
                <c:pt idx="23">
                  <c:v> 2018Q1</c:v>
                </c:pt>
                <c:pt idx="24">
                  <c:v> 2018Q2</c:v>
                </c:pt>
                <c:pt idx="25">
                  <c:v> 2018Q3</c:v>
                </c:pt>
                <c:pt idx="26">
                  <c:v> 2018Q4</c:v>
                </c:pt>
                <c:pt idx="27">
                  <c:v> 2019Q1</c:v>
                </c:pt>
                <c:pt idx="28">
                  <c:v> 2019Q2</c:v>
                </c:pt>
                <c:pt idx="29">
                  <c:v> 2019Q3</c:v>
                </c:pt>
              </c:strCache>
            </c:strRef>
          </c:cat>
          <c:val>
            <c:numRef>
              <c:f>'Figure2 form by qtr'!$C$3:$C$33</c:f>
              <c:numCache>
                <c:formatCode>General</c:formatCode>
                <c:ptCount val="30"/>
                <c:pt idx="0">
                  <c:v>16301</c:v>
                </c:pt>
                <c:pt idx="1">
                  <c:v>16493</c:v>
                </c:pt>
                <c:pt idx="2">
                  <c:v>18452</c:v>
                </c:pt>
                <c:pt idx="3">
                  <c:v>16204</c:v>
                </c:pt>
                <c:pt idx="4">
                  <c:v>17469</c:v>
                </c:pt>
                <c:pt idx="5">
                  <c:v>17297</c:v>
                </c:pt>
                <c:pt idx="6">
                  <c:v>18383</c:v>
                </c:pt>
                <c:pt idx="7">
                  <c:v>15428</c:v>
                </c:pt>
                <c:pt idx="8">
                  <c:v>16168</c:v>
                </c:pt>
                <c:pt idx="9">
                  <c:v>16252</c:v>
                </c:pt>
                <c:pt idx="10">
                  <c:v>17714</c:v>
                </c:pt>
                <c:pt idx="11">
                  <c:v>15699</c:v>
                </c:pt>
                <c:pt idx="12">
                  <c:v>14663</c:v>
                </c:pt>
                <c:pt idx="13">
                  <c:v>12692</c:v>
                </c:pt>
                <c:pt idx="14">
                  <c:v>12545</c:v>
                </c:pt>
                <c:pt idx="15">
                  <c:v>11004</c:v>
                </c:pt>
                <c:pt idx="16">
                  <c:v>11660</c:v>
                </c:pt>
                <c:pt idx="17">
                  <c:v>11822</c:v>
                </c:pt>
                <c:pt idx="18">
                  <c:v>13044</c:v>
                </c:pt>
                <c:pt idx="19">
                  <c:v>11733</c:v>
                </c:pt>
                <c:pt idx="20">
                  <c:v>12571</c:v>
                </c:pt>
                <c:pt idx="21">
                  <c:v>12368</c:v>
                </c:pt>
                <c:pt idx="22">
                  <c:v>13708</c:v>
                </c:pt>
                <c:pt idx="23">
                  <c:v>13938</c:v>
                </c:pt>
                <c:pt idx="24">
                  <c:v>14321</c:v>
                </c:pt>
                <c:pt idx="25">
                  <c:v>14898</c:v>
                </c:pt>
                <c:pt idx="26">
                  <c:v>17081</c:v>
                </c:pt>
                <c:pt idx="27">
                  <c:v>14998</c:v>
                </c:pt>
                <c:pt idx="28">
                  <c:v>16175</c:v>
                </c:pt>
                <c:pt idx="29">
                  <c:v>16457</c:v>
                </c:pt>
              </c:numCache>
            </c:numRef>
          </c:val>
          <c:smooth val="0"/>
          <c:extLst>
            <c:ext xmlns:c16="http://schemas.microsoft.com/office/drawing/2014/chart" uri="{C3380CC4-5D6E-409C-BE32-E72D297353CC}">
              <c16:uniqueId val="{00000001-1371-4AFA-B61A-A4220E3F51D5}"/>
            </c:ext>
          </c:extLst>
        </c:ser>
        <c:ser>
          <c:idx val="2"/>
          <c:order val="2"/>
          <c:tx>
            <c:strRef>
              <c:f>'Figure2 form by qtr'!$D$1:$D$2</c:f>
              <c:strCache>
                <c:ptCount val="1"/>
                <c:pt idx="0">
                  <c:v>capsule</c:v>
                </c:pt>
              </c:strCache>
            </c:strRef>
          </c:tx>
          <c:spPr>
            <a:ln w="28575" cap="rnd">
              <a:solidFill>
                <a:schemeClr val="accent3"/>
              </a:solidFill>
              <a:round/>
            </a:ln>
            <a:effectLst/>
          </c:spPr>
          <c:marker>
            <c:symbol val="none"/>
          </c:marker>
          <c:cat>
            <c:strRef>
              <c:f>'Figure2 form by qtr'!$A$3:$A$33</c:f>
              <c:strCache>
                <c:ptCount val="30"/>
                <c:pt idx="0">
                  <c:v> 2012Q2</c:v>
                </c:pt>
                <c:pt idx="1">
                  <c:v> 2012Q3</c:v>
                </c:pt>
                <c:pt idx="2">
                  <c:v> 2012Q4</c:v>
                </c:pt>
                <c:pt idx="3">
                  <c:v> 2013Q1</c:v>
                </c:pt>
                <c:pt idx="4">
                  <c:v> 2013Q2</c:v>
                </c:pt>
                <c:pt idx="5">
                  <c:v> 2013Q3</c:v>
                </c:pt>
                <c:pt idx="6">
                  <c:v> 2013Q4</c:v>
                </c:pt>
                <c:pt idx="7">
                  <c:v> 2014Q1</c:v>
                </c:pt>
                <c:pt idx="8">
                  <c:v> 2014Q2</c:v>
                </c:pt>
                <c:pt idx="9">
                  <c:v> 2014Q3</c:v>
                </c:pt>
                <c:pt idx="10">
                  <c:v> 2014Q4</c:v>
                </c:pt>
                <c:pt idx="11">
                  <c:v> 2015Q1</c:v>
                </c:pt>
                <c:pt idx="12">
                  <c:v> 2015Q2</c:v>
                </c:pt>
                <c:pt idx="13">
                  <c:v> 2015Q3</c:v>
                </c:pt>
                <c:pt idx="14">
                  <c:v> 2015Q4</c:v>
                </c:pt>
                <c:pt idx="15">
                  <c:v> 2016Q1</c:v>
                </c:pt>
                <c:pt idx="16">
                  <c:v> 2016Q2</c:v>
                </c:pt>
                <c:pt idx="17">
                  <c:v> 2016Q3</c:v>
                </c:pt>
                <c:pt idx="18">
                  <c:v> 2016Q4</c:v>
                </c:pt>
                <c:pt idx="19">
                  <c:v> 2017Q1</c:v>
                </c:pt>
                <c:pt idx="20">
                  <c:v> 2017Q2</c:v>
                </c:pt>
                <c:pt idx="21">
                  <c:v> 2017Q3</c:v>
                </c:pt>
                <c:pt idx="22">
                  <c:v> 2017Q4</c:v>
                </c:pt>
                <c:pt idx="23">
                  <c:v> 2018Q1</c:v>
                </c:pt>
                <c:pt idx="24">
                  <c:v> 2018Q2</c:v>
                </c:pt>
                <c:pt idx="25">
                  <c:v> 2018Q3</c:v>
                </c:pt>
                <c:pt idx="26">
                  <c:v> 2018Q4</c:v>
                </c:pt>
                <c:pt idx="27">
                  <c:v> 2019Q1</c:v>
                </c:pt>
                <c:pt idx="28">
                  <c:v> 2019Q2</c:v>
                </c:pt>
                <c:pt idx="29">
                  <c:v> 2019Q3</c:v>
                </c:pt>
              </c:strCache>
            </c:strRef>
          </c:cat>
          <c:val>
            <c:numRef>
              <c:f>'Figure2 form by qtr'!$D$3:$D$33</c:f>
              <c:numCache>
                <c:formatCode>General</c:formatCode>
                <c:ptCount val="30"/>
                <c:pt idx="0">
                  <c:v>6342</c:v>
                </c:pt>
                <c:pt idx="1">
                  <c:v>6432</c:v>
                </c:pt>
                <c:pt idx="2">
                  <c:v>6748</c:v>
                </c:pt>
                <c:pt idx="3">
                  <c:v>5861</c:v>
                </c:pt>
                <c:pt idx="4">
                  <c:v>6419</c:v>
                </c:pt>
                <c:pt idx="5">
                  <c:v>6345</c:v>
                </c:pt>
                <c:pt idx="6">
                  <c:v>6664</c:v>
                </c:pt>
                <c:pt idx="7">
                  <c:v>5636</c:v>
                </c:pt>
                <c:pt idx="8">
                  <c:v>6033</c:v>
                </c:pt>
                <c:pt idx="9">
                  <c:v>6137</c:v>
                </c:pt>
                <c:pt idx="10">
                  <c:v>6343</c:v>
                </c:pt>
                <c:pt idx="11">
                  <c:v>5588</c:v>
                </c:pt>
                <c:pt idx="12">
                  <c:v>4985</c:v>
                </c:pt>
                <c:pt idx="13">
                  <c:v>3532</c:v>
                </c:pt>
                <c:pt idx="14">
                  <c:v>2904</c:v>
                </c:pt>
                <c:pt idx="15">
                  <c:v>2279</c:v>
                </c:pt>
                <c:pt idx="16">
                  <c:v>2249</c:v>
                </c:pt>
                <c:pt idx="17">
                  <c:v>2166</c:v>
                </c:pt>
                <c:pt idx="18">
                  <c:v>2377</c:v>
                </c:pt>
                <c:pt idx="19">
                  <c:v>2078</c:v>
                </c:pt>
                <c:pt idx="20">
                  <c:v>2279</c:v>
                </c:pt>
                <c:pt idx="21">
                  <c:v>2221</c:v>
                </c:pt>
                <c:pt idx="22">
                  <c:v>2231</c:v>
                </c:pt>
                <c:pt idx="23">
                  <c:v>2010</c:v>
                </c:pt>
                <c:pt idx="24">
                  <c:v>2122</c:v>
                </c:pt>
                <c:pt idx="25">
                  <c:v>2098</c:v>
                </c:pt>
                <c:pt idx="26">
                  <c:v>2214</c:v>
                </c:pt>
                <c:pt idx="27">
                  <c:v>1924</c:v>
                </c:pt>
                <c:pt idx="28">
                  <c:v>2075</c:v>
                </c:pt>
                <c:pt idx="29">
                  <c:v>2079</c:v>
                </c:pt>
              </c:numCache>
            </c:numRef>
          </c:val>
          <c:smooth val="0"/>
          <c:extLst>
            <c:ext xmlns:c16="http://schemas.microsoft.com/office/drawing/2014/chart" uri="{C3380CC4-5D6E-409C-BE32-E72D297353CC}">
              <c16:uniqueId val="{00000002-1371-4AFA-B61A-A4220E3F51D5}"/>
            </c:ext>
          </c:extLst>
        </c:ser>
        <c:ser>
          <c:idx val="3"/>
          <c:order val="3"/>
          <c:tx>
            <c:strRef>
              <c:f>'Figure2 form by qtr'!$E$1:$E$2</c:f>
              <c:strCache>
                <c:ptCount val="1"/>
                <c:pt idx="0">
                  <c:v>transdermal solution</c:v>
                </c:pt>
              </c:strCache>
            </c:strRef>
          </c:tx>
          <c:spPr>
            <a:ln w="28575" cap="rnd">
              <a:solidFill>
                <a:schemeClr val="accent4"/>
              </a:solidFill>
              <a:round/>
            </a:ln>
            <a:effectLst/>
          </c:spPr>
          <c:marker>
            <c:symbol val="none"/>
          </c:marker>
          <c:cat>
            <c:strRef>
              <c:f>'Figure2 form by qtr'!$A$3:$A$33</c:f>
              <c:strCache>
                <c:ptCount val="30"/>
                <c:pt idx="0">
                  <c:v> 2012Q2</c:v>
                </c:pt>
                <c:pt idx="1">
                  <c:v> 2012Q3</c:v>
                </c:pt>
                <c:pt idx="2">
                  <c:v> 2012Q4</c:v>
                </c:pt>
                <c:pt idx="3">
                  <c:v> 2013Q1</c:v>
                </c:pt>
                <c:pt idx="4">
                  <c:v> 2013Q2</c:v>
                </c:pt>
                <c:pt idx="5">
                  <c:v> 2013Q3</c:v>
                </c:pt>
                <c:pt idx="6">
                  <c:v> 2013Q4</c:v>
                </c:pt>
                <c:pt idx="7">
                  <c:v> 2014Q1</c:v>
                </c:pt>
                <c:pt idx="8">
                  <c:v> 2014Q2</c:v>
                </c:pt>
                <c:pt idx="9">
                  <c:v> 2014Q3</c:v>
                </c:pt>
                <c:pt idx="10">
                  <c:v> 2014Q4</c:v>
                </c:pt>
                <c:pt idx="11">
                  <c:v> 2015Q1</c:v>
                </c:pt>
                <c:pt idx="12">
                  <c:v> 2015Q2</c:v>
                </c:pt>
                <c:pt idx="13">
                  <c:v> 2015Q3</c:v>
                </c:pt>
                <c:pt idx="14">
                  <c:v> 2015Q4</c:v>
                </c:pt>
                <c:pt idx="15">
                  <c:v> 2016Q1</c:v>
                </c:pt>
                <c:pt idx="16">
                  <c:v> 2016Q2</c:v>
                </c:pt>
                <c:pt idx="17">
                  <c:v> 2016Q3</c:v>
                </c:pt>
                <c:pt idx="18">
                  <c:v> 2016Q4</c:v>
                </c:pt>
                <c:pt idx="19">
                  <c:v> 2017Q1</c:v>
                </c:pt>
                <c:pt idx="20">
                  <c:v> 2017Q2</c:v>
                </c:pt>
                <c:pt idx="21">
                  <c:v> 2017Q3</c:v>
                </c:pt>
                <c:pt idx="22">
                  <c:v> 2017Q4</c:v>
                </c:pt>
                <c:pt idx="23">
                  <c:v> 2018Q1</c:v>
                </c:pt>
                <c:pt idx="24">
                  <c:v> 2018Q2</c:v>
                </c:pt>
                <c:pt idx="25">
                  <c:v> 2018Q3</c:v>
                </c:pt>
                <c:pt idx="26">
                  <c:v> 2018Q4</c:v>
                </c:pt>
                <c:pt idx="27">
                  <c:v> 2019Q1</c:v>
                </c:pt>
                <c:pt idx="28">
                  <c:v> 2019Q2</c:v>
                </c:pt>
                <c:pt idx="29">
                  <c:v> 2019Q3</c:v>
                </c:pt>
              </c:strCache>
            </c:strRef>
          </c:cat>
          <c:val>
            <c:numRef>
              <c:f>'Figure2 form by qtr'!$E$3:$E$33</c:f>
              <c:numCache>
                <c:formatCode>General</c:formatCode>
                <c:ptCount val="30"/>
                <c:pt idx="3">
                  <c:v>138</c:v>
                </c:pt>
                <c:pt idx="4">
                  <c:v>1474</c:v>
                </c:pt>
                <c:pt idx="5">
                  <c:v>2657</c:v>
                </c:pt>
                <c:pt idx="6">
                  <c:v>3750</c:v>
                </c:pt>
                <c:pt idx="7">
                  <c:v>3932</c:v>
                </c:pt>
                <c:pt idx="8">
                  <c:v>4923</c:v>
                </c:pt>
                <c:pt idx="9">
                  <c:v>6159</c:v>
                </c:pt>
                <c:pt idx="10">
                  <c:v>7611</c:v>
                </c:pt>
                <c:pt idx="11">
                  <c:v>6868</c:v>
                </c:pt>
                <c:pt idx="12">
                  <c:v>6179</c:v>
                </c:pt>
                <c:pt idx="13">
                  <c:v>5337</c:v>
                </c:pt>
                <c:pt idx="14">
                  <c:v>5281</c:v>
                </c:pt>
                <c:pt idx="15">
                  <c:v>4399</c:v>
                </c:pt>
                <c:pt idx="16">
                  <c:v>4700</c:v>
                </c:pt>
                <c:pt idx="17">
                  <c:v>4822</c:v>
                </c:pt>
                <c:pt idx="18">
                  <c:v>5332</c:v>
                </c:pt>
                <c:pt idx="19">
                  <c:v>4541</c:v>
                </c:pt>
                <c:pt idx="20">
                  <c:v>4740</c:v>
                </c:pt>
                <c:pt idx="21">
                  <c:v>4747</c:v>
                </c:pt>
                <c:pt idx="22">
                  <c:v>5600</c:v>
                </c:pt>
              </c:numCache>
            </c:numRef>
          </c:val>
          <c:smooth val="0"/>
          <c:extLst>
            <c:ext xmlns:c16="http://schemas.microsoft.com/office/drawing/2014/chart" uri="{C3380CC4-5D6E-409C-BE32-E72D297353CC}">
              <c16:uniqueId val="{00000003-1371-4AFA-B61A-A4220E3F51D5}"/>
            </c:ext>
          </c:extLst>
        </c:ser>
        <c:ser>
          <c:idx val="4"/>
          <c:order val="4"/>
          <c:tx>
            <c:strRef>
              <c:f>'Figure2 form by qtr'!$F$1:$F$2</c:f>
              <c:strCache>
                <c:ptCount val="1"/>
                <c:pt idx="0">
                  <c:v>transdermal patches</c:v>
                </c:pt>
              </c:strCache>
            </c:strRef>
          </c:tx>
          <c:spPr>
            <a:ln w="28575" cap="rnd">
              <a:solidFill>
                <a:schemeClr val="accent5"/>
              </a:solidFill>
              <a:round/>
            </a:ln>
            <a:effectLst/>
          </c:spPr>
          <c:marker>
            <c:symbol val="none"/>
          </c:marker>
          <c:cat>
            <c:strRef>
              <c:f>'Figure2 form by qtr'!$A$3:$A$33</c:f>
              <c:strCache>
                <c:ptCount val="30"/>
                <c:pt idx="0">
                  <c:v> 2012Q2</c:v>
                </c:pt>
                <c:pt idx="1">
                  <c:v> 2012Q3</c:v>
                </c:pt>
                <c:pt idx="2">
                  <c:v> 2012Q4</c:v>
                </c:pt>
                <c:pt idx="3">
                  <c:v> 2013Q1</c:v>
                </c:pt>
                <c:pt idx="4">
                  <c:v> 2013Q2</c:v>
                </c:pt>
                <c:pt idx="5">
                  <c:v> 2013Q3</c:v>
                </c:pt>
                <c:pt idx="6">
                  <c:v> 2013Q4</c:v>
                </c:pt>
                <c:pt idx="7">
                  <c:v> 2014Q1</c:v>
                </c:pt>
                <c:pt idx="8">
                  <c:v> 2014Q2</c:v>
                </c:pt>
                <c:pt idx="9">
                  <c:v> 2014Q3</c:v>
                </c:pt>
                <c:pt idx="10">
                  <c:v> 2014Q4</c:v>
                </c:pt>
                <c:pt idx="11">
                  <c:v> 2015Q1</c:v>
                </c:pt>
                <c:pt idx="12">
                  <c:v> 2015Q2</c:v>
                </c:pt>
                <c:pt idx="13">
                  <c:v> 2015Q3</c:v>
                </c:pt>
                <c:pt idx="14">
                  <c:v> 2015Q4</c:v>
                </c:pt>
                <c:pt idx="15">
                  <c:v> 2016Q1</c:v>
                </c:pt>
                <c:pt idx="16">
                  <c:v> 2016Q2</c:v>
                </c:pt>
                <c:pt idx="17">
                  <c:v> 2016Q3</c:v>
                </c:pt>
                <c:pt idx="18">
                  <c:v> 2016Q4</c:v>
                </c:pt>
                <c:pt idx="19">
                  <c:v> 2017Q1</c:v>
                </c:pt>
                <c:pt idx="20">
                  <c:v> 2017Q2</c:v>
                </c:pt>
                <c:pt idx="21">
                  <c:v> 2017Q3</c:v>
                </c:pt>
                <c:pt idx="22">
                  <c:v> 2017Q4</c:v>
                </c:pt>
                <c:pt idx="23">
                  <c:v> 2018Q1</c:v>
                </c:pt>
                <c:pt idx="24">
                  <c:v> 2018Q2</c:v>
                </c:pt>
                <c:pt idx="25">
                  <c:v> 2018Q3</c:v>
                </c:pt>
                <c:pt idx="26">
                  <c:v> 2018Q4</c:v>
                </c:pt>
                <c:pt idx="27">
                  <c:v> 2019Q1</c:v>
                </c:pt>
                <c:pt idx="28">
                  <c:v> 2019Q2</c:v>
                </c:pt>
                <c:pt idx="29">
                  <c:v> 2019Q3</c:v>
                </c:pt>
              </c:strCache>
            </c:strRef>
          </c:cat>
          <c:val>
            <c:numRef>
              <c:f>'Figure2 form by qtr'!$F$3:$F$33</c:f>
              <c:numCache>
                <c:formatCode>General</c:formatCode>
                <c:ptCount val="30"/>
                <c:pt idx="0">
                  <c:v>2598</c:v>
                </c:pt>
                <c:pt idx="1">
                  <c:v>2452</c:v>
                </c:pt>
                <c:pt idx="2">
                  <c:v>2763</c:v>
                </c:pt>
                <c:pt idx="3">
                  <c:v>2326</c:v>
                </c:pt>
                <c:pt idx="4">
                  <c:v>2552</c:v>
                </c:pt>
                <c:pt idx="5">
                  <c:v>2627</c:v>
                </c:pt>
                <c:pt idx="6">
                  <c:v>2686</c:v>
                </c:pt>
                <c:pt idx="7">
                  <c:v>2210</c:v>
                </c:pt>
                <c:pt idx="8">
                  <c:v>2328</c:v>
                </c:pt>
                <c:pt idx="9">
                  <c:v>2411</c:v>
                </c:pt>
                <c:pt idx="10">
                  <c:v>2549</c:v>
                </c:pt>
                <c:pt idx="11">
                  <c:v>2198</c:v>
                </c:pt>
                <c:pt idx="12">
                  <c:v>2027</c:v>
                </c:pt>
                <c:pt idx="13">
                  <c:v>1585</c:v>
                </c:pt>
                <c:pt idx="14">
                  <c:v>1429</c:v>
                </c:pt>
                <c:pt idx="15">
                  <c:v>1182</c:v>
                </c:pt>
                <c:pt idx="16">
                  <c:v>1251</c:v>
                </c:pt>
                <c:pt idx="17">
                  <c:v>1263</c:v>
                </c:pt>
                <c:pt idx="18">
                  <c:v>1266</c:v>
                </c:pt>
                <c:pt idx="19">
                  <c:v>918</c:v>
                </c:pt>
                <c:pt idx="20">
                  <c:v>297</c:v>
                </c:pt>
                <c:pt idx="21">
                  <c:v>739</c:v>
                </c:pt>
                <c:pt idx="22">
                  <c:v>796</c:v>
                </c:pt>
                <c:pt idx="23">
                  <c:v>871</c:v>
                </c:pt>
                <c:pt idx="24">
                  <c:v>1004</c:v>
                </c:pt>
                <c:pt idx="25">
                  <c:v>995</c:v>
                </c:pt>
                <c:pt idx="26">
                  <c:v>1024</c:v>
                </c:pt>
                <c:pt idx="27">
                  <c:v>840</c:v>
                </c:pt>
                <c:pt idx="28">
                  <c:v>870</c:v>
                </c:pt>
                <c:pt idx="29">
                  <c:v>862</c:v>
                </c:pt>
              </c:numCache>
            </c:numRef>
          </c:val>
          <c:smooth val="0"/>
          <c:extLst>
            <c:ext xmlns:c16="http://schemas.microsoft.com/office/drawing/2014/chart" uri="{C3380CC4-5D6E-409C-BE32-E72D297353CC}">
              <c16:uniqueId val="{00000004-1371-4AFA-B61A-A4220E3F51D5}"/>
            </c:ext>
          </c:extLst>
        </c:ser>
        <c:ser>
          <c:idx val="5"/>
          <c:order val="5"/>
          <c:tx>
            <c:strRef>
              <c:f>'Figure2 form by qtr'!$G$1:$G$2</c:f>
              <c:strCache>
                <c:ptCount val="1"/>
                <c:pt idx="0">
                  <c:v>transdermal cream</c:v>
                </c:pt>
              </c:strCache>
            </c:strRef>
          </c:tx>
          <c:spPr>
            <a:ln w="28575" cap="rnd">
              <a:solidFill>
                <a:schemeClr val="accent6"/>
              </a:solidFill>
              <a:round/>
            </a:ln>
            <a:effectLst/>
          </c:spPr>
          <c:marker>
            <c:symbol val="none"/>
          </c:marker>
          <c:cat>
            <c:strRef>
              <c:f>'Figure2 form by qtr'!$A$3:$A$33</c:f>
              <c:strCache>
                <c:ptCount val="30"/>
                <c:pt idx="0">
                  <c:v> 2012Q2</c:v>
                </c:pt>
                <c:pt idx="1">
                  <c:v> 2012Q3</c:v>
                </c:pt>
                <c:pt idx="2">
                  <c:v> 2012Q4</c:v>
                </c:pt>
                <c:pt idx="3">
                  <c:v> 2013Q1</c:v>
                </c:pt>
                <c:pt idx="4">
                  <c:v> 2013Q2</c:v>
                </c:pt>
                <c:pt idx="5">
                  <c:v> 2013Q3</c:v>
                </c:pt>
                <c:pt idx="6">
                  <c:v> 2013Q4</c:v>
                </c:pt>
                <c:pt idx="7">
                  <c:v> 2014Q1</c:v>
                </c:pt>
                <c:pt idx="8">
                  <c:v> 2014Q2</c:v>
                </c:pt>
                <c:pt idx="9">
                  <c:v> 2014Q3</c:v>
                </c:pt>
                <c:pt idx="10">
                  <c:v> 2014Q4</c:v>
                </c:pt>
                <c:pt idx="11">
                  <c:v> 2015Q1</c:v>
                </c:pt>
                <c:pt idx="12">
                  <c:v> 2015Q2</c:v>
                </c:pt>
                <c:pt idx="13">
                  <c:v> 2015Q3</c:v>
                </c:pt>
                <c:pt idx="14">
                  <c:v> 2015Q4</c:v>
                </c:pt>
                <c:pt idx="15">
                  <c:v> 2016Q1</c:v>
                </c:pt>
                <c:pt idx="16">
                  <c:v> 2016Q2</c:v>
                </c:pt>
                <c:pt idx="17">
                  <c:v> 2016Q3</c:v>
                </c:pt>
                <c:pt idx="18">
                  <c:v> 2016Q4</c:v>
                </c:pt>
                <c:pt idx="19">
                  <c:v> 2017Q1</c:v>
                </c:pt>
                <c:pt idx="20">
                  <c:v> 2017Q2</c:v>
                </c:pt>
                <c:pt idx="21">
                  <c:v> 2017Q3</c:v>
                </c:pt>
                <c:pt idx="22">
                  <c:v> 2017Q4</c:v>
                </c:pt>
                <c:pt idx="23">
                  <c:v> 2018Q1</c:v>
                </c:pt>
                <c:pt idx="24">
                  <c:v> 2018Q2</c:v>
                </c:pt>
                <c:pt idx="25">
                  <c:v> 2018Q3</c:v>
                </c:pt>
                <c:pt idx="26">
                  <c:v> 2018Q4</c:v>
                </c:pt>
                <c:pt idx="27">
                  <c:v> 2019Q1</c:v>
                </c:pt>
                <c:pt idx="28">
                  <c:v> 2019Q2</c:v>
                </c:pt>
                <c:pt idx="29">
                  <c:v> 2019Q3</c:v>
                </c:pt>
              </c:strCache>
            </c:strRef>
          </c:cat>
          <c:val>
            <c:numRef>
              <c:f>'Figure2 form by qtr'!$G$3:$G$33</c:f>
              <c:numCache>
                <c:formatCode>General</c:formatCode>
                <c:ptCount val="30"/>
                <c:pt idx="13">
                  <c:v>15</c:v>
                </c:pt>
                <c:pt idx="14">
                  <c:v>99</c:v>
                </c:pt>
                <c:pt idx="15">
                  <c:v>130</c:v>
                </c:pt>
                <c:pt idx="16">
                  <c:v>218</c:v>
                </c:pt>
                <c:pt idx="17">
                  <c:v>323</c:v>
                </c:pt>
                <c:pt idx="18">
                  <c:v>412</c:v>
                </c:pt>
                <c:pt idx="19">
                  <c:v>454</c:v>
                </c:pt>
                <c:pt idx="20">
                  <c:v>605</c:v>
                </c:pt>
                <c:pt idx="21">
                  <c:v>665</c:v>
                </c:pt>
                <c:pt idx="22">
                  <c:v>734</c:v>
                </c:pt>
                <c:pt idx="23">
                  <c:v>1033</c:v>
                </c:pt>
                <c:pt idx="24">
                  <c:v>1406</c:v>
                </c:pt>
                <c:pt idx="25">
                  <c:v>1515</c:v>
                </c:pt>
                <c:pt idx="26">
                  <c:v>1621</c:v>
                </c:pt>
                <c:pt idx="27">
                  <c:v>1564</c:v>
                </c:pt>
                <c:pt idx="28">
                  <c:v>1605</c:v>
                </c:pt>
                <c:pt idx="29">
                  <c:v>1737</c:v>
                </c:pt>
              </c:numCache>
            </c:numRef>
          </c:val>
          <c:smooth val="0"/>
          <c:extLst>
            <c:ext xmlns:c16="http://schemas.microsoft.com/office/drawing/2014/chart" uri="{C3380CC4-5D6E-409C-BE32-E72D297353CC}">
              <c16:uniqueId val="{00000005-1371-4AFA-B61A-A4220E3F51D5}"/>
            </c:ext>
          </c:extLst>
        </c:ser>
        <c:ser>
          <c:idx val="6"/>
          <c:order val="6"/>
          <c:tx>
            <c:strRef>
              <c:f>'Figure2 form by qtr'!$H$1:$H$2</c:f>
              <c:strCache>
                <c:ptCount val="1"/>
                <c:pt idx="0">
                  <c:v>subcutaneous implant</c:v>
                </c:pt>
              </c:strCache>
            </c:strRef>
          </c:tx>
          <c:spPr>
            <a:ln w="28575" cap="rnd">
              <a:solidFill>
                <a:schemeClr val="accent1">
                  <a:lumMod val="60000"/>
                </a:schemeClr>
              </a:solidFill>
              <a:round/>
            </a:ln>
            <a:effectLst/>
          </c:spPr>
          <c:marker>
            <c:symbol val="none"/>
          </c:marker>
          <c:cat>
            <c:strRef>
              <c:f>'Figure2 form by qtr'!$A$3:$A$33</c:f>
              <c:strCache>
                <c:ptCount val="30"/>
                <c:pt idx="0">
                  <c:v> 2012Q2</c:v>
                </c:pt>
                <c:pt idx="1">
                  <c:v> 2012Q3</c:v>
                </c:pt>
                <c:pt idx="2">
                  <c:v> 2012Q4</c:v>
                </c:pt>
                <c:pt idx="3">
                  <c:v> 2013Q1</c:v>
                </c:pt>
                <c:pt idx="4">
                  <c:v> 2013Q2</c:v>
                </c:pt>
                <c:pt idx="5">
                  <c:v> 2013Q3</c:v>
                </c:pt>
                <c:pt idx="6">
                  <c:v> 2013Q4</c:v>
                </c:pt>
                <c:pt idx="7">
                  <c:v> 2014Q1</c:v>
                </c:pt>
                <c:pt idx="8">
                  <c:v> 2014Q2</c:v>
                </c:pt>
                <c:pt idx="9">
                  <c:v> 2014Q3</c:v>
                </c:pt>
                <c:pt idx="10">
                  <c:v> 2014Q4</c:v>
                </c:pt>
                <c:pt idx="11">
                  <c:v> 2015Q1</c:v>
                </c:pt>
                <c:pt idx="12">
                  <c:v> 2015Q2</c:v>
                </c:pt>
                <c:pt idx="13">
                  <c:v> 2015Q3</c:v>
                </c:pt>
                <c:pt idx="14">
                  <c:v> 2015Q4</c:v>
                </c:pt>
                <c:pt idx="15">
                  <c:v> 2016Q1</c:v>
                </c:pt>
                <c:pt idx="16">
                  <c:v> 2016Q2</c:v>
                </c:pt>
                <c:pt idx="17">
                  <c:v> 2016Q3</c:v>
                </c:pt>
                <c:pt idx="18">
                  <c:v> 2016Q4</c:v>
                </c:pt>
                <c:pt idx="19">
                  <c:v> 2017Q1</c:v>
                </c:pt>
                <c:pt idx="20">
                  <c:v> 2017Q2</c:v>
                </c:pt>
                <c:pt idx="21">
                  <c:v> 2017Q3</c:v>
                </c:pt>
                <c:pt idx="22">
                  <c:v> 2017Q4</c:v>
                </c:pt>
                <c:pt idx="23">
                  <c:v> 2018Q1</c:v>
                </c:pt>
                <c:pt idx="24">
                  <c:v> 2018Q2</c:v>
                </c:pt>
                <c:pt idx="25">
                  <c:v> 2018Q3</c:v>
                </c:pt>
                <c:pt idx="26">
                  <c:v> 2018Q4</c:v>
                </c:pt>
                <c:pt idx="27">
                  <c:v> 2019Q1</c:v>
                </c:pt>
                <c:pt idx="28">
                  <c:v> 2019Q2</c:v>
                </c:pt>
                <c:pt idx="29">
                  <c:v> 2019Q3</c:v>
                </c:pt>
              </c:strCache>
            </c:strRef>
          </c:cat>
          <c:val>
            <c:numRef>
              <c:f>'Figure2 form by qtr'!$H$3:$H$33</c:f>
              <c:numCache>
                <c:formatCode>General</c:formatCode>
                <c:ptCount val="30"/>
                <c:pt idx="0">
                  <c:v>265</c:v>
                </c:pt>
                <c:pt idx="1">
                  <c:v>171</c:v>
                </c:pt>
                <c:pt idx="2">
                  <c:v>233</c:v>
                </c:pt>
                <c:pt idx="3">
                  <c:v>216</c:v>
                </c:pt>
                <c:pt idx="4">
                  <c:v>198</c:v>
                </c:pt>
                <c:pt idx="5">
                  <c:v>193</c:v>
                </c:pt>
                <c:pt idx="6">
                  <c:v>213</c:v>
                </c:pt>
                <c:pt idx="7">
                  <c:v>183</c:v>
                </c:pt>
                <c:pt idx="8">
                  <c:v>119</c:v>
                </c:pt>
                <c:pt idx="9">
                  <c:v>37</c:v>
                </c:pt>
              </c:numCache>
            </c:numRef>
          </c:val>
          <c:smooth val="0"/>
          <c:extLst>
            <c:ext xmlns:c16="http://schemas.microsoft.com/office/drawing/2014/chart" uri="{C3380CC4-5D6E-409C-BE32-E72D297353CC}">
              <c16:uniqueId val="{00000006-1371-4AFA-B61A-A4220E3F51D5}"/>
            </c:ext>
          </c:extLst>
        </c:ser>
        <c:dLbls>
          <c:showLegendKey val="0"/>
          <c:showVal val="0"/>
          <c:showCatName val="0"/>
          <c:showSerName val="0"/>
          <c:showPercent val="0"/>
          <c:showBubbleSize val="0"/>
        </c:dLbls>
        <c:smooth val="0"/>
        <c:axId val="413915400"/>
        <c:axId val="696554784"/>
      </c:lineChart>
      <c:catAx>
        <c:axId val="4139154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6554784"/>
        <c:crosses val="autoZero"/>
        <c:auto val="1"/>
        <c:lblAlgn val="ctr"/>
        <c:lblOffset val="100"/>
        <c:noMultiLvlLbl val="0"/>
      </c:catAx>
      <c:valAx>
        <c:axId val="696554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prescriptions</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915400"/>
        <c:crosses val="autoZero"/>
        <c:crossBetween val="between"/>
      </c:valAx>
      <c:spPr>
        <a:noFill/>
        <a:ln>
          <a:noFill/>
        </a:ln>
        <a:effectLst/>
      </c:spPr>
    </c:plotArea>
    <c:legend>
      <c:legendPos val="r"/>
      <c:layout>
        <c:manualLayout>
          <c:xMode val="edge"/>
          <c:yMode val="edge"/>
          <c:x val="1.5078340171194131E-2"/>
          <c:y val="0.87368004718260062"/>
          <c:w val="0.98263215590850073"/>
          <c:h val="0.11211513896226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[D1198_PAT_CNT by supp year &amp; therapy.xlsx]Sheet1!PivotTable1</c:name>
    <c:fmtId val="5"/>
  </c:pivotSource>
  <c:chart>
    <c:autoTitleDeleted val="0"/>
    <c:pivotFmts>
      <c:pivotFmt>
        <c:idx val="0"/>
        <c:spPr>
          <a:solidFill>
            <a:schemeClr val="accent1"/>
          </a:solidFill>
          <a:ln>
            <a:noFill/>
          </a:ln>
          <a:effectLst/>
        </c:spPr>
        <c:marker>
          <c:symbol val="none"/>
        </c:marker>
      </c:pivotFmt>
      <c:pivotFmt>
        <c:idx val="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s>
    <c:plotArea>
      <c:layout>
        <c:manualLayout>
          <c:layoutTarget val="inner"/>
          <c:xMode val="edge"/>
          <c:yMode val="edge"/>
          <c:x val="0.13542287341357087"/>
          <c:y val="3.7690594483467538E-2"/>
          <c:w val="0.84258139720923853"/>
          <c:h val="0.7277600536355775"/>
        </c:manualLayout>
      </c:layout>
      <c:lineChart>
        <c:grouping val="standard"/>
        <c:varyColors val="0"/>
        <c:ser>
          <c:idx val="0"/>
          <c:order val="0"/>
          <c:tx>
            <c:strRef>
              <c:f>Sheet1!$B$1:$B$2</c:f>
              <c:strCache>
                <c:ptCount val="1"/>
                <c:pt idx="0">
                  <c:v>initiating patients </c:v>
                </c:pt>
              </c:strCache>
            </c:strRef>
          </c:tx>
          <c:spPr>
            <a:ln w="28575" cap="rnd">
              <a:solidFill>
                <a:schemeClr val="accent1"/>
              </a:solidFill>
              <a:round/>
            </a:ln>
            <a:effectLst/>
          </c:spPr>
          <c:marker>
            <c:symbol val="diamond"/>
            <c:size val="5"/>
            <c:spPr>
              <a:solidFill>
                <a:schemeClr val="accent1"/>
              </a:solidFill>
              <a:ln w="9525">
                <a:solidFill>
                  <a:schemeClr val="accent1"/>
                </a:solidFill>
              </a:ln>
              <a:effectLst/>
            </c:spPr>
          </c:marker>
          <c:cat>
            <c:strRef>
              <c:f>Sheet1!$A$3:$A$10</c:f>
              <c:strCache>
                <c:ptCount val="7"/>
                <c:pt idx="0">
                  <c:v>2012</c:v>
                </c:pt>
                <c:pt idx="1">
                  <c:v>2013</c:v>
                </c:pt>
                <c:pt idx="2">
                  <c:v>2014</c:v>
                </c:pt>
                <c:pt idx="3">
                  <c:v>2015</c:v>
                </c:pt>
                <c:pt idx="4">
                  <c:v>2016</c:v>
                </c:pt>
                <c:pt idx="5">
                  <c:v>2017</c:v>
                </c:pt>
                <c:pt idx="6">
                  <c:v>2018</c:v>
                </c:pt>
              </c:strCache>
            </c:strRef>
          </c:cat>
          <c:val>
            <c:numRef>
              <c:f>Sheet1!$B$3:$B$10</c:f>
              <c:numCache>
                <c:formatCode>General</c:formatCode>
                <c:ptCount val="7"/>
                <c:pt idx="0">
                  <c:v>8493</c:v>
                </c:pt>
                <c:pt idx="1">
                  <c:v>9703</c:v>
                </c:pt>
                <c:pt idx="2">
                  <c:v>9229</c:v>
                </c:pt>
                <c:pt idx="3">
                  <c:v>5588</c:v>
                </c:pt>
                <c:pt idx="4">
                  <c:v>4501</c:v>
                </c:pt>
                <c:pt idx="5">
                  <c:v>4415</c:v>
                </c:pt>
                <c:pt idx="6">
                  <c:v>4276</c:v>
                </c:pt>
              </c:numCache>
            </c:numRef>
          </c:val>
          <c:smooth val="0"/>
          <c:extLst>
            <c:ext xmlns:c16="http://schemas.microsoft.com/office/drawing/2014/chart" uri="{C3380CC4-5D6E-409C-BE32-E72D297353CC}">
              <c16:uniqueId val="{00000000-B769-4B42-B2A6-2DEAF8DB49E7}"/>
            </c:ext>
          </c:extLst>
        </c:ser>
        <c:ser>
          <c:idx val="1"/>
          <c:order val="1"/>
          <c:tx>
            <c:strRef>
              <c:f>Sheet1!$C$1:$C$2</c:f>
              <c:strCache>
                <c:ptCount val="1"/>
                <c:pt idx="0">
                  <c:v>prevalent patients</c:v>
                </c:pt>
              </c:strCache>
            </c:strRef>
          </c:tx>
          <c:spPr>
            <a:ln w="28575" cap="rnd">
              <a:solidFill>
                <a:schemeClr val="accent2"/>
              </a:solidFill>
              <a:round/>
            </a:ln>
            <a:effectLst/>
          </c:spPr>
          <c:marker>
            <c:symbol val="diamond"/>
            <c:size val="5"/>
            <c:spPr>
              <a:solidFill>
                <a:schemeClr val="accent2"/>
              </a:solidFill>
              <a:ln w="9525">
                <a:solidFill>
                  <a:schemeClr val="accent2"/>
                </a:solidFill>
              </a:ln>
              <a:effectLst/>
            </c:spPr>
          </c:marker>
          <c:cat>
            <c:strRef>
              <c:f>Sheet1!$A$3:$A$10</c:f>
              <c:strCache>
                <c:ptCount val="7"/>
                <c:pt idx="0">
                  <c:v>2012</c:v>
                </c:pt>
                <c:pt idx="1">
                  <c:v>2013</c:v>
                </c:pt>
                <c:pt idx="2">
                  <c:v>2014</c:v>
                </c:pt>
                <c:pt idx="3">
                  <c:v>2015</c:v>
                </c:pt>
                <c:pt idx="4">
                  <c:v>2016</c:v>
                </c:pt>
                <c:pt idx="5">
                  <c:v>2017</c:v>
                </c:pt>
                <c:pt idx="6">
                  <c:v>2018</c:v>
                </c:pt>
              </c:strCache>
            </c:strRef>
          </c:cat>
          <c:val>
            <c:numRef>
              <c:f>Sheet1!$C$3:$C$10</c:f>
              <c:numCache>
                <c:formatCode>General</c:formatCode>
                <c:ptCount val="7"/>
                <c:pt idx="0">
                  <c:v>39219</c:v>
                </c:pt>
                <c:pt idx="1">
                  <c:v>43998</c:v>
                </c:pt>
                <c:pt idx="2">
                  <c:v>46797</c:v>
                </c:pt>
                <c:pt idx="3">
                  <c:v>43127</c:v>
                </c:pt>
                <c:pt idx="4">
                  <c:v>32024</c:v>
                </c:pt>
                <c:pt idx="5">
                  <c:v>33290</c:v>
                </c:pt>
                <c:pt idx="6">
                  <c:v>33615</c:v>
                </c:pt>
              </c:numCache>
            </c:numRef>
          </c:val>
          <c:smooth val="0"/>
          <c:extLst>
            <c:ext xmlns:c16="http://schemas.microsoft.com/office/drawing/2014/chart" uri="{C3380CC4-5D6E-409C-BE32-E72D297353CC}">
              <c16:uniqueId val="{00000001-B769-4B42-B2A6-2DEAF8DB49E7}"/>
            </c:ext>
          </c:extLst>
        </c:ser>
        <c:dLbls>
          <c:showLegendKey val="0"/>
          <c:showVal val="0"/>
          <c:showCatName val="0"/>
          <c:showSerName val="0"/>
          <c:showPercent val="0"/>
          <c:showBubbleSize val="0"/>
        </c:dLbls>
        <c:marker val="1"/>
        <c:smooth val="0"/>
        <c:axId val="475484040"/>
        <c:axId val="475485024"/>
      </c:lineChart>
      <c:catAx>
        <c:axId val="4754840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Year</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485024"/>
        <c:crosses val="autoZero"/>
        <c:auto val="1"/>
        <c:lblAlgn val="ctr"/>
        <c:lblOffset val="100"/>
        <c:noMultiLvlLbl val="0"/>
      </c:catAx>
      <c:valAx>
        <c:axId val="475485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Numberof patients </a:t>
                </a:r>
              </a:p>
            </c:rich>
          </c:tx>
          <c:layout>
            <c:manualLayout>
              <c:xMode val="edge"/>
              <c:yMode val="edge"/>
              <c:x val="1.0706621926808664E-2"/>
              <c:y val="0.2209409491565997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484040"/>
        <c:crosses val="autoZero"/>
        <c:crossBetween val="between"/>
      </c:valAx>
      <c:spPr>
        <a:noFill/>
        <a:ln>
          <a:noFill/>
        </a:ln>
        <a:effectLst/>
      </c:spPr>
    </c:plotArea>
    <c:legend>
      <c:legendPos val="r"/>
      <c:layout>
        <c:manualLayout>
          <c:xMode val="edge"/>
          <c:yMode val="edge"/>
          <c:x val="7.8149408503796355E-2"/>
          <c:y val="0.92915787017114537"/>
          <c:w val="0.8816585629152055"/>
          <c:h val="3.59790044233163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[D1198_PAT_CNT by supp year &amp; therapy.xlsx]Sheet1 (2)!PivotTable1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1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1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15"/>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16"/>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17"/>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s>
    <c:plotArea>
      <c:layout>
        <c:manualLayout>
          <c:layoutTarget val="inner"/>
          <c:xMode val="edge"/>
          <c:yMode val="edge"/>
          <c:x val="0.1212329423430757"/>
          <c:y val="3.7690594483467538E-2"/>
          <c:w val="0.85357266871729232"/>
          <c:h val="0.77110751715181425"/>
        </c:manualLayout>
      </c:layout>
      <c:lineChart>
        <c:grouping val="standard"/>
        <c:varyColors val="0"/>
        <c:ser>
          <c:idx val="0"/>
          <c:order val="0"/>
          <c:tx>
            <c:strRef>
              <c:f>'Sheet1 (2)'!$B$3:$B$4</c:f>
              <c:strCache>
                <c:ptCount val="1"/>
                <c:pt idx="0">
                  <c:v>Established androgen deficiency</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(2)'!$A$5:$A$13</c:f>
              <c:strCache>
                <c:ptCount val="8"/>
                <c:pt idx="0">
                  <c:v>2012</c:v>
                </c:pt>
                <c:pt idx="1">
                  <c:v>2013</c:v>
                </c:pt>
                <c:pt idx="2">
                  <c:v>2014</c:v>
                </c:pt>
                <c:pt idx="3">
                  <c:v>2015</c:v>
                </c:pt>
                <c:pt idx="4">
                  <c:v>2016</c:v>
                </c:pt>
                <c:pt idx="5">
                  <c:v>2017</c:v>
                </c:pt>
                <c:pt idx="6">
                  <c:v>2018</c:v>
                </c:pt>
                <c:pt idx="7">
                  <c:v>2019</c:v>
                </c:pt>
              </c:strCache>
            </c:strRef>
          </c:cat>
          <c:val>
            <c:numRef>
              <c:f>'Sheet1 (2)'!$B$5:$B$13</c:f>
              <c:numCache>
                <c:formatCode>General</c:formatCode>
                <c:ptCount val="8"/>
                <c:pt idx="0">
                  <c:v>2818</c:v>
                </c:pt>
                <c:pt idx="1">
                  <c:v>3033</c:v>
                </c:pt>
                <c:pt idx="2">
                  <c:v>2694</c:v>
                </c:pt>
                <c:pt idx="3">
                  <c:v>2333</c:v>
                </c:pt>
                <c:pt idx="4">
                  <c:v>3126</c:v>
                </c:pt>
                <c:pt idx="5">
                  <c:v>3185</c:v>
                </c:pt>
                <c:pt idx="6">
                  <c:v>3272</c:v>
                </c:pt>
                <c:pt idx="7">
                  <c:v>2683</c:v>
                </c:pt>
              </c:numCache>
            </c:numRef>
          </c:val>
          <c:smooth val="0"/>
          <c:extLst>
            <c:ext xmlns:c16="http://schemas.microsoft.com/office/drawing/2014/chart" uri="{C3380CC4-5D6E-409C-BE32-E72D297353CC}">
              <c16:uniqueId val="{00000000-BCE0-4AEE-BF87-A58970F30924}"/>
            </c:ext>
          </c:extLst>
        </c:ser>
        <c:ser>
          <c:idx val="1"/>
          <c:order val="1"/>
          <c:tx>
            <c:strRef>
              <c:f>'Sheet1 (2)'!$C$3:$C$4</c:f>
              <c:strCache>
                <c:ptCount val="1"/>
                <c:pt idx="0">
                  <c:v>Non-established androgen deficiency</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 (2)'!$A$5:$A$13</c:f>
              <c:strCache>
                <c:ptCount val="8"/>
                <c:pt idx="0">
                  <c:v>2012</c:v>
                </c:pt>
                <c:pt idx="1">
                  <c:v>2013</c:v>
                </c:pt>
                <c:pt idx="2">
                  <c:v>2014</c:v>
                </c:pt>
                <c:pt idx="3">
                  <c:v>2015</c:v>
                </c:pt>
                <c:pt idx="4">
                  <c:v>2016</c:v>
                </c:pt>
                <c:pt idx="5">
                  <c:v>2017</c:v>
                </c:pt>
                <c:pt idx="6">
                  <c:v>2018</c:v>
                </c:pt>
                <c:pt idx="7">
                  <c:v>2019</c:v>
                </c:pt>
              </c:strCache>
            </c:strRef>
          </c:cat>
          <c:val>
            <c:numRef>
              <c:f>'Sheet1 (2)'!$C$5:$C$13</c:f>
              <c:numCache>
                <c:formatCode>General</c:formatCode>
                <c:ptCount val="8"/>
                <c:pt idx="0">
                  <c:v>5225</c:v>
                </c:pt>
                <c:pt idx="1">
                  <c:v>6108</c:v>
                </c:pt>
                <c:pt idx="2">
                  <c:v>5992</c:v>
                </c:pt>
                <c:pt idx="3">
                  <c:v>2577</c:v>
                </c:pt>
                <c:pt idx="4">
                  <c:v>730</c:v>
                </c:pt>
                <c:pt idx="5">
                  <c:v>623</c:v>
                </c:pt>
                <c:pt idx="6">
                  <c:v>597</c:v>
                </c:pt>
                <c:pt idx="7">
                  <c:v>415</c:v>
                </c:pt>
              </c:numCache>
            </c:numRef>
          </c:val>
          <c:smooth val="0"/>
          <c:extLst>
            <c:ext xmlns:c16="http://schemas.microsoft.com/office/drawing/2014/chart" uri="{C3380CC4-5D6E-409C-BE32-E72D297353CC}">
              <c16:uniqueId val="{00000001-BCE0-4AEE-BF87-A58970F30924}"/>
            </c:ext>
          </c:extLst>
        </c:ser>
        <c:ser>
          <c:idx val="2"/>
          <c:order val="2"/>
          <c:tx>
            <c:strRef>
              <c:f>'Sheet1 (2)'!$D$3:$D$4</c:f>
              <c:strCache>
                <c:ptCount val="1"/>
                <c:pt idx="0">
                  <c:v>All classical androgen deficiencies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 (2)'!$A$5:$A$13</c:f>
              <c:strCache>
                <c:ptCount val="8"/>
                <c:pt idx="0">
                  <c:v>2012</c:v>
                </c:pt>
                <c:pt idx="1">
                  <c:v>2013</c:v>
                </c:pt>
                <c:pt idx="2">
                  <c:v>2014</c:v>
                </c:pt>
                <c:pt idx="3">
                  <c:v>2015</c:v>
                </c:pt>
                <c:pt idx="4">
                  <c:v>2016</c:v>
                </c:pt>
                <c:pt idx="5">
                  <c:v>2017</c:v>
                </c:pt>
                <c:pt idx="6">
                  <c:v>2018</c:v>
                </c:pt>
                <c:pt idx="7">
                  <c:v>2019</c:v>
                </c:pt>
              </c:strCache>
            </c:strRef>
          </c:cat>
          <c:val>
            <c:numRef>
              <c:f>'Sheet1 (2)'!$D$5:$D$13</c:f>
              <c:numCache>
                <c:formatCode>General</c:formatCode>
                <c:ptCount val="8"/>
                <c:pt idx="0">
                  <c:v>202</c:v>
                </c:pt>
                <c:pt idx="1">
                  <c:v>252</c:v>
                </c:pt>
                <c:pt idx="2">
                  <c:v>245</c:v>
                </c:pt>
                <c:pt idx="3">
                  <c:v>37</c:v>
                </c:pt>
              </c:numCache>
            </c:numRef>
          </c:val>
          <c:smooth val="0"/>
          <c:extLst>
            <c:ext xmlns:c16="http://schemas.microsoft.com/office/drawing/2014/chart" uri="{C3380CC4-5D6E-409C-BE32-E72D297353CC}">
              <c16:uniqueId val="{00000002-BCE0-4AEE-BF87-A58970F30924}"/>
            </c:ext>
          </c:extLst>
        </c:ser>
        <c:ser>
          <c:idx val="3"/>
          <c:order val="3"/>
          <c:tx>
            <c:strRef>
              <c:f>'Sheet1 (2)'!$E$3:$E$4</c:f>
              <c:strCache>
                <c:ptCount val="1"/>
                <c:pt idx="0">
                  <c:v>Pubertal induction</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 (2)'!$A$5:$A$13</c:f>
              <c:strCache>
                <c:ptCount val="8"/>
                <c:pt idx="0">
                  <c:v>2012</c:v>
                </c:pt>
                <c:pt idx="1">
                  <c:v>2013</c:v>
                </c:pt>
                <c:pt idx="2">
                  <c:v>2014</c:v>
                </c:pt>
                <c:pt idx="3">
                  <c:v>2015</c:v>
                </c:pt>
                <c:pt idx="4">
                  <c:v>2016</c:v>
                </c:pt>
                <c:pt idx="5">
                  <c:v>2017</c:v>
                </c:pt>
                <c:pt idx="6">
                  <c:v>2018</c:v>
                </c:pt>
                <c:pt idx="7">
                  <c:v>2019</c:v>
                </c:pt>
              </c:strCache>
            </c:strRef>
          </c:cat>
          <c:val>
            <c:numRef>
              <c:f>'Sheet1 (2)'!$E$5:$E$13</c:f>
              <c:numCache>
                <c:formatCode>General</c:formatCode>
                <c:ptCount val="8"/>
                <c:pt idx="3">
                  <c:v>112</c:v>
                </c:pt>
                <c:pt idx="4">
                  <c:v>144</c:v>
                </c:pt>
                <c:pt idx="5">
                  <c:v>195</c:v>
                </c:pt>
                <c:pt idx="6">
                  <c:v>125</c:v>
                </c:pt>
                <c:pt idx="7">
                  <c:v>94</c:v>
                </c:pt>
              </c:numCache>
            </c:numRef>
          </c:val>
          <c:smooth val="0"/>
          <c:extLst>
            <c:ext xmlns:c16="http://schemas.microsoft.com/office/drawing/2014/chart" uri="{C3380CC4-5D6E-409C-BE32-E72D297353CC}">
              <c16:uniqueId val="{00000003-BCE0-4AEE-BF87-A58970F30924}"/>
            </c:ext>
          </c:extLst>
        </c:ser>
        <c:ser>
          <c:idx val="4"/>
          <c:order val="4"/>
          <c:tx>
            <c:strRef>
              <c:f>'Sheet1 (2)'!$F$3:$F$4</c:f>
              <c:strCache>
                <c:ptCount val="1"/>
                <c:pt idx="0">
                  <c:v>CDGP</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 (2)'!$A$5:$A$13</c:f>
              <c:strCache>
                <c:ptCount val="8"/>
                <c:pt idx="0">
                  <c:v>2012</c:v>
                </c:pt>
                <c:pt idx="1">
                  <c:v>2013</c:v>
                </c:pt>
                <c:pt idx="2">
                  <c:v>2014</c:v>
                </c:pt>
                <c:pt idx="3">
                  <c:v>2015</c:v>
                </c:pt>
                <c:pt idx="4">
                  <c:v>2016</c:v>
                </c:pt>
                <c:pt idx="5">
                  <c:v>2017</c:v>
                </c:pt>
                <c:pt idx="6">
                  <c:v>2018</c:v>
                </c:pt>
                <c:pt idx="7">
                  <c:v>2019</c:v>
                </c:pt>
              </c:strCache>
            </c:strRef>
          </c:cat>
          <c:val>
            <c:numRef>
              <c:f>'Sheet1 (2)'!$F$5:$F$13</c:f>
              <c:numCache>
                <c:formatCode>General</c:formatCode>
                <c:ptCount val="8"/>
                <c:pt idx="3">
                  <c:v>79</c:v>
                </c:pt>
                <c:pt idx="4">
                  <c:v>44</c:v>
                </c:pt>
                <c:pt idx="5">
                  <c:v>57</c:v>
                </c:pt>
                <c:pt idx="6">
                  <c:v>20</c:v>
                </c:pt>
                <c:pt idx="7">
                  <c:v>17</c:v>
                </c:pt>
              </c:numCache>
            </c:numRef>
          </c:val>
          <c:smooth val="0"/>
          <c:extLst>
            <c:ext xmlns:c16="http://schemas.microsoft.com/office/drawing/2014/chart" uri="{C3380CC4-5D6E-409C-BE32-E72D297353CC}">
              <c16:uniqueId val="{00000004-BCE0-4AEE-BF87-A58970F30924}"/>
            </c:ext>
          </c:extLst>
        </c:ser>
        <c:ser>
          <c:idx val="5"/>
          <c:order val="5"/>
          <c:tx>
            <c:strRef>
              <c:f>'Sheet1 (2)'!$G$3:$G$4</c:f>
              <c:strCache>
                <c:ptCount val="1"/>
                <c:pt idx="0">
                  <c:v>Micropenis</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 (2)'!$A$5:$A$13</c:f>
              <c:strCache>
                <c:ptCount val="8"/>
                <c:pt idx="0">
                  <c:v>2012</c:v>
                </c:pt>
                <c:pt idx="1">
                  <c:v>2013</c:v>
                </c:pt>
                <c:pt idx="2">
                  <c:v>2014</c:v>
                </c:pt>
                <c:pt idx="3">
                  <c:v>2015</c:v>
                </c:pt>
                <c:pt idx="4">
                  <c:v>2016</c:v>
                </c:pt>
                <c:pt idx="5">
                  <c:v>2017</c:v>
                </c:pt>
                <c:pt idx="6">
                  <c:v>2018</c:v>
                </c:pt>
                <c:pt idx="7">
                  <c:v>2019</c:v>
                </c:pt>
              </c:strCache>
            </c:strRef>
          </c:cat>
          <c:val>
            <c:numRef>
              <c:f>'Sheet1 (2)'!$G$5:$G$13</c:f>
              <c:numCache>
                <c:formatCode>General</c:formatCode>
                <c:ptCount val="8"/>
                <c:pt idx="3">
                  <c:v>77</c:v>
                </c:pt>
                <c:pt idx="4">
                  <c:v>49</c:v>
                </c:pt>
                <c:pt idx="5">
                  <c:v>51</c:v>
                </c:pt>
                <c:pt idx="6">
                  <c:v>23</c:v>
                </c:pt>
                <c:pt idx="7">
                  <c:v>8</c:v>
                </c:pt>
              </c:numCache>
            </c:numRef>
          </c:val>
          <c:smooth val="0"/>
          <c:extLst>
            <c:ext xmlns:c16="http://schemas.microsoft.com/office/drawing/2014/chart" uri="{C3380CC4-5D6E-409C-BE32-E72D297353CC}">
              <c16:uniqueId val="{00000005-BCE0-4AEE-BF87-A58970F30924}"/>
            </c:ext>
          </c:extLst>
        </c:ser>
        <c:dLbls>
          <c:showLegendKey val="0"/>
          <c:showVal val="0"/>
          <c:showCatName val="0"/>
          <c:showSerName val="0"/>
          <c:showPercent val="0"/>
          <c:showBubbleSize val="0"/>
        </c:dLbls>
        <c:marker val="1"/>
        <c:smooth val="0"/>
        <c:axId val="475484040"/>
        <c:axId val="475485024"/>
      </c:lineChart>
      <c:catAx>
        <c:axId val="4754840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Year</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485024"/>
        <c:crosses val="autoZero"/>
        <c:auto val="1"/>
        <c:lblAlgn val="ctr"/>
        <c:lblOffset val="100"/>
        <c:noMultiLvlLbl val="0"/>
      </c:catAx>
      <c:valAx>
        <c:axId val="475485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initiating patients</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484040"/>
        <c:crosses val="autoZero"/>
        <c:crossBetween val="between"/>
      </c:valAx>
      <c:spPr>
        <a:noFill/>
        <a:ln>
          <a:noFill/>
        </a:ln>
        <a:effectLst/>
      </c:spPr>
    </c:plotArea>
    <c:legend>
      <c:legendPos val="r"/>
      <c:layout>
        <c:manualLayout>
          <c:xMode val="edge"/>
          <c:yMode val="edge"/>
          <c:x val="0"/>
          <c:y val="0.89018034558255188"/>
          <c:w val="0.98757018440686428"/>
          <c:h val="0.1070812182398735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[D1198_PAT_CNT by supp year &amp; therapy.xlsx]Sheet1 (3)!PivotTable1</c:name>
    <c:fmtId val="10"/>
  </c:pivotSource>
  <c:chart>
    <c:autoTitleDeleted val="0"/>
    <c:pivotFmts>
      <c:pivotFmt>
        <c:idx val="0"/>
        <c:spPr>
          <a:solidFill>
            <a:schemeClr val="accent1"/>
          </a:solidFill>
          <a:ln>
            <a:noFill/>
          </a:ln>
          <a:effectLst/>
        </c:spPr>
        <c:marker>
          <c:symbol val="none"/>
        </c:marker>
      </c:pivotFmt>
      <c:pivotFmt>
        <c:idx val="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29"/>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s>
    <c:plotArea>
      <c:layout>
        <c:manualLayout>
          <c:layoutTarget val="inner"/>
          <c:xMode val="edge"/>
          <c:yMode val="edge"/>
          <c:x val="0.13141492291692855"/>
          <c:y val="3.3323235383217208E-2"/>
          <c:w val="0.8322262357598289"/>
          <c:h val="0.73162361430305733"/>
        </c:manualLayout>
      </c:layout>
      <c:lineChart>
        <c:grouping val="standard"/>
        <c:varyColors val="0"/>
        <c:ser>
          <c:idx val="0"/>
          <c:order val="0"/>
          <c:tx>
            <c:strRef>
              <c:f>'Sheet1 (3)'!$B$3:$B$4</c:f>
              <c:strCache>
                <c:ptCount val="1"/>
                <c:pt idx="0">
                  <c:v>Established androgen deficiency</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(3)'!$A$5:$A$12</c:f>
              <c:strCache>
                <c:ptCount val="7"/>
                <c:pt idx="0">
                  <c:v>2012</c:v>
                </c:pt>
                <c:pt idx="1">
                  <c:v>2013</c:v>
                </c:pt>
                <c:pt idx="2">
                  <c:v>2014</c:v>
                </c:pt>
                <c:pt idx="3">
                  <c:v>2015</c:v>
                </c:pt>
                <c:pt idx="4">
                  <c:v>2016</c:v>
                </c:pt>
                <c:pt idx="5">
                  <c:v>2017</c:v>
                </c:pt>
                <c:pt idx="6">
                  <c:v>2018</c:v>
                </c:pt>
              </c:strCache>
            </c:strRef>
          </c:cat>
          <c:val>
            <c:numRef>
              <c:f>'Sheet1 (3)'!$B$5:$B$12</c:f>
              <c:numCache>
                <c:formatCode>General</c:formatCode>
                <c:ptCount val="7"/>
                <c:pt idx="0">
                  <c:v>16807</c:v>
                </c:pt>
                <c:pt idx="1">
                  <c:v>17632</c:v>
                </c:pt>
                <c:pt idx="2">
                  <c:v>18248</c:v>
                </c:pt>
                <c:pt idx="3">
                  <c:v>17064</c:v>
                </c:pt>
                <c:pt idx="4">
                  <c:v>23817</c:v>
                </c:pt>
                <c:pt idx="5">
                  <c:v>27456</c:v>
                </c:pt>
                <c:pt idx="6">
                  <c:v>27674</c:v>
                </c:pt>
              </c:numCache>
            </c:numRef>
          </c:val>
          <c:smooth val="0"/>
          <c:extLst>
            <c:ext xmlns:c16="http://schemas.microsoft.com/office/drawing/2014/chart" uri="{C3380CC4-5D6E-409C-BE32-E72D297353CC}">
              <c16:uniqueId val="{00000000-7D2D-47A4-B7C3-448C2220176F}"/>
            </c:ext>
          </c:extLst>
        </c:ser>
        <c:ser>
          <c:idx val="1"/>
          <c:order val="1"/>
          <c:tx>
            <c:strRef>
              <c:f>'Sheet1 (3)'!$C$3:$C$4</c:f>
              <c:strCache>
                <c:ptCount val="1"/>
                <c:pt idx="0">
                  <c:v>Non-established androgen deficiency</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 (3)'!$A$5:$A$12</c:f>
              <c:strCache>
                <c:ptCount val="7"/>
                <c:pt idx="0">
                  <c:v>2012</c:v>
                </c:pt>
                <c:pt idx="1">
                  <c:v>2013</c:v>
                </c:pt>
                <c:pt idx="2">
                  <c:v>2014</c:v>
                </c:pt>
                <c:pt idx="3">
                  <c:v>2015</c:v>
                </c:pt>
                <c:pt idx="4">
                  <c:v>2016</c:v>
                </c:pt>
                <c:pt idx="5">
                  <c:v>2017</c:v>
                </c:pt>
                <c:pt idx="6">
                  <c:v>2018</c:v>
                </c:pt>
              </c:strCache>
            </c:strRef>
          </c:cat>
          <c:val>
            <c:numRef>
              <c:f>'Sheet1 (3)'!$C$5:$C$12</c:f>
              <c:numCache>
                <c:formatCode>General</c:formatCode>
                <c:ptCount val="7"/>
                <c:pt idx="0">
                  <c:v>21645</c:v>
                </c:pt>
                <c:pt idx="1">
                  <c:v>25506</c:v>
                </c:pt>
                <c:pt idx="2">
                  <c:v>27654</c:v>
                </c:pt>
                <c:pt idx="3">
                  <c:v>24516</c:v>
                </c:pt>
                <c:pt idx="4">
                  <c:v>6770</c:v>
                </c:pt>
                <c:pt idx="5">
                  <c:v>4613</c:v>
                </c:pt>
                <c:pt idx="6">
                  <c:v>4874</c:v>
                </c:pt>
              </c:numCache>
            </c:numRef>
          </c:val>
          <c:smooth val="0"/>
          <c:extLst>
            <c:ext xmlns:c16="http://schemas.microsoft.com/office/drawing/2014/chart" uri="{C3380CC4-5D6E-409C-BE32-E72D297353CC}">
              <c16:uniqueId val="{00000001-7D2D-47A4-B7C3-448C2220176F}"/>
            </c:ext>
          </c:extLst>
        </c:ser>
        <c:ser>
          <c:idx val="2"/>
          <c:order val="2"/>
          <c:tx>
            <c:strRef>
              <c:f>'Sheet1 (3)'!$D$3:$D$4</c:f>
              <c:strCache>
                <c:ptCount val="1"/>
                <c:pt idx="0">
                  <c:v>All classical androgen deficiencies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 (3)'!$A$5:$A$12</c:f>
              <c:strCache>
                <c:ptCount val="7"/>
                <c:pt idx="0">
                  <c:v>2012</c:v>
                </c:pt>
                <c:pt idx="1">
                  <c:v>2013</c:v>
                </c:pt>
                <c:pt idx="2">
                  <c:v>2014</c:v>
                </c:pt>
                <c:pt idx="3">
                  <c:v>2015</c:v>
                </c:pt>
                <c:pt idx="4">
                  <c:v>2016</c:v>
                </c:pt>
                <c:pt idx="5">
                  <c:v>2017</c:v>
                </c:pt>
                <c:pt idx="6">
                  <c:v>2018</c:v>
                </c:pt>
              </c:strCache>
            </c:strRef>
          </c:cat>
          <c:val>
            <c:numRef>
              <c:f>'Sheet1 (3)'!$D$5:$D$12</c:f>
              <c:numCache>
                <c:formatCode>General</c:formatCode>
                <c:ptCount val="7"/>
                <c:pt idx="0">
                  <c:v>328</c:v>
                </c:pt>
                <c:pt idx="1">
                  <c:v>397</c:v>
                </c:pt>
                <c:pt idx="2">
                  <c:v>424</c:v>
                </c:pt>
                <c:pt idx="3">
                  <c:v>191</c:v>
                </c:pt>
                <c:pt idx="4">
                  <c:v>3</c:v>
                </c:pt>
                <c:pt idx="5">
                  <c:v>1</c:v>
                </c:pt>
              </c:numCache>
            </c:numRef>
          </c:val>
          <c:smooth val="0"/>
          <c:extLst>
            <c:ext xmlns:c16="http://schemas.microsoft.com/office/drawing/2014/chart" uri="{C3380CC4-5D6E-409C-BE32-E72D297353CC}">
              <c16:uniqueId val="{00000002-7D2D-47A4-B7C3-448C2220176F}"/>
            </c:ext>
          </c:extLst>
        </c:ser>
        <c:ser>
          <c:idx val="3"/>
          <c:order val="3"/>
          <c:tx>
            <c:strRef>
              <c:f>'Sheet1 (3)'!$E$3:$E$4</c:f>
              <c:strCache>
                <c:ptCount val="1"/>
                <c:pt idx="0">
                  <c:v>Pubertal induction</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 (3)'!$A$5:$A$12</c:f>
              <c:strCache>
                <c:ptCount val="7"/>
                <c:pt idx="0">
                  <c:v>2012</c:v>
                </c:pt>
                <c:pt idx="1">
                  <c:v>2013</c:v>
                </c:pt>
                <c:pt idx="2">
                  <c:v>2014</c:v>
                </c:pt>
                <c:pt idx="3">
                  <c:v>2015</c:v>
                </c:pt>
                <c:pt idx="4">
                  <c:v>2016</c:v>
                </c:pt>
                <c:pt idx="5">
                  <c:v>2017</c:v>
                </c:pt>
                <c:pt idx="6">
                  <c:v>2018</c:v>
                </c:pt>
              </c:strCache>
            </c:strRef>
          </c:cat>
          <c:val>
            <c:numRef>
              <c:f>'Sheet1 (3)'!$E$5:$E$12</c:f>
              <c:numCache>
                <c:formatCode>General</c:formatCode>
                <c:ptCount val="7"/>
                <c:pt idx="3">
                  <c:v>136</c:v>
                </c:pt>
                <c:pt idx="4">
                  <c:v>288</c:v>
                </c:pt>
                <c:pt idx="5">
                  <c:v>366</c:v>
                </c:pt>
                <c:pt idx="6">
                  <c:v>307</c:v>
                </c:pt>
              </c:numCache>
            </c:numRef>
          </c:val>
          <c:smooth val="0"/>
          <c:extLst>
            <c:ext xmlns:c16="http://schemas.microsoft.com/office/drawing/2014/chart" uri="{C3380CC4-5D6E-409C-BE32-E72D297353CC}">
              <c16:uniqueId val="{00000003-7D2D-47A4-B7C3-448C2220176F}"/>
            </c:ext>
          </c:extLst>
        </c:ser>
        <c:ser>
          <c:idx val="4"/>
          <c:order val="4"/>
          <c:tx>
            <c:strRef>
              <c:f>'Sheet1 (3)'!$F$3:$F$4</c:f>
              <c:strCache>
                <c:ptCount val="1"/>
                <c:pt idx="0">
                  <c:v>CDGP</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 (3)'!$A$5:$A$12</c:f>
              <c:strCache>
                <c:ptCount val="7"/>
                <c:pt idx="0">
                  <c:v>2012</c:v>
                </c:pt>
                <c:pt idx="1">
                  <c:v>2013</c:v>
                </c:pt>
                <c:pt idx="2">
                  <c:v>2014</c:v>
                </c:pt>
                <c:pt idx="3">
                  <c:v>2015</c:v>
                </c:pt>
                <c:pt idx="4">
                  <c:v>2016</c:v>
                </c:pt>
                <c:pt idx="5">
                  <c:v>2017</c:v>
                </c:pt>
                <c:pt idx="6">
                  <c:v>2018</c:v>
                </c:pt>
              </c:strCache>
            </c:strRef>
          </c:cat>
          <c:val>
            <c:numRef>
              <c:f>'Sheet1 (3)'!$F$5:$F$12</c:f>
              <c:numCache>
                <c:formatCode>General</c:formatCode>
                <c:ptCount val="7"/>
                <c:pt idx="3">
                  <c:v>128</c:v>
                </c:pt>
                <c:pt idx="4">
                  <c:v>143</c:v>
                </c:pt>
                <c:pt idx="5">
                  <c:v>132</c:v>
                </c:pt>
                <c:pt idx="6">
                  <c:v>60</c:v>
                </c:pt>
              </c:numCache>
            </c:numRef>
          </c:val>
          <c:smooth val="0"/>
          <c:extLst>
            <c:ext xmlns:c16="http://schemas.microsoft.com/office/drawing/2014/chart" uri="{C3380CC4-5D6E-409C-BE32-E72D297353CC}">
              <c16:uniqueId val="{00000004-7D2D-47A4-B7C3-448C2220176F}"/>
            </c:ext>
          </c:extLst>
        </c:ser>
        <c:ser>
          <c:idx val="5"/>
          <c:order val="5"/>
          <c:tx>
            <c:strRef>
              <c:f>'Sheet1 (3)'!$G$3:$G$4</c:f>
              <c:strCache>
                <c:ptCount val="1"/>
                <c:pt idx="0">
                  <c:v>Micropenis</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 (3)'!$A$5:$A$12</c:f>
              <c:strCache>
                <c:ptCount val="7"/>
                <c:pt idx="0">
                  <c:v>2012</c:v>
                </c:pt>
                <c:pt idx="1">
                  <c:v>2013</c:v>
                </c:pt>
                <c:pt idx="2">
                  <c:v>2014</c:v>
                </c:pt>
                <c:pt idx="3">
                  <c:v>2015</c:v>
                </c:pt>
                <c:pt idx="4">
                  <c:v>2016</c:v>
                </c:pt>
                <c:pt idx="5">
                  <c:v>2017</c:v>
                </c:pt>
                <c:pt idx="6">
                  <c:v>2018</c:v>
                </c:pt>
              </c:strCache>
            </c:strRef>
          </c:cat>
          <c:val>
            <c:numRef>
              <c:f>'Sheet1 (3)'!$G$5:$G$12</c:f>
              <c:numCache>
                <c:formatCode>General</c:formatCode>
                <c:ptCount val="7"/>
                <c:pt idx="3">
                  <c:v>100</c:v>
                </c:pt>
                <c:pt idx="4">
                  <c:v>146</c:v>
                </c:pt>
                <c:pt idx="5">
                  <c:v>92</c:v>
                </c:pt>
                <c:pt idx="6">
                  <c:v>43</c:v>
                </c:pt>
              </c:numCache>
            </c:numRef>
          </c:val>
          <c:smooth val="0"/>
          <c:extLst>
            <c:ext xmlns:c16="http://schemas.microsoft.com/office/drawing/2014/chart" uri="{C3380CC4-5D6E-409C-BE32-E72D297353CC}">
              <c16:uniqueId val="{00000005-7D2D-47A4-B7C3-448C2220176F}"/>
            </c:ext>
          </c:extLst>
        </c:ser>
        <c:dLbls>
          <c:showLegendKey val="0"/>
          <c:showVal val="0"/>
          <c:showCatName val="0"/>
          <c:showSerName val="0"/>
          <c:showPercent val="0"/>
          <c:showBubbleSize val="0"/>
        </c:dLbls>
        <c:marker val="1"/>
        <c:smooth val="0"/>
        <c:axId val="475484040"/>
        <c:axId val="475485024"/>
      </c:lineChart>
      <c:catAx>
        <c:axId val="4754840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Year</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485024"/>
        <c:crosses val="autoZero"/>
        <c:auto val="1"/>
        <c:lblAlgn val="ctr"/>
        <c:lblOffset val="100"/>
        <c:noMultiLvlLbl val="0"/>
      </c:catAx>
      <c:valAx>
        <c:axId val="475485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Prevalent</a:t>
                </a:r>
                <a:r>
                  <a:rPr lang="en-AU" baseline="0"/>
                  <a:t> patients</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484040"/>
        <c:crosses val="autoZero"/>
        <c:crossBetween val="between"/>
      </c:valAx>
      <c:spPr>
        <a:noFill/>
        <a:ln>
          <a:noFill/>
        </a:ln>
        <a:effectLst/>
      </c:spPr>
    </c:plotArea>
    <c:legend>
      <c:legendPos val="r"/>
      <c:layout>
        <c:manualLayout>
          <c:xMode val="edge"/>
          <c:yMode val="edge"/>
          <c:x val="4.5923172743967511E-2"/>
          <c:y val="0.87427622743764122"/>
          <c:w val="0.94067948439569982"/>
          <c:h val="0.1257237725623588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634016653090782E-2"/>
          <c:y val="3.6065573770491806E-2"/>
          <c:w val="0.8758041828823121"/>
          <c:h val="0.7061636715541848"/>
        </c:manualLayout>
      </c:layout>
      <c:barChart>
        <c:barDir val="col"/>
        <c:grouping val="clustered"/>
        <c:varyColors val="0"/>
        <c:ser>
          <c:idx val="0"/>
          <c:order val="0"/>
          <c:tx>
            <c:strRef>
              <c:f>'init18 by age std + Rxn'!$G$28</c:f>
              <c:strCache>
                <c:ptCount val="1"/>
                <c:pt idx="0">
                  <c:v>Classical androgen deficiency</c:v>
                </c:pt>
              </c:strCache>
            </c:strRef>
          </c:tx>
          <c:spPr>
            <a:solidFill>
              <a:schemeClr val="accent1"/>
            </a:solidFill>
            <a:ln>
              <a:noFill/>
            </a:ln>
            <a:effectLst/>
          </c:spPr>
          <c:invertIfNegative val="0"/>
          <c:cat>
            <c:strRef>
              <c:f>'init18 by age std + Rxn'!$F$29:$F$46</c:f>
              <c:strCache>
                <c:ptCount val="18"/>
                <c:pt idx="0">
                  <c:v>0-9 yrs</c:v>
                </c:pt>
                <c:pt idx="1">
                  <c:v>10-14 yrs</c:v>
                </c:pt>
                <c:pt idx="2">
                  <c:v>15-19 yrs</c:v>
                </c:pt>
                <c:pt idx="3">
                  <c:v>20-24 yrs</c:v>
                </c:pt>
                <c:pt idx="4">
                  <c:v>25-29 yrs</c:v>
                </c:pt>
                <c:pt idx="5">
                  <c:v>30-34 yrs</c:v>
                </c:pt>
                <c:pt idx="6">
                  <c:v>35-39 yrs</c:v>
                </c:pt>
                <c:pt idx="7">
                  <c:v>40-44 yrs</c:v>
                </c:pt>
                <c:pt idx="8">
                  <c:v>45-49 yrs</c:v>
                </c:pt>
                <c:pt idx="9">
                  <c:v>50-54 yrs</c:v>
                </c:pt>
                <c:pt idx="10">
                  <c:v>55-59 yrs</c:v>
                </c:pt>
                <c:pt idx="11">
                  <c:v>60-64 yrs</c:v>
                </c:pt>
                <c:pt idx="12">
                  <c:v>65-69 yrs</c:v>
                </c:pt>
                <c:pt idx="13">
                  <c:v>70-74 yrs</c:v>
                </c:pt>
                <c:pt idx="14">
                  <c:v>75-79 yrs</c:v>
                </c:pt>
                <c:pt idx="15">
                  <c:v>80-84 yrs</c:v>
                </c:pt>
                <c:pt idx="16">
                  <c:v>85-89 yrs</c:v>
                </c:pt>
                <c:pt idx="17">
                  <c:v>90+ yrs</c:v>
                </c:pt>
              </c:strCache>
            </c:strRef>
          </c:cat>
          <c:val>
            <c:numRef>
              <c:f>'init18 by age std + Rxn'!$G$29:$G$46</c:f>
              <c:numCache>
                <c:formatCode>General</c:formatCode>
                <c:ptCount val="18"/>
                <c:pt idx="0">
                  <c:v>0.37775049579752573</c:v>
                </c:pt>
                <c:pt idx="1">
                  <c:v>5.4094419830750438</c:v>
                </c:pt>
                <c:pt idx="2">
                  <c:v>4.4948222331350252</c:v>
                </c:pt>
                <c:pt idx="3">
                  <c:v>0.28740174452858924</c:v>
                </c:pt>
                <c:pt idx="4">
                  <c:v>0.26633839571600021</c:v>
                </c:pt>
                <c:pt idx="5">
                  <c:v>0</c:v>
                </c:pt>
                <c:pt idx="6">
                  <c:v>0</c:v>
                </c:pt>
                <c:pt idx="7">
                  <c:v>0.31365956018656471</c:v>
                </c:pt>
                <c:pt idx="8">
                  <c:v>0</c:v>
                </c:pt>
                <c:pt idx="9">
                  <c:v>0.32702566235777658</c:v>
                </c:pt>
                <c:pt idx="10">
                  <c:v>0</c:v>
                </c:pt>
                <c:pt idx="11">
                  <c:v>0</c:v>
                </c:pt>
                <c:pt idx="12">
                  <c:v>0</c:v>
                </c:pt>
                <c:pt idx="13">
                  <c:v>0.4916778605326248</c:v>
                </c:pt>
                <c:pt idx="14">
                  <c:v>0</c:v>
                </c:pt>
                <c:pt idx="15">
                  <c:v>1.0292852231696221</c:v>
                </c:pt>
                <c:pt idx="16">
                  <c:v>0</c:v>
                </c:pt>
                <c:pt idx="17">
                  <c:v>0</c:v>
                </c:pt>
              </c:numCache>
            </c:numRef>
          </c:val>
          <c:extLst>
            <c:ext xmlns:c16="http://schemas.microsoft.com/office/drawing/2014/chart" uri="{C3380CC4-5D6E-409C-BE32-E72D297353CC}">
              <c16:uniqueId val="{00000000-121F-42EF-8F17-0E07BB1487B3}"/>
            </c:ext>
          </c:extLst>
        </c:ser>
        <c:ser>
          <c:idx val="1"/>
          <c:order val="1"/>
          <c:tx>
            <c:strRef>
              <c:f>'init18 by age std + Rxn'!$H$28</c:f>
              <c:strCache>
                <c:ptCount val="1"/>
                <c:pt idx="0">
                  <c:v>Established androgen deficiency</c:v>
                </c:pt>
              </c:strCache>
            </c:strRef>
          </c:tx>
          <c:spPr>
            <a:solidFill>
              <a:schemeClr val="accent2"/>
            </a:solidFill>
            <a:ln>
              <a:noFill/>
            </a:ln>
            <a:effectLst/>
          </c:spPr>
          <c:invertIfNegative val="0"/>
          <c:cat>
            <c:strRef>
              <c:f>'init18 by age std + Rxn'!$F$29:$F$46</c:f>
              <c:strCache>
                <c:ptCount val="18"/>
                <c:pt idx="0">
                  <c:v>0-9 yrs</c:v>
                </c:pt>
                <c:pt idx="1">
                  <c:v>10-14 yrs</c:v>
                </c:pt>
                <c:pt idx="2">
                  <c:v>15-19 yrs</c:v>
                </c:pt>
                <c:pt idx="3">
                  <c:v>20-24 yrs</c:v>
                </c:pt>
                <c:pt idx="4">
                  <c:v>25-29 yrs</c:v>
                </c:pt>
                <c:pt idx="5">
                  <c:v>30-34 yrs</c:v>
                </c:pt>
                <c:pt idx="6">
                  <c:v>35-39 yrs</c:v>
                </c:pt>
                <c:pt idx="7">
                  <c:v>40-44 yrs</c:v>
                </c:pt>
                <c:pt idx="8">
                  <c:v>45-49 yrs</c:v>
                </c:pt>
                <c:pt idx="9">
                  <c:v>50-54 yrs</c:v>
                </c:pt>
                <c:pt idx="10">
                  <c:v>55-59 yrs</c:v>
                </c:pt>
                <c:pt idx="11">
                  <c:v>60-64 yrs</c:v>
                </c:pt>
                <c:pt idx="12">
                  <c:v>65-69 yrs</c:v>
                </c:pt>
                <c:pt idx="13">
                  <c:v>70-74 yrs</c:v>
                </c:pt>
                <c:pt idx="14">
                  <c:v>75-79 yrs</c:v>
                </c:pt>
                <c:pt idx="15">
                  <c:v>80-84 yrs</c:v>
                </c:pt>
                <c:pt idx="16">
                  <c:v>85-89 yrs</c:v>
                </c:pt>
                <c:pt idx="17">
                  <c:v>90+ yrs</c:v>
                </c:pt>
              </c:strCache>
            </c:strRef>
          </c:cat>
          <c:val>
            <c:numRef>
              <c:f>'init18 by age std + Rxn'!$H$29:$H$46</c:f>
              <c:numCache>
                <c:formatCode>General</c:formatCode>
                <c:ptCount val="18"/>
                <c:pt idx="0">
                  <c:v>0</c:v>
                </c:pt>
                <c:pt idx="1">
                  <c:v>0.98953207007470312</c:v>
                </c:pt>
                <c:pt idx="2">
                  <c:v>28.243584479848437</c:v>
                </c:pt>
                <c:pt idx="3">
                  <c:v>19.543318627944071</c:v>
                </c:pt>
                <c:pt idx="4">
                  <c:v>14.009399614661609</c:v>
                </c:pt>
                <c:pt idx="5">
                  <c:v>11.758326129792591</c:v>
                </c:pt>
                <c:pt idx="6">
                  <c:v>11.783772989966959</c:v>
                </c:pt>
                <c:pt idx="7">
                  <c:v>14.0519482963581</c:v>
                </c:pt>
                <c:pt idx="8">
                  <c:v>13.578016772140543</c:v>
                </c:pt>
                <c:pt idx="9">
                  <c:v>15.501016395758608</c:v>
                </c:pt>
                <c:pt idx="10">
                  <c:v>16.541904960544613</c:v>
                </c:pt>
                <c:pt idx="11">
                  <c:v>17.586163000920514</c:v>
                </c:pt>
                <c:pt idx="12">
                  <c:v>17.648579496493486</c:v>
                </c:pt>
                <c:pt idx="13">
                  <c:v>16.913718402322292</c:v>
                </c:pt>
                <c:pt idx="14">
                  <c:v>17.573688045605863</c:v>
                </c:pt>
                <c:pt idx="15">
                  <c:v>15.439278347544331</c:v>
                </c:pt>
                <c:pt idx="16">
                  <c:v>10.975495592047285</c:v>
                </c:pt>
                <c:pt idx="17">
                  <c:v>6.2078384306584447</c:v>
                </c:pt>
              </c:numCache>
            </c:numRef>
          </c:val>
          <c:extLst>
            <c:ext xmlns:c16="http://schemas.microsoft.com/office/drawing/2014/chart" uri="{C3380CC4-5D6E-409C-BE32-E72D297353CC}">
              <c16:uniqueId val="{00000001-121F-42EF-8F17-0E07BB1487B3}"/>
            </c:ext>
          </c:extLst>
        </c:ser>
        <c:ser>
          <c:idx val="2"/>
          <c:order val="2"/>
          <c:tx>
            <c:strRef>
              <c:f>'init18 by age std + Rxn'!$I$28</c:f>
              <c:strCache>
                <c:ptCount val="1"/>
                <c:pt idx="0">
                  <c:v>Non-established androgen deficiency</c:v>
                </c:pt>
              </c:strCache>
            </c:strRef>
          </c:tx>
          <c:spPr>
            <a:solidFill>
              <a:schemeClr val="accent3"/>
            </a:solidFill>
            <a:ln>
              <a:noFill/>
            </a:ln>
            <a:effectLst/>
          </c:spPr>
          <c:invertIfNegative val="0"/>
          <c:cat>
            <c:strRef>
              <c:f>'init18 by age std + Rxn'!$F$29:$F$46</c:f>
              <c:strCache>
                <c:ptCount val="18"/>
                <c:pt idx="0">
                  <c:v>0-9 yrs</c:v>
                </c:pt>
                <c:pt idx="1">
                  <c:v>10-14 yrs</c:v>
                </c:pt>
                <c:pt idx="2">
                  <c:v>15-19 yrs</c:v>
                </c:pt>
                <c:pt idx="3">
                  <c:v>20-24 yrs</c:v>
                </c:pt>
                <c:pt idx="4">
                  <c:v>25-29 yrs</c:v>
                </c:pt>
                <c:pt idx="5">
                  <c:v>30-34 yrs</c:v>
                </c:pt>
                <c:pt idx="6">
                  <c:v>35-39 yrs</c:v>
                </c:pt>
                <c:pt idx="7">
                  <c:v>40-44 yrs</c:v>
                </c:pt>
                <c:pt idx="8">
                  <c:v>45-49 yrs</c:v>
                </c:pt>
                <c:pt idx="9">
                  <c:v>50-54 yrs</c:v>
                </c:pt>
                <c:pt idx="10">
                  <c:v>55-59 yrs</c:v>
                </c:pt>
                <c:pt idx="11">
                  <c:v>60-64 yrs</c:v>
                </c:pt>
                <c:pt idx="12">
                  <c:v>65-69 yrs</c:v>
                </c:pt>
                <c:pt idx="13">
                  <c:v>70-74 yrs</c:v>
                </c:pt>
                <c:pt idx="14">
                  <c:v>75-79 yrs</c:v>
                </c:pt>
                <c:pt idx="15">
                  <c:v>80-84 yrs</c:v>
                </c:pt>
                <c:pt idx="16">
                  <c:v>85-89 yrs</c:v>
                </c:pt>
                <c:pt idx="17">
                  <c:v>90+ yrs</c:v>
                </c:pt>
              </c:strCache>
            </c:strRef>
          </c:cat>
          <c:val>
            <c:numRef>
              <c:f>'init18 by age std + Rxn'!$I$29:$I$46</c:f>
              <c:numCache>
                <c:formatCode>General</c:formatCode>
                <c:ptCount val="18"/>
                <c:pt idx="0">
                  <c:v>0</c:v>
                </c:pt>
                <c:pt idx="1">
                  <c:v>0.32984402335823432</c:v>
                </c:pt>
                <c:pt idx="2">
                  <c:v>0.60378209101813762</c:v>
                </c:pt>
                <c:pt idx="3">
                  <c:v>0.68976418686861429</c:v>
                </c:pt>
                <c:pt idx="4">
                  <c:v>0.53267679143200042</c:v>
                </c:pt>
                <c:pt idx="5">
                  <c:v>0.42952789515224082</c:v>
                </c:pt>
                <c:pt idx="6">
                  <c:v>1.1609628561543803</c:v>
                </c:pt>
                <c:pt idx="7">
                  <c:v>4.0775742824253411</c:v>
                </c:pt>
                <c:pt idx="8">
                  <c:v>4.845019200631647</c:v>
                </c:pt>
                <c:pt idx="9">
                  <c:v>4.1859284781795392</c:v>
                </c:pt>
                <c:pt idx="10">
                  <c:v>5.3614079318761201</c:v>
                </c:pt>
                <c:pt idx="11">
                  <c:v>5.2243413098968894</c:v>
                </c:pt>
                <c:pt idx="12">
                  <c:v>4.8885736633479597</c:v>
                </c:pt>
                <c:pt idx="13">
                  <c:v>5.2117853216458228</c:v>
                </c:pt>
                <c:pt idx="14">
                  <c:v>5.0006429398065464</c:v>
                </c:pt>
                <c:pt idx="15">
                  <c:v>3.4995697587767154</c:v>
                </c:pt>
                <c:pt idx="16">
                  <c:v>2.9052782449536929</c:v>
                </c:pt>
                <c:pt idx="17">
                  <c:v>2.5865993461076853</c:v>
                </c:pt>
              </c:numCache>
            </c:numRef>
          </c:val>
          <c:extLst>
            <c:ext xmlns:c16="http://schemas.microsoft.com/office/drawing/2014/chart" uri="{C3380CC4-5D6E-409C-BE32-E72D297353CC}">
              <c16:uniqueId val="{00000002-121F-42EF-8F17-0E07BB1487B3}"/>
            </c:ext>
          </c:extLst>
        </c:ser>
        <c:dLbls>
          <c:showLegendKey val="0"/>
          <c:showVal val="0"/>
          <c:showCatName val="0"/>
          <c:showSerName val="0"/>
          <c:showPercent val="0"/>
          <c:showBubbleSize val="0"/>
        </c:dLbls>
        <c:gapWidth val="219"/>
        <c:overlap val="-27"/>
        <c:axId val="697526344"/>
        <c:axId val="697520768"/>
      </c:barChart>
      <c:catAx>
        <c:axId val="6975263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Age group</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7520768"/>
        <c:crosses val="autoZero"/>
        <c:auto val="1"/>
        <c:lblAlgn val="ctr"/>
        <c:lblOffset val="100"/>
        <c:noMultiLvlLbl val="0"/>
      </c:catAx>
      <c:valAx>
        <c:axId val="697520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Initiating patients per 100,000 population</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7526344"/>
        <c:crosses val="autoZero"/>
        <c:crossBetween val="between"/>
      </c:valAx>
      <c:spPr>
        <a:noFill/>
        <a:ln>
          <a:noFill/>
        </a:ln>
        <a:effectLst/>
      </c:spPr>
    </c:plotArea>
    <c:legend>
      <c:legendPos val="b"/>
      <c:layout>
        <c:manualLayout>
          <c:xMode val="edge"/>
          <c:yMode val="edge"/>
          <c:x val="1.8647992276827103E-4"/>
          <c:y val="0.93032709435910677"/>
          <c:w val="0.99723240413913783"/>
          <c:h val="6.967290564089324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76855608159158"/>
          <c:y val="5.5555555555555552E-2"/>
          <c:w val="0.7100516947448724"/>
          <c:h val="0.73577136191309422"/>
        </c:manualLayout>
      </c:layout>
      <c:barChart>
        <c:barDir val="col"/>
        <c:grouping val="stacked"/>
        <c:varyColors val="0"/>
        <c:ser>
          <c:idx val="1"/>
          <c:order val="0"/>
          <c:tx>
            <c:v>Female</c:v>
          </c:tx>
          <c:spPr>
            <a:solidFill>
              <a:schemeClr val="accent2"/>
            </a:solidFill>
            <a:ln>
              <a:noFill/>
            </a:ln>
            <a:effectLst/>
          </c:spPr>
          <c:invertIfNegative val="0"/>
          <c:cat>
            <c:numRef>
              <c:f>'init by year and sex adj'!$L$23:$L$28</c:f>
              <c:numCache>
                <c:formatCode>General</c:formatCode>
                <c:ptCount val="6"/>
                <c:pt idx="0">
                  <c:v>2013</c:v>
                </c:pt>
                <c:pt idx="1">
                  <c:v>2014</c:v>
                </c:pt>
                <c:pt idx="2">
                  <c:v>2015</c:v>
                </c:pt>
                <c:pt idx="3">
                  <c:v>2016</c:v>
                </c:pt>
                <c:pt idx="4">
                  <c:v>2017</c:v>
                </c:pt>
                <c:pt idx="5">
                  <c:v>2018</c:v>
                </c:pt>
              </c:numCache>
            </c:numRef>
          </c:cat>
          <c:val>
            <c:numRef>
              <c:f>'init by year and sex adj'!$N$23:$N$28</c:f>
              <c:numCache>
                <c:formatCode>General</c:formatCode>
                <c:ptCount val="6"/>
                <c:pt idx="0">
                  <c:v>0.86043976732331984</c:v>
                </c:pt>
                <c:pt idx="1">
                  <c:v>0.99933941970561824</c:v>
                </c:pt>
                <c:pt idx="2">
                  <c:v>1.1094110337016552</c:v>
                </c:pt>
                <c:pt idx="3">
                  <c:v>2.814273997716418</c:v>
                </c:pt>
                <c:pt idx="4">
                  <c:v>5.0894936236146053</c:v>
                </c:pt>
                <c:pt idx="5">
                  <c:v>7.306852874928917</c:v>
                </c:pt>
              </c:numCache>
            </c:numRef>
          </c:val>
          <c:extLst>
            <c:ext xmlns:c16="http://schemas.microsoft.com/office/drawing/2014/chart" uri="{C3380CC4-5D6E-409C-BE32-E72D297353CC}">
              <c16:uniqueId val="{00000000-84E0-4ADA-95B6-ED69D253231D}"/>
            </c:ext>
          </c:extLst>
        </c:ser>
        <c:ser>
          <c:idx val="0"/>
          <c:order val="1"/>
          <c:tx>
            <c:v>Male</c:v>
          </c:tx>
          <c:spPr>
            <a:solidFill>
              <a:schemeClr val="accent1"/>
            </a:solidFill>
            <a:ln>
              <a:noFill/>
            </a:ln>
            <a:effectLst/>
          </c:spPr>
          <c:invertIfNegative val="0"/>
          <c:cat>
            <c:numRef>
              <c:f>'init by year and sex adj'!$L$23:$L$28</c:f>
              <c:numCache>
                <c:formatCode>General</c:formatCode>
                <c:ptCount val="6"/>
                <c:pt idx="0">
                  <c:v>2013</c:v>
                </c:pt>
                <c:pt idx="1">
                  <c:v>2014</c:v>
                </c:pt>
                <c:pt idx="2">
                  <c:v>2015</c:v>
                </c:pt>
                <c:pt idx="3">
                  <c:v>2016</c:v>
                </c:pt>
                <c:pt idx="4">
                  <c:v>2017</c:v>
                </c:pt>
                <c:pt idx="5">
                  <c:v>2018</c:v>
                </c:pt>
              </c:numCache>
            </c:numRef>
          </c:cat>
          <c:val>
            <c:numRef>
              <c:f>'init by year and sex adj'!$M$23:$M$28</c:f>
              <c:numCache>
                <c:formatCode>General</c:formatCode>
                <c:ptCount val="6"/>
                <c:pt idx="0">
                  <c:v>83.450915226750183</c:v>
                </c:pt>
                <c:pt idx="1">
                  <c:v>78.077554065920765</c:v>
                </c:pt>
                <c:pt idx="2">
                  <c:v>46.120734698653628</c:v>
                </c:pt>
                <c:pt idx="3">
                  <c:v>34.63289588578359</c:v>
                </c:pt>
                <c:pt idx="4">
                  <c:v>30.990423451113877</c:v>
                </c:pt>
                <c:pt idx="5">
                  <c:v>27.069330900052829</c:v>
                </c:pt>
              </c:numCache>
            </c:numRef>
          </c:val>
          <c:extLst>
            <c:ext xmlns:c16="http://schemas.microsoft.com/office/drawing/2014/chart" uri="{C3380CC4-5D6E-409C-BE32-E72D297353CC}">
              <c16:uniqueId val="{00000001-84E0-4ADA-95B6-ED69D253231D}"/>
            </c:ext>
          </c:extLst>
        </c:ser>
        <c:dLbls>
          <c:showLegendKey val="0"/>
          <c:showVal val="0"/>
          <c:showCatName val="0"/>
          <c:showSerName val="0"/>
          <c:showPercent val="0"/>
          <c:showBubbleSize val="0"/>
        </c:dLbls>
        <c:gapWidth val="150"/>
        <c:overlap val="100"/>
        <c:axId val="862987168"/>
        <c:axId val="862984872"/>
      </c:barChart>
      <c:catAx>
        <c:axId val="8629871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Year</a:t>
                </a:r>
                <a:r>
                  <a:rPr lang="en-AU" baseline="0"/>
                  <a:t> of initiation</a:t>
                </a:r>
                <a:endParaRPr lang="en-AU"/>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2984872"/>
        <c:crosses val="autoZero"/>
        <c:auto val="1"/>
        <c:lblAlgn val="ctr"/>
        <c:lblOffset val="100"/>
        <c:noMultiLvlLbl val="0"/>
      </c:catAx>
      <c:valAx>
        <c:axId val="8629848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Initiating patients per 100,000</a:t>
                </a:r>
                <a:r>
                  <a:rPr lang="en-AU" baseline="0"/>
                  <a:t> population</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2987168"/>
        <c:crosses val="autoZero"/>
        <c:crossBetween val="between"/>
      </c:valAx>
      <c:spPr>
        <a:noFill/>
        <a:ln>
          <a:noFill/>
        </a:ln>
        <a:effectLst/>
      </c:spPr>
    </c:plotArea>
    <c:legend>
      <c:legendPos val="b"/>
      <c:layout>
        <c:manualLayout>
          <c:xMode val="edge"/>
          <c:yMode val="edge"/>
          <c:x val="0.85581649947049576"/>
          <c:y val="0.36168926800816559"/>
          <c:w val="0.14377956729670713"/>
          <c:h val="0.3003477690288713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03179081224473"/>
          <c:y val="4.1244844394450697E-2"/>
          <c:w val="0.86939276161742274"/>
          <c:h val="0.65528137722942115"/>
        </c:manualLayout>
      </c:layout>
      <c:barChart>
        <c:barDir val="col"/>
        <c:grouping val="clustered"/>
        <c:varyColors val="0"/>
        <c:ser>
          <c:idx val="0"/>
          <c:order val="0"/>
          <c:tx>
            <c:strRef>
              <c:f>'init 18 age and sex std'!$F$31</c:f>
              <c:strCache>
                <c:ptCount val="1"/>
                <c:pt idx="0">
                  <c:v>M</c:v>
                </c:pt>
              </c:strCache>
            </c:strRef>
          </c:tx>
          <c:spPr>
            <a:solidFill>
              <a:schemeClr val="accent1"/>
            </a:solidFill>
            <a:ln>
              <a:noFill/>
            </a:ln>
            <a:effectLst/>
          </c:spPr>
          <c:invertIfNegative val="0"/>
          <c:cat>
            <c:strRef>
              <c:f>'init 18 age and sex std'!$E$32:$E$49</c:f>
              <c:strCache>
                <c:ptCount val="18"/>
                <c:pt idx="0">
                  <c:v>0-9 yrs</c:v>
                </c:pt>
                <c:pt idx="1">
                  <c:v>10-14 yrs</c:v>
                </c:pt>
                <c:pt idx="2">
                  <c:v>15-19 yrs</c:v>
                </c:pt>
                <c:pt idx="3">
                  <c:v>20-24 yrs</c:v>
                </c:pt>
                <c:pt idx="4">
                  <c:v>25-29 yrs</c:v>
                </c:pt>
                <c:pt idx="5">
                  <c:v>30-34 yrs</c:v>
                </c:pt>
                <c:pt idx="6">
                  <c:v>35-39 yrs</c:v>
                </c:pt>
                <c:pt idx="7">
                  <c:v>40-44 yrs</c:v>
                </c:pt>
                <c:pt idx="8">
                  <c:v>45-49 yrs</c:v>
                </c:pt>
                <c:pt idx="9">
                  <c:v>50-54 yrs</c:v>
                </c:pt>
                <c:pt idx="10">
                  <c:v>55-59 yrs</c:v>
                </c:pt>
                <c:pt idx="11">
                  <c:v>60-64 yrs</c:v>
                </c:pt>
                <c:pt idx="12">
                  <c:v>65-69 yrs</c:v>
                </c:pt>
                <c:pt idx="13">
                  <c:v>70-74 yrs</c:v>
                </c:pt>
                <c:pt idx="14">
                  <c:v>75-79 yrs</c:v>
                </c:pt>
                <c:pt idx="15">
                  <c:v>80-84 yrs</c:v>
                </c:pt>
                <c:pt idx="16">
                  <c:v>85-89 yrs</c:v>
                </c:pt>
                <c:pt idx="17">
                  <c:v>90+ yrs</c:v>
                </c:pt>
              </c:strCache>
            </c:strRef>
          </c:cat>
          <c:val>
            <c:numRef>
              <c:f>'init 18 age and sex std'!$F$32:$F$49</c:f>
              <c:numCache>
                <c:formatCode>General</c:formatCode>
                <c:ptCount val="18"/>
                <c:pt idx="0">
                  <c:v>1.1647605575838207</c:v>
                </c:pt>
                <c:pt idx="1">
                  <c:v>13.440112082389245</c:v>
                </c:pt>
                <c:pt idx="2">
                  <c:v>21.912023913046475</c:v>
                </c:pt>
                <c:pt idx="3">
                  <c:v>13.30592078149323</c:v>
                </c:pt>
                <c:pt idx="4">
                  <c:v>14.298946146327305</c:v>
                </c:pt>
                <c:pt idx="5">
                  <c:v>19.221742445642825</c:v>
                </c:pt>
                <c:pt idx="6">
                  <c:v>23.350090683891789</c:v>
                </c:pt>
                <c:pt idx="7">
                  <c:v>35.713081601894039</c:v>
                </c:pt>
                <c:pt idx="8">
                  <c:v>36.838894363883803</c:v>
                </c:pt>
                <c:pt idx="9">
                  <c:v>40.417986132139873</c:v>
                </c:pt>
                <c:pt idx="10">
                  <c:v>44.778264194324834</c:v>
                </c:pt>
                <c:pt idx="11">
                  <c:v>46.295101892222711</c:v>
                </c:pt>
                <c:pt idx="12">
                  <c:v>47.002382534562962</c:v>
                </c:pt>
                <c:pt idx="13">
                  <c:v>47.727992950942578</c:v>
                </c:pt>
                <c:pt idx="14">
                  <c:v>45.596398157577873</c:v>
                </c:pt>
                <c:pt idx="15">
                  <c:v>37.027755856182701</c:v>
                </c:pt>
                <c:pt idx="16">
                  <c:v>24.546570298649939</c:v>
                </c:pt>
                <c:pt idx="17">
                  <c:v>14.716931442336739</c:v>
                </c:pt>
              </c:numCache>
            </c:numRef>
          </c:val>
          <c:extLst>
            <c:ext xmlns:c16="http://schemas.microsoft.com/office/drawing/2014/chart" uri="{C3380CC4-5D6E-409C-BE32-E72D297353CC}">
              <c16:uniqueId val="{00000000-FB2E-492B-8E5D-C63B734C6816}"/>
            </c:ext>
          </c:extLst>
        </c:ser>
        <c:ser>
          <c:idx val="1"/>
          <c:order val="1"/>
          <c:tx>
            <c:strRef>
              <c:f>'init 18 age and sex std'!$G$31</c:f>
              <c:strCache>
                <c:ptCount val="1"/>
                <c:pt idx="0">
                  <c:v>F</c:v>
                </c:pt>
              </c:strCache>
            </c:strRef>
          </c:tx>
          <c:spPr>
            <a:solidFill>
              <a:schemeClr val="accent2"/>
            </a:solidFill>
            <a:ln>
              <a:noFill/>
            </a:ln>
            <a:effectLst/>
          </c:spPr>
          <c:invertIfNegative val="0"/>
          <c:cat>
            <c:strRef>
              <c:f>'init 18 age and sex std'!$E$32:$E$49</c:f>
              <c:strCache>
                <c:ptCount val="18"/>
                <c:pt idx="0">
                  <c:v>0-9 yrs</c:v>
                </c:pt>
                <c:pt idx="1">
                  <c:v>10-14 yrs</c:v>
                </c:pt>
                <c:pt idx="2">
                  <c:v>15-19 yrs</c:v>
                </c:pt>
                <c:pt idx="3">
                  <c:v>20-24 yrs</c:v>
                </c:pt>
                <c:pt idx="4">
                  <c:v>25-29 yrs</c:v>
                </c:pt>
                <c:pt idx="5">
                  <c:v>30-34 yrs</c:v>
                </c:pt>
                <c:pt idx="6">
                  <c:v>35-39 yrs</c:v>
                </c:pt>
                <c:pt idx="7">
                  <c:v>40-44 yrs</c:v>
                </c:pt>
                <c:pt idx="8">
                  <c:v>45-49 yrs</c:v>
                </c:pt>
                <c:pt idx="9">
                  <c:v>50-54 yrs</c:v>
                </c:pt>
                <c:pt idx="10">
                  <c:v>55-59 yrs</c:v>
                </c:pt>
                <c:pt idx="11">
                  <c:v>60-64 yrs</c:v>
                </c:pt>
                <c:pt idx="12">
                  <c:v>65-69 yrs</c:v>
                </c:pt>
                <c:pt idx="13">
                  <c:v>70-74 yrs</c:v>
                </c:pt>
                <c:pt idx="14">
                  <c:v>75-79 yrs</c:v>
                </c:pt>
                <c:pt idx="15">
                  <c:v>80-84 yrs</c:v>
                </c:pt>
                <c:pt idx="16">
                  <c:v>85-89 yrs</c:v>
                </c:pt>
                <c:pt idx="17">
                  <c:v>90+ yrs</c:v>
                </c:pt>
              </c:strCache>
            </c:strRef>
          </c:cat>
          <c:val>
            <c:numRef>
              <c:f>'init 18 age and sex std'!$G$32:$G$49</c:f>
              <c:numCache>
                <c:formatCode>General</c:formatCode>
                <c:ptCount val="18"/>
                <c:pt idx="0">
                  <c:v>0</c:v>
                </c:pt>
                <c:pt idx="1">
                  <c:v>0.64162860739643801</c:v>
                </c:pt>
                <c:pt idx="2">
                  <c:v>45.753129187228339</c:v>
                </c:pt>
                <c:pt idx="3">
                  <c:v>28.299375953840574</c:v>
                </c:pt>
                <c:pt idx="4">
                  <c:v>16.167134130841042</c:v>
                </c:pt>
                <c:pt idx="5">
                  <c:v>5.9726258269371941</c:v>
                </c:pt>
                <c:pt idx="6">
                  <c:v>3.1482658302385107</c:v>
                </c:pt>
                <c:pt idx="7">
                  <c:v>3.4036845515582574</c:v>
                </c:pt>
                <c:pt idx="8">
                  <c:v>2.0745368901471699</c:v>
                </c:pt>
                <c:pt idx="9">
                  <c:v>1.3340875374878598</c:v>
                </c:pt>
                <c:pt idx="10">
                  <c:v>0.93326738243830765</c:v>
                </c:pt>
                <c:pt idx="11">
                  <c:v>0.90726949684345826</c:v>
                </c:pt>
                <c:pt idx="12">
                  <c:v>1.0171112007675798</c:v>
                </c:pt>
                <c:pt idx="13">
                  <c:v>1.0011813940449732</c:v>
                </c:pt>
                <c:pt idx="14">
                  <c:v>0</c:v>
                </c:pt>
                <c:pt idx="15">
                  <c:v>2.2893039142518328</c:v>
                </c:pt>
                <c:pt idx="16">
                  <c:v>3.9539444549882963</c:v>
                </c:pt>
                <c:pt idx="17">
                  <c:v>0</c:v>
                </c:pt>
              </c:numCache>
            </c:numRef>
          </c:val>
          <c:extLst>
            <c:ext xmlns:c16="http://schemas.microsoft.com/office/drawing/2014/chart" uri="{C3380CC4-5D6E-409C-BE32-E72D297353CC}">
              <c16:uniqueId val="{00000001-FB2E-492B-8E5D-C63B734C6816}"/>
            </c:ext>
          </c:extLst>
        </c:ser>
        <c:dLbls>
          <c:showLegendKey val="0"/>
          <c:showVal val="0"/>
          <c:showCatName val="0"/>
          <c:showSerName val="0"/>
          <c:showPercent val="0"/>
          <c:showBubbleSize val="0"/>
        </c:dLbls>
        <c:gapWidth val="219"/>
        <c:overlap val="-27"/>
        <c:axId val="894779000"/>
        <c:axId val="894780640"/>
      </c:barChart>
      <c:catAx>
        <c:axId val="8947790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Age</a:t>
                </a:r>
                <a:r>
                  <a:rPr lang="en-AU" baseline="0"/>
                  <a:t> group</a:t>
                </a:r>
                <a:endParaRPr lang="en-AU"/>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4780640"/>
        <c:crosses val="autoZero"/>
        <c:auto val="1"/>
        <c:lblAlgn val="ctr"/>
        <c:lblOffset val="100"/>
        <c:noMultiLvlLbl val="0"/>
      </c:catAx>
      <c:valAx>
        <c:axId val="894780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Initiating patients per 1000,000 population</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4779000"/>
        <c:crosses val="autoZero"/>
        <c:crossBetween val="between"/>
      </c:valAx>
      <c:spPr>
        <a:noFill/>
        <a:ln>
          <a:noFill/>
        </a:ln>
        <a:effectLst/>
      </c:spPr>
    </c:plotArea>
    <c:legend>
      <c:legendPos val="b"/>
      <c:layout>
        <c:manualLayout>
          <c:xMode val="edge"/>
          <c:yMode val="edge"/>
          <c:x val="0.49311348578521386"/>
          <c:y val="0.92159342550047563"/>
          <c:w val="8.8174330452357716E-2"/>
          <c:h val="5.784102180029553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[D1198_PAT_CNT by supp year &amp; therapy, v2 + gender.xlsx]Sheet2!PivotTable1</c:name>
    <c:fmtId val="4"/>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pivotFmt>
      <c:pivotFmt>
        <c:idx val="18"/>
        <c:spPr>
          <a:solidFill>
            <a:schemeClr val="accent1"/>
          </a:solidFill>
          <a:ln>
            <a:noFill/>
          </a:ln>
          <a:effectLst/>
        </c:spPr>
        <c:marker>
          <c:symbol val="none"/>
        </c:marker>
      </c:pivotFmt>
      <c:pivotFmt>
        <c:idx val="19"/>
        <c:spPr>
          <a:solidFill>
            <a:schemeClr val="accent1"/>
          </a:solidFill>
          <a:ln>
            <a:noFill/>
          </a:ln>
          <a:effectLst/>
        </c:spPr>
        <c:marker>
          <c:symbol val="none"/>
        </c:marker>
      </c:pivotFmt>
      <c:pivotFmt>
        <c:idx val="20"/>
        <c:spPr>
          <a:solidFill>
            <a:schemeClr val="accent1"/>
          </a:solidFill>
          <a:ln>
            <a:noFill/>
          </a:ln>
          <a:effectLst/>
        </c:spPr>
        <c:marker>
          <c:symbol val="none"/>
        </c:marker>
      </c:pivotFmt>
      <c:pivotFmt>
        <c:idx val="21"/>
        <c:spPr>
          <a:solidFill>
            <a:schemeClr val="accent1"/>
          </a:solidFill>
          <a:ln>
            <a:noFill/>
          </a:ln>
          <a:effectLst/>
        </c:spPr>
        <c:marker>
          <c:symbol val="none"/>
        </c:marker>
      </c:pivotFmt>
      <c:pivotFmt>
        <c:idx val="22"/>
        <c:spPr>
          <a:solidFill>
            <a:schemeClr val="accent1"/>
          </a:solidFill>
          <a:ln>
            <a:noFill/>
          </a:ln>
          <a:effectLst/>
        </c:spPr>
        <c:marker>
          <c:symbol val="none"/>
        </c:marker>
      </c:pivotFmt>
      <c:pivotFmt>
        <c:idx val="23"/>
        <c:spPr>
          <a:solidFill>
            <a:schemeClr val="accent1"/>
          </a:solidFill>
          <a:ln>
            <a:noFill/>
          </a:ln>
          <a:effectLst/>
        </c:spPr>
        <c:marker>
          <c:symbol val="none"/>
        </c:marker>
      </c:pivotFmt>
      <c:pivotFmt>
        <c:idx val="24"/>
        <c:spPr>
          <a:solidFill>
            <a:schemeClr val="accent1"/>
          </a:solidFill>
          <a:ln>
            <a:noFill/>
          </a:ln>
          <a:effectLst/>
        </c:spPr>
        <c:marker>
          <c:symbol val="none"/>
        </c:marker>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1"/>
          </a:solidFill>
          <a:ln>
            <a:noFill/>
          </a:ln>
          <a:effectLst/>
        </c:spPr>
        <c:marker>
          <c:symbol val="none"/>
        </c:marker>
      </c:pivotFmt>
      <c:pivotFmt>
        <c:idx val="28"/>
        <c:spPr>
          <a:solidFill>
            <a:schemeClr val="accent1"/>
          </a:solidFill>
          <a:ln>
            <a:noFill/>
          </a:ln>
          <a:effectLst/>
        </c:spPr>
        <c:marker>
          <c:symbol val="none"/>
        </c:marker>
      </c:pivotFmt>
      <c:pivotFmt>
        <c:idx val="29"/>
        <c:spPr>
          <a:solidFill>
            <a:schemeClr val="accent1"/>
          </a:solidFill>
          <a:ln>
            <a:noFill/>
          </a:ln>
          <a:effectLst/>
        </c:spPr>
        <c:marker>
          <c:symbol val="none"/>
        </c:marker>
      </c:pivotFmt>
      <c:pivotFmt>
        <c:idx val="30"/>
        <c:spPr>
          <a:solidFill>
            <a:schemeClr val="accent1"/>
          </a:solidFill>
          <a:ln>
            <a:noFill/>
          </a:ln>
          <a:effectLst/>
        </c:spPr>
        <c:marker>
          <c:symbol val="none"/>
        </c:marker>
      </c:pivotFmt>
      <c:pivotFmt>
        <c:idx val="31"/>
        <c:spPr>
          <a:solidFill>
            <a:schemeClr val="accent1"/>
          </a:solidFill>
          <a:ln>
            <a:noFill/>
          </a:ln>
          <a:effectLst/>
        </c:spPr>
        <c:marker>
          <c:symbol val="none"/>
        </c:marker>
      </c:pivotFmt>
      <c:pivotFmt>
        <c:idx val="32"/>
        <c:spPr>
          <a:solidFill>
            <a:schemeClr val="accent1"/>
          </a:solidFill>
          <a:ln>
            <a:noFill/>
          </a:ln>
          <a:effectLst/>
        </c:spPr>
        <c:marker>
          <c:symbol val="none"/>
        </c:marker>
      </c:pivotFmt>
      <c:pivotFmt>
        <c:idx val="33"/>
        <c:spPr>
          <a:solidFill>
            <a:schemeClr val="accent1"/>
          </a:solidFill>
          <a:ln>
            <a:noFill/>
          </a:ln>
          <a:effectLst/>
        </c:spPr>
        <c:marker>
          <c:symbol val="none"/>
        </c:marker>
      </c:pivotFmt>
      <c:pivotFmt>
        <c:idx val="34"/>
        <c:spPr>
          <a:solidFill>
            <a:schemeClr val="accent1"/>
          </a:solidFill>
          <a:ln>
            <a:noFill/>
          </a:ln>
          <a:effectLst/>
        </c:spPr>
        <c:marker>
          <c:symbol val="none"/>
        </c:marker>
      </c:pivotFmt>
      <c:pivotFmt>
        <c:idx val="35"/>
        <c:spPr>
          <a:solidFill>
            <a:schemeClr val="accent1"/>
          </a:solidFill>
          <a:ln>
            <a:noFill/>
          </a:ln>
          <a:effectLst/>
        </c:spPr>
        <c:marker>
          <c:symbol val="none"/>
        </c:marker>
      </c:pivotFmt>
      <c:pivotFmt>
        <c:idx val="36"/>
        <c:spPr>
          <a:solidFill>
            <a:schemeClr val="accent1"/>
          </a:solidFill>
          <a:ln>
            <a:noFill/>
          </a:ln>
          <a:effectLst/>
        </c:spPr>
        <c:marker>
          <c:symbol val="none"/>
        </c:marker>
      </c:pivotFmt>
      <c:pivotFmt>
        <c:idx val="37"/>
        <c:spPr>
          <a:solidFill>
            <a:schemeClr val="accent1"/>
          </a:solidFill>
          <a:ln>
            <a:noFill/>
          </a:ln>
          <a:effectLst/>
        </c:spPr>
        <c:marker>
          <c:symbol val="none"/>
        </c:marker>
      </c:pivotFmt>
      <c:pivotFmt>
        <c:idx val="38"/>
        <c:spPr>
          <a:solidFill>
            <a:schemeClr val="accent1"/>
          </a:solidFill>
          <a:ln>
            <a:noFill/>
          </a:ln>
          <a:effectLst/>
        </c:spPr>
        <c:marker>
          <c:symbol val="none"/>
        </c:marker>
      </c:pivotFmt>
      <c:pivotFmt>
        <c:idx val="39"/>
        <c:spPr>
          <a:solidFill>
            <a:schemeClr val="accent1"/>
          </a:solidFill>
          <a:ln>
            <a:noFill/>
          </a:ln>
          <a:effectLst/>
        </c:spPr>
        <c:marker>
          <c:symbol val="none"/>
        </c:marker>
      </c:pivotFmt>
      <c:pivotFmt>
        <c:idx val="40"/>
        <c:spPr>
          <a:solidFill>
            <a:schemeClr val="accent1"/>
          </a:solidFill>
          <a:ln>
            <a:noFill/>
          </a:ln>
          <a:effectLst/>
        </c:spPr>
        <c:marker>
          <c:symbol val="none"/>
        </c:marker>
      </c:pivotFmt>
      <c:pivotFmt>
        <c:idx val="41"/>
        <c:spPr>
          <a:solidFill>
            <a:schemeClr val="accent1"/>
          </a:solidFill>
          <a:ln>
            <a:noFill/>
          </a:ln>
          <a:effectLst/>
        </c:spPr>
        <c:marker>
          <c:symbol val="none"/>
        </c:marker>
      </c:pivotFmt>
      <c:pivotFmt>
        <c:idx val="42"/>
        <c:spPr>
          <a:solidFill>
            <a:schemeClr val="accent1"/>
          </a:solidFill>
          <a:ln>
            <a:noFill/>
          </a:ln>
          <a:effectLst/>
        </c:spPr>
        <c:marker>
          <c:symbol val="none"/>
        </c:marker>
      </c:pivotFmt>
      <c:pivotFmt>
        <c:idx val="43"/>
        <c:spPr>
          <a:solidFill>
            <a:schemeClr val="accent1"/>
          </a:solidFill>
          <a:ln>
            <a:noFill/>
          </a:ln>
          <a:effectLst/>
        </c:spPr>
        <c:marker>
          <c:symbol val="none"/>
        </c:marker>
      </c:pivotFmt>
      <c:pivotFmt>
        <c:idx val="44"/>
        <c:spPr>
          <a:solidFill>
            <a:schemeClr val="accent1"/>
          </a:solidFill>
          <a:ln>
            <a:noFill/>
          </a:ln>
          <a:effectLst/>
        </c:spPr>
        <c:marker>
          <c:symbol val="none"/>
        </c:marker>
      </c:pivotFmt>
      <c:pivotFmt>
        <c:idx val="45"/>
        <c:spPr>
          <a:solidFill>
            <a:schemeClr val="accent1"/>
          </a:solidFill>
          <a:ln>
            <a:noFill/>
          </a:ln>
          <a:effectLst/>
        </c:spPr>
        <c:marker>
          <c:symbol val="none"/>
        </c:marker>
      </c:pivotFmt>
      <c:pivotFmt>
        <c:idx val="46"/>
        <c:spPr>
          <a:solidFill>
            <a:schemeClr val="accent1"/>
          </a:solidFill>
          <a:ln>
            <a:noFill/>
          </a:ln>
          <a:effectLst/>
        </c:spPr>
        <c:marker>
          <c:symbol val="none"/>
        </c:marker>
      </c:pivotFmt>
      <c:pivotFmt>
        <c:idx val="47"/>
        <c:spPr>
          <a:solidFill>
            <a:schemeClr val="accent1"/>
          </a:solidFill>
          <a:ln>
            <a:noFill/>
          </a:ln>
          <a:effectLst/>
        </c:spPr>
        <c:marker>
          <c:symbol val="none"/>
        </c:marker>
      </c:pivotFmt>
      <c:pivotFmt>
        <c:idx val="48"/>
        <c:spPr>
          <a:solidFill>
            <a:schemeClr val="accent1"/>
          </a:solidFill>
          <a:ln>
            <a:noFill/>
          </a:ln>
          <a:effectLst/>
        </c:spPr>
        <c:marker>
          <c:symbol val="none"/>
        </c:marker>
      </c:pivotFmt>
      <c:pivotFmt>
        <c:idx val="49"/>
        <c:spPr>
          <a:solidFill>
            <a:schemeClr val="accent1"/>
          </a:solidFill>
          <a:ln>
            <a:noFill/>
          </a:ln>
          <a:effectLst/>
        </c:spPr>
        <c:marker>
          <c:symbol val="none"/>
        </c:marker>
      </c:pivotFmt>
      <c:pivotFmt>
        <c:idx val="50"/>
        <c:spPr>
          <a:solidFill>
            <a:schemeClr val="accent1"/>
          </a:solidFill>
          <a:ln>
            <a:noFill/>
          </a:ln>
          <a:effectLst/>
        </c:spPr>
        <c:marker>
          <c:symbol val="none"/>
        </c:marker>
      </c:pivotFmt>
      <c:pivotFmt>
        <c:idx val="51"/>
        <c:spPr>
          <a:solidFill>
            <a:schemeClr val="accent1"/>
          </a:solidFill>
          <a:ln>
            <a:noFill/>
          </a:ln>
          <a:effectLst/>
        </c:spPr>
        <c:marker>
          <c:symbol val="none"/>
        </c:marker>
      </c:pivotFmt>
      <c:pivotFmt>
        <c:idx val="52"/>
        <c:spPr>
          <a:solidFill>
            <a:schemeClr val="accent1"/>
          </a:solidFill>
          <a:ln>
            <a:noFill/>
          </a:ln>
          <a:effectLst/>
        </c:spPr>
        <c:marker>
          <c:symbol val="none"/>
        </c:marker>
      </c:pivotFmt>
      <c:pivotFmt>
        <c:idx val="53"/>
        <c:spPr>
          <a:solidFill>
            <a:schemeClr val="accent1"/>
          </a:solidFill>
          <a:ln>
            <a:noFill/>
          </a:ln>
          <a:effectLst/>
        </c:spPr>
        <c:marker>
          <c:symbol val="none"/>
        </c:marker>
      </c:pivotFmt>
      <c:pivotFmt>
        <c:idx val="54"/>
        <c:spPr>
          <a:solidFill>
            <a:schemeClr val="accent1"/>
          </a:solidFill>
          <a:ln>
            <a:noFill/>
          </a:ln>
          <a:effectLst/>
        </c:spPr>
        <c:marker>
          <c:symbol val="none"/>
        </c:marker>
      </c:pivotFmt>
      <c:pivotFmt>
        <c:idx val="55"/>
        <c:spPr>
          <a:solidFill>
            <a:schemeClr val="accent1"/>
          </a:solidFill>
          <a:ln>
            <a:noFill/>
          </a:ln>
          <a:effectLst/>
        </c:spPr>
        <c:marker>
          <c:symbol val="none"/>
        </c:marker>
      </c:pivotFmt>
      <c:pivotFmt>
        <c:idx val="56"/>
        <c:spPr>
          <a:solidFill>
            <a:schemeClr val="accent1"/>
          </a:solidFill>
          <a:ln>
            <a:noFill/>
          </a:ln>
          <a:effectLst/>
        </c:spPr>
        <c:marker>
          <c:symbol val="none"/>
        </c:marker>
      </c:pivotFmt>
      <c:pivotFmt>
        <c:idx val="57"/>
        <c:spPr>
          <a:solidFill>
            <a:schemeClr val="accent1"/>
          </a:solidFill>
          <a:ln>
            <a:noFill/>
          </a:ln>
          <a:effectLst/>
        </c:spPr>
        <c:marker>
          <c:symbol val="none"/>
        </c:marker>
      </c:pivotFmt>
      <c:pivotFmt>
        <c:idx val="58"/>
        <c:spPr>
          <a:solidFill>
            <a:schemeClr val="accent1"/>
          </a:solidFill>
          <a:ln>
            <a:noFill/>
          </a:ln>
          <a:effectLst/>
        </c:spPr>
        <c:marker>
          <c:symbol val="none"/>
        </c:marker>
      </c:pivotFmt>
      <c:pivotFmt>
        <c:idx val="59"/>
        <c:spPr>
          <a:solidFill>
            <a:schemeClr val="accent1"/>
          </a:solidFill>
          <a:ln>
            <a:noFill/>
          </a:ln>
          <a:effectLst/>
        </c:spPr>
        <c:marker>
          <c:symbol val="none"/>
        </c:marker>
      </c:pivotFmt>
      <c:pivotFmt>
        <c:idx val="60"/>
        <c:spPr>
          <a:solidFill>
            <a:schemeClr val="accent1"/>
          </a:solidFill>
          <a:ln>
            <a:noFill/>
          </a:ln>
          <a:effectLst/>
        </c:spPr>
        <c:marker>
          <c:symbol val="none"/>
        </c:marker>
      </c:pivotFmt>
      <c:pivotFmt>
        <c:idx val="61"/>
        <c:spPr>
          <a:solidFill>
            <a:schemeClr val="accent1"/>
          </a:solidFill>
          <a:ln>
            <a:noFill/>
          </a:ln>
          <a:effectLst/>
        </c:spPr>
        <c:marker>
          <c:symbol val="none"/>
        </c:marker>
      </c:pivotFmt>
      <c:pivotFmt>
        <c:idx val="62"/>
        <c:spPr>
          <a:solidFill>
            <a:schemeClr val="accent1"/>
          </a:solidFill>
          <a:ln>
            <a:noFill/>
          </a:ln>
          <a:effectLst/>
        </c:spPr>
        <c:marker>
          <c:symbol val="none"/>
        </c:marker>
      </c:pivotFmt>
      <c:pivotFmt>
        <c:idx val="63"/>
        <c:spPr>
          <a:solidFill>
            <a:schemeClr val="accent1"/>
          </a:solidFill>
          <a:ln>
            <a:noFill/>
          </a:ln>
          <a:effectLst/>
        </c:spPr>
        <c:marker>
          <c:symbol val="none"/>
        </c:marker>
      </c:pivotFmt>
      <c:pivotFmt>
        <c:idx val="64"/>
        <c:spPr>
          <a:solidFill>
            <a:schemeClr val="accent1"/>
          </a:solidFill>
          <a:ln>
            <a:noFill/>
          </a:ln>
          <a:effectLst/>
        </c:spPr>
        <c:marker>
          <c:symbol val="none"/>
        </c:marker>
      </c:pivotFmt>
      <c:pivotFmt>
        <c:idx val="65"/>
        <c:spPr>
          <a:solidFill>
            <a:schemeClr val="accent1"/>
          </a:solidFill>
          <a:ln>
            <a:noFill/>
          </a:ln>
          <a:effectLst/>
        </c:spPr>
        <c:marker>
          <c:symbol val="none"/>
        </c:marker>
      </c:pivotFmt>
      <c:pivotFmt>
        <c:idx val="66"/>
        <c:spPr>
          <a:solidFill>
            <a:schemeClr val="accent1"/>
          </a:solidFill>
          <a:ln>
            <a:noFill/>
          </a:ln>
          <a:effectLst/>
        </c:spPr>
        <c:marker>
          <c:symbol val="none"/>
        </c:marker>
      </c:pivotFmt>
      <c:pivotFmt>
        <c:idx val="67"/>
        <c:spPr>
          <a:solidFill>
            <a:schemeClr val="accent1"/>
          </a:solidFill>
          <a:ln>
            <a:noFill/>
          </a:ln>
          <a:effectLst/>
        </c:spPr>
        <c:marker>
          <c:symbol val="none"/>
        </c:marker>
      </c:pivotFmt>
      <c:pivotFmt>
        <c:idx val="68"/>
        <c:spPr>
          <a:solidFill>
            <a:schemeClr val="accent1"/>
          </a:solidFill>
          <a:ln>
            <a:noFill/>
          </a:ln>
          <a:effectLst/>
        </c:spPr>
        <c:marker>
          <c:symbol val="none"/>
        </c:marker>
      </c:pivotFmt>
      <c:pivotFmt>
        <c:idx val="69"/>
        <c:spPr>
          <a:solidFill>
            <a:schemeClr val="accent1"/>
          </a:solidFill>
          <a:ln>
            <a:noFill/>
          </a:ln>
          <a:effectLst/>
        </c:spPr>
        <c:marker>
          <c:symbol val="none"/>
        </c:marker>
      </c:pivotFmt>
      <c:pivotFmt>
        <c:idx val="70"/>
        <c:spPr>
          <a:solidFill>
            <a:schemeClr val="accent1"/>
          </a:solidFill>
          <a:ln>
            <a:noFill/>
          </a:ln>
          <a:effectLst/>
        </c:spPr>
        <c:marker>
          <c:symbol val="none"/>
        </c:marker>
      </c:pivotFmt>
      <c:pivotFmt>
        <c:idx val="71"/>
        <c:spPr>
          <a:solidFill>
            <a:schemeClr val="accent1"/>
          </a:solidFill>
          <a:ln>
            <a:noFill/>
          </a:ln>
          <a:effectLst/>
        </c:spPr>
        <c:marker>
          <c:symbol val="none"/>
        </c:marker>
      </c:pivotFmt>
      <c:pivotFmt>
        <c:idx val="72"/>
        <c:spPr>
          <a:solidFill>
            <a:schemeClr val="accent1"/>
          </a:solidFill>
          <a:ln>
            <a:noFill/>
          </a:ln>
          <a:effectLst/>
        </c:spPr>
        <c:marker>
          <c:symbol val="none"/>
        </c:marker>
      </c:pivotFmt>
      <c:pivotFmt>
        <c:idx val="73"/>
        <c:spPr>
          <a:solidFill>
            <a:schemeClr val="accent1"/>
          </a:solidFill>
          <a:ln>
            <a:noFill/>
          </a:ln>
          <a:effectLst/>
        </c:spPr>
        <c:marker>
          <c:symbol val="none"/>
        </c:marker>
      </c:pivotFmt>
      <c:pivotFmt>
        <c:idx val="74"/>
        <c:spPr>
          <a:solidFill>
            <a:schemeClr val="accent1"/>
          </a:solidFill>
          <a:ln>
            <a:noFill/>
          </a:ln>
          <a:effectLst/>
        </c:spPr>
        <c:marker>
          <c:symbol val="none"/>
        </c:marker>
      </c:pivotFmt>
      <c:pivotFmt>
        <c:idx val="75"/>
        <c:spPr>
          <a:solidFill>
            <a:schemeClr val="accent1"/>
          </a:solidFill>
          <a:ln>
            <a:noFill/>
          </a:ln>
          <a:effectLst/>
        </c:spPr>
        <c:marker>
          <c:symbol val="none"/>
        </c:marker>
      </c:pivotFmt>
      <c:pivotFmt>
        <c:idx val="76"/>
        <c:spPr>
          <a:solidFill>
            <a:schemeClr val="accent1"/>
          </a:solidFill>
          <a:ln>
            <a:noFill/>
          </a:ln>
          <a:effectLst/>
        </c:spPr>
        <c:marker>
          <c:symbol val="none"/>
        </c:marker>
      </c:pivotFmt>
      <c:pivotFmt>
        <c:idx val="77"/>
        <c:spPr>
          <a:solidFill>
            <a:schemeClr val="accent1"/>
          </a:solidFill>
          <a:ln>
            <a:noFill/>
          </a:ln>
          <a:effectLst/>
        </c:spPr>
        <c:marker>
          <c:symbol val="none"/>
        </c:marker>
      </c:pivotFmt>
      <c:pivotFmt>
        <c:idx val="78"/>
        <c:spPr>
          <a:solidFill>
            <a:schemeClr val="accent1"/>
          </a:solidFill>
          <a:ln>
            <a:noFill/>
          </a:ln>
          <a:effectLst/>
        </c:spPr>
        <c:marker>
          <c:symbol val="none"/>
        </c:marker>
      </c:pivotFmt>
      <c:pivotFmt>
        <c:idx val="79"/>
        <c:spPr>
          <a:solidFill>
            <a:schemeClr val="accent1"/>
          </a:solidFill>
          <a:ln>
            <a:noFill/>
          </a:ln>
          <a:effectLst/>
        </c:spPr>
        <c:marker>
          <c:symbol val="none"/>
        </c:marker>
      </c:pivotFmt>
      <c:pivotFmt>
        <c:idx val="80"/>
        <c:spPr>
          <a:solidFill>
            <a:schemeClr val="accent1"/>
          </a:solidFill>
          <a:ln>
            <a:noFill/>
          </a:ln>
          <a:effectLst/>
        </c:spPr>
        <c:marker>
          <c:symbol val="none"/>
        </c:marker>
      </c:pivotFmt>
      <c:pivotFmt>
        <c:idx val="81"/>
        <c:spPr>
          <a:solidFill>
            <a:schemeClr val="accent1"/>
          </a:solidFill>
          <a:ln>
            <a:noFill/>
          </a:ln>
          <a:effectLst/>
        </c:spPr>
        <c:marker>
          <c:symbol val="none"/>
        </c:marker>
      </c:pivotFmt>
      <c:pivotFmt>
        <c:idx val="82"/>
        <c:spPr>
          <a:solidFill>
            <a:schemeClr val="accent1"/>
          </a:solidFill>
          <a:ln>
            <a:noFill/>
          </a:ln>
          <a:effectLst/>
        </c:spPr>
        <c:marker>
          <c:symbol val="none"/>
        </c:marker>
      </c:pivotFmt>
      <c:pivotFmt>
        <c:idx val="83"/>
        <c:spPr>
          <a:solidFill>
            <a:schemeClr val="accent1"/>
          </a:solidFill>
          <a:ln>
            <a:noFill/>
          </a:ln>
          <a:effectLst/>
        </c:spPr>
        <c:marker>
          <c:symbol val="none"/>
        </c:marker>
      </c:pivotFmt>
      <c:pivotFmt>
        <c:idx val="84"/>
        <c:spPr>
          <a:solidFill>
            <a:schemeClr val="accent1"/>
          </a:solidFill>
          <a:ln>
            <a:noFill/>
          </a:ln>
          <a:effectLst/>
        </c:spPr>
        <c:marker>
          <c:symbol val="none"/>
        </c:marker>
      </c:pivotFmt>
      <c:pivotFmt>
        <c:idx val="85"/>
        <c:spPr>
          <a:solidFill>
            <a:schemeClr val="accent1"/>
          </a:solidFill>
          <a:ln>
            <a:noFill/>
          </a:ln>
          <a:effectLst/>
        </c:spPr>
        <c:marker>
          <c:symbol val="none"/>
        </c:marker>
      </c:pivotFmt>
      <c:pivotFmt>
        <c:idx val="86"/>
        <c:spPr>
          <a:solidFill>
            <a:schemeClr val="accent1"/>
          </a:solidFill>
          <a:ln>
            <a:noFill/>
          </a:ln>
          <a:effectLst/>
        </c:spPr>
        <c:marker>
          <c:symbol val="none"/>
        </c:marker>
      </c:pivotFmt>
      <c:pivotFmt>
        <c:idx val="87"/>
        <c:spPr>
          <a:solidFill>
            <a:schemeClr val="accent1"/>
          </a:solidFill>
          <a:ln>
            <a:noFill/>
          </a:ln>
          <a:effectLst/>
        </c:spPr>
        <c:marker>
          <c:symbol val="none"/>
        </c:marker>
      </c:pivotFmt>
      <c:pivotFmt>
        <c:idx val="88"/>
        <c:spPr>
          <a:solidFill>
            <a:schemeClr val="accent1"/>
          </a:solidFill>
          <a:ln>
            <a:noFill/>
          </a:ln>
          <a:effectLst/>
        </c:spPr>
        <c:marker>
          <c:symbol val="none"/>
        </c:marker>
      </c:pivotFmt>
      <c:pivotFmt>
        <c:idx val="89"/>
        <c:spPr>
          <a:solidFill>
            <a:schemeClr val="accent1"/>
          </a:solidFill>
          <a:ln>
            <a:noFill/>
          </a:ln>
          <a:effectLst/>
        </c:spPr>
        <c:marker>
          <c:symbol val="none"/>
        </c:marker>
      </c:pivotFmt>
      <c:pivotFmt>
        <c:idx val="90"/>
        <c:spPr>
          <a:solidFill>
            <a:schemeClr val="accent1"/>
          </a:solidFill>
          <a:ln>
            <a:noFill/>
          </a:ln>
          <a:effectLst/>
        </c:spPr>
        <c:marker>
          <c:symbol val="none"/>
        </c:marker>
      </c:pivotFmt>
      <c:pivotFmt>
        <c:idx val="91"/>
        <c:spPr>
          <a:solidFill>
            <a:schemeClr val="accent1"/>
          </a:solidFill>
          <a:ln>
            <a:noFill/>
          </a:ln>
          <a:effectLst/>
        </c:spPr>
        <c:marker>
          <c:symbol val="none"/>
        </c:marker>
      </c:pivotFmt>
      <c:pivotFmt>
        <c:idx val="92"/>
        <c:spPr>
          <a:solidFill>
            <a:schemeClr val="accent1"/>
          </a:solidFill>
          <a:ln>
            <a:noFill/>
          </a:ln>
          <a:effectLst/>
        </c:spPr>
        <c:marker>
          <c:symbol val="none"/>
        </c:marker>
      </c:pivotFmt>
      <c:pivotFmt>
        <c:idx val="93"/>
        <c:spPr>
          <a:solidFill>
            <a:schemeClr val="accent1"/>
          </a:solidFill>
          <a:ln>
            <a:noFill/>
          </a:ln>
          <a:effectLst/>
        </c:spPr>
        <c:marker>
          <c:symbol val="none"/>
        </c:marker>
      </c:pivotFmt>
      <c:pivotFmt>
        <c:idx val="94"/>
        <c:spPr>
          <a:solidFill>
            <a:schemeClr val="accent1"/>
          </a:solidFill>
          <a:ln>
            <a:noFill/>
          </a:ln>
          <a:effectLst/>
        </c:spPr>
        <c:marker>
          <c:symbol val="none"/>
        </c:marker>
      </c:pivotFmt>
      <c:pivotFmt>
        <c:idx val="95"/>
        <c:spPr>
          <a:solidFill>
            <a:schemeClr val="accent1"/>
          </a:solidFill>
          <a:ln>
            <a:noFill/>
          </a:ln>
          <a:effectLst/>
        </c:spPr>
        <c:marker>
          <c:symbol val="none"/>
        </c:marker>
      </c:pivotFmt>
      <c:pivotFmt>
        <c:idx val="96"/>
        <c:spPr>
          <a:solidFill>
            <a:schemeClr val="accent1"/>
          </a:solidFill>
          <a:ln>
            <a:noFill/>
          </a:ln>
          <a:effectLst/>
        </c:spPr>
        <c:marker>
          <c:symbol val="none"/>
        </c:marker>
      </c:pivotFmt>
      <c:pivotFmt>
        <c:idx val="97"/>
        <c:spPr>
          <a:solidFill>
            <a:schemeClr val="accent1"/>
          </a:solidFill>
          <a:ln>
            <a:noFill/>
          </a:ln>
          <a:effectLst/>
        </c:spPr>
        <c:marker>
          <c:symbol val="none"/>
        </c:marker>
      </c:pivotFmt>
      <c:pivotFmt>
        <c:idx val="98"/>
        <c:spPr>
          <a:solidFill>
            <a:schemeClr val="accent1"/>
          </a:solidFill>
          <a:ln>
            <a:noFill/>
          </a:ln>
          <a:effectLst/>
        </c:spPr>
        <c:marker>
          <c:symbol val="none"/>
        </c:marker>
      </c:pivotFmt>
      <c:pivotFmt>
        <c:idx val="99"/>
        <c:spPr>
          <a:solidFill>
            <a:schemeClr val="accent1"/>
          </a:solidFill>
          <a:ln>
            <a:noFill/>
          </a:ln>
          <a:effectLst/>
        </c:spPr>
        <c:marker>
          <c:symbol val="none"/>
        </c:marker>
      </c:pivotFmt>
      <c:pivotFmt>
        <c:idx val="100"/>
        <c:spPr>
          <a:solidFill>
            <a:schemeClr val="accent1"/>
          </a:solidFill>
          <a:ln>
            <a:noFill/>
          </a:ln>
          <a:effectLst/>
        </c:spPr>
        <c:marker>
          <c:symbol val="none"/>
        </c:marker>
      </c:pivotFmt>
      <c:pivotFmt>
        <c:idx val="101"/>
        <c:spPr>
          <a:solidFill>
            <a:schemeClr val="accent1"/>
          </a:solidFill>
          <a:ln>
            <a:noFill/>
          </a:ln>
          <a:effectLst/>
        </c:spPr>
        <c:marker>
          <c:symbol val="none"/>
        </c:marker>
      </c:pivotFmt>
      <c:pivotFmt>
        <c:idx val="102"/>
        <c:spPr>
          <a:solidFill>
            <a:schemeClr val="accent1"/>
          </a:solidFill>
          <a:ln>
            <a:noFill/>
          </a:ln>
          <a:effectLst/>
        </c:spPr>
        <c:marker>
          <c:symbol val="none"/>
        </c:marker>
      </c:pivotFmt>
      <c:pivotFmt>
        <c:idx val="103"/>
        <c:spPr>
          <a:solidFill>
            <a:schemeClr val="accent1"/>
          </a:solidFill>
          <a:ln>
            <a:noFill/>
          </a:ln>
          <a:effectLst/>
        </c:spPr>
        <c:marker>
          <c:symbol val="none"/>
        </c:marker>
      </c:pivotFmt>
      <c:pivotFmt>
        <c:idx val="104"/>
        <c:spPr>
          <a:solidFill>
            <a:schemeClr val="accent1"/>
          </a:solidFill>
          <a:ln>
            <a:noFill/>
          </a:ln>
          <a:effectLst/>
        </c:spPr>
        <c:marker>
          <c:symbol val="none"/>
        </c:marker>
      </c:pivotFmt>
      <c:pivotFmt>
        <c:idx val="105"/>
        <c:spPr>
          <a:solidFill>
            <a:schemeClr val="accent1"/>
          </a:solidFill>
          <a:ln>
            <a:noFill/>
          </a:ln>
          <a:effectLst/>
        </c:spPr>
        <c:marker>
          <c:symbol val="none"/>
        </c:marker>
      </c:pivotFmt>
      <c:pivotFmt>
        <c:idx val="106"/>
        <c:spPr>
          <a:solidFill>
            <a:schemeClr val="accent1"/>
          </a:solidFill>
          <a:ln>
            <a:noFill/>
          </a:ln>
          <a:effectLst/>
        </c:spPr>
        <c:marker>
          <c:symbol val="none"/>
        </c:marker>
      </c:pivotFmt>
      <c:pivotFmt>
        <c:idx val="107"/>
        <c:spPr>
          <a:solidFill>
            <a:schemeClr val="accent1"/>
          </a:solidFill>
          <a:ln>
            <a:noFill/>
          </a:ln>
          <a:effectLst/>
        </c:spPr>
        <c:marker>
          <c:symbol val="none"/>
        </c:marker>
      </c:pivotFmt>
      <c:pivotFmt>
        <c:idx val="108"/>
        <c:spPr>
          <a:solidFill>
            <a:schemeClr val="accent1"/>
          </a:solidFill>
          <a:ln>
            <a:noFill/>
          </a:ln>
          <a:effectLst/>
        </c:spPr>
        <c:marker>
          <c:symbol val="none"/>
        </c:marker>
      </c:pivotFmt>
      <c:pivotFmt>
        <c:idx val="109"/>
        <c:spPr>
          <a:solidFill>
            <a:schemeClr val="accent1"/>
          </a:solidFill>
          <a:ln>
            <a:noFill/>
          </a:ln>
          <a:effectLst/>
        </c:spPr>
        <c:marker>
          <c:symbol val="none"/>
        </c:marker>
      </c:pivotFmt>
      <c:pivotFmt>
        <c:idx val="110"/>
        <c:spPr>
          <a:solidFill>
            <a:schemeClr val="accent1"/>
          </a:solidFill>
          <a:ln>
            <a:noFill/>
          </a:ln>
          <a:effectLst/>
        </c:spPr>
        <c:marker>
          <c:symbol val="none"/>
        </c:marker>
      </c:pivotFmt>
      <c:pivotFmt>
        <c:idx val="111"/>
        <c:spPr>
          <a:solidFill>
            <a:schemeClr val="accent1"/>
          </a:solidFill>
          <a:ln>
            <a:noFill/>
          </a:ln>
          <a:effectLst/>
        </c:spPr>
        <c:marker>
          <c:symbol val="none"/>
        </c:marker>
      </c:pivotFmt>
      <c:pivotFmt>
        <c:idx val="112"/>
        <c:spPr>
          <a:solidFill>
            <a:schemeClr val="accent1"/>
          </a:solidFill>
          <a:ln>
            <a:noFill/>
          </a:ln>
          <a:effectLst/>
        </c:spPr>
        <c:marker>
          <c:symbol val="none"/>
        </c:marker>
      </c:pivotFmt>
      <c:pivotFmt>
        <c:idx val="113"/>
        <c:spPr>
          <a:solidFill>
            <a:schemeClr val="accent1"/>
          </a:solidFill>
          <a:ln>
            <a:noFill/>
          </a:ln>
          <a:effectLst/>
        </c:spPr>
        <c:marker>
          <c:symbol val="none"/>
        </c:marker>
      </c:pivotFmt>
      <c:pivotFmt>
        <c:idx val="114"/>
        <c:spPr>
          <a:solidFill>
            <a:schemeClr val="accent1"/>
          </a:solidFill>
          <a:ln>
            <a:noFill/>
          </a:ln>
          <a:effectLst/>
        </c:spPr>
        <c:marker>
          <c:symbol val="none"/>
        </c:marker>
      </c:pivotFmt>
      <c:pivotFmt>
        <c:idx val="115"/>
        <c:spPr>
          <a:solidFill>
            <a:schemeClr val="accent1"/>
          </a:solidFill>
          <a:ln>
            <a:noFill/>
          </a:ln>
          <a:effectLst/>
        </c:spPr>
        <c:marker>
          <c:symbol val="none"/>
        </c:marker>
      </c:pivotFmt>
      <c:pivotFmt>
        <c:idx val="116"/>
        <c:spPr>
          <a:solidFill>
            <a:schemeClr val="accent1"/>
          </a:solidFill>
          <a:ln>
            <a:noFill/>
          </a:ln>
          <a:effectLst/>
        </c:spPr>
        <c:marker>
          <c:symbol val="none"/>
        </c:marker>
      </c:pivotFmt>
      <c:pivotFmt>
        <c:idx val="117"/>
        <c:spPr>
          <a:solidFill>
            <a:schemeClr val="accent1"/>
          </a:solidFill>
          <a:ln>
            <a:noFill/>
          </a:ln>
          <a:effectLst/>
        </c:spPr>
        <c:marker>
          <c:symbol val="none"/>
        </c:marker>
      </c:pivotFmt>
      <c:pivotFmt>
        <c:idx val="118"/>
        <c:spPr>
          <a:solidFill>
            <a:schemeClr val="accent1"/>
          </a:solidFill>
          <a:ln>
            <a:noFill/>
          </a:ln>
          <a:effectLst/>
        </c:spPr>
        <c:marker>
          <c:symbol val="none"/>
        </c:marker>
      </c:pivotFmt>
      <c:pivotFmt>
        <c:idx val="119"/>
        <c:spPr>
          <a:solidFill>
            <a:schemeClr val="accent1"/>
          </a:solidFill>
          <a:ln>
            <a:noFill/>
          </a:ln>
          <a:effectLst/>
        </c:spPr>
        <c:marker>
          <c:symbol val="none"/>
        </c:marker>
      </c:pivotFmt>
      <c:pivotFmt>
        <c:idx val="120"/>
        <c:spPr>
          <a:solidFill>
            <a:schemeClr val="accent1"/>
          </a:solidFill>
          <a:ln>
            <a:noFill/>
          </a:ln>
          <a:effectLst/>
        </c:spPr>
        <c:marker>
          <c:symbol val="none"/>
        </c:marker>
      </c:pivotFmt>
      <c:pivotFmt>
        <c:idx val="121"/>
        <c:spPr>
          <a:solidFill>
            <a:schemeClr val="accent1"/>
          </a:solidFill>
          <a:ln>
            <a:noFill/>
          </a:ln>
          <a:effectLst/>
        </c:spPr>
        <c:marker>
          <c:symbol val="none"/>
        </c:marker>
      </c:pivotFmt>
      <c:pivotFmt>
        <c:idx val="122"/>
        <c:spPr>
          <a:solidFill>
            <a:schemeClr val="accent1"/>
          </a:solidFill>
          <a:ln>
            <a:noFill/>
          </a:ln>
          <a:effectLst/>
        </c:spPr>
        <c:marker>
          <c:symbol val="none"/>
        </c:marker>
      </c:pivotFmt>
      <c:pivotFmt>
        <c:idx val="123"/>
        <c:spPr>
          <a:solidFill>
            <a:schemeClr val="accent1"/>
          </a:solidFill>
          <a:ln>
            <a:noFill/>
          </a:ln>
          <a:effectLst/>
        </c:spPr>
        <c:marker>
          <c:symbol val="none"/>
        </c:marker>
      </c:pivotFmt>
      <c:pivotFmt>
        <c:idx val="124"/>
        <c:spPr>
          <a:solidFill>
            <a:schemeClr val="accent1"/>
          </a:solidFill>
          <a:ln>
            <a:noFill/>
          </a:ln>
          <a:effectLst/>
        </c:spPr>
        <c:marker>
          <c:symbol val="none"/>
        </c:marker>
      </c:pivotFmt>
      <c:pivotFmt>
        <c:idx val="125"/>
        <c:spPr>
          <a:solidFill>
            <a:schemeClr val="accent1"/>
          </a:solidFill>
          <a:ln>
            <a:noFill/>
          </a:ln>
          <a:effectLst/>
        </c:spPr>
        <c:marker>
          <c:symbol val="none"/>
        </c:marker>
      </c:pivotFmt>
      <c:pivotFmt>
        <c:idx val="126"/>
        <c:spPr>
          <a:solidFill>
            <a:schemeClr val="accent1"/>
          </a:solidFill>
          <a:ln>
            <a:noFill/>
          </a:ln>
          <a:effectLst/>
        </c:spPr>
        <c:marker>
          <c:symbol val="none"/>
        </c:marker>
      </c:pivotFmt>
      <c:pivotFmt>
        <c:idx val="127"/>
        <c:spPr>
          <a:solidFill>
            <a:schemeClr val="accent1"/>
          </a:solidFill>
          <a:ln>
            <a:noFill/>
          </a:ln>
          <a:effectLst/>
        </c:spPr>
        <c:marker>
          <c:symbol val="none"/>
        </c:marker>
      </c:pivotFmt>
      <c:pivotFmt>
        <c:idx val="128"/>
        <c:spPr>
          <a:solidFill>
            <a:schemeClr val="accent1"/>
          </a:solidFill>
          <a:ln>
            <a:noFill/>
          </a:ln>
          <a:effectLst/>
        </c:spPr>
        <c:marker>
          <c:symbol val="none"/>
        </c:marker>
      </c:pivotFmt>
      <c:pivotFmt>
        <c:idx val="129"/>
        <c:spPr>
          <a:solidFill>
            <a:schemeClr val="accent1"/>
          </a:solidFill>
          <a:ln>
            <a:noFill/>
          </a:ln>
          <a:effectLst/>
        </c:spPr>
        <c:marker>
          <c:symbol val="none"/>
        </c:marker>
      </c:pivotFmt>
      <c:pivotFmt>
        <c:idx val="130"/>
        <c:spPr>
          <a:solidFill>
            <a:schemeClr val="accent1"/>
          </a:solidFill>
          <a:ln>
            <a:noFill/>
          </a:ln>
          <a:effectLst/>
        </c:spPr>
        <c:marker>
          <c:symbol val="none"/>
        </c:marker>
      </c:pivotFmt>
      <c:pivotFmt>
        <c:idx val="131"/>
        <c:spPr>
          <a:solidFill>
            <a:schemeClr val="accent1"/>
          </a:solidFill>
          <a:ln>
            <a:noFill/>
          </a:ln>
          <a:effectLst/>
        </c:spPr>
        <c:marker>
          <c:symbol val="none"/>
        </c:marker>
      </c:pivotFmt>
      <c:pivotFmt>
        <c:idx val="132"/>
        <c:spPr>
          <a:solidFill>
            <a:schemeClr val="accent1"/>
          </a:solidFill>
          <a:ln>
            <a:noFill/>
          </a:ln>
          <a:effectLst/>
        </c:spPr>
        <c:marker>
          <c:symbol val="none"/>
        </c:marker>
      </c:pivotFmt>
      <c:pivotFmt>
        <c:idx val="133"/>
        <c:spPr>
          <a:solidFill>
            <a:schemeClr val="accent1"/>
          </a:solidFill>
          <a:ln>
            <a:noFill/>
          </a:ln>
          <a:effectLst/>
        </c:spPr>
        <c:marker>
          <c:symbol val="none"/>
        </c:marker>
      </c:pivotFmt>
      <c:pivotFmt>
        <c:idx val="134"/>
        <c:spPr>
          <a:solidFill>
            <a:schemeClr val="accent1"/>
          </a:solidFill>
          <a:ln>
            <a:noFill/>
          </a:ln>
          <a:effectLst/>
        </c:spPr>
        <c:marker>
          <c:symbol val="none"/>
        </c:marker>
      </c:pivotFmt>
      <c:pivotFmt>
        <c:idx val="135"/>
        <c:spPr>
          <a:solidFill>
            <a:schemeClr val="accent1"/>
          </a:solidFill>
          <a:ln>
            <a:noFill/>
          </a:ln>
          <a:effectLst/>
        </c:spPr>
        <c:marker>
          <c:symbol val="none"/>
        </c:marker>
      </c:pivotFmt>
      <c:pivotFmt>
        <c:idx val="136"/>
        <c:spPr>
          <a:solidFill>
            <a:schemeClr val="accent1"/>
          </a:solidFill>
          <a:ln>
            <a:noFill/>
          </a:ln>
          <a:effectLst/>
        </c:spPr>
        <c:marker>
          <c:symbol val="none"/>
        </c:marker>
      </c:pivotFmt>
      <c:pivotFmt>
        <c:idx val="137"/>
        <c:spPr>
          <a:solidFill>
            <a:schemeClr val="accent1"/>
          </a:solidFill>
          <a:ln>
            <a:noFill/>
          </a:ln>
          <a:effectLst/>
        </c:spPr>
        <c:marker>
          <c:symbol val="none"/>
        </c:marker>
      </c:pivotFmt>
      <c:pivotFmt>
        <c:idx val="138"/>
        <c:spPr>
          <a:solidFill>
            <a:schemeClr val="accent1"/>
          </a:solidFill>
          <a:ln>
            <a:noFill/>
          </a:ln>
          <a:effectLst/>
        </c:spPr>
        <c:marker>
          <c:symbol val="none"/>
        </c:marker>
      </c:pivotFmt>
      <c:pivotFmt>
        <c:idx val="139"/>
        <c:spPr>
          <a:solidFill>
            <a:schemeClr val="accent1"/>
          </a:solidFill>
          <a:ln>
            <a:noFill/>
          </a:ln>
          <a:effectLst/>
        </c:spPr>
        <c:marker>
          <c:symbol val="none"/>
        </c:marker>
      </c:pivotFmt>
      <c:pivotFmt>
        <c:idx val="140"/>
        <c:spPr>
          <a:solidFill>
            <a:schemeClr val="accent1"/>
          </a:solidFill>
          <a:ln>
            <a:noFill/>
          </a:ln>
          <a:effectLst/>
        </c:spPr>
        <c:marker>
          <c:symbol val="none"/>
        </c:marker>
      </c:pivotFmt>
      <c:pivotFmt>
        <c:idx val="141"/>
        <c:spPr>
          <a:solidFill>
            <a:schemeClr val="accent1"/>
          </a:solidFill>
          <a:ln>
            <a:noFill/>
          </a:ln>
          <a:effectLst/>
        </c:spPr>
        <c:marker>
          <c:symbol val="none"/>
        </c:marker>
      </c:pivotFmt>
      <c:pivotFmt>
        <c:idx val="142"/>
        <c:spPr>
          <a:solidFill>
            <a:schemeClr val="accent1"/>
          </a:solidFill>
          <a:ln>
            <a:noFill/>
          </a:ln>
          <a:effectLst/>
        </c:spPr>
        <c:marker>
          <c:symbol val="none"/>
        </c:marker>
      </c:pivotFmt>
      <c:pivotFmt>
        <c:idx val="143"/>
        <c:spPr>
          <a:solidFill>
            <a:schemeClr val="accent1"/>
          </a:solidFill>
          <a:ln>
            <a:noFill/>
          </a:ln>
          <a:effectLst/>
        </c:spPr>
        <c:marker>
          <c:symbol val="none"/>
        </c:marker>
      </c:pivotFmt>
      <c:pivotFmt>
        <c:idx val="144"/>
        <c:spPr>
          <a:solidFill>
            <a:schemeClr val="accent1"/>
          </a:solidFill>
          <a:ln>
            <a:noFill/>
          </a:ln>
          <a:effectLst/>
        </c:spPr>
        <c:marker>
          <c:symbol val="none"/>
        </c:marker>
      </c:pivotFmt>
      <c:pivotFmt>
        <c:idx val="145"/>
        <c:spPr>
          <a:solidFill>
            <a:schemeClr val="accent1"/>
          </a:solidFill>
          <a:ln>
            <a:noFill/>
          </a:ln>
          <a:effectLst/>
        </c:spPr>
        <c:marker>
          <c:symbol val="none"/>
        </c:marker>
      </c:pivotFmt>
      <c:pivotFmt>
        <c:idx val="146"/>
        <c:spPr>
          <a:solidFill>
            <a:schemeClr val="accent1"/>
          </a:solidFill>
          <a:ln>
            <a:noFill/>
          </a:ln>
          <a:effectLst/>
        </c:spPr>
        <c:marker>
          <c:symbol val="none"/>
        </c:marker>
      </c:pivotFmt>
      <c:pivotFmt>
        <c:idx val="147"/>
        <c:spPr>
          <a:solidFill>
            <a:schemeClr val="accent1"/>
          </a:solidFill>
          <a:ln>
            <a:noFill/>
          </a:ln>
          <a:effectLst/>
        </c:spPr>
        <c:marker>
          <c:symbol val="none"/>
        </c:marker>
      </c:pivotFmt>
      <c:pivotFmt>
        <c:idx val="148"/>
        <c:spPr>
          <a:solidFill>
            <a:schemeClr val="accent1"/>
          </a:solidFill>
          <a:ln>
            <a:noFill/>
          </a:ln>
          <a:effectLst/>
        </c:spPr>
        <c:marker>
          <c:symbol val="none"/>
        </c:marker>
      </c:pivotFmt>
      <c:pivotFmt>
        <c:idx val="149"/>
        <c:spPr>
          <a:solidFill>
            <a:schemeClr val="accent1"/>
          </a:solidFill>
          <a:ln>
            <a:noFill/>
          </a:ln>
          <a:effectLst/>
        </c:spPr>
        <c:marker>
          <c:symbol val="none"/>
        </c:marker>
      </c:pivotFmt>
      <c:pivotFmt>
        <c:idx val="150"/>
        <c:spPr>
          <a:solidFill>
            <a:schemeClr val="accent1"/>
          </a:solidFill>
          <a:ln>
            <a:noFill/>
          </a:ln>
          <a:effectLst/>
        </c:spPr>
        <c:marker>
          <c:symbol val="none"/>
        </c:marker>
      </c:pivotFmt>
      <c:pivotFmt>
        <c:idx val="151"/>
        <c:spPr>
          <a:solidFill>
            <a:schemeClr val="accent1"/>
          </a:solidFill>
          <a:ln>
            <a:noFill/>
          </a:ln>
          <a:effectLst/>
        </c:spPr>
        <c:marker>
          <c:symbol val="none"/>
        </c:marker>
      </c:pivotFmt>
      <c:pivotFmt>
        <c:idx val="152"/>
        <c:spPr>
          <a:solidFill>
            <a:schemeClr val="accent1"/>
          </a:solidFill>
          <a:ln>
            <a:noFill/>
          </a:ln>
          <a:effectLst/>
        </c:spPr>
        <c:marker>
          <c:symbol val="none"/>
        </c:marker>
      </c:pivotFmt>
      <c:pivotFmt>
        <c:idx val="153"/>
        <c:spPr>
          <a:solidFill>
            <a:schemeClr val="accent1"/>
          </a:solidFill>
          <a:ln>
            <a:noFill/>
          </a:ln>
          <a:effectLst/>
        </c:spPr>
        <c:marker>
          <c:symbol val="none"/>
        </c:marker>
      </c:pivotFmt>
      <c:pivotFmt>
        <c:idx val="154"/>
        <c:spPr>
          <a:solidFill>
            <a:schemeClr val="accent1"/>
          </a:solidFill>
          <a:ln>
            <a:noFill/>
          </a:ln>
          <a:effectLst/>
        </c:spPr>
        <c:marker>
          <c:symbol val="none"/>
        </c:marker>
      </c:pivotFmt>
      <c:pivotFmt>
        <c:idx val="155"/>
        <c:spPr>
          <a:solidFill>
            <a:schemeClr val="accent1"/>
          </a:solidFill>
          <a:ln>
            <a:noFill/>
          </a:ln>
          <a:effectLst/>
        </c:spPr>
        <c:marker>
          <c:symbol val="none"/>
        </c:marker>
      </c:pivotFmt>
      <c:pivotFmt>
        <c:idx val="156"/>
        <c:spPr>
          <a:solidFill>
            <a:schemeClr val="accent1"/>
          </a:solidFill>
          <a:ln>
            <a:noFill/>
          </a:ln>
          <a:effectLst/>
        </c:spPr>
        <c:marker>
          <c:symbol val="none"/>
        </c:marker>
      </c:pivotFmt>
      <c:pivotFmt>
        <c:idx val="157"/>
        <c:spPr>
          <a:solidFill>
            <a:schemeClr val="accent1"/>
          </a:solidFill>
          <a:ln>
            <a:noFill/>
          </a:ln>
          <a:effectLst/>
        </c:spPr>
        <c:marker>
          <c:symbol val="none"/>
        </c:marker>
      </c:pivotFmt>
      <c:pivotFmt>
        <c:idx val="158"/>
        <c:spPr>
          <a:solidFill>
            <a:schemeClr val="accent1"/>
          </a:solidFill>
          <a:ln>
            <a:noFill/>
          </a:ln>
          <a:effectLst/>
        </c:spPr>
        <c:marker>
          <c:symbol val="none"/>
        </c:marker>
      </c:pivotFmt>
      <c:pivotFmt>
        <c:idx val="159"/>
        <c:spPr>
          <a:solidFill>
            <a:schemeClr val="accent1"/>
          </a:solidFill>
          <a:ln>
            <a:noFill/>
          </a:ln>
          <a:effectLst/>
        </c:spPr>
        <c:marker>
          <c:symbol val="none"/>
        </c:marker>
      </c:pivotFmt>
      <c:pivotFmt>
        <c:idx val="160"/>
        <c:spPr>
          <a:solidFill>
            <a:schemeClr val="accent1"/>
          </a:solidFill>
          <a:ln>
            <a:noFill/>
          </a:ln>
          <a:effectLst/>
        </c:spPr>
        <c:marker>
          <c:symbol val="none"/>
        </c:marker>
      </c:pivotFmt>
      <c:pivotFmt>
        <c:idx val="161"/>
        <c:spPr>
          <a:solidFill>
            <a:schemeClr val="accent1"/>
          </a:solidFill>
          <a:ln>
            <a:noFill/>
          </a:ln>
          <a:effectLst/>
        </c:spPr>
        <c:marker>
          <c:symbol val="none"/>
        </c:marker>
      </c:pivotFmt>
      <c:pivotFmt>
        <c:idx val="162"/>
        <c:spPr>
          <a:solidFill>
            <a:schemeClr val="accent1"/>
          </a:solidFill>
          <a:ln>
            <a:noFill/>
          </a:ln>
          <a:effectLst/>
        </c:spPr>
        <c:marker>
          <c:symbol val="none"/>
        </c:marker>
      </c:pivotFmt>
      <c:pivotFmt>
        <c:idx val="163"/>
        <c:spPr>
          <a:solidFill>
            <a:schemeClr val="accent1"/>
          </a:solidFill>
          <a:ln>
            <a:noFill/>
          </a:ln>
          <a:effectLst/>
        </c:spPr>
        <c:marker>
          <c:symbol val="none"/>
        </c:marker>
      </c:pivotFmt>
      <c:pivotFmt>
        <c:idx val="164"/>
        <c:spPr>
          <a:solidFill>
            <a:schemeClr val="accent1"/>
          </a:solidFill>
          <a:ln>
            <a:noFill/>
          </a:ln>
          <a:effectLst/>
        </c:spPr>
        <c:marker>
          <c:symbol val="none"/>
        </c:marker>
      </c:pivotFmt>
      <c:pivotFmt>
        <c:idx val="165"/>
        <c:spPr>
          <a:solidFill>
            <a:schemeClr val="accent1"/>
          </a:solidFill>
          <a:ln>
            <a:noFill/>
          </a:ln>
          <a:effectLst/>
        </c:spPr>
        <c:marker>
          <c:symbol val="none"/>
        </c:marker>
      </c:pivotFmt>
      <c:pivotFmt>
        <c:idx val="166"/>
        <c:spPr>
          <a:solidFill>
            <a:schemeClr val="accent1"/>
          </a:solidFill>
          <a:ln>
            <a:noFill/>
          </a:ln>
          <a:effectLst/>
        </c:spPr>
        <c:marker>
          <c:symbol val="none"/>
        </c:marker>
      </c:pivotFmt>
      <c:pivotFmt>
        <c:idx val="167"/>
        <c:spPr>
          <a:solidFill>
            <a:schemeClr val="accent1"/>
          </a:solidFill>
          <a:ln>
            <a:noFill/>
          </a:ln>
          <a:effectLst/>
        </c:spPr>
        <c:marker>
          <c:symbol val="none"/>
        </c:marker>
      </c:pivotFmt>
      <c:pivotFmt>
        <c:idx val="168"/>
        <c:spPr>
          <a:solidFill>
            <a:schemeClr val="accent1"/>
          </a:solidFill>
          <a:ln>
            <a:noFill/>
          </a:ln>
          <a:effectLst/>
        </c:spPr>
        <c:marker>
          <c:symbol val="none"/>
        </c:marker>
      </c:pivotFmt>
      <c:pivotFmt>
        <c:idx val="169"/>
        <c:spPr>
          <a:solidFill>
            <a:schemeClr val="accent1"/>
          </a:solidFill>
          <a:ln>
            <a:noFill/>
          </a:ln>
          <a:effectLst/>
        </c:spPr>
        <c:marker>
          <c:symbol val="none"/>
        </c:marker>
      </c:pivotFmt>
      <c:pivotFmt>
        <c:idx val="170"/>
        <c:spPr>
          <a:solidFill>
            <a:schemeClr val="accent1"/>
          </a:solidFill>
          <a:ln>
            <a:noFill/>
          </a:ln>
          <a:effectLst/>
        </c:spPr>
        <c:marker>
          <c:symbol val="none"/>
        </c:marker>
      </c:pivotFmt>
      <c:pivotFmt>
        <c:idx val="171"/>
        <c:spPr>
          <a:solidFill>
            <a:schemeClr val="accent1"/>
          </a:solidFill>
          <a:ln>
            <a:noFill/>
          </a:ln>
          <a:effectLst/>
        </c:spPr>
        <c:marker>
          <c:symbol val="none"/>
        </c:marker>
      </c:pivotFmt>
      <c:pivotFmt>
        <c:idx val="172"/>
        <c:spPr>
          <a:solidFill>
            <a:schemeClr val="accent1"/>
          </a:solidFill>
          <a:ln>
            <a:noFill/>
          </a:ln>
          <a:effectLst/>
        </c:spPr>
        <c:marker>
          <c:symbol val="none"/>
        </c:marker>
      </c:pivotFmt>
      <c:pivotFmt>
        <c:idx val="173"/>
        <c:spPr>
          <a:solidFill>
            <a:schemeClr val="accent1"/>
          </a:solidFill>
          <a:ln>
            <a:noFill/>
          </a:ln>
          <a:effectLst/>
        </c:spPr>
        <c:marker>
          <c:symbol val="none"/>
        </c:marker>
      </c:pivotFmt>
      <c:pivotFmt>
        <c:idx val="174"/>
        <c:spPr>
          <a:solidFill>
            <a:schemeClr val="accent1"/>
          </a:solidFill>
          <a:ln>
            <a:noFill/>
          </a:ln>
          <a:effectLst/>
        </c:spPr>
        <c:marker>
          <c:symbol val="none"/>
        </c:marker>
      </c:pivotFmt>
      <c:pivotFmt>
        <c:idx val="175"/>
        <c:spPr>
          <a:solidFill>
            <a:schemeClr val="accent1"/>
          </a:solidFill>
          <a:ln>
            <a:noFill/>
          </a:ln>
          <a:effectLst/>
        </c:spPr>
        <c:marker>
          <c:symbol val="none"/>
        </c:marker>
      </c:pivotFmt>
      <c:pivotFmt>
        <c:idx val="176"/>
        <c:spPr>
          <a:solidFill>
            <a:schemeClr val="accent1"/>
          </a:solidFill>
          <a:ln>
            <a:noFill/>
          </a:ln>
          <a:effectLst/>
        </c:spPr>
        <c:marker>
          <c:symbol val="none"/>
        </c:marker>
      </c:pivotFmt>
      <c:pivotFmt>
        <c:idx val="177"/>
        <c:spPr>
          <a:solidFill>
            <a:schemeClr val="accent1"/>
          </a:solidFill>
          <a:ln>
            <a:noFill/>
          </a:ln>
          <a:effectLst/>
        </c:spPr>
        <c:marker>
          <c:symbol val="none"/>
        </c:marker>
      </c:pivotFmt>
      <c:pivotFmt>
        <c:idx val="178"/>
        <c:spPr>
          <a:solidFill>
            <a:schemeClr val="accent1"/>
          </a:solidFill>
          <a:ln>
            <a:noFill/>
          </a:ln>
          <a:effectLst/>
        </c:spPr>
        <c:marker>
          <c:symbol val="none"/>
        </c:marker>
      </c:pivotFmt>
      <c:pivotFmt>
        <c:idx val="179"/>
        <c:spPr>
          <a:solidFill>
            <a:schemeClr val="accent1"/>
          </a:solidFill>
          <a:ln>
            <a:noFill/>
          </a:ln>
          <a:effectLst/>
        </c:spPr>
        <c:marker>
          <c:symbol val="none"/>
        </c:marker>
      </c:pivotFmt>
      <c:pivotFmt>
        <c:idx val="180"/>
        <c:spPr>
          <a:solidFill>
            <a:schemeClr val="accent1"/>
          </a:solidFill>
          <a:ln>
            <a:noFill/>
          </a:ln>
          <a:effectLst/>
        </c:spPr>
        <c:marker>
          <c:symbol val="none"/>
        </c:marker>
      </c:pivotFmt>
      <c:pivotFmt>
        <c:idx val="181"/>
        <c:spPr>
          <a:solidFill>
            <a:schemeClr val="accent1"/>
          </a:solidFill>
          <a:ln>
            <a:noFill/>
          </a:ln>
          <a:effectLst/>
        </c:spPr>
        <c:marker>
          <c:symbol val="none"/>
        </c:marker>
      </c:pivotFmt>
      <c:pivotFmt>
        <c:idx val="182"/>
        <c:spPr>
          <a:solidFill>
            <a:schemeClr val="accent1"/>
          </a:solidFill>
          <a:ln>
            <a:noFill/>
          </a:ln>
          <a:effectLst/>
        </c:spPr>
        <c:marker>
          <c:symbol val="none"/>
        </c:marker>
      </c:pivotFmt>
      <c:pivotFmt>
        <c:idx val="183"/>
        <c:spPr>
          <a:solidFill>
            <a:schemeClr val="accent1"/>
          </a:solidFill>
          <a:ln>
            <a:noFill/>
          </a:ln>
          <a:effectLst/>
        </c:spPr>
        <c:marker>
          <c:symbol val="none"/>
        </c:marker>
      </c:pivotFmt>
      <c:pivotFmt>
        <c:idx val="184"/>
        <c:spPr>
          <a:solidFill>
            <a:schemeClr val="accent1"/>
          </a:solidFill>
          <a:ln>
            <a:noFill/>
          </a:ln>
          <a:effectLst/>
        </c:spPr>
        <c:marker>
          <c:symbol val="none"/>
        </c:marker>
      </c:pivotFmt>
      <c:pivotFmt>
        <c:idx val="185"/>
        <c:spPr>
          <a:solidFill>
            <a:schemeClr val="accent1"/>
          </a:solidFill>
          <a:ln>
            <a:noFill/>
          </a:ln>
          <a:effectLst/>
        </c:spPr>
        <c:marker>
          <c:symbol val="none"/>
        </c:marker>
      </c:pivotFmt>
      <c:pivotFmt>
        <c:idx val="186"/>
        <c:spPr>
          <a:solidFill>
            <a:schemeClr val="accent1"/>
          </a:solidFill>
          <a:ln>
            <a:noFill/>
          </a:ln>
          <a:effectLst/>
        </c:spPr>
        <c:marker>
          <c:symbol val="none"/>
        </c:marker>
      </c:pivotFmt>
      <c:pivotFmt>
        <c:idx val="187"/>
        <c:spPr>
          <a:solidFill>
            <a:schemeClr val="accent1"/>
          </a:solidFill>
          <a:ln>
            <a:noFill/>
          </a:ln>
          <a:effectLst/>
        </c:spPr>
        <c:marker>
          <c:symbol val="none"/>
        </c:marker>
      </c:pivotFmt>
      <c:pivotFmt>
        <c:idx val="188"/>
        <c:spPr>
          <a:solidFill>
            <a:schemeClr val="accent1"/>
          </a:solidFill>
          <a:ln>
            <a:noFill/>
          </a:ln>
          <a:effectLst/>
        </c:spPr>
        <c:marker>
          <c:symbol val="none"/>
        </c:marker>
      </c:pivotFmt>
      <c:pivotFmt>
        <c:idx val="189"/>
        <c:spPr>
          <a:solidFill>
            <a:schemeClr val="accent1"/>
          </a:solidFill>
          <a:ln>
            <a:noFill/>
          </a:ln>
          <a:effectLst/>
        </c:spPr>
        <c:marker>
          <c:symbol val="none"/>
        </c:marker>
      </c:pivotFmt>
      <c:pivotFmt>
        <c:idx val="190"/>
        <c:spPr>
          <a:solidFill>
            <a:schemeClr val="accent1"/>
          </a:solidFill>
          <a:ln>
            <a:noFill/>
          </a:ln>
          <a:effectLst/>
        </c:spPr>
        <c:marker>
          <c:symbol val="none"/>
        </c:marker>
      </c:pivotFmt>
      <c:pivotFmt>
        <c:idx val="191"/>
        <c:spPr>
          <a:solidFill>
            <a:schemeClr val="accent1"/>
          </a:solidFill>
          <a:ln>
            <a:noFill/>
          </a:ln>
          <a:effectLst/>
        </c:spPr>
        <c:marker>
          <c:symbol val="none"/>
        </c:marker>
      </c:pivotFmt>
      <c:pivotFmt>
        <c:idx val="192"/>
        <c:spPr>
          <a:solidFill>
            <a:schemeClr val="accent1"/>
          </a:solidFill>
          <a:ln>
            <a:noFill/>
          </a:ln>
          <a:effectLst/>
        </c:spPr>
        <c:marker>
          <c:symbol val="none"/>
        </c:marker>
      </c:pivotFmt>
      <c:pivotFmt>
        <c:idx val="193"/>
        <c:spPr>
          <a:solidFill>
            <a:schemeClr val="accent1"/>
          </a:solidFill>
          <a:ln>
            <a:noFill/>
          </a:ln>
          <a:effectLst/>
        </c:spPr>
        <c:marker>
          <c:symbol val="none"/>
        </c:marker>
      </c:pivotFmt>
      <c:pivotFmt>
        <c:idx val="194"/>
        <c:spPr>
          <a:solidFill>
            <a:schemeClr val="accent1"/>
          </a:solidFill>
          <a:ln>
            <a:noFill/>
          </a:ln>
          <a:effectLst/>
        </c:spPr>
        <c:marker>
          <c:symbol val="none"/>
        </c:marker>
      </c:pivotFmt>
      <c:pivotFmt>
        <c:idx val="195"/>
        <c:spPr>
          <a:solidFill>
            <a:schemeClr val="accent1"/>
          </a:solidFill>
          <a:ln>
            <a:noFill/>
          </a:ln>
          <a:effectLst/>
        </c:spPr>
        <c:marker>
          <c:symbol val="none"/>
        </c:marker>
      </c:pivotFmt>
      <c:pivotFmt>
        <c:idx val="196"/>
        <c:spPr>
          <a:solidFill>
            <a:schemeClr val="accent1"/>
          </a:solidFill>
          <a:ln>
            <a:noFill/>
          </a:ln>
          <a:effectLst/>
        </c:spPr>
        <c:marker>
          <c:symbol val="none"/>
        </c:marker>
      </c:pivotFmt>
      <c:pivotFmt>
        <c:idx val="197"/>
        <c:spPr>
          <a:solidFill>
            <a:schemeClr val="accent1"/>
          </a:solidFill>
          <a:ln>
            <a:noFill/>
          </a:ln>
          <a:effectLst/>
        </c:spPr>
        <c:marker>
          <c:symbol val="none"/>
        </c:marker>
      </c:pivotFmt>
      <c:pivotFmt>
        <c:idx val="198"/>
        <c:spPr>
          <a:solidFill>
            <a:schemeClr val="accent1"/>
          </a:solidFill>
          <a:ln>
            <a:noFill/>
          </a:ln>
          <a:effectLst/>
        </c:spPr>
        <c:marker>
          <c:symbol val="none"/>
        </c:marker>
      </c:pivotFmt>
      <c:pivotFmt>
        <c:idx val="199"/>
        <c:spPr>
          <a:solidFill>
            <a:schemeClr val="accent1"/>
          </a:solidFill>
          <a:ln>
            <a:noFill/>
          </a:ln>
          <a:effectLst/>
        </c:spPr>
        <c:marker>
          <c:symbol val="none"/>
        </c:marker>
      </c:pivotFmt>
      <c:pivotFmt>
        <c:idx val="200"/>
        <c:spPr>
          <a:solidFill>
            <a:schemeClr val="accent1"/>
          </a:solidFill>
          <a:ln>
            <a:noFill/>
          </a:ln>
          <a:effectLst/>
        </c:spPr>
        <c:marker>
          <c:symbol val="none"/>
        </c:marker>
      </c:pivotFmt>
      <c:pivotFmt>
        <c:idx val="201"/>
        <c:spPr>
          <a:solidFill>
            <a:schemeClr val="accent1"/>
          </a:solidFill>
          <a:ln>
            <a:noFill/>
          </a:ln>
          <a:effectLst/>
        </c:spPr>
        <c:marker>
          <c:symbol val="none"/>
        </c:marker>
      </c:pivotFmt>
      <c:pivotFmt>
        <c:idx val="202"/>
        <c:spPr>
          <a:solidFill>
            <a:schemeClr val="accent1"/>
          </a:solidFill>
          <a:ln>
            <a:noFill/>
          </a:ln>
          <a:effectLst/>
        </c:spPr>
        <c:marker>
          <c:symbol val="none"/>
        </c:marker>
      </c:pivotFmt>
      <c:pivotFmt>
        <c:idx val="203"/>
        <c:spPr>
          <a:solidFill>
            <a:schemeClr val="accent1"/>
          </a:solidFill>
          <a:ln>
            <a:noFill/>
          </a:ln>
          <a:effectLst/>
        </c:spPr>
        <c:marker>
          <c:symbol val="none"/>
        </c:marker>
      </c:pivotFmt>
      <c:pivotFmt>
        <c:idx val="204"/>
        <c:spPr>
          <a:solidFill>
            <a:schemeClr val="accent1"/>
          </a:solidFill>
          <a:ln>
            <a:noFill/>
          </a:ln>
          <a:effectLst/>
        </c:spPr>
        <c:marker>
          <c:symbol val="none"/>
        </c:marker>
      </c:pivotFmt>
      <c:pivotFmt>
        <c:idx val="205"/>
        <c:spPr>
          <a:solidFill>
            <a:schemeClr val="accent1"/>
          </a:solidFill>
          <a:ln>
            <a:noFill/>
          </a:ln>
          <a:effectLst/>
        </c:spPr>
        <c:marker>
          <c:symbol val="none"/>
        </c:marker>
      </c:pivotFmt>
      <c:pivotFmt>
        <c:idx val="206"/>
        <c:spPr>
          <a:solidFill>
            <a:schemeClr val="accent1"/>
          </a:solidFill>
          <a:ln>
            <a:noFill/>
          </a:ln>
          <a:effectLst/>
        </c:spPr>
        <c:marker>
          <c:symbol val="none"/>
        </c:marker>
      </c:pivotFmt>
      <c:pivotFmt>
        <c:idx val="207"/>
        <c:spPr>
          <a:solidFill>
            <a:schemeClr val="accent1"/>
          </a:solidFill>
          <a:ln>
            <a:noFill/>
          </a:ln>
          <a:effectLst/>
        </c:spPr>
        <c:marker>
          <c:symbol val="none"/>
        </c:marker>
      </c:pivotFmt>
      <c:pivotFmt>
        <c:idx val="208"/>
        <c:spPr>
          <a:solidFill>
            <a:schemeClr val="accent1"/>
          </a:solidFill>
          <a:ln>
            <a:noFill/>
          </a:ln>
          <a:effectLst/>
        </c:spPr>
        <c:marker>
          <c:symbol val="none"/>
        </c:marker>
      </c:pivotFmt>
      <c:pivotFmt>
        <c:idx val="209"/>
        <c:spPr>
          <a:solidFill>
            <a:schemeClr val="accent1"/>
          </a:solidFill>
          <a:ln>
            <a:noFill/>
          </a:ln>
          <a:effectLst/>
        </c:spPr>
        <c:marker>
          <c:symbol val="none"/>
        </c:marker>
      </c:pivotFmt>
      <c:pivotFmt>
        <c:idx val="210"/>
        <c:spPr>
          <a:solidFill>
            <a:schemeClr val="accent1"/>
          </a:solidFill>
          <a:ln>
            <a:noFill/>
          </a:ln>
          <a:effectLst/>
        </c:spPr>
        <c:marker>
          <c:symbol val="none"/>
        </c:marker>
      </c:pivotFmt>
      <c:pivotFmt>
        <c:idx val="211"/>
        <c:spPr>
          <a:solidFill>
            <a:schemeClr val="accent1"/>
          </a:solidFill>
          <a:ln>
            <a:noFill/>
          </a:ln>
          <a:effectLst/>
        </c:spPr>
        <c:marker>
          <c:symbol val="none"/>
        </c:marker>
      </c:pivotFmt>
      <c:pivotFmt>
        <c:idx val="212"/>
        <c:spPr>
          <a:solidFill>
            <a:schemeClr val="accent1"/>
          </a:solidFill>
          <a:ln>
            <a:noFill/>
          </a:ln>
          <a:effectLst/>
        </c:spPr>
        <c:marker>
          <c:symbol val="none"/>
        </c:marker>
      </c:pivotFmt>
      <c:pivotFmt>
        <c:idx val="213"/>
        <c:spPr>
          <a:solidFill>
            <a:schemeClr val="accent1"/>
          </a:solidFill>
          <a:ln>
            <a:noFill/>
          </a:ln>
          <a:effectLst/>
        </c:spPr>
        <c:marker>
          <c:symbol val="none"/>
        </c:marker>
      </c:pivotFmt>
      <c:pivotFmt>
        <c:idx val="214"/>
        <c:spPr>
          <a:solidFill>
            <a:schemeClr val="accent1"/>
          </a:solidFill>
          <a:ln>
            <a:noFill/>
          </a:ln>
          <a:effectLst/>
        </c:spPr>
        <c:marker>
          <c:symbol val="none"/>
        </c:marker>
      </c:pivotFmt>
      <c:pivotFmt>
        <c:idx val="215"/>
        <c:spPr>
          <a:solidFill>
            <a:schemeClr val="accent1"/>
          </a:solidFill>
          <a:ln>
            <a:noFill/>
          </a:ln>
          <a:effectLst/>
        </c:spPr>
        <c:marker>
          <c:symbol val="none"/>
        </c:marker>
      </c:pivotFmt>
      <c:pivotFmt>
        <c:idx val="216"/>
        <c:spPr>
          <a:solidFill>
            <a:schemeClr val="accent1"/>
          </a:solidFill>
          <a:ln>
            <a:noFill/>
          </a:ln>
          <a:effectLst/>
        </c:spPr>
        <c:marker>
          <c:symbol val="none"/>
        </c:marker>
      </c:pivotFmt>
      <c:pivotFmt>
        <c:idx val="217"/>
        <c:spPr>
          <a:solidFill>
            <a:schemeClr val="accent1"/>
          </a:solidFill>
          <a:ln>
            <a:noFill/>
          </a:ln>
          <a:effectLst/>
        </c:spPr>
        <c:marker>
          <c:symbol val="none"/>
        </c:marker>
      </c:pivotFmt>
      <c:pivotFmt>
        <c:idx val="218"/>
        <c:spPr>
          <a:solidFill>
            <a:schemeClr val="accent1"/>
          </a:solidFill>
          <a:ln>
            <a:noFill/>
          </a:ln>
          <a:effectLst/>
        </c:spPr>
        <c:marker>
          <c:symbol val="none"/>
        </c:marker>
      </c:pivotFmt>
      <c:pivotFmt>
        <c:idx val="219"/>
        <c:spPr>
          <a:solidFill>
            <a:schemeClr val="accent1"/>
          </a:solidFill>
          <a:ln>
            <a:noFill/>
          </a:ln>
          <a:effectLst/>
        </c:spPr>
        <c:marker>
          <c:symbol val="none"/>
        </c:marker>
      </c:pivotFmt>
      <c:pivotFmt>
        <c:idx val="220"/>
        <c:spPr>
          <a:solidFill>
            <a:schemeClr val="accent1"/>
          </a:solidFill>
          <a:ln>
            <a:noFill/>
          </a:ln>
          <a:effectLst/>
        </c:spPr>
        <c:marker>
          <c:symbol val="none"/>
        </c:marker>
      </c:pivotFmt>
      <c:pivotFmt>
        <c:idx val="221"/>
        <c:spPr>
          <a:solidFill>
            <a:schemeClr val="accent1"/>
          </a:solidFill>
          <a:ln>
            <a:noFill/>
          </a:ln>
          <a:effectLst/>
        </c:spPr>
        <c:marker>
          <c:symbol val="none"/>
        </c:marker>
      </c:pivotFmt>
      <c:pivotFmt>
        <c:idx val="222"/>
        <c:spPr>
          <a:solidFill>
            <a:schemeClr val="accent1"/>
          </a:solidFill>
          <a:ln>
            <a:noFill/>
          </a:ln>
          <a:effectLst/>
        </c:spPr>
        <c:marker>
          <c:symbol val="none"/>
        </c:marker>
      </c:pivotFmt>
      <c:pivotFmt>
        <c:idx val="223"/>
        <c:spPr>
          <a:solidFill>
            <a:schemeClr val="accent1"/>
          </a:solidFill>
          <a:ln>
            <a:noFill/>
          </a:ln>
          <a:effectLst/>
        </c:spPr>
        <c:marker>
          <c:symbol val="none"/>
        </c:marker>
      </c:pivotFmt>
      <c:pivotFmt>
        <c:idx val="224"/>
        <c:spPr>
          <a:solidFill>
            <a:schemeClr val="accent1"/>
          </a:solidFill>
          <a:ln>
            <a:noFill/>
          </a:ln>
          <a:effectLst/>
        </c:spPr>
        <c:marker>
          <c:symbol val="none"/>
        </c:marker>
      </c:pivotFmt>
      <c:pivotFmt>
        <c:idx val="225"/>
        <c:spPr>
          <a:solidFill>
            <a:schemeClr val="accent1"/>
          </a:solidFill>
          <a:ln>
            <a:noFill/>
          </a:ln>
          <a:effectLst/>
        </c:spPr>
        <c:marker>
          <c:symbol val="none"/>
        </c:marker>
      </c:pivotFmt>
      <c:pivotFmt>
        <c:idx val="226"/>
        <c:spPr>
          <a:solidFill>
            <a:schemeClr val="accent1"/>
          </a:solidFill>
          <a:ln>
            <a:noFill/>
          </a:ln>
          <a:effectLst/>
        </c:spPr>
        <c:marker>
          <c:symbol val="none"/>
        </c:marker>
      </c:pivotFmt>
      <c:pivotFmt>
        <c:idx val="227"/>
        <c:spPr>
          <a:solidFill>
            <a:schemeClr val="accent1"/>
          </a:solidFill>
          <a:ln>
            <a:noFill/>
          </a:ln>
          <a:effectLst/>
        </c:spPr>
        <c:marker>
          <c:symbol val="none"/>
        </c:marker>
      </c:pivotFmt>
      <c:pivotFmt>
        <c:idx val="228"/>
        <c:spPr>
          <a:solidFill>
            <a:schemeClr val="accent1"/>
          </a:solidFill>
          <a:ln>
            <a:noFill/>
          </a:ln>
          <a:effectLst/>
        </c:spPr>
        <c:marker>
          <c:symbol val="none"/>
        </c:marker>
      </c:pivotFmt>
      <c:pivotFmt>
        <c:idx val="229"/>
        <c:spPr>
          <a:solidFill>
            <a:schemeClr val="accent1"/>
          </a:solidFill>
          <a:ln>
            <a:noFill/>
          </a:ln>
          <a:effectLst/>
        </c:spPr>
        <c:marker>
          <c:symbol val="none"/>
        </c:marker>
      </c:pivotFmt>
      <c:pivotFmt>
        <c:idx val="230"/>
        <c:spPr>
          <a:solidFill>
            <a:schemeClr val="accent1"/>
          </a:solidFill>
          <a:ln>
            <a:noFill/>
          </a:ln>
          <a:effectLst/>
        </c:spPr>
        <c:marker>
          <c:symbol val="none"/>
        </c:marker>
      </c:pivotFmt>
      <c:pivotFmt>
        <c:idx val="231"/>
        <c:spPr>
          <a:solidFill>
            <a:schemeClr val="accent1"/>
          </a:solidFill>
          <a:ln>
            <a:noFill/>
          </a:ln>
          <a:effectLst/>
        </c:spPr>
        <c:marker>
          <c:symbol val="none"/>
        </c:marker>
      </c:pivotFmt>
      <c:pivotFmt>
        <c:idx val="232"/>
        <c:spPr>
          <a:solidFill>
            <a:schemeClr val="accent1"/>
          </a:solidFill>
          <a:ln>
            <a:noFill/>
          </a:ln>
          <a:effectLst/>
        </c:spPr>
        <c:marker>
          <c:symbol val="none"/>
        </c:marker>
      </c:pivotFmt>
      <c:pivotFmt>
        <c:idx val="233"/>
        <c:spPr>
          <a:solidFill>
            <a:schemeClr val="accent1"/>
          </a:solidFill>
          <a:ln>
            <a:noFill/>
          </a:ln>
          <a:effectLst/>
        </c:spPr>
        <c:marker>
          <c:symbol val="none"/>
        </c:marker>
      </c:pivotFmt>
      <c:pivotFmt>
        <c:idx val="234"/>
        <c:spPr>
          <a:solidFill>
            <a:schemeClr val="accent1"/>
          </a:solidFill>
          <a:ln>
            <a:noFill/>
          </a:ln>
          <a:effectLst/>
        </c:spPr>
        <c:marker>
          <c:symbol val="none"/>
        </c:marker>
      </c:pivotFmt>
      <c:pivotFmt>
        <c:idx val="235"/>
        <c:spPr>
          <a:solidFill>
            <a:schemeClr val="accent1"/>
          </a:solidFill>
          <a:ln>
            <a:noFill/>
          </a:ln>
          <a:effectLst/>
        </c:spPr>
        <c:marker>
          <c:symbol val="none"/>
        </c:marker>
      </c:pivotFmt>
      <c:pivotFmt>
        <c:idx val="236"/>
        <c:spPr>
          <a:solidFill>
            <a:schemeClr val="accent1"/>
          </a:solidFill>
          <a:ln>
            <a:noFill/>
          </a:ln>
          <a:effectLst/>
        </c:spPr>
        <c:marker>
          <c:symbol val="none"/>
        </c:marker>
      </c:pivotFmt>
      <c:pivotFmt>
        <c:idx val="237"/>
        <c:spPr>
          <a:solidFill>
            <a:schemeClr val="accent1"/>
          </a:solidFill>
          <a:ln>
            <a:noFill/>
          </a:ln>
          <a:effectLst/>
        </c:spPr>
        <c:marker>
          <c:symbol val="none"/>
        </c:marker>
      </c:pivotFmt>
      <c:pivotFmt>
        <c:idx val="238"/>
        <c:spPr>
          <a:solidFill>
            <a:schemeClr val="accent1"/>
          </a:solidFill>
          <a:ln>
            <a:noFill/>
          </a:ln>
          <a:effectLst/>
        </c:spPr>
        <c:marker>
          <c:symbol val="none"/>
        </c:marker>
      </c:pivotFmt>
      <c:pivotFmt>
        <c:idx val="239"/>
        <c:spPr>
          <a:solidFill>
            <a:schemeClr val="accent1"/>
          </a:solidFill>
          <a:ln>
            <a:noFill/>
          </a:ln>
          <a:effectLst/>
        </c:spPr>
        <c:marker>
          <c:symbol val="none"/>
        </c:marker>
      </c:pivotFmt>
      <c:pivotFmt>
        <c:idx val="240"/>
        <c:spPr>
          <a:solidFill>
            <a:schemeClr val="accent1"/>
          </a:solidFill>
          <a:ln>
            <a:noFill/>
          </a:ln>
          <a:effectLst/>
        </c:spPr>
        <c:marker>
          <c:symbol val="none"/>
        </c:marker>
      </c:pivotFmt>
      <c:pivotFmt>
        <c:idx val="241"/>
        <c:spPr>
          <a:solidFill>
            <a:schemeClr val="accent1"/>
          </a:solidFill>
          <a:ln>
            <a:noFill/>
          </a:ln>
          <a:effectLst/>
        </c:spPr>
        <c:marker>
          <c:symbol val="none"/>
        </c:marker>
      </c:pivotFmt>
      <c:pivotFmt>
        <c:idx val="242"/>
        <c:spPr>
          <a:solidFill>
            <a:schemeClr val="accent1"/>
          </a:solidFill>
          <a:ln>
            <a:noFill/>
          </a:ln>
          <a:effectLst/>
        </c:spPr>
        <c:marker>
          <c:symbol val="none"/>
        </c:marker>
      </c:pivotFmt>
      <c:pivotFmt>
        <c:idx val="243"/>
        <c:spPr>
          <a:solidFill>
            <a:schemeClr val="accent1"/>
          </a:solidFill>
          <a:ln>
            <a:noFill/>
          </a:ln>
          <a:effectLst/>
        </c:spPr>
        <c:marker>
          <c:symbol val="none"/>
        </c:marker>
      </c:pivotFmt>
      <c:pivotFmt>
        <c:idx val="244"/>
        <c:spPr>
          <a:solidFill>
            <a:schemeClr val="accent1"/>
          </a:solidFill>
          <a:ln>
            <a:noFill/>
          </a:ln>
          <a:effectLst/>
        </c:spPr>
        <c:marker>
          <c:symbol val="none"/>
        </c:marker>
      </c:pivotFmt>
      <c:pivotFmt>
        <c:idx val="245"/>
        <c:spPr>
          <a:solidFill>
            <a:schemeClr val="accent1"/>
          </a:solidFill>
          <a:ln>
            <a:noFill/>
          </a:ln>
          <a:effectLst/>
        </c:spPr>
        <c:marker>
          <c:symbol val="none"/>
        </c:marker>
      </c:pivotFmt>
      <c:pivotFmt>
        <c:idx val="246"/>
        <c:spPr>
          <a:solidFill>
            <a:schemeClr val="accent1"/>
          </a:solidFill>
          <a:ln>
            <a:noFill/>
          </a:ln>
          <a:effectLst/>
        </c:spPr>
        <c:marker>
          <c:symbol val="none"/>
        </c:marker>
      </c:pivotFmt>
      <c:pivotFmt>
        <c:idx val="247"/>
        <c:spPr>
          <a:solidFill>
            <a:schemeClr val="accent1"/>
          </a:solidFill>
          <a:ln>
            <a:noFill/>
          </a:ln>
          <a:effectLst/>
        </c:spPr>
        <c:marker>
          <c:symbol val="none"/>
        </c:marker>
      </c:pivotFmt>
      <c:pivotFmt>
        <c:idx val="248"/>
        <c:spPr>
          <a:solidFill>
            <a:schemeClr val="accent1"/>
          </a:solidFill>
          <a:ln>
            <a:noFill/>
          </a:ln>
          <a:effectLst/>
        </c:spPr>
        <c:marker>
          <c:symbol val="none"/>
        </c:marker>
      </c:pivotFmt>
      <c:pivotFmt>
        <c:idx val="249"/>
        <c:spPr>
          <a:solidFill>
            <a:schemeClr val="accent1"/>
          </a:solidFill>
          <a:ln>
            <a:noFill/>
          </a:ln>
          <a:effectLst/>
        </c:spPr>
        <c:marker>
          <c:symbol val="none"/>
        </c:marker>
      </c:pivotFmt>
      <c:pivotFmt>
        <c:idx val="250"/>
        <c:spPr>
          <a:solidFill>
            <a:schemeClr val="accent1"/>
          </a:solidFill>
          <a:ln>
            <a:noFill/>
          </a:ln>
          <a:effectLst/>
        </c:spPr>
        <c:marker>
          <c:symbol val="none"/>
        </c:marker>
      </c:pivotFmt>
      <c:pivotFmt>
        <c:idx val="251"/>
        <c:spPr>
          <a:solidFill>
            <a:schemeClr val="accent1"/>
          </a:solidFill>
          <a:ln>
            <a:noFill/>
          </a:ln>
          <a:effectLst/>
        </c:spPr>
        <c:marker>
          <c:symbol val="none"/>
        </c:marker>
      </c:pivotFmt>
      <c:pivotFmt>
        <c:idx val="252"/>
        <c:spPr>
          <a:solidFill>
            <a:schemeClr val="accent1"/>
          </a:solidFill>
          <a:ln>
            <a:noFill/>
          </a:ln>
          <a:effectLst/>
        </c:spPr>
        <c:marker>
          <c:symbol val="none"/>
        </c:marker>
      </c:pivotFmt>
      <c:pivotFmt>
        <c:idx val="253"/>
        <c:spPr>
          <a:solidFill>
            <a:schemeClr val="accent1"/>
          </a:solidFill>
          <a:ln>
            <a:noFill/>
          </a:ln>
          <a:effectLst/>
        </c:spPr>
        <c:marker>
          <c:symbol val="none"/>
        </c:marker>
      </c:pivotFmt>
      <c:pivotFmt>
        <c:idx val="254"/>
        <c:spPr>
          <a:solidFill>
            <a:schemeClr val="accent1"/>
          </a:solidFill>
          <a:ln>
            <a:noFill/>
          </a:ln>
          <a:effectLst/>
        </c:spPr>
        <c:marker>
          <c:symbol val="none"/>
        </c:marker>
      </c:pivotFmt>
      <c:pivotFmt>
        <c:idx val="255"/>
        <c:spPr>
          <a:solidFill>
            <a:schemeClr val="accent1"/>
          </a:solidFill>
          <a:ln>
            <a:noFill/>
          </a:ln>
          <a:effectLst/>
        </c:spPr>
        <c:marker>
          <c:symbol val="none"/>
        </c:marker>
      </c:pivotFmt>
      <c:pivotFmt>
        <c:idx val="256"/>
        <c:spPr>
          <a:solidFill>
            <a:schemeClr val="accent1"/>
          </a:solidFill>
          <a:ln>
            <a:noFill/>
          </a:ln>
          <a:effectLst/>
        </c:spPr>
        <c:marker>
          <c:symbol val="none"/>
        </c:marker>
      </c:pivotFmt>
      <c:pivotFmt>
        <c:idx val="257"/>
        <c:spPr>
          <a:solidFill>
            <a:schemeClr val="accent1"/>
          </a:solidFill>
          <a:ln>
            <a:noFill/>
          </a:ln>
          <a:effectLst/>
        </c:spPr>
        <c:marker>
          <c:symbol val="none"/>
        </c:marker>
      </c:pivotFmt>
      <c:pivotFmt>
        <c:idx val="258"/>
        <c:spPr>
          <a:solidFill>
            <a:schemeClr val="accent1"/>
          </a:solidFill>
          <a:ln>
            <a:noFill/>
          </a:ln>
          <a:effectLst/>
        </c:spPr>
        <c:marker>
          <c:symbol val="none"/>
        </c:marker>
      </c:pivotFmt>
      <c:pivotFmt>
        <c:idx val="259"/>
        <c:spPr>
          <a:solidFill>
            <a:schemeClr val="accent1"/>
          </a:solidFill>
          <a:ln>
            <a:noFill/>
          </a:ln>
          <a:effectLst/>
        </c:spPr>
        <c:marker>
          <c:symbol val="none"/>
        </c:marker>
      </c:pivotFmt>
      <c:pivotFmt>
        <c:idx val="260"/>
        <c:spPr>
          <a:solidFill>
            <a:schemeClr val="accent1"/>
          </a:solidFill>
          <a:ln>
            <a:noFill/>
          </a:ln>
          <a:effectLst/>
        </c:spPr>
        <c:marker>
          <c:symbol val="none"/>
        </c:marker>
      </c:pivotFmt>
      <c:pivotFmt>
        <c:idx val="261"/>
        <c:spPr>
          <a:solidFill>
            <a:schemeClr val="accent1"/>
          </a:solidFill>
          <a:ln>
            <a:noFill/>
          </a:ln>
          <a:effectLst/>
        </c:spPr>
        <c:marker>
          <c:symbol val="none"/>
        </c:marker>
      </c:pivotFmt>
      <c:pivotFmt>
        <c:idx val="262"/>
        <c:spPr>
          <a:solidFill>
            <a:schemeClr val="accent1"/>
          </a:solidFill>
          <a:ln>
            <a:noFill/>
          </a:ln>
          <a:effectLst/>
        </c:spPr>
        <c:marker>
          <c:symbol val="none"/>
        </c:marker>
      </c:pivotFmt>
      <c:pivotFmt>
        <c:idx val="263"/>
        <c:spPr>
          <a:solidFill>
            <a:schemeClr val="accent1"/>
          </a:solidFill>
          <a:ln>
            <a:noFill/>
          </a:ln>
          <a:effectLst/>
        </c:spPr>
        <c:marker>
          <c:symbol val="none"/>
        </c:marker>
      </c:pivotFmt>
      <c:pivotFmt>
        <c:idx val="264"/>
        <c:spPr>
          <a:solidFill>
            <a:schemeClr val="accent1"/>
          </a:solidFill>
          <a:ln>
            <a:noFill/>
          </a:ln>
          <a:effectLst/>
        </c:spPr>
        <c:marker>
          <c:symbol val="none"/>
        </c:marker>
      </c:pivotFmt>
      <c:pivotFmt>
        <c:idx val="265"/>
        <c:spPr>
          <a:solidFill>
            <a:schemeClr val="accent1"/>
          </a:solidFill>
          <a:ln>
            <a:noFill/>
          </a:ln>
          <a:effectLst/>
        </c:spPr>
        <c:marker>
          <c:symbol val="none"/>
        </c:marker>
      </c:pivotFmt>
      <c:pivotFmt>
        <c:idx val="266"/>
        <c:spPr>
          <a:solidFill>
            <a:schemeClr val="accent1"/>
          </a:solidFill>
          <a:ln>
            <a:noFill/>
          </a:ln>
          <a:effectLst/>
        </c:spPr>
        <c:marker>
          <c:symbol val="none"/>
        </c:marker>
      </c:pivotFmt>
      <c:pivotFmt>
        <c:idx val="267"/>
        <c:spPr>
          <a:solidFill>
            <a:schemeClr val="accent1"/>
          </a:solidFill>
          <a:ln>
            <a:noFill/>
          </a:ln>
          <a:effectLst/>
        </c:spPr>
        <c:marker>
          <c:symbol val="none"/>
        </c:marker>
      </c:pivotFmt>
      <c:pivotFmt>
        <c:idx val="268"/>
        <c:spPr>
          <a:solidFill>
            <a:schemeClr val="accent1"/>
          </a:solidFill>
          <a:ln>
            <a:noFill/>
          </a:ln>
          <a:effectLst/>
        </c:spPr>
        <c:marker>
          <c:symbol val="none"/>
        </c:marker>
      </c:pivotFmt>
      <c:pivotFmt>
        <c:idx val="269"/>
        <c:spPr>
          <a:solidFill>
            <a:schemeClr val="accent1"/>
          </a:solidFill>
          <a:ln>
            <a:noFill/>
          </a:ln>
          <a:effectLst/>
        </c:spPr>
        <c:marker>
          <c:symbol val="none"/>
        </c:marker>
      </c:pivotFmt>
      <c:pivotFmt>
        <c:idx val="270"/>
        <c:spPr>
          <a:solidFill>
            <a:schemeClr val="accent1"/>
          </a:solidFill>
          <a:ln>
            <a:noFill/>
          </a:ln>
          <a:effectLst/>
        </c:spPr>
        <c:marker>
          <c:symbol val="none"/>
        </c:marker>
      </c:pivotFmt>
      <c:pivotFmt>
        <c:idx val="271"/>
        <c:spPr>
          <a:solidFill>
            <a:schemeClr val="accent1"/>
          </a:solidFill>
          <a:ln>
            <a:noFill/>
          </a:ln>
          <a:effectLst/>
        </c:spPr>
        <c:marker>
          <c:symbol val="none"/>
        </c:marker>
      </c:pivotFmt>
      <c:pivotFmt>
        <c:idx val="272"/>
        <c:spPr>
          <a:solidFill>
            <a:schemeClr val="accent1"/>
          </a:solidFill>
          <a:ln>
            <a:noFill/>
          </a:ln>
          <a:effectLst/>
        </c:spPr>
        <c:marker>
          <c:symbol val="none"/>
        </c:marker>
      </c:pivotFmt>
      <c:pivotFmt>
        <c:idx val="273"/>
        <c:spPr>
          <a:solidFill>
            <a:schemeClr val="accent1"/>
          </a:solidFill>
          <a:ln>
            <a:noFill/>
          </a:ln>
          <a:effectLst/>
        </c:spPr>
        <c:marker>
          <c:symbol val="none"/>
        </c:marker>
      </c:pivotFmt>
      <c:pivotFmt>
        <c:idx val="274"/>
        <c:spPr>
          <a:solidFill>
            <a:schemeClr val="accent1"/>
          </a:solidFill>
          <a:ln>
            <a:noFill/>
          </a:ln>
          <a:effectLst/>
        </c:spPr>
        <c:marker>
          <c:symbol val="none"/>
        </c:marker>
      </c:pivotFmt>
      <c:pivotFmt>
        <c:idx val="275"/>
        <c:spPr>
          <a:solidFill>
            <a:schemeClr val="accent1"/>
          </a:solidFill>
          <a:ln>
            <a:noFill/>
          </a:ln>
          <a:effectLst/>
        </c:spPr>
        <c:marker>
          <c:symbol val="none"/>
        </c:marker>
      </c:pivotFmt>
      <c:pivotFmt>
        <c:idx val="276"/>
        <c:spPr>
          <a:solidFill>
            <a:schemeClr val="accent1"/>
          </a:solidFill>
          <a:ln>
            <a:noFill/>
          </a:ln>
          <a:effectLst/>
        </c:spPr>
        <c:marker>
          <c:symbol val="none"/>
        </c:marker>
      </c:pivotFmt>
      <c:pivotFmt>
        <c:idx val="277"/>
        <c:spPr>
          <a:solidFill>
            <a:schemeClr val="accent1"/>
          </a:solidFill>
          <a:ln>
            <a:noFill/>
          </a:ln>
          <a:effectLst/>
        </c:spPr>
        <c:marker>
          <c:symbol val="none"/>
        </c:marker>
      </c:pivotFmt>
      <c:pivotFmt>
        <c:idx val="278"/>
        <c:spPr>
          <a:solidFill>
            <a:schemeClr val="accent1"/>
          </a:solidFill>
          <a:ln>
            <a:noFill/>
          </a:ln>
          <a:effectLst/>
        </c:spPr>
        <c:marker>
          <c:symbol val="none"/>
        </c:marker>
      </c:pivotFmt>
      <c:pivotFmt>
        <c:idx val="279"/>
        <c:spPr>
          <a:solidFill>
            <a:schemeClr val="accent1"/>
          </a:solidFill>
          <a:ln>
            <a:noFill/>
          </a:ln>
          <a:effectLst/>
        </c:spPr>
        <c:marker>
          <c:symbol val="none"/>
        </c:marker>
      </c:pivotFmt>
      <c:pivotFmt>
        <c:idx val="280"/>
        <c:spPr>
          <a:solidFill>
            <a:schemeClr val="accent1"/>
          </a:solidFill>
          <a:ln>
            <a:noFill/>
          </a:ln>
          <a:effectLst/>
        </c:spPr>
        <c:marker>
          <c:symbol val="none"/>
        </c:marker>
      </c:pivotFmt>
      <c:pivotFmt>
        <c:idx val="281"/>
        <c:spPr>
          <a:solidFill>
            <a:schemeClr val="accent1"/>
          </a:solidFill>
          <a:ln>
            <a:noFill/>
          </a:ln>
          <a:effectLst/>
        </c:spPr>
        <c:marker>
          <c:symbol val="none"/>
        </c:marker>
      </c:pivotFmt>
      <c:pivotFmt>
        <c:idx val="282"/>
        <c:spPr>
          <a:solidFill>
            <a:schemeClr val="accent1"/>
          </a:solidFill>
          <a:ln>
            <a:noFill/>
          </a:ln>
          <a:effectLst/>
        </c:spPr>
        <c:marker>
          <c:symbol val="none"/>
        </c:marker>
      </c:pivotFmt>
      <c:pivotFmt>
        <c:idx val="283"/>
        <c:spPr>
          <a:solidFill>
            <a:schemeClr val="accent1"/>
          </a:solidFill>
          <a:ln>
            <a:noFill/>
          </a:ln>
          <a:effectLst/>
        </c:spPr>
        <c:marker>
          <c:symbol val="none"/>
        </c:marker>
      </c:pivotFmt>
      <c:pivotFmt>
        <c:idx val="284"/>
        <c:spPr>
          <a:solidFill>
            <a:schemeClr val="accent1"/>
          </a:solidFill>
          <a:ln>
            <a:noFill/>
          </a:ln>
          <a:effectLst/>
        </c:spPr>
        <c:marker>
          <c:symbol val="none"/>
        </c:marker>
      </c:pivotFmt>
      <c:pivotFmt>
        <c:idx val="285"/>
        <c:spPr>
          <a:solidFill>
            <a:schemeClr val="accent1"/>
          </a:solidFill>
          <a:ln>
            <a:noFill/>
          </a:ln>
          <a:effectLst/>
        </c:spPr>
        <c:marker>
          <c:symbol val="none"/>
        </c:marker>
      </c:pivotFmt>
    </c:pivotFmts>
    <c:plotArea>
      <c:layout>
        <c:manualLayout>
          <c:layoutTarget val="inner"/>
          <c:xMode val="edge"/>
          <c:yMode val="edge"/>
          <c:x val="7.4310595065312054E-2"/>
          <c:y val="7.1895424836601302E-2"/>
          <c:w val="0.62882222060078818"/>
          <c:h val="0.7830654013752204"/>
        </c:manualLayout>
      </c:layout>
      <c:barChart>
        <c:barDir val="bar"/>
        <c:grouping val="percentStacked"/>
        <c:varyColors val="0"/>
        <c:ser>
          <c:idx val="0"/>
          <c:order val="0"/>
          <c:tx>
            <c:strRef>
              <c:f>Sheet2!$B$4:$B$5</c:f>
              <c:strCache>
                <c:ptCount val="1"/>
                <c:pt idx="0">
                  <c:v>GP</c:v>
                </c:pt>
              </c:strCache>
            </c:strRef>
          </c:tx>
          <c:spPr>
            <a:solidFill>
              <a:schemeClr val="accent1"/>
            </a:solidFill>
            <a:ln>
              <a:noFill/>
            </a:ln>
            <a:effectLst/>
          </c:spPr>
          <c:invertIfNegative val="0"/>
          <c:cat>
            <c:strRef>
              <c:f>Sheet2!$A$6:$A$10</c:f>
              <c:strCache>
                <c:ptCount val="4"/>
                <c:pt idx="0">
                  <c:v>2015</c:v>
                </c:pt>
                <c:pt idx="1">
                  <c:v>2016</c:v>
                </c:pt>
                <c:pt idx="2">
                  <c:v>2017</c:v>
                </c:pt>
                <c:pt idx="3">
                  <c:v>2018</c:v>
                </c:pt>
              </c:strCache>
            </c:strRef>
          </c:cat>
          <c:val>
            <c:numRef>
              <c:f>Sheet2!$B$6:$B$10</c:f>
              <c:numCache>
                <c:formatCode>General</c:formatCode>
                <c:ptCount val="4"/>
                <c:pt idx="0">
                  <c:v>3249</c:v>
                </c:pt>
                <c:pt idx="1">
                  <c:v>1434</c:v>
                </c:pt>
                <c:pt idx="2">
                  <c:v>1387</c:v>
                </c:pt>
                <c:pt idx="3">
                  <c:v>1388</c:v>
                </c:pt>
              </c:numCache>
            </c:numRef>
          </c:val>
          <c:extLst>
            <c:ext xmlns:c16="http://schemas.microsoft.com/office/drawing/2014/chart" uri="{C3380CC4-5D6E-409C-BE32-E72D297353CC}">
              <c16:uniqueId val="{00000000-2816-40E2-B6AE-1FD560DD481E}"/>
            </c:ext>
          </c:extLst>
        </c:ser>
        <c:ser>
          <c:idx val="1"/>
          <c:order val="1"/>
          <c:tx>
            <c:strRef>
              <c:f>Sheet2!$C$4:$C$5</c:f>
              <c:strCache>
                <c:ptCount val="1"/>
                <c:pt idx="0">
                  <c:v>Endocrinology</c:v>
                </c:pt>
              </c:strCache>
            </c:strRef>
          </c:tx>
          <c:spPr>
            <a:solidFill>
              <a:schemeClr val="accent2"/>
            </a:solidFill>
            <a:ln>
              <a:noFill/>
            </a:ln>
            <a:effectLst/>
          </c:spPr>
          <c:invertIfNegative val="0"/>
          <c:cat>
            <c:strRef>
              <c:f>Sheet2!$A$6:$A$10</c:f>
              <c:strCache>
                <c:ptCount val="4"/>
                <c:pt idx="0">
                  <c:v>2015</c:v>
                </c:pt>
                <c:pt idx="1">
                  <c:v>2016</c:v>
                </c:pt>
                <c:pt idx="2">
                  <c:v>2017</c:v>
                </c:pt>
                <c:pt idx="3">
                  <c:v>2018</c:v>
                </c:pt>
              </c:strCache>
            </c:strRef>
          </c:cat>
          <c:val>
            <c:numRef>
              <c:f>Sheet2!$C$6:$C$10</c:f>
              <c:numCache>
                <c:formatCode>General</c:formatCode>
                <c:ptCount val="4"/>
                <c:pt idx="0">
                  <c:v>1248</c:v>
                </c:pt>
                <c:pt idx="1">
                  <c:v>1692</c:v>
                </c:pt>
                <c:pt idx="2">
                  <c:v>1607</c:v>
                </c:pt>
                <c:pt idx="3">
                  <c:v>1623</c:v>
                </c:pt>
              </c:numCache>
            </c:numRef>
          </c:val>
          <c:extLst>
            <c:ext xmlns:c16="http://schemas.microsoft.com/office/drawing/2014/chart" uri="{C3380CC4-5D6E-409C-BE32-E72D297353CC}">
              <c16:uniqueId val="{00000001-2816-40E2-B6AE-1FD560DD481E}"/>
            </c:ext>
          </c:extLst>
        </c:ser>
        <c:ser>
          <c:idx val="2"/>
          <c:order val="2"/>
          <c:tx>
            <c:strRef>
              <c:f>Sheet2!$D$4:$D$5</c:f>
              <c:strCache>
                <c:ptCount val="1"/>
                <c:pt idx="0">
                  <c:v>Internal Medicine</c:v>
                </c:pt>
              </c:strCache>
            </c:strRef>
          </c:tx>
          <c:spPr>
            <a:solidFill>
              <a:schemeClr val="accent3"/>
            </a:solidFill>
            <a:ln>
              <a:noFill/>
            </a:ln>
            <a:effectLst/>
          </c:spPr>
          <c:invertIfNegative val="0"/>
          <c:cat>
            <c:strRef>
              <c:f>Sheet2!$A$6:$A$10</c:f>
              <c:strCache>
                <c:ptCount val="4"/>
                <c:pt idx="0">
                  <c:v>2015</c:v>
                </c:pt>
                <c:pt idx="1">
                  <c:v>2016</c:v>
                </c:pt>
                <c:pt idx="2">
                  <c:v>2017</c:v>
                </c:pt>
                <c:pt idx="3">
                  <c:v>2018</c:v>
                </c:pt>
              </c:strCache>
            </c:strRef>
          </c:cat>
          <c:val>
            <c:numRef>
              <c:f>Sheet2!$D$6:$D$10</c:f>
              <c:numCache>
                <c:formatCode>General</c:formatCode>
                <c:ptCount val="4"/>
                <c:pt idx="0">
                  <c:v>333</c:v>
                </c:pt>
                <c:pt idx="1">
                  <c:v>462</c:v>
                </c:pt>
                <c:pt idx="2">
                  <c:v>406</c:v>
                </c:pt>
                <c:pt idx="3">
                  <c:v>331</c:v>
                </c:pt>
              </c:numCache>
            </c:numRef>
          </c:val>
          <c:extLst>
            <c:ext xmlns:c16="http://schemas.microsoft.com/office/drawing/2014/chart" uri="{C3380CC4-5D6E-409C-BE32-E72D297353CC}">
              <c16:uniqueId val="{00000002-2816-40E2-B6AE-1FD560DD481E}"/>
            </c:ext>
          </c:extLst>
        </c:ser>
        <c:ser>
          <c:idx val="3"/>
          <c:order val="3"/>
          <c:tx>
            <c:strRef>
              <c:f>Sheet2!$E$4:$E$5</c:f>
              <c:strCache>
                <c:ptCount val="1"/>
                <c:pt idx="0">
                  <c:v>Surgery</c:v>
                </c:pt>
              </c:strCache>
            </c:strRef>
          </c:tx>
          <c:spPr>
            <a:solidFill>
              <a:schemeClr val="accent4"/>
            </a:solidFill>
            <a:ln>
              <a:noFill/>
            </a:ln>
            <a:effectLst/>
          </c:spPr>
          <c:invertIfNegative val="0"/>
          <c:cat>
            <c:strRef>
              <c:f>Sheet2!$A$6:$A$10</c:f>
              <c:strCache>
                <c:ptCount val="4"/>
                <c:pt idx="0">
                  <c:v>2015</c:v>
                </c:pt>
                <c:pt idx="1">
                  <c:v>2016</c:v>
                </c:pt>
                <c:pt idx="2">
                  <c:v>2017</c:v>
                </c:pt>
                <c:pt idx="3">
                  <c:v>2018</c:v>
                </c:pt>
              </c:strCache>
            </c:strRef>
          </c:cat>
          <c:val>
            <c:numRef>
              <c:f>Sheet2!$E$6:$E$10</c:f>
              <c:numCache>
                <c:formatCode>General</c:formatCode>
                <c:ptCount val="4"/>
                <c:pt idx="0">
                  <c:v>308</c:v>
                </c:pt>
                <c:pt idx="1">
                  <c:v>458</c:v>
                </c:pt>
                <c:pt idx="2">
                  <c:v>416</c:v>
                </c:pt>
                <c:pt idx="3">
                  <c:v>326</c:v>
                </c:pt>
              </c:numCache>
            </c:numRef>
          </c:val>
          <c:extLst>
            <c:ext xmlns:c16="http://schemas.microsoft.com/office/drawing/2014/chart" uri="{C3380CC4-5D6E-409C-BE32-E72D297353CC}">
              <c16:uniqueId val="{00000003-2816-40E2-B6AE-1FD560DD481E}"/>
            </c:ext>
          </c:extLst>
        </c:ser>
        <c:ser>
          <c:idx val="4"/>
          <c:order val="4"/>
          <c:tx>
            <c:strRef>
              <c:f>Sheet2!$F$4:$F$5</c:f>
              <c:strCache>
                <c:ptCount val="1"/>
                <c:pt idx="0">
                  <c:v>Other specialty</c:v>
                </c:pt>
              </c:strCache>
            </c:strRef>
          </c:tx>
          <c:spPr>
            <a:solidFill>
              <a:schemeClr val="accent5"/>
            </a:solidFill>
            <a:ln>
              <a:noFill/>
            </a:ln>
            <a:effectLst/>
          </c:spPr>
          <c:invertIfNegative val="0"/>
          <c:cat>
            <c:strRef>
              <c:f>Sheet2!$A$6:$A$10</c:f>
              <c:strCache>
                <c:ptCount val="4"/>
                <c:pt idx="0">
                  <c:v>2015</c:v>
                </c:pt>
                <c:pt idx="1">
                  <c:v>2016</c:v>
                </c:pt>
                <c:pt idx="2">
                  <c:v>2017</c:v>
                </c:pt>
                <c:pt idx="3">
                  <c:v>2018</c:v>
                </c:pt>
              </c:strCache>
            </c:strRef>
          </c:cat>
          <c:val>
            <c:numRef>
              <c:f>Sheet2!$F$6:$F$10</c:f>
              <c:numCache>
                <c:formatCode>General</c:formatCode>
                <c:ptCount val="4"/>
                <c:pt idx="0">
                  <c:v>274</c:v>
                </c:pt>
                <c:pt idx="1">
                  <c:v>255</c:v>
                </c:pt>
                <c:pt idx="2">
                  <c:v>256</c:v>
                </c:pt>
                <c:pt idx="3">
                  <c:v>134</c:v>
                </c:pt>
              </c:numCache>
            </c:numRef>
          </c:val>
          <c:extLst>
            <c:ext xmlns:c16="http://schemas.microsoft.com/office/drawing/2014/chart" uri="{C3380CC4-5D6E-409C-BE32-E72D297353CC}">
              <c16:uniqueId val="{00000004-2816-40E2-B6AE-1FD560DD481E}"/>
            </c:ext>
          </c:extLst>
        </c:ser>
        <c:ser>
          <c:idx val="5"/>
          <c:order val="5"/>
          <c:tx>
            <c:strRef>
              <c:f>Sheet2!$G$4:$G$5</c:f>
              <c:strCache>
                <c:ptCount val="1"/>
                <c:pt idx="0">
                  <c:v>Sexual Health Medicine</c:v>
                </c:pt>
              </c:strCache>
            </c:strRef>
          </c:tx>
          <c:spPr>
            <a:solidFill>
              <a:schemeClr val="accent6"/>
            </a:solidFill>
            <a:ln>
              <a:noFill/>
            </a:ln>
            <a:effectLst/>
          </c:spPr>
          <c:invertIfNegative val="0"/>
          <c:cat>
            <c:strRef>
              <c:f>Sheet2!$A$6:$A$10</c:f>
              <c:strCache>
                <c:ptCount val="4"/>
                <c:pt idx="0">
                  <c:v>2015</c:v>
                </c:pt>
                <c:pt idx="1">
                  <c:v>2016</c:v>
                </c:pt>
                <c:pt idx="2">
                  <c:v>2017</c:v>
                </c:pt>
                <c:pt idx="3">
                  <c:v>2018</c:v>
                </c:pt>
              </c:strCache>
            </c:strRef>
          </c:cat>
          <c:val>
            <c:numRef>
              <c:f>Sheet2!$G$6:$G$10</c:f>
              <c:numCache>
                <c:formatCode>General</c:formatCode>
                <c:ptCount val="4"/>
                <c:pt idx="0">
                  <c:v>39</c:v>
                </c:pt>
                <c:pt idx="1">
                  <c:v>74</c:v>
                </c:pt>
                <c:pt idx="2">
                  <c:v>154</c:v>
                </c:pt>
                <c:pt idx="3">
                  <c:v>301</c:v>
                </c:pt>
              </c:numCache>
            </c:numRef>
          </c:val>
          <c:extLst>
            <c:ext xmlns:c16="http://schemas.microsoft.com/office/drawing/2014/chart" uri="{C3380CC4-5D6E-409C-BE32-E72D297353CC}">
              <c16:uniqueId val="{00000005-2816-40E2-B6AE-1FD560DD481E}"/>
            </c:ext>
          </c:extLst>
        </c:ser>
        <c:ser>
          <c:idx val="6"/>
          <c:order val="6"/>
          <c:tx>
            <c:strRef>
              <c:f>Sheet2!$H$4:$H$5</c:f>
              <c:strCache>
                <c:ptCount val="1"/>
                <c:pt idx="0">
                  <c:v>Paediatric Medicine</c:v>
                </c:pt>
              </c:strCache>
            </c:strRef>
          </c:tx>
          <c:spPr>
            <a:solidFill>
              <a:schemeClr val="accent1">
                <a:lumMod val="60000"/>
              </a:schemeClr>
            </a:solidFill>
            <a:ln>
              <a:noFill/>
            </a:ln>
            <a:effectLst/>
          </c:spPr>
          <c:invertIfNegative val="0"/>
          <c:cat>
            <c:strRef>
              <c:f>Sheet2!$A$6:$A$10</c:f>
              <c:strCache>
                <c:ptCount val="4"/>
                <c:pt idx="0">
                  <c:v>2015</c:v>
                </c:pt>
                <c:pt idx="1">
                  <c:v>2016</c:v>
                </c:pt>
                <c:pt idx="2">
                  <c:v>2017</c:v>
                </c:pt>
                <c:pt idx="3">
                  <c:v>2018</c:v>
                </c:pt>
              </c:strCache>
            </c:strRef>
          </c:cat>
          <c:val>
            <c:numRef>
              <c:f>Sheet2!$H$6:$H$10</c:f>
              <c:numCache>
                <c:formatCode>General</c:formatCode>
                <c:ptCount val="4"/>
                <c:pt idx="0">
                  <c:v>136</c:v>
                </c:pt>
                <c:pt idx="1">
                  <c:v>116</c:v>
                </c:pt>
                <c:pt idx="2">
                  <c:v>167</c:v>
                </c:pt>
                <c:pt idx="3">
                  <c:v>139</c:v>
                </c:pt>
              </c:numCache>
            </c:numRef>
          </c:val>
          <c:extLst>
            <c:ext xmlns:c16="http://schemas.microsoft.com/office/drawing/2014/chart" uri="{C3380CC4-5D6E-409C-BE32-E72D297353CC}">
              <c16:uniqueId val="{00000006-2816-40E2-B6AE-1FD560DD481E}"/>
            </c:ext>
          </c:extLst>
        </c:ser>
        <c:ser>
          <c:idx val="7"/>
          <c:order val="7"/>
          <c:tx>
            <c:strRef>
              <c:f>Sheet2!$I$4:$I$5</c:f>
              <c:strCache>
                <c:ptCount val="1"/>
                <c:pt idx="0">
                  <c:v>Unknown</c:v>
                </c:pt>
              </c:strCache>
            </c:strRef>
          </c:tx>
          <c:spPr>
            <a:solidFill>
              <a:schemeClr val="accent2">
                <a:lumMod val="60000"/>
              </a:schemeClr>
            </a:solidFill>
            <a:ln>
              <a:noFill/>
            </a:ln>
            <a:effectLst/>
          </c:spPr>
          <c:invertIfNegative val="0"/>
          <c:cat>
            <c:strRef>
              <c:f>Sheet2!$A$6:$A$10</c:f>
              <c:strCache>
                <c:ptCount val="4"/>
                <c:pt idx="0">
                  <c:v>2015</c:v>
                </c:pt>
                <c:pt idx="1">
                  <c:v>2016</c:v>
                </c:pt>
                <c:pt idx="2">
                  <c:v>2017</c:v>
                </c:pt>
                <c:pt idx="3">
                  <c:v>2018</c:v>
                </c:pt>
              </c:strCache>
            </c:strRef>
          </c:cat>
          <c:val>
            <c:numRef>
              <c:f>Sheet2!$I$6:$I$10</c:f>
              <c:numCache>
                <c:formatCode>General</c:formatCode>
                <c:ptCount val="4"/>
                <c:pt idx="0">
                  <c:v>1</c:v>
                </c:pt>
                <c:pt idx="1">
                  <c:v>10</c:v>
                </c:pt>
                <c:pt idx="2">
                  <c:v>22</c:v>
                </c:pt>
                <c:pt idx="3">
                  <c:v>34</c:v>
                </c:pt>
              </c:numCache>
            </c:numRef>
          </c:val>
          <c:extLst>
            <c:ext xmlns:c16="http://schemas.microsoft.com/office/drawing/2014/chart" uri="{C3380CC4-5D6E-409C-BE32-E72D297353CC}">
              <c16:uniqueId val="{00000007-2816-40E2-B6AE-1FD560DD481E}"/>
            </c:ext>
          </c:extLst>
        </c:ser>
        <c:dLbls>
          <c:showLegendKey val="0"/>
          <c:showVal val="0"/>
          <c:showCatName val="0"/>
          <c:showSerName val="0"/>
          <c:showPercent val="0"/>
          <c:showBubbleSize val="0"/>
        </c:dLbls>
        <c:gapWidth val="219"/>
        <c:overlap val="100"/>
        <c:axId val="577859080"/>
        <c:axId val="577859408"/>
      </c:barChart>
      <c:catAx>
        <c:axId val="577859080"/>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859408"/>
        <c:crosses val="autoZero"/>
        <c:auto val="1"/>
        <c:lblAlgn val="ctr"/>
        <c:lblOffset val="100"/>
        <c:noMultiLvlLbl val="0"/>
      </c:catAx>
      <c:valAx>
        <c:axId val="57785940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859080"/>
        <c:crosses val="autoZero"/>
        <c:crossBetween val="between"/>
      </c:valAx>
      <c:spPr>
        <a:noFill/>
        <a:ln>
          <a:noFill/>
        </a:ln>
        <a:effectLst/>
      </c:spPr>
    </c:plotArea>
    <c:legend>
      <c:legendPos val="r"/>
      <c:layout>
        <c:manualLayout>
          <c:xMode val="edge"/>
          <c:yMode val="edge"/>
          <c:x val="0.75788522415495208"/>
          <c:y val="5.1198684654460452E-2"/>
          <c:w val="0.23407443612922282"/>
          <c:h val="0.8748908425123467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068AD-7C56-4418-BEE6-658D11F6D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6267</Words>
  <Characters>35724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Medicines Australia</Company>
  <LinksUpToDate>false</LinksUpToDate>
  <CharactersWithSpaces>41908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Shahid</dc:creator>
  <cp:lastModifiedBy>Morrison, Olivia</cp:lastModifiedBy>
  <cp:revision>6</cp:revision>
  <cp:lastPrinted>2020-06-30T04:47:00Z</cp:lastPrinted>
  <dcterms:created xsi:type="dcterms:W3CDTF">2020-05-15T05:59:00Z</dcterms:created>
  <dcterms:modified xsi:type="dcterms:W3CDTF">2020-06-30T07:11:00Z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