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F3" w:rsidRPr="005A3F4B" w:rsidRDefault="00B131F3" w:rsidP="00B131F3">
      <w:pPr>
        <w:pStyle w:val="Title2"/>
        <w:rPr>
          <w:sz w:val="52"/>
          <w:szCs w:val="52"/>
        </w:rPr>
      </w:pPr>
      <w:r>
        <w:rPr>
          <w:sz w:val="52"/>
          <w:szCs w:val="52"/>
        </w:rPr>
        <w:t>N</w:t>
      </w:r>
      <w:r w:rsidRPr="00B131F3">
        <w:rPr>
          <w:sz w:val="52"/>
          <w:szCs w:val="52"/>
        </w:rPr>
        <w:t>ivolumab for the treatment of renal cell carcinoma</w:t>
      </w:r>
      <w:r w:rsidRPr="005A3F4B">
        <w:rPr>
          <w:sz w:val="52"/>
          <w:szCs w:val="52"/>
        </w:rPr>
        <w:t>: 24 month predicted versus actual analysis</w:t>
      </w:r>
    </w:p>
    <w:p w:rsidR="00B131F3" w:rsidRDefault="00B131F3" w:rsidP="00B131F3">
      <w:pPr>
        <w:pStyle w:val="Title2"/>
      </w:pPr>
      <w:r>
        <w:t>D</w:t>
      </w:r>
      <w:r w:rsidRPr="0063631C">
        <w:t xml:space="preserve">rug utilisation sub-committee </w:t>
      </w:r>
      <w:r>
        <w:t>(DUSC)</w:t>
      </w:r>
    </w:p>
    <w:p w:rsidR="00B131F3" w:rsidRPr="00F73113" w:rsidRDefault="00B131F3" w:rsidP="00B131F3">
      <w:pPr>
        <w:pStyle w:val="Meetingdate"/>
      </w:pPr>
      <w:bookmarkStart w:id="0" w:name="_GoBack"/>
      <w:r>
        <w:t>June 2020</w:t>
      </w:r>
    </w:p>
    <w:bookmarkEnd w:id="0"/>
    <w:p w:rsidR="005C6661" w:rsidRPr="00CF5E22" w:rsidRDefault="005C6661" w:rsidP="00CF5E22">
      <w:pPr>
        <w:pStyle w:val="Heading2"/>
      </w:pPr>
      <w:r w:rsidRPr="00CF5E22">
        <w:t>Abstract</w:t>
      </w:r>
    </w:p>
    <w:p w:rsidR="005C6661" w:rsidRPr="00CF5E22" w:rsidRDefault="005C6661" w:rsidP="00CF5E22">
      <w:pPr>
        <w:pStyle w:val="Heading3"/>
      </w:pPr>
      <w:r w:rsidRPr="00CF5E22">
        <w:t>Purpose</w:t>
      </w:r>
    </w:p>
    <w:p w:rsidR="00B131F3" w:rsidRDefault="00B131F3" w:rsidP="00B131F3">
      <w:r>
        <w:t xml:space="preserve">To compare the predicted and actual utilisation of nivolumab </w:t>
      </w:r>
      <w:r w:rsidRPr="00D81B0F">
        <w:t xml:space="preserve">for </w:t>
      </w:r>
      <w:r w:rsidRPr="000966C5">
        <w:t>the</w:t>
      </w:r>
      <w:r w:rsidRPr="00D81B0F">
        <w:t xml:space="preserve"> </w:t>
      </w:r>
      <w:r w:rsidR="00D00A9C">
        <w:t>second</w:t>
      </w:r>
      <w:r>
        <w:t xml:space="preserve"> line </w:t>
      </w:r>
      <w:r w:rsidRPr="00D81B0F">
        <w:t xml:space="preserve">treatment of </w:t>
      </w:r>
      <w:r>
        <w:t xml:space="preserve">renal cell carcinoma (RCC) </w:t>
      </w:r>
      <w:r w:rsidRPr="00DC2EF1">
        <w:t>i</w:t>
      </w:r>
      <w:r>
        <w:t xml:space="preserve">n the </w:t>
      </w:r>
      <w:r w:rsidR="00B0578E">
        <w:t>first</w:t>
      </w:r>
      <w:r>
        <w:t xml:space="preserve"> 24 months of Pharmaceutical Benefits Scheme (PBS) listing. </w:t>
      </w:r>
    </w:p>
    <w:p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rsidR="00B131F3" w:rsidRDefault="00B131F3" w:rsidP="00B131F3">
      <w:pPr>
        <w:rPr>
          <w:rFonts w:cstheme="minorHAnsi"/>
          <w:szCs w:val="20"/>
        </w:rPr>
      </w:pPr>
      <w:r>
        <w:t xml:space="preserve">Nivolumab </w:t>
      </w:r>
      <w:r w:rsidRPr="00C513C0">
        <w:rPr>
          <w:rFonts w:cstheme="minorHAnsi"/>
          <w:szCs w:val="20"/>
        </w:rPr>
        <w:t xml:space="preserve">was PBS listed </w:t>
      </w:r>
      <w:r>
        <w:rPr>
          <w:rFonts w:cstheme="minorHAnsi"/>
          <w:szCs w:val="20"/>
        </w:rPr>
        <w:t xml:space="preserve">on 1 August 2017 </w:t>
      </w:r>
      <w:r w:rsidRPr="00C513C0">
        <w:rPr>
          <w:rFonts w:cstheme="minorHAnsi"/>
          <w:szCs w:val="20"/>
        </w:rPr>
        <w:t>for</w:t>
      </w:r>
      <w:r>
        <w:rPr>
          <w:rFonts w:cstheme="minorHAnsi"/>
          <w:szCs w:val="20"/>
        </w:rPr>
        <w:t xml:space="preserve"> </w:t>
      </w:r>
      <w:r w:rsidR="0038176C" w:rsidRPr="008568B9">
        <w:rPr>
          <w:rFonts w:cstheme="minorHAnsi"/>
          <w:szCs w:val="20"/>
        </w:rPr>
        <w:t>the</w:t>
      </w:r>
      <w:r w:rsidR="0038176C">
        <w:rPr>
          <w:rFonts w:cstheme="minorHAnsi"/>
          <w:szCs w:val="20"/>
        </w:rPr>
        <w:t xml:space="preserve"> </w:t>
      </w:r>
      <w:r w:rsidR="009A3EB4">
        <w:rPr>
          <w:rFonts w:cstheme="minorHAnsi"/>
          <w:szCs w:val="20"/>
        </w:rPr>
        <w:t>2nd</w:t>
      </w:r>
      <w:r w:rsidR="0038176C">
        <w:rPr>
          <w:rFonts w:cstheme="minorHAnsi"/>
          <w:szCs w:val="20"/>
        </w:rPr>
        <w:t xml:space="preserve"> line treatment of </w:t>
      </w:r>
      <w:r w:rsidRPr="00FB5DD3">
        <w:rPr>
          <w:rFonts w:cstheme="minorHAnsi"/>
          <w:szCs w:val="20"/>
        </w:rPr>
        <w:t>Stage IV clear cell va</w:t>
      </w:r>
      <w:r>
        <w:rPr>
          <w:rFonts w:cstheme="minorHAnsi"/>
          <w:szCs w:val="20"/>
        </w:rPr>
        <w:t xml:space="preserve">riant renal cell carcinoma. </w:t>
      </w:r>
    </w:p>
    <w:p w:rsidR="005C6661" w:rsidRDefault="005C6661" w:rsidP="00CF5E22">
      <w:pPr>
        <w:pStyle w:val="Heading3"/>
      </w:pPr>
      <w:r>
        <w:t>Data Source / methodology</w:t>
      </w:r>
    </w:p>
    <w:p w:rsidR="00FE1883" w:rsidRPr="00624F34" w:rsidRDefault="00FE1883" w:rsidP="00FE1883">
      <w:pPr>
        <w:pStyle w:val="NoSpacing"/>
        <w:rPr>
          <w:highlight w:val="yellow"/>
        </w:rPr>
      </w:pPr>
      <w:r w:rsidRPr="00AE2AFB">
        <w:rPr>
          <w:rFonts w:cstheme="minorHAnsi"/>
        </w:rPr>
        <w:t>Data were</w:t>
      </w:r>
      <w:r w:rsidRPr="005605A6">
        <w:rPr>
          <w:rFonts w:cstheme="minorHAnsi"/>
        </w:rPr>
        <w:t xml:space="preserve"> extracted from the </w:t>
      </w:r>
      <w:r>
        <w:rPr>
          <w:rFonts w:cstheme="minorHAnsi"/>
        </w:rPr>
        <w:t xml:space="preserve">Services Australia Supplied Prescription </w:t>
      </w:r>
      <w:r w:rsidRPr="00917115">
        <w:rPr>
          <w:rFonts w:cstheme="minorHAnsi"/>
        </w:rPr>
        <w:t xml:space="preserve">database </w:t>
      </w:r>
      <w:r w:rsidR="00C131FA">
        <w:rPr>
          <w:rFonts w:cstheme="minorHAnsi"/>
        </w:rPr>
        <w:t>for all PBS items that have an RCC restriction. The Services Australia Authority Approvals database was used to determine the treatment indication when the PBS item code was not indication specific.</w:t>
      </w:r>
    </w:p>
    <w:p w:rsidR="005C6661" w:rsidRDefault="005C6661" w:rsidP="00CF5E22">
      <w:pPr>
        <w:pStyle w:val="Heading3"/>
      </w:pPr>
      <w:r>
        <w:t>Key Findings</w:t>
      </w:r>
    </w:p>
    <w:p w:rsidR="00E9720F" w:rsidRPr="004401DC" w:rsidRDefault="00B0578E" w:rsidP="00E9720F">
      <w:pPr>
        <w:pStyle w:val="NoSpacing"/>
        <w:numPr>
          <w:ilvl w:val="0"/>
          <w:numId w:val="30"/>
        </w:numPr>
        <w:spacing w:line="276" w:lineRule="auto"/>
        <w:ind w:left="360"/>
        <w:rPr>
          <w:rFonts w:eastAsiaTheme="majorEastAsia" w:cstheme="majorBidi"/>
          <w:bCs/>
          <w:szCs w:val="26"/>
        </w:rPr>
      </w:pPr>
      <w:r>
        <w:rPr>
          <w:rFonts w:eastAsiaTheme="majorEastAsia" w:cstheme="majorBidi"/>
          <w:bCs/>
          <w:szCs w:val="26"/>
        </w:rPr>
        <w:t>Second</w:t>
      </w:r>
      <w:r w:rsidR="00E9720F" w:rsidRPr="004401DC">
        <w:rPr>
          <w:rFonts w:eastAsiaTheme="majorEastAsia" w:cstheme="majorBidi"/>
          <w:bCs/>
          <w:szCs w:val="26"/>
        </w:rPr>
        <w:t xml:space="preserve"> line nivolumab is the most common PBS treatment for RCC. </w:t>
      </w:r>
      <w:r w:rsidR="00E9720F">
        <w:rPr>
          <w:rFonts w:eastAsiaTheme="majorEastAsia" w:cstheme="majorBidi"/>
          <w:bCs/>
          <w:szCs w:val="26"/>
        </w:rPr>
        <w:t>In</w:t>
      </w:r>
      <w:r w:rsidR="00E9720F" w:rsidRPr="004401DC">
        <w:rPr>
          <w:rFonts w:eastAsiaTheme="majorEastAsia" w:cstheme="majorBidi"/>
          <w:bCs/>
          <w:szCs w:val="26"/>
        </w:rPr>
        <w:t xml:space="preserve"> 2019 Q4 there </w:t>
      </w:r>
      <w:r w:rsidR="00E9720F">
        <w:rPr>
          <w:rFonts w:eastAsiaTheme="majorEastAsia" w:cstheme="majorBidi"/>
          <w:bCs/>
          <w:szCs w:val="26"/>
        </w:rPr>
        <w:t>were</w:t>
      </w:r>
      <w:r w:rsidR="00E9720F" w:rsidRPr="004401DC">
        <w:rPr>
          <w:rFonts w:eastAsiaTheme="majorEastAsia" w:cstheme="majorBidi"/>
          <w:bCs/>
          <w:szCs w:val="26"/>
        </w:rPr>
        <w:t xml:space="preserve"> 1,493 patients receiving PBS treatment for RCC, of these 463 </w:t>
      </w:r>
      <w:r w:rsidR="00E9720F">
        <w:rPr>
          <w:rFonts w:eastAsiaTheme="majorEastAsia" w:cstheme="majorBidi"/>
          <w:bCs/>
          <w:szCs w:val="26"/>
        </w:rPr>
        <w:t xml:space="preserve">received </w:t>
      </w:r>
      <w:r w:rsidR="009A3EB4">
        <w:rPr>
          <w:rFonts w:eastAsiaTheme="majorEastAsia" w:cstheme="majorBidi"/>
          <w:bCs/>
          <w:szCs w:val="26"/>
        </w:rPr>
        <w:t>2nd</w:t>
      </w:r>
      <w:r w:rsidR="00E9720F" w:rsidRPr="004401DC">
        <w:rPr>
          <w:rFonts w:eastAsiaTheme="majorEastAsia" w:cstheme="majorBidi"/>
          <w:bCs/>
          <w:szCs w:val="26"/>
        </w:rPr>
        <w:t xml:space="preserve"> line nivolumab.</w:t>
      </w:r>
    </w:p>
    <w:p w:rsidR="00E9720F" w:rsidRPr="004401DC" w:rsidRDefault="00E9720F" w:rsidP="00E9720F">
      <w:pPr>
        <w:pStyle w:val="NoSpacing"/>
        <w:numPr>
          <w:ilvl w:val="0"/>
          <w:numId w:val="30"/>
        </w:numPr>
        <w:spacing w:line="276" w:lineRule="auto"/>
        <w:ind w:left="360"/>
        <w:rPr>
          <w:rFonts w:eastAsiaTheme="majorEastAsia" w:cstheme="majorBidi"/>
          <w:bCs/>
          <w:szCs w:val="26"/>
        </w:rPr>
      </w:pPr>
      <w:r w:rsidRPr="004401DC">
        <w:rPr>
          <w:rFonts w:eastAsiaTheme="majorEastAsia" w:cstheme="majorBidi"/>
          <w:bCs/>
          <w:szCs w:val="26"/>
        </w:rPr>
        <w:t>In both Year 1 and 2 after listing there was approximately 50% more patients than predicted. However there were less prescriptions than predicted because the prescriptions per patient were approximately half that predicted.</w:t>
      </w:r>
    </w:p>
    <w:p w:rsidR="00E9720F" w:rsidRPr="004401DC" w:rsidRDefault="00E9720F" w:rsidP="00E9720F">
      <w:pPr>
        <w:pStyle w:val="NoSpacing"/>
        <w:numPr>
          <w:ilvl w:val="0"/>
          <w:numId w:val="30"/>
        </w:numPr>
        <w:spacing w:line="276" w:lineRule="auto"/>
        <w:ind w:left="360"/>
        <w:rPr>
          <w:rFonts w:eastAsiaTheme="majorEastAsia" w:cstheme="majorBidi"/>
          <w:bCs/>
          <w:szCs w:val="26"/>
        </w:rPr>
      </w:pPr>
      <w:r w:rsidRPr="004401DC">
        <w:rPr>
          <w:rFonts w:eastAsiaTheme="majorEastAsia" w:cstheme="majorBidi"/>
          <w:bCs/>
          <w:szCs w:val="26"/>
        </w:rPr>
        <w:t xml:space="preserve">18.4% of patients appear to have not used a TKI before initiation of </w:t>
      </w:r>
      <w:r w:rsidR="009A3EB4">
        <w:rPr>
          <w:rFonts w:eastAsiaTheme="majorEastAsia" w:cstheme="majorBidi"/>
          <w:bCs/>
          <w:szCs w:val="26"/>
        </w:rPr>
        <w:t>2nd</w:t>
      </w:r>
      <w:r w:rsidRPr="004401DC">
        <w:rPr>
          <w:rFonts w:eastAsiaTheme="majorEastAsia" w:cstheme="majorBidi"/>
          <w:bCs/>
          <w:szCs w:val="26"/>
        </w:rPr>
        <w:t xml:space="preserve"> line nivolumab. This is outside the PBS restriction which requires a patient to fail prior TKI treatment.</w:t>
      </w:r>
    </w:p>
    <w:p w:rsidR="00E9720F" w:rsidRPr="004401DC" w:rsidRDefault="00E9720F" w:rsidP="00E9720F">
      <w:pPr>
        <w:pStyle w:val="NoSpacing"/>
        <w:numPr>
          <w:ilvl w:val="0"/>
          <w:numId w:val="30"/>
        </w:numPr>
        <w:spacing w:line="276" w:lineRule="auto"/>
        <w:ind w:left="360"/>
        <w:rPr>
          <w:rFonts w:eastAsiaTheme="majorEastAsia" w:cstheme="majorBidi"/>
          <w:bCs/>
          <w:szCs w:val="26"/>
        </w:rPr>
      </w:pPr>
      <w:r>
        <w:rPr>
          <w:rFonts w:eastAsiaTheme="majorEastAsia" w:cstheme="majorBidi"/>
          <w:bCs/>
          <w:szCs w:val="26"/>
        </w:rPr>
        <w:t xml:space="preserve">The most common treatment switch for patients who had </w:t>
      </w:r>
      <w:r w:rsidR="009A3EB4">
        <w:rPr>
          <w:rFonts w:eastAsiaTheme="majorEastAsia" w:cstheme="majorBidi"/>
          <w:bCs/>
          <w:szCs w:val="26"/>
        </w:rPr>
        <w:t>2nd</w:t>
      </w:r>
      <w:r>
        <w:rPr>
          <w:rFonts w:eastAsiaTheme="majorEastAsia" w:cstheme="majorBidi"/>
          <w:bCs/>
          <w:szCs w:val="26"/>
        </w:rPr>
        <w:t xml:space="preserve"> line RCC treatment is from nivolumab to cabozantinib.</w:t>
      </w:r>
    </w:p>
    <w:p w:rsidR="00E9720F" w:rsidRDefault="00E9720F" w:rsidP="00E9720F">
      <w:pPr>
        <w:pStyle w:val="NoSpacing"/>
        <w:numPr>
          <w:ilvl w:val="0"/>
          <w:numId w:val="30"/>
        </w:numPr>
        <w:spacing w:line="276" w:lineRule="auto"/>
        <w:ind w:left="360"/>
        <w:rPr>
          <w:rFonts w:eastAsiaTheme="majorEastAsia" w:cstheme="majorBidi"/>
          <w:bCs/>
          <w:szCs w:val="26"/>
        </w:rPr>
      </w:pPr>
      <w:r>
        <w:rPr>
          <w:rFonts w:eastAsiaTheme="majorEastAsia" w:cstheme="majorBidi"/>
          <w:bCs/>
          <w:szCs w:val="26"/>
        </w:rPr>
        <w:lastRenderedPageBreak/>
        <w:t xml:space="preserve">The median and mean length of treatment (including breaks and </w:t>
      </w:r>
      <w:r w:rsidR="00A3054D">
        <w:rPr>
          <w:rFonts w:eastAsiaTheme="majorEastAsia" w:cstheme="majorBidi"/>
          <w:bCs/>
          <w:szCs w:val="26"/>
        </w:rPr>
        <w:t>date of death (</w:t>
      </w:r>
      <w:r>
        <w:rPr>
          <w:rFonts w:eastAsiaTheme="majorEastAsia" w:cstheme="majorBidi"/>
          <w:bCs/>
          <w:szCs w:val="26"/>
        </w:rPr>
        <w:t>DoD</w:t>
      </w:r>
      <w:r w:rsidR="00A3054D">
        <w:rPr>
          <w:rFonts w:eastAsiaTheme="majorEastAsia" w:cstheme="majorBidi"/>
          <w:bCs/>
          <w:szCs w:val="26"/>
        </w:rPr>
        <w:t>)</w:t>
      </w:r>
      <w:r>
        <w:rPr>
          <w:rFonts w:eastAsiaTheme="majorEastAsia" w:cstheme="majorBidi"/>
          <w:bCs/>
          <w:szCs w:val="26"/>
        </w:rPr>
        <w:t xml:space="preserve"> adjustment) with </w:t>
      </w:r>
      <w:r w:rsidR="009A3EB4">
        <w:rPr>
          <w:rFonts w:eastAsiaTheme="majorEastAsia" w:cstheme="majorBidi"/>
          <w:bCs/>
          <w:szCs w:val="26"/>
        </w:rPr>
        <w:t>2nd</w:t>
      </w:r>
      <w:r>
        <w:rPr>
          <w:rFonts w:eastAsiaTheme="majorEastAsia" w:cstheme="majorBidi"/>
          <w:bCs/>
          <w:szCs w:val="26"/>
        </w:rPr>
        <w:t xml:space="preserve"> line nivolumab was 5.6 and 9.9 months respectively. </w:t>
      </w:r>
      <w:r>
        <w:t xml:space="preserve">This is consistent with predicted mean and median of </w:t>
      </w:r>
      <w:r>
        <w:rPr>
          <w:rFonts w:eastAsiaTheme="majorEastAsia" w:cstheme="majorBidi"/>
          <w:bCs/>
          <w:szCs w:val="26"/>
        </w:rPr>
        <w:t>5.54 and 9.52 months respectively.</w:t>
      </w:r>
    </w:p>
    <w:p w:rsidR="00E9720F" w:rsidRDefault="00E9720F" w:rsidP="00E9720F">
      <w:pPr>
        <w:pStyle w:val="NoSpacing"/>
        <w:numPr>
          <w:ilvl w:val="0"/>
          <w:numId w:val="30"/>
        </w:numPr>
        <w:spacing w:line="276" w:lineRule="auto"/>
        <w:ind w:left="360"/>
        <w:rPr>
          <w:rFonts w:eastAsiaTheme="majorEastAsia" w:cstheme="majorBidi"/>
          <w:bCs/>
          <w:szCs w:val="26"/>
        </w:rPr>
      </w:pPr>
      <w:r>
        <w:rPr>
          <w:rFonts w:eastAsiaTheme="majorEastAsia" w:cstheme="majorBidi"/>
          <w:bCs/>
          <w:szCs w:val="26"/>
        </w:rPr>
        <w:t>The date of death analysis</w:t>
      </w:r>
      <w:r w:rsidR="000F0AF7">
        <w:rPr>
          <w:rFonts w:eastAsiaTheme="majorEastAsia" w:cstheme="majorBidi"/>
          <w:bCs/>
          <w:szCs w:val="26"/>
        </w:rPr>
        <w:t xml:space="preserve"> revealed that 42.0</w:t>
      </w:r>
      <w:r>
        <w:rPr>
          <w:rFonts w:eastAsiaTheme="majorEastAsia" w:cstheme="majorBidi"/>
          <w:bCs/>
          <w:szCs w:val="26"/>
        </w:rPr>
        <w:t xml:space="preserve">% of patients that had </w:t>
      </w:r>
      <w:r w:rsidR="009A3EB4">
        <w:rPr>
          <w:rFonts w:eastAsiaTheme="majorEastAsia" w:cstheme="majorBidi"/>
          <w:bCs/>
          <w:szCs w:val="26"/>
        </w:rPr>
        <w:t>2nd</w:t>
      </w:r>
      <w:r>
        <w:rPr>
          <w:rFonts w:eastAsiaTheme="majorEastAsia" w:cstheme="majorBidi"/>
          <w:bCs/>
          <w:szCs w:val="26"/>
        </w:rPr>
        <w:t xml:space="preserve"> line nivolumab treatment had died by the end of the analysis period (31/12/2019).  71.8% of patients were deemed to have stopped treatment by the end of the analysis period, of these 9.9% had died on treatment, 48.6% had stopped treatment before death and 41.4% had stopped treatment and were still alive. </w:t>
      </w:r>
    </w:p>
    <w:p w:rsidR="00E9720F" w:rsidRDefault="00E9720F" w:rsidP="00E9720F">
      <w:pPr>
        <w:pStyle w:val="NoSpacing"/>
        <w:numPr>
          <w:ilvl w:val="0"/>
          <w:numId w:val="30"/>
        </w:numPr>
        <w:spacing w:line="276" w:lineRule="auto"/>
        <w:ind w:left="360"/>
        <w:rPr>
          <w:rFonts w:eastAsiaTheme="majorEastAsia" w:cstheme="majorBidi"/>
          <w:bCs/>
          <w:szCs w:val="26"/>
        </w:rPr>
      </w:pPr>
      <w:r>
        <w:rPr>
          <w:rFonts w:eastAsiaTheme="majorEastAsia" w:cstheme="majorBidi"/>
          <w:bCs/>
          <w:szCs w:val="26"/>
        </w:rPr>
        <w:t>T</w:t>
      </w:r>
      <w:r w:rsidRPr="00D00762">
        <w:rPr>
          <w:rFonts w:eastAsiaTheme="majorEastAsia" w:cstheme="majorBidi"/>
          <w:bCs/>
          <w:szCs w:val="26"/>
        </w:rPr>
        <w:t xml:space="preserve">he majority of patients </w:t>
      </w:r>
      <w:r>
        <w:rPr>
          <w:rFonts w:eastAsiaTheme="majorEastAsia" w:cstheme="majorBidi"/>
          <w:bCs/>
          <w:szCs w:val="26"/>
        </w:rPr>
        <w:t xml:space="preserve">(55%) that died </w:t>
      </w:r>
      <w:r w:rsidRPr="00D00762">
        <w:rPr>
          <w:rFonts w:eastAsiaTheme="majorEastAsia" w:cstheme="majorBidi"/>
          <w:bCs/>
          <w:szCs w:val="26"/>
        </w:rPr>
        <w:t>ha</w:t>
      </w:r>
      <w:r>
        <w:rPr>
          <w:rFonts w:eastAsiaTheme="majorEastAsia" w:cstheme="majorBidi"/>
          <w:bCs/>
          <w:szCs w:val="26"/>
        </w:rPr>
        <w:t>d</w:t>
      </w:r>
      <w:r w:rsidRPr="00D00762">
        <w:rPr>
          <w:rFonts w:eastAsiaTheme="majorEastAsia" w:cstheme="majorBidi"/>
          <w:bCs/>
          <w:szCs w:val="26"/>
        </w:rPr>
        <w:t xml:space="preserve"> their last nivolumab prescription within the last 3 fortnights </w:t>
      </w:r>
      <w:r>
        <w:rPr>
          <w:rFonts w:eastAsiaTheme="majorEastAsia" w:cstheme="majorBidi"/>
          <w:bCs/>
          <w:szCs w:val="26"/>
        </w:rPr>
        <w:t xml:space="preserve">(infusions are generally fortnightly) </w:t>
      </w:r>
      <w:r w:rsidRPr="00D00762">
        <w:rPr>
          <w:rFonts w:eastAsiaTheme="majorEastAsia" w:cstheme="majorBidi"/>
          <w:bCs/>
          <w:szCs w:val="26"/>
        </w:rPr>
        <w:t>before death. This may indicate that some patients were treated beyond disea</w:t>
      </w:r>
      <w:r>
        <w:rPr>
          <w:rFonts w:eastAsiaTheme="majorEastAsia" w:cstheme="majorBidi"/>
          <w:bCs/>
          <w:szCs w:val="26"/>
        </w:rPr>
        <w:t>se progression, which is outside the PBS restriction.</w:t>
      </w:r>
    </w:p>
    <w:p w:rsidR="00E9720F" w:rsidRPr="004401DC" w:rsidRDefault="00E9720F" w:rsidP="00E9720F">
      <w:pPr>
        <w:pStyle w:val="NoSpacing"/>
        <w:numPr>
          <w:ilvl w:val="0"/>
          <w:numId w:val="30"/>
        </w:numPr>
        <w:spacing w:line="276" w:lineRule="auto"/>
        <w:ind w:left="360"/>
        <w:rPr>
          <w:rFonts w:eastAsiaTheme="majorEastAsia" w:cstheme="majorBidi"/>
          <w:bCs/>
          <w:szCs w:val="26"/>
        </w:rPr>
      </w:pPr>
      <w:r>
        <w:t>The median o</w:t>
      </w:r>
      <w:r w:rsidRPr="004401DC">
        <w:t xml:space="preserve">verall </w:t>
      </w:r>
      <w:r>
        <w:t>s</w:t>
      </w:r>
      <w:r w:rsidRPr="004401DC">
        <w:t xml:space="preserve">urvival from </w:t>
      </w:r>
      <w:r>
        <w:t xml:space="preserve">the </w:t>
      </w:r>
      <w:r w:rsidRPr="004401DC">
        <w:t xml:space="preserve">start of </w:t>
      </w:r>
      <w:r w:rsidR="009A3EB4">
        <w:t>2nd</w:t>
      </w:r>
      <w:r w:rsidRPr="004401DC">
        <w:t xml:space="preserve"> line nivolumab treatment</w:t>
      </w:r>
      <w:r>
        <w:t xml:space="preserve"> wa</w:t>
      </w:r>
      <w:r w:rsidRPr="004401DC">
        <w:t>s 1.69 years (</w:t>
      </w:r>
      <w:r>
        <w:t>20.3 months) and the mean wa</w:t>
      </w:r>
      <w:r w:rsidRPr="004401DC">
        <w:t>s 1.47 years (17.6 months).</w:t>
      </w:r>
    </w:p>
    <w:p w:rsidR="00B1788D" w:rsidRDefault="00B1788D">
      <w:pPr>
        <w:spacing w:line="276" w:lineRule="auto"/>
        <w:rPr>
          <w:rFonts w:eastAsiaTheme="majorEastAsia" w:cstheme="majorBidi"/>
          <w:b/>
          <w:bCs/>
          <w:sz w:val="32"/>
          <w:szCs w:val="32"/>
        </w:rPr>
      </w:pPr>
      <w:r>
        <w:br w:type="page"/>
      </w:r>
    </w:p>
    <w:p w:rsidR="00E677DD" w:rsidRPr="00CF5E22" w:rsidRDefault="00E677DD" w:rsidP="00CF5E22">
      <w:pPr>
        <w:pStyle w:val="Heading1"/>
      </w:pPr>
      <w:r w:rsidRPr="00CF5E22">
        <w:lastRenderedPageBreak/>
        <w:t xml:space="preserve">Purpose of </w:t>
      </w:r>
      <w:r w:rsidR="00D151EB" w:rsidRPr="00CF5E22">
        <w:t>analysis</w:t>
      </w:r>
    </w:p>
    <w:p w:rsidR="00AE2C91" w:rsidRDefault="00AE2C91" w:rsidP="00AE2C91">
      <w:r>
        <w:t xml:space="preserve">To compare the predicted and actual utilisation of nivolumab </w:t>
      </w:r>
      <w:r w:rsidRPr="00D81B0F">
        <w:t xml:space="preserve">for the </w:t>
      </w:r>
      <w:r w:rsidR="009A3EB4">
        <w:t>2nd</w:t>
      </w:r>
      <w:r>
        <w:t xml:space="preserve"> line </w:t>
      </w:r>
      <w:r w:rsidRPr="00D81B0F">
        <w:t xml:space="preserve">treatment of </w:t>
      </w:r>
      <w:r>
        <w:t xml:space="preserve">renal cell carcinoma (RCC) </w:t>
      </w:r>
      <w:r w:rsidRPr="00DC2EF1">
        <w:t>i</w:t>
      </w:r>
      <w:r>
        <w:t xml:space="preserve">n the </w:t>
      </w:r>
      <w:r w:rsidR="000B5678">
        <w:t>first</w:t>
      </w:r>
      <w:r>
        <w:t xml:space="preserve"> 24 months of Pharmaceutical Benefits Scheme (PBS) listing. </w:t>
      </w:r>
    </w:p>
    <w:p w:rsidR="00990DCF" w:rsidRDefault="00AE2C91" w:rsidP="00AE2C91">
      <w:r>
        <w:t>DUSC requested this analysis at its February 2020 meeting. It is a r</w:t>
      </w:r>
      <w:r w:rsidR="00990DCF" w:rsidRPr="00AE2C91">
        <w:t xml:space="preserve">outine DUSC utilisation analysis of </w:t>
      </w:r>
      <w:r w:rsidRPr="00AE2C91">
        <w:t xml:space="preserve">a </w:t>
      </w:r>
      <w:r w:rsidR="00990DCF" w:rsidRPr="00AE2C91">
        <w:t xml:space="preserve">PBS </w:t>
      </w:r>
      <w:r w:rsidRPr="00AE2C91">
        <w:t xml:space="preserve">listing </w:t>
      </w:r>
      <w:r w:rsidR="00990DCF" w:rsidRPr="00AE2C91">
        <w:t>when there is at least 24 months</w:t>
      </w:r>
      <w:r w:rsidRPr="00AE2C91">
        <w:t xml:space="preserve"> of prescription data available. DUSC noted that the actual number of patients treated in</w:t>
      </w:r>
      <w:r>
        <w:t xml:space="preserve"> 2018 was higher than predicted and </w:t>
      </w:r>
      <w:r w:rsidRPr="00AE2C91">
        <w:t xml:space="preserve">requested that date of death data be used to </w:t>
      </w:r>
      <w:r w:rsidR="00923A01">
        <w:t>identify instances of treatment cessation due to death</w:t>
      </w:r>
      <w:r w:rsidRPr="00AE2C91">
        <w:t>.</w:t>
      </w:r>
    </w:p>
    <w:p w:rsidR="00FE1883" w:rsidRPr="00AE2C91" w:rsidRDefault="00FE1883" w:rsidP="00AE2C91">
      <w:r>
        <w:t>The report also examines the use of nivolumab for the treatment of RCC in the context of the whole RCC treatment market.</w:t>
      </w:r>
    </w:p>
    <w:p w:rsidR="006537D9" w:rsidRPr="005E22C2" w:rsidRDefault="00736041" w:rsidP="00CF5E22">
      <w:pPr>
        <w:pStyle w:val="Heading1"/>
      </w:pPr>
      <w:r w:rsidRPr="005E22C2">
        <w:t>Background</w:t>
      </w:r>
    </w:p>
    <w:p w:rsidR="0038176C" w:rsidRDefault="0038176C" w:rsidP="0038176C">
      <w:pPr>
        <w:rPr>
          <w:rFonts w:cstheme="minorHAnsi"/>
          <w:szCs w:val="20"/>
        </w:rPr>
      </w:pPr>
      <w:r>
        <w:t xml:space="preserve">Nivolumab </w:t>
      </w:r>
      <w:r w:rsidRPr="00C513C0">
        <w:rPr>
          <w:rFonts w:cstheme="minorHAnsi"/>
          <w:szCs w:val="20"/>
        </w:rPr>
        <w:t xml:space="preserve">was PBS listed </w:t>
      </w:r>
      <w:r>
        <w:rPr>
          <w:rFonts w:cstheme="minorHAnsi"/>
          <w:szCs w:val="20"/>
        </w:rPr>
        <w:t xml:space="preserve">on 1 August 2017 </w:t>
      </w:r>
      <w:r w:rsidRPr="00C513C0">
        <w:rPr>
          <w:rFonts w:cstheme="minorHAnsi"/>
          <w:szCs w:val="20"/>
        </w:rPr>
        <w:t>for</w:t>
      </w:r>
      <w:r>
        <w:rPr>
          <w:rFonts w:cstheme="minorHAnsi"/>
          <w:szCs w:val="20"/>
        </w:rPr>
        <w:t xml:space="preserve"> the </w:t>
      </w:r>
      <w:r w:rsidR="009A3EB4">
        <w:rPr>
          <w:rFonts w:cstheme="minorHAnsi"/>
          <w:szCs w:val="20"/>
        </w:rPr>
        <w:t>2nd</w:t>
      </w:r>
      <w:r>
        <w:rPr>
          <w:rFonts w:cstheme="minorHAnsi"/>
          <w:szCs w:val="20"/>
        </w:rPr>
        <w:t xml:space="preserve"> line treatment of </w:t>
      </w:r>
      <w:r w:rsidRPr="00FB5DD3">
        <w:rPr>
          <w:rFonts w:cstheme="minorHAnsi"/>
          <w:szCs w:val="20"/>
        </w:rPr>
        <w:t>Stage IV clear cell va</w:t>
      </w:r>
      <w:r>
        <w:rPr>
          <w:rFonts w:cstheme="minorHAnsi"/>
          <w:szCs w:val="20"/>
        </w:rPr>
        <w:t xml:space="preserve">riant renal cell carcinoma. </w:t>
      </w:r>
    </w:p>
    <w:p w:rsidR="00EE2BBB" w:rsidRDefault="00EE2BBB" w:rsidP="000F0AF7">
      <w:pPr>
        <w:pStyle w:val="Heading2"/>
        <w:keepNext/>
        <w:keepLines/>
      </w:pPr>
      <w:r w:rsidRPr="007247B9">
        <w:t>Clinical situation</w:t>
      </w:r>
    </w:p>
    <w:p w:rsidR="0012193F" w:rsidRDefault="0012193F" w:rsidP="0012193F">
      <w:r>
        <w:t>Renal cell carcinoma (RCC) is a form of kidney cancer that arises from the cells of the renal tubule, and accounts for up to 90% of primary renal neoplasms. Clear cell variants accounts for 70-80% of all RCC cases</w:t>
      </w:r>
      <w:r w:rsidR="003616FA">
        <w:rPr>
          <w:rStyle w:val="FootnoteReference"/>
        </w:rPr>
        <w:footnoteReference w:id="1"/>
      </w:r>
      <w:r>
        <w:t>.</w:t>
      </w:r>
    </w:p>
    <w:p w:rsidR="0012193F" w:rsidRDefault="003616FA" w:rsidP="0012193F">
      <w:r>
        <w:t xml:space="preserve">The </w:t>
      </w:r>
      <w:r>
        <w:rPr>
          <w:rFonts w:cstheme="minorHAnsi"/>
          <w:szCs w:val="20"/>
        </w:rPr>
        <w:t>1 August 2017 PBS listing of n</w:t>
      </w:r>
      <w:r w:rsidRPr="00FB5DD3">
        <w:t xml:space="preserve">ivolumab </w:t>
      </w:r>
      <w:r>
        <w:t xml:space="preserve">was for </w:t>
      </w:r>
      <w:r w:rsidR="009A3EB4">
        <w:t>2nd</w:t>
      </w:r>
      <w:r>
        <w:t xml:space="preserve"> line </w:t>
      </w:r>
      <w:r w:rsidRPr="00FB5DD3">
        <w:t xml:space="preserve">treatment </w:t>
      </w:r>
      <w:r>
        <w:t xml:space="preserve">of </w:t>
      </w:r>
      <w:r w:rsidRPr="00FB5DD3">
        <w:t xml:space="preserve">advanced or metastatic clear cell variant RCC following </w:t>
      </w:r>
      <w:r w:rsidR="002B1FCB">
        <w:t>1st</w:t>
      </w:r>
      <w:r w:rsidRPr="00FB5DD3">
        <w:t xml:space="preserve"> line treatment with a tyrosine kinase inhibitor (TKI). </w:t>
      </w:r>
      <w:r>
        <w:t>At that time of listing n</w:t>
      </w:r>
      <w:r w:rsidRPr="00FB5DD3">
        <w:t>ivolumab w</w:t>
      </w:r>
      <w:r>
        <w:t>as</w:t>
      </w:r>
      <w:r w:rsidRPr="00FB5DD3">
        <w:t xml:space="preserve"> an alternative to everolimus, axitinib and sorafenib. </w:t>
      </w:r>
      <w:r>
        <w:t xml:space="preserve">After listing, cabozantinib was also listed as a </w:t>
      </w:r>
      <w:r w:rsidR="009A3EB4">
        <w:t>2nd</w:t>
      </w:r>
      <w:r>
        <w:t xml:space="preserve"> line treatment for RCC on 1 June 2018.</w:t>
      </w:r>
    </w:p>
    <w:p w:rsidR="00932DDD" w:rsidRDefault="003616FA" w:rsidP="0012193F">
      <w:r>
        <w:t xml:space="preserve">On 1 March 2019 </w:t>
      </w:r>
      <w:r>
        <w:rPr>
          <w:rFonts w:cstheme="minorHAnsi"/>
          <w:szCs w:val="20"/>
        </w:rPr>
        <w:t>n</w:t>
      </w:r>
      <w:r w:rsidRPr="00FB5DD3">
        <w:t>ivolumab</w:t>
      </w:r>
      <w:r>
        <w:t xml:space="preserve"> in combination with </w:t>
      </w:r>
      <w:r w:rsidRPr="003616FA">
        <w:t>ipilimumab</w:t>
      </w:r>
      <w:r>
        <w:t xml:space="preserve"> was listed on the PBS as </w:t>
      </w:r>
      <w:r w:rsidR="00D14207">
        <w:t xml:space="preserve">a </w:t>
      </w:r>
      <w:r w:rsidR="00E47EAC">
        <w:t>1st</w:t>
      </w:r>
      <w:r>
        <w:t xml:space="preserve"> line </w:t>
      </w:r>
      <w:r w:rsidR="00932DDD" w:rsidRPr="00EF3C6A">
        <w:t>treatment of Stage IV clear cell variant RCC in patients meeting the International Metastatic Renal Cell Carcinoma Database Consortium (IMDC) intermediate to poor risk group criteria</w:t>
      </w:r>
      <w:r w:rsidR="00932DDD" w:rsidRPr="002703EB">
        <w:rPr>
          <w:vertAlign w:val="superscript"/>
        </w:rPr>
        <w:t>1</w:t>
      </w:r>
      <w:r w:rsidR="00932DDD" w:rsidRPr="00EF3C6A">
        <w:t>.</w:t>
      </w:r>
      <w:r w:rsidR="00932DDD">
        <w:t xml:space="preserve"> Patients are still eligible for nivolumab in </w:t>
      </w:r>
      <w:r w:rsidR="009A3EB4">
        <w:t>2nd</w:t>
      </w:r>
      <w:r w:rsidR="00932DDD">
        <w:t xml:space="preserve"> line treatment if they have </w:t>
      </w:r>
      <w:r w:rsidR="00E47EAC">
        <w:t>1st</w:t>
      </w:r>
      <w:r w:rsidR="00932DDD">
        <w:t xml:space="preserve"> line TKI treatment. </w:t>
      </w:r>
    </w:p>
    <w:p w:rsidR="007247B9" w:rsidRDefault="007247B9" w:rsidP="00CF5E22">
      <w:pPr>
        <w:pStyle w:val="Heading2"/>
      </w:pPr>
      <w:r w:rsidRPr="005411B8">
        <w:t>Pharmacology</w:t>
      </w:r>
    </w:p>
    <w:p w:rsidR="00D14207" w:rsidRDefault="003E22D5" w:rsidP="005411B8">
      <w:r>
        <w:lastRenderedPageBreak/>
        <w:t>N</w:t>
      </w:r>
      <w:r w:rsidR="00AB12B5">
        <w:t>ivolumab</w:t>
      </w:r>
      <w:r>
        <w:t xml:space="preserve"> is </w:t>
      </w:r>
      <w:r w:rsidR="00AB12B5">
        <w:t xml:space="preserve">a protein which helps </w:t>
      </w:r>
      <w:r>
        <w:t xml:space="preserve">the </w:t>
      </w:r>
      <w:r w:rsidR="00AB12B5">
        <w:t>immune system to attack and destroy cancer cells</w:t>
      </w:r>
      <w:r>
        <w:rPr>
          <w:rStyle w:val="FootnoteReference"/>
        </w:rPr>
        <w:footnoteReference w:id="2"/>
      </w:r>
      <w:r w:rsidR="00AB12B5">
        <w:t>.</w:t>
      </w:r>
      <w:r w:rsidR="00D14207">
        <w:t xml:space="preserve"> It is a h</w:t>
      </w:r>
      <w:r w:rsidR="00D14207" w:rsidRPr="00D14207">
        <w:t>uman anti PD</w:t>
      </w:r>
      <w:r w:rsidR="00985CAF">
        <w:t>-</w:t>
      </w:r>
      <w:r w:rsidR="00D14207" w:rsidRPr="00D14207">
        <w:t>1 monoclonal antibody</w:t>
      </w:r>
      <w:r w:rsidR="00D14207">
        <w:t xml:space="preserve"> which </w:t>
      </w:r>
      <w:r w:rsidR="00D14207" w:rsidRPr="00D14207">
        <w:t>inhibits the programmed death 1 (PD</w:t>
      </w:r>
      <w:r w:rsidR="00985CAF">
        <w:t>-</w:t>
      </w:r>
      <w:r w:rsidR="00D14207" w:rsidRPr="00D14207">
        <w:t>1) receptor from binding to its ligands (PD</w:t>
      </w:r>
      <w:r w:rsidR="00985CAF">
        <w:t>-</w:t>
      </w:r>
      <w:r w:rsidR="00D14207" w:rsidRPr="00D14207">
        <w:t>L1 and PD</w:t>
      </w:r>
      <w:r w:rsidR="00985CAF">
        <w:t>-</w:t>
      </w:r>
      <w:r w:rsidR="00D14207" w:rsidRPr="00D14207">
        <w:t>L2) on tumour cells, reactivating cytotoxic T lymphocytes and anti-tumour immunity.</w:t>
      </w:r>
      <w:r w:rsidR="00D14207">
        <w:rPr>
          <w:rStyle w:val="FootnoteReference"/>
        </w:rPr>
        <w:footnoteReference w:id="3"/>
      </w:r>
    </w:p>
    <w:p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r w:rsidR="005411B8" w:rsidRPr="005411B8">
        <w:rPr>
          <w:rStyle w:val="FootnoteReference"/>
        </w:rPr>
        <w:footnoteReference w:id="4"/>
      </w:r>
    </w:p>
    <w:p w:rsidR="004035CD" w:rsidRDefault="004035CD" w:rsidP="004035CD">
      <w:r w:rsidRPr="004035CD">
        <w:t>Nivolumab is indicated for the treatment of;</w:t>
      </w:r>
    </w:p>
    <w:p w:rsidR="004035CD" w:rsidRPr="004035CD" w:rsidRDefault="004035CD" w:rsidP="004035CD">
      <w:pPr>
        <w:pStyle w:val="ListParagraph"/>
        <w:numPr>
          <w:ilvl w:val="0"/>
          <w:numId w:val="1"/>
        </w:numPr>
        <w:autoSpaceDE w:val="0"/>
        <w:autoSpaceDN w:val="0"/>
        <w:adjustRightInd w:val="0"/>
        <w:spacing w:after="0"/>
        <w:rPr>
          <w:rFonts w:cstheme="minorHAnsi"/>
          <w:color w:val="000000"/>
        </w:rPr>
      </w:pPr>
      <w:r w:rsidRPr="004035CD">
        <w:rPr>
          <w:rFonts w:cstheme="minorHAnsi"/>
          <w:bCs/>
          <w:color w:val="000000"/>
        </w:rPr>
        <w:t xml:space="preserve">Melanoma </w:t>
      </w:r>
    </w:p>
    <w:p w:rsidR="004035CD" w:rsidRPr="004035CD" w:rsidRDefault="004035CD" w:rsidP="004035CD">
      <w:pPr>
        <w:pStyle w:val="ListParagraph"/>
        <w:numPr>
          <w:ilvl w:val="0"/>
          <w:numId w:val="1"/>
        </w:numPr>
        <w:autoSpaceDE w:val="0"/>
        <w:autoSpaceDN w:val="0"/>
        <w:adjustRightInd w:val="0"/>
        <w:spacing w:after="0"/>
        <w:rPr>
          <w:rFonts w:cstheme="minorHAnsi"/>
          <w:color w:val="000000"/>
        </w:rPr>
      </w:pPr>
      <w:r w:rsidRPr="004035CD">
        <w:rPr>
          <w:rFonts w:cstheme="minorHAnsi"/>
          <w:bCs/>
          <w:color w:val="000000"/>
        </w:rPr>
        <w:t xml:space="preserve">Non-Small Cell Lung Cancer (NSCLC) </w:t>
      </w:r>
    </w:p>
    <w:p w:rsidR="004035CD" w:rsidRPr="004035CD" w:rsidRDefault="004035CD" w:rsidP="004035CD">
      <w:pPr>
        <w:pStyle w:val="ListParagraph"/>
        <w:numPr>
          <w:ilvl w:val="0"/>
          <w:numId w:val="1"/>
        </w:numPr>
        <w:autoSpaceDE w:val="0"/>
        <w:autoSpaceDN w:val="0"/>
        <w:adjustRightInd w:val="0"/>
        <w:spacing w:after="0"/>
        <w:rPr>
          <w:rFonts w:cstheme="minorHAnsi"/>
          <w:color w:val="000000"/>
        </w:rPr>
      </w:pPr>
      <w:r w:rsidRPr="004035CD">
        <w:rPr>
          <w:rFonts w:cstheme="minorHAnsi"/>
          <w:bCs/>
          <w:color w:val="000000"/>
        </w:rPr>
        <w:t>Renal Cell Carcinoma (RCC)</w:t>
      </w:r>
      <w:r w:rsidRPr="004035CD">
        <w:rPr>
          <w:rFonts w:cstheme="minorHAnsi"/>
          <w:bCs/>
          <w:color w:val="000000"/>
        </w:rPr>
        <w:br/>
        <w:t xml:space="preserve">- </w:t>
      </w:r>
      <w:r w:rsidRPr="004035CD">
        <w:rPr>
          <w:rFonts w:cstheme="minorHAnsi"/>
          <w:color w:val="000000"/>
        </w:rPr>
        <w:t>in combination with ipilimumab, is indicated for the treatment of patients with intermediate/poor-risk, previously untreated advanced renal cell carcinoma.</w:t>
      </w:r>
      <w:r w:rsidRPr="004035CD">
        <w:rPr>
          <w:rFonts w:cstheme="minorHAnsi"/>
          <w:color w:val="000000"/>
        </w:rPr>
        <w:br/>
        <w:t xml:space="preserve">- as monotherapy, is indicated for the treatment of patients with advanced clear cell renal cell carcinoma after prior anti-angiogenic therapy. </w:t>
      </w:r>
    </w:p>
    <w:p w:rsidR="004035CD" w:rsidRPr="004035CD" w:rsidRDefault="004035CD" w:rsidP="004035CD">
      <w:pPr>
        <w:pStyle w:val="ListParagraph"/>
        <w:numPr>
          <w:ilvl w:val="0"/>
          <w:numId w:val="1"/>
        </w:numPr>
        <w:autoSpaceDE w:val="0"/>
        <w:autoSpaceDN w:val="0"/>
        <w:adjustRightInd w:val="0"/>
        <w:spacing w:after="0"/>
        <w:rPr>
          <w:rFonts w:cstheme="minorHAnsi"/>
          <w:color w:val="000000"/>
        </w:rPr>
      </w:pPr>
      <w:r w:rsidRPr="004035CD">
        <w:rPr>
          <w:rFonts w:cstheme="minorHAnsi"/>
          <w:bCs/>
          <w:color w:val="000000"/>
        </w:rPr>
        <w:t xml:space="preserve">Classical Hodgkin Lymphoma (cHL) </w:t>
      </w:r>
    </w:p>
    <w:p w:rsidR="004035CD" w:rsidRPr="004035CD" w:rsidRDefault="004035CD" w:rsidP="004035CD">
      <w:pPr>
        <w:pStyle w:val="ListParagraph"/>
        <w:numPr>
          <w:ilvl w:val="0"/>
          <w:numId w:val="1"/>
        </w:numPr>
        <w:autoSpaceDE w:val="0"/>
        <w:autoSpaceDN w:val="0"/>
        <w:adjustRightInd w:val="0"/>
        <w:spacing w:after="0"/>
        <w:rPr>
          <w:rFonts w:cstheme="minorHAnsi"/>
          <w:color w:val="000000"/>
        </w:rPr>
      </w:pPr>
      <w:r w:rsidRPr="004035CD">
        <w:rPr>
          <w:rFonts w:cstheme="minorHAnsi"/>
          <w:bCs/>
          <w:color w:val="000000"/>
        </w:rPr>
        <w:t xml:space="preserve">Squamous Cell Carcinoma of the Head and Neck (SCCHN) </w:t>
      </w:r>
    </w:p>
    <w:p w:rsidR="004035CD" w:rsidRPr="004035CD" w:rsidRDefault="004035CD" w:rsidP="004035CD">
      <w:pPr>
        <w:pStyle w:val="ListParagraph"/>
        <w:numPr>
          <w:ilvl w:val="0"/>
          <w:numId w:val="1"/>
        </w:numPr>
        <w:autoSpaceDE w:val="0"/>
        <w:autoSpaceDN w:val="0"/>
        <w:adjustRightInd w:val="0"/>
        <w:spacing w:after="0"/>
        <w:rPr>
          <w:rFonts w:cstheme="minorHAnsi"/>
          <w:bCs/>
          <w:color w:val="000000"/>
        </w:rPr>
      </w:pPr>
      <w:r w:rsidRPr="004035CD">
        <w:rPr>
          <w:rFonts w:cstheme="minorHAnsi"/>
          <w:bCs/>
          <w:color w:val="000000"/>
        </w:rPr>
        <w:t xml:space="preserve">Urothelial Carcinoma (UC) </w:t>
      </w:r>
    </w:p>
    <w:p w:rsidR="004035CD" w:rsidRPr="004035CD" w:rsidRDefault="004035CD" w:rsidP="004035CD">
      <w:pPr>
        <w:pStyle w:val="ListParagraph"/>
        <w:numPr>
          <w:ilvl w:val="0"/>
          <w:numId w:val="1"/>
        </w:numPr>
        <w:autoSpaceDE w:val="0"/>
        <w:autoSpaceDN w:val="0"/>
        <w:adjustRightInd w:val="0"/>
        <w:spacing w:after="0"/>
        <w:rPr>
          <w:rFonts w:cstheme="minorHAnsi"/>
        </w:rPr>
      </w:pPr>
      <w:r w:rsidRPr="004035CD">
        <w:rPr>
          <w:rFonts w:cstheme="minorHAnsi"/>
          <w:bCs/>
        </w:rPr>
        <w:t xml:space="preserve">Hepatocellular Carcinoma (HCC) </w:t>
      </w:r>
    </w:p>
    <w:p w:rsidR="006B709B" w:rsidRDefault="006B709B" w:rsidP="00CF5E22">
      <w:pPr>
        <w:pStyle w:val="Heading2"/>
      </w:pPr>
      <w:r>
        <w:t>Dosage and administration</w:t>
      </w:r>
      <w:r w:rsidR="005C7678" w:rsidRPr="005C7678">
        <w:rPr>
          <w:vertAlign w:val="superscript"/>
        </w:rPr>
        <w:t>4</w:t>
      </w:r>
    </w:p>
    <w:p w:rsidR="00EA4881" w:rsidRDefault="00EA4881" w:rsidP="00EA4881">
      <w:r>
        <w:t xml:space="preserve">The recommended dose of nivolumab </w:t>
      </w:r>
      <w:r w:rsidR="005C7678">
        <w:t xml:space="preserve">for RCC </w:t>
      </w:r>
      <w:r>
        <w:t>as a monotherapy</w:t>
      </w:r>
      <w:r w:rsidR="005C7678">
        <w:t xml:space="preserve"> </w:t>
      </w:r>
      <w:r>
        <w:t>administered intravenously over 30 minutes is 3 mg/kg every 2 weeks or 240 mg every 2 weeks or 480 mg every 4 weeks. Treatment should be continued as long as clinical benefit is observed or until treatment is no longer tolerated by the patient.</w:t>
      </w:r>
    </w:p>
    <w:p w:rsidR="00F17D4B" w:rsidRPr="002F61CA" w:rsidRDefault="00F17D4B" w:rsidP="00F17D4B">
      <w:r w:rsidRPr="002F61CA">
        <w:t xml:space="preserve">The current Product Information (PI) and Consumer Medicine Information (CMI) are available from </w:t>
      </w:r>
      <w:r w:rsidRPr="001348C4">
        <w:t>the TGA (Product Information)</w:t>
      </w:r>
      <w:r>
        <w:t xml:space="preserve"> and </w:t>
      </w:r>
      <w:r w:rsidRPr="001348C4">
        <w:t>the TGA (Consumer Medicines Information)</w:t>
      </w:r>
      <w:r>
        <w:t>.</w:t>
      </w:r>
    </w:p>
    <w:p w:rsidR="00DF0B13" w:rsidRPr="007247B9" w:rsidDel="00EE2BBB" w:rsidRDefault="00DF0B13" w:rsidP="00CF5E22">
      <w:pPr>
        <w:pStyle w:val="Heading2"/>
      </w:pPr>
      <w:r w:rsidRPr="007247B9" w:rsidDel="00EE2BBB">
        <w:t>PBS listing details</w:t>
      </w:r>
      <w:r w:rsidR="007749C1">
        <w:t xml:space="preserve"> (as at 1 March 2020</w:t>
      </w:r>
      <w:r w:rsidR="00D151EB" w:rsidDel="00EE2BBB">
        <w:t>)</w:t>
      </w:r>
    </w:p>
    <w:p w:rsidR="00987073" w:rsidRPr="00B76FE1" w:rsidRDefault="007749C1" w:rsidP="00CF5E22">
      <w:pPr>
        <w:pStyle w:val="Tabletitle"/>
        <w:rPr>
          <w:b w:val="0"/>
        </w:rPr>
      </w:pPr>
      <w:r w:rsidRPr="007749C1">
        <w:rPr>
          <w:b w:val="0"/>
        </w:rPr>
        <w:t>Table 1</w:t>
      </w:r>
      <w:r>
        <w:rPr>
          <w:b w:val="0"/>
        </w:rPr>
        <w:t xml:space="preserve"> shows the </w:t>
      </w:r>
      <w:r w:rsidRPr="007749C1" w:rsidDel="00EE2BBB">
        <w:rPr>
          <w:b w:val="0"/>
        </w:rPr>
        <w:t>PBS listing</w:t>
      </w:r>
      <w:r w:rsidRPr="007749C1">
        <w:rPr>
          <w:b w:val="0"/>
        </w:rPr>
        <w:t>s</w:t>
      </w:r>
      <w:r w:rsidRPr="007749C1" w:rsidDel="00EE2BBB">
        <w:rPr>
          <w:b w:val="0"/>
        </w:rPr>
        <w:t xml:space="preserve"> of </w:t>
      </w:r>
      <w:r w:rsidRPr="007749C1">
        <w:rPr>
          <w:b w:val="0"/>
        </w:rPr>
        <w:t xml:space="preserve">nivolumab </w:t>
      </w:r>
      <w:r>
        <w:rPr>
          <w:b w:val="0"/>
        </w:rPr>
        <w:t xml:space="preserve">for </w:t>
      </w:r>
      <w:r w:rsidR="009A3EB4">
        <w:rPr>
          <w:rFonts w:cstheme="minorHAnsi"/>
          <w:b w:val="0"/>
          <w:szCs w:val="20"/>
        </w:rPr>
        <w:t>2nd</w:t>
      </w:r>
      <w:r w:rsidRPr="007749C1">
        <w:rPr>
          <w:rFonts w:cstheme="minorHAnsi"/>
          <w:b w:val="0"/>
          <w:szCs w:val="20"/>
        </w:rPr>
        <w:t xml:space="preserve"> line treatment of Stage IV clear cell variant RCC</w:t>
      </w:r>
      <w:r>
        <w:rPr>
          <w:b w:val="0"/>
        </w:rPr>
        <w:t xml:space="preserve">. </w:t>
      </w:r>
      <w:r w:rsidRPr="007749C1">
        <w:rPr>
          <w:b w:val="0"/>
        </w:rPr>
        <w:t xml:space="preserve">Table A.1 in Appendix A shows the PBS listings </w:t>
      </w:r>
      <w:r w:rsidRPr="00D16845">
        <w:rPr>
          <w:rFonts w:cstheme="minorHAnsi"/>
          <w:b w:val="0"/>
          <w:szCs w:val="20"/>
        </w:rPr>
        <w:t>for</w:t>
      </w:r>
      <w:r w:rsidRPr="007749C1">
        <w:rPr>
          <w:b w:val="0"/>
        </w:rPr>
        <w:t xml:space="preserve"> </w:t>
      </w:r>
      <w:r w:rsidR="002B1FCB">
        <w:rPr>
          <w:b w:val="0"/>
        </w:rPr>
        <w:t>1st</w:t>
      </w:r>
      <w:r w:rsidRPr="007749C1">
        <w:rPr>
          <w:b w:val="0"/>
        </w:rPr>
        <w:t xml:space="preserve"> line treatment of Stage IV clear cell variant RCC.</w:t>
      </w:r>
      <w:r>
        <w:rPr>
          <w:b w:val="0"/>
        </w:rPr>
        <w:t xml:space="preserve"> These are shown for completeness, but are not the focus of the report.</w:t>
      </w:r>
    </w:p>
    <w:p w:rsidR="001420B3" w:rsidRPr="00B1788D" w:rsidDel="00EE2BBB" w:rsidRDefault="005C7678" w:rsidP="00B1788D">
      <w:pPr>
        <w:pStyle w:val="Tabletitle"/>
        <w:keepNext/>
      </w:pPr>
      <w:r w:rsidRPr="00B1788D">
        <w:lastRenderedPageBreak/>
        <w:t>Table 1</w:t>
      </w:r>
      <w:r w:rsidR="001420B3" w:rsidRPr="00B1788D" w:rsidDel="00EE2BBB">
        <w:t xml:space="preserve">: </w:t>
      </w:r>
      <w:r w:rsidR="009663B6" w:rsidRPr="00B1788D" w:rsidDel="00EE2BBB">
        <w:t>PB</w:t>
      </w:r>
      <w:r w:rsidR="00D151EB" w:rsidRPr="00B1788D" w:rsidDel="00EE2BBB">
        <w:t>S listing</w:t>
      </w:r>
      <w:r w:rsidR="007749C1" w:rsidRPr="00B1788D">
        <w:t>s</w:t>
      </w:r>
      <w:r w:rsidR="00D151EB" w:rsidRPr="00B1788D" w:rsidDel="00EE2BBB">
        <w:t xml:space="preserve"> of </w:t>
      </w:r>
      <w:r w:rsidRPr="00B1788D">
        <w:t xml:space="preserve">nivolumab </w:t>
      </w:r>
      <w:r w:rsidR="007749C1" w:rsidRPr="00B1788D">
        <w:t xml:space="preserve">for </w:t>
      </w:r>
      <w:r w:rsidR="009A3EB4" w:rsidRPr="00B1788D">
        <w:t>2nd</w:t>
      </w:r>
      <w:r w:rsidRPr="00B1788D">
        <w:t xml:space="preserve"> line treatment of Stage IV clear cell variant </w:t>
      </w:r>
      <w:r w:rsidR="007749C1" w:rsidRPr="00B1788D">
        <w:t>RCC</w:t>
      </w:r>
      <w:r w:rsidR="00D151EB" w:rsidRPr="00B1788D" w:rsidDel="00EE2BBB">
        <w:t xml:space="preserve"> </w:t>
      </w:r>
    </w:p>
    <w:tbl>
      <w:tblPr>
        <w:tblStyle w:val="TableGrid"/>
        <w:tblW w:w="9351" w:type="dxa"/>
        <w:tblLayout w:type="fixed"/>
        <w:tblLook w:val="04A0" w:firstRow="1" w:lastRow="0" w:firstColumn="1" w:lastColumn="0" w:noHBand="0" w:noVBand="1"/>
        <w:tblCaption w:val="Table 1: PBS listings of nivolumab for 2nd line treatment of Stage IV clear cell variant RCC"/>
      </w:tblPr>
      <w:tblGrid>
        <w:gridCol w:w="907"/>
        <w:gridCol w:w="1923"/>
        <w:gridCol w:w="993"/>
        <w:gridCol w:w="1134"/>
        <w:gridCol w:w="992"/>
        <w:gridCol w:w="709"/>
        <w:gridCol w:w="992"/>
        <w:gridCol w:w="1701"/>
      </w:tblGrid>
      <w:tr w:rsidR="0079263B" w:rsidRPr="00A35800" w:rsidDel="00EE2BBB" w:rsidTr="00B1788D">
        <w:trPr>
          <w:trHeight w:val="694"/>
          <w:tblHeader/>
        </w:trPr>
        <w:tc>
          <w:tcPr>
            <w:tcW w:w="907" w:type="dxa"/>
            <w:shd w:val="clear" w:color="auto" w:fill="BFBFBF" w:themeFill="background1" w:themeFillShade="BF"/>
          </w:tcPr>
          <w:p w:rsidR="00987073" w:rsidRPr="00A35800" w:rsidDel="00EE2BBB" w:rsidRDefault="00987073" w:rsidP="00A35800">
            <w:pPr>
              <w:pStyle w:val="Tableheading"/>
              <w:rPr>
                <w:sz w:val="20"/>
                <w:szCs w:val="20"/>
              </w:rPr>
            </w:pPr>
            <w:r w:rsidRPr="00A35800" w:rsidDel="00EE2BBB">
              <w:rPr>
                <w:sz w:val="20"/>
                <w:szCs w:val="20"/>
              </w:rPr>
              <w:t>Item</w:t>
            </w:r>
          </w:p>
        </w:tc>
        <w:tc>
          <w:tcPr>
            <w:tcW w:w="1923" w:type="dxa"/>
            <w:shd w:val="clear" w:color="auto" w:fill="BFBFBF" w:themeFill="background1" w:themeFillShade="BF"/>
          </w:tcPr>
          <w:p w:rsidR="00987073" w:rsidRPr="00A35800" w:rsidDel="00EE2BBB" w:rsidRDefault="00987073" w:rsidP="00A35800">
            <w:pPr>
              <w:pStyle w:val="Tableheading"/>
              <w:rPr>
                <w:sz w:val="20"/>
                <w:szCs w:val="20"/>
              </w:rPr>
            </w:pPr>
            <w:r w:rsidRPr="00A35800" w:rsidDel="00EE2BBB">
              <w:rPr>
                <w:sz w:val="20"/>
                <w:szCs w:val="20"/>
              </w:rPr>
              <w:t>Name, form &amp; strength, pack size</w:t>
            </w:r>
          </w:p>
        </w:tc>
        <w:tc>
          <w:tcPr>
            <w:tcW w:w="993" w:type="dxa"/>
            <w:shd w:val="clear" w:color="auto" w:fill="BFBFBF" w:themeFill="background1" w:themeFillShade="BF"/>
          </w:tcPr>
          <w:p w:rsidR="00987073" w:rsidRPr="00A35800" w:rsidDel="00EE2BBB" w:rsidRDefault="00987073" w:rsidP="00A35800">
            <w:pPr>
              <w:pStyle w:val="Tableheading"/>
              <w:rPr>
                <w:sz w:val="20"/>
                <w:szCs w:val="20"/>
              </w:rPr>
            </w:pPr>
            <w:r w:rsidRPr="00987073">
              <w:rPr>
                <w:sz w:val="20"/>
                <w:szCs w:val="20"/>
              </w:rPr>
              <w:t>Treatment Phase</w:t>
            </w:r>
          </w:p>
        </w:tc>
        <w:tc>
          <w:tcPr>
            <w:tcW w:w="1134" w:type="dxa"/>
            <w:shd w:val="clear" w:color="auto" w:fill="BFBFBF" w:themeFill="background1" w:themeFillShade="BF"/>
          </w:tcPr>
          <w:p w:rsidR="00987073" w:rsidRPr="00A35800" w:rsidDel="00EE2BBB" w:rsidRDefault="00987073" w:rsidP="00A35800">
            <w:pPr>
              <w:pStyle w:val="Tableheading"/>
              <w:rPr>
                <w:sz w:val="20"/>
                <w:szCs w:val="20"/>
              </w:rPr>
            </w:pPr>
            <w:r>
              <w:rPr>
                <w:sz w:val="20"/>
                <w:szCs w:val="20"/>
              </w:rPr>
              <w:t>Date of listing</w:t>
            </w:r>
          </w:p>
        </w:tc>
        <w:tc>
          <w:tcPr>
            <w:tcW w:w="992" w:type="dxa"/>
            <w:shd w:val="clear" w:color="auto" w:fill="BFBFBF" w:themeFill="background1" w:themeFillShade="BF"/>
          </w:tcPr>
          <w:p w:rsidR="00987073" w:rsidRPr="00A35800" w:rsidDel="00EE2BBB" w:rsidRDefault="00987073" w:rsidP="0079263B">
            <w:pPr>
              <w:pStyle w:val="Tableheading"/>
              <w:rPr>
                <w:sz w:val="20"/>
                <w:szCs w:val="20"/>
              </w:rPr>
            </w:pPr>
            <w:r w:rsidRPr="00A35800" w:rsidDel="00EE2BBB">
              <w:rPr>
                <w:sz w:val="20"/>
                <w:szCs w:val="20"/>
              </w:rPr>
              <w:t xml:space="preserve">Max. </w:t>
            </w:r>
            <w:r w:rsidR="0079263B">
              <w:rPr>
                <w:sz w:val="20"/>
                <w:szCs w:val="20"/>
              </w:rPr>
              <w:t>amount</w:t>
            </w:r>
          </w:p>
        </w:tc>
        <w:tc>
          <w:tcPr>
            <w:tcW w:w="709" w:type="dxa"/>
            <w:shd w:val="clear" w:color="auto" w:fill="BFBFBF" w:themeFill="background1" w:themeFillShade="BF"/>
          </w:tcPr>
          <w:p w:rsidR="00987073" w:rsidRPr="00A35800" w:rsidDel="00EE2BBB" w:rsidRDefault="00987073" w:rsidP="00A35800">
            <w:pPr>
              <w:pStyle w:val="Tableheading"/>
              <w:rPr>
                <w:sz w:val="20"/>
                <w:szCs w:val="20"/>
              </w:rPr>
            </w:pPr>
            <w:r w:rsidRPr="00A35800" w:rsidDel="00EE2BBB">
              <w:rPr>
                <w:sz w:val="20"/>
                <w:szCs w:val="20"/>
              </w:rPr>
              <w:t xml:space="preserve">Rpts </w:t>
            </w:r>
          </w:p>
        </w:tc>
        <w:tc>
          <w:tcPr>
            <w:tcW w:w="992" w:type="dxa"/>
            <w:shd w:val="clear" w:color="auto" w:fill="BFBFBF" w:themeFill="background1" w:themeFillShade="BF"/>
          </w:tcPr>
          <w:p w:rsidR="00987073" w:rsidRPr="00A35800" w:rsidDel="00EE2BBB" w:rsidRDefault="0079263B" w:rsidP="00A35800">
            <w:pPr>
              <w:pStyle w:val="Tableheading"/>
              <w:rPr>
                <w:sz w:val="20"/>
                <w:szCs w:val="20"/>
              </w:rPr>
            </w:pPr>
            <w:r>
              <w:rPr>
                <w:sz w:val="20"/>
                <w:szCs w:val="20"/>
              </w:rPr>
              <w:t>DPMA*</w:t>
            </w:r>
          </w:p>
        </w:tc>
        <w:tc>
          <w:tcPr>
            <w:tcW w:w="1701" w:type="dxa"/>
            <w:shd w:val="clear" w:color="auto" w:fill="BFBFBF" w:themeFill="background1" w:themeFillShade="BF"/>
          </w:tcPr>
          <w:p w:rsidR="00987073" w:rsidRPr="00A35800" w:rsidDel="00EE2BBB" w:rsidRDefault="00987073" w:rsidP="00A35800">
            <w:pPr>
              <w:pStyle w:val="Tableheading"/>
              <w:rPr>
                <w:sz w:val="20"/>
                <w:szCs w:val="20"/>
              </w:rPr>
            </w:pPr>
            <w:r w:rsidRPr="00A35800" w:rsidDel="00EE2BBB">
              <w:rPr>
                <w:sz w:val="20"/>
                <w:szCs w:val="20"/>
              </w:rPr>
              <w:t>Brand name and manufacturer</w:t>
            </w:r>
          </w:p>
        </w:tc>
      </w:tr>
      <w:tr w:rsidR="0079263B" w:rsidRPr="00A35800" w:rsidDel="00EE2BBB" w:rsidTr="00B1788D">
        <w:trPr>
          <w:trHeight w:val="552"/>
          <w:tblHeader/>
        </w:trPr>
        <w:tc>
          <w:tcPr>
            <w:tcW w:w="907" w:type="dxa"/>
            <w:shd w:val="clear" w:color="auto" w:fill="auto"/>
          </w:tcPr>
          <w:p w:rsidR="00987073" w:rsidRPr="00987073" w:rsidRDefault="00987073" w:rsidP="00987073">
            <w:pPr>
              <w:pStyle w:val="Tablewriting"/>
              <w:spacing w:before="0"/>
              <w:rPr>
                <w:rFonts w:ascii="Calibri" w:hAnsi="Calibri"/>
                <w:bCs/>
                <w:szCs w:val="22"/>
              </w:rPr>
            </w:pPr>
            <w:r w:rsidRPr="00987073">
              <w:rPr>
                <w:rFonts w:ascii="Calibri" w:hAnsi="Calibri"/>
                <w:bCs/>
                <w:szCs w:val="22"/>
              </w:rPr>
              <w:t>11150W</w:t>
            </w:r>
          </w:p>
        </w:tc>
        <w:tc>
          <w:tcPr>
            <w:tcW w:w="1923" w:type="dxa"/>
            <w:shd w:val="clear" w:color="auto" w:fill="auto"/>
          </w:tcPr>
          <w:p w:rsidR="00987073" w:rsidRPr="00987073" w:rsidRDefault="00987073" w:rsidP="00987073">
            <w:pPr>
              <w:pStyle w:val="Tablewriting"/>
              <w:spacing w:before="0"/>
              <w:rPr>
                <w:rFonts w:ascii="Calibri" w:hAnsi="Calibri"/>
                <w:b/>
                <w:bCs/>
                <w:szCs w:val="22"/>
              </w:rPr>
            </w:pPr>
            <w:r w:rsidRPr="00987073">
              <w:rPr>
                <w:rFonts w:ascii="Calibri" w:hAnsi="Calibri"/>
                <w:szCs w:val="22"/>
              </w:rPr>
              <w:t>Injection concentrate for I.V. infusion 100 mg in 10 mL</w:t>
            </w:r>
          </w:p>
        </w:tc>
        <w:tc>
          <w:tcPr>
            <w:tcW w:w="993" w:type="dxa"/>
          </w:tcPr>
          <w:p w:rsidR="00987073" w:rsidRPr="00987073" w:rsidRDefault="00987073" w:rsidP="00987073">
            <w:pPr>
              <w:pStyle w:val="Tablewriting"/>
              <w:spacing w:before="0"/>
              <w:rPr>
                <w:rFonts w:ascii="Calibri" w:hAnsi="Calibri"/>
                <w:b/>
                <w:bCs/>
                <w:szCs w:val="22"/>
              </w:rPr>
            </w:pPr>
            <w:r w:rsidRPr="00987073">
              <w:rPr>
                <w:rFonts w:ascii="Calibri" w:hAnsi="Calibri"/>
                <w:szCs w:val="22"/>
              </w:rPr>
              <w:t>Initial treatment</w:t>
            </w:r>
            <w:r w:rsidR="0079263B">
              <w:rPr>
                <w:rFonts w:ascii="Calibri" w:hAnsi="Calibri"/>
                <w:szCs w:val="22"/>
              </w:rPr>
              <w:t xml:space="preserve"> – Public Hospital</w:t>
            </w:r>
          </w:p>
        </w:tc>
        <w:tc>
          <w:tcPr>
            <w:tcW w:w="1134" w:type="dxa"/>
            <w:shd w:val="clear" w:color="auto" w:fill="auto"/>
          </w:tcPr>
          <w:p w:rsidR="00987073" w:rsidRPr="00987073" w:rsidRDefault="00987073" w:rsidP="00987073">
            <w:pPr>
              <w:pStyle w:val="Tablewriting"/>
              <w:spacing w:before="0"/>
              <w:rPr>
                <w:rFonts w:ascii="Calibri" w:hAnsi="Calibri"/>
                <w:b/>
                <w:bCs/>
                <w:szCs w:val="22"/>
              </w:rPr>
            </w:pPr>
            <w:r w:rsidRPr="00987073">
              <w:rPr>
                <w:rFonts w:ascii="Calibri" w:hAnsi="Calibri"/>
                <w:szCs w:val="22"/>
              </w:rPr>
              <w:t>1/08/2017</w:t>
            </w:r>
          </w:p>
        </w:tc>
        <w:tc>
          <w:tcPr>
            <w:tcW w:w="992" w:type="dxa"/>
          </w:tcPr>
          <w:p w:rsidR="00987073" w:rsidRPr="0079263B" w:rsidDel="00EE2BBB" w:rsidRDefault="00987073" w:rsidP="0079263B">
            <w:pPr>
              <w:pStyle w:val="Tablewriting"/>
              <w:spacing w:before="0"/>
              <w:jc w:val="center"/>
              <w:rPr>
                <w:rFonts w:cstheme="minorHAnsi"/>
              </w:rPr>
            </w:pPr>
            <w:r w:rsidRPr="0079263B">
              <w:rPr>
                <w:rFonts w:cstheme="minorHAnsi"/>
                <w:color w:val="222222"/>
              </w:rPr>
              <w:t>480 mg</w:t>
            </w:r>
          </w:p>
        </w:tc>
        <w:tc>
          <w:tcPr>
            <w:tcW w:w="709" w:type="dxa"/>
            <w:shd w:val="clear" w:color="auto" w:fill="auto"/>
          </w:tcPr>
          <w:p w:rsidR="00987073" w:rsidRPr="0079263B" w:rsidDel="00EE2BBB" w:rsidRDefault="00987073" w:rsidP="0079263B">
            <w:pPr>
              <w:pStyle w:val="Tablewriting"/>
              <w:spacing w:before="0"/>
              <w:jc w:val="center"/>
              <w:rPr>
                <w:rFonts w:cstheme="minorHAnsi"/>
              </w:rPr>
            </w:pPr>
            <w:r w:rsidRPr="0079263B">
              <w:rPr>
                <w:rFonts w:cstheme="minorHAnsi"/>
                <w:color w:val="222222"/>
              </w:rPr>
              <w:t>8</w:t>
            </w:r>
          </w:p>
        </w:tc>
        <w:tc>
          <w:tcPr>
            <w:tcW w:w="992" w:type="dxa"/>
            <w:shd w:val="clear" w:color="auto" w:fill="auto"/>
          </w:tcPr>
          <w:p w:rsidR="00987073" w:rsidRPr="0079263B" w:rsidDel="00EE2BBB" w:rsidRDefault="00987073" w:rsidP="0079263B">
            <w:pPr>
              <w:pStyle w:val="Tablewriting"/>
              <w:spacing w:before="0"/>
              <w:jc w:val="center"/>
              <w:rPr>
                <w:rFonts w:cstheme="minorHAnsi"/>
              </w:rPr>
            </w:pPr>
            <w:r w:rsidRPr="0079263B">
              <w:rPr>
                <w:rFonts w:cstheme="minorHAnsi"/>
                <w:color w:val="222222"/>
              </w:rPr>
              <w:t>$10</w:t>
            </w:r>
            <w:r w:rsidR="0079263B">
              <w:rPr>
                <w:rFonts w:cstheme="minorHAnsi"/>
                <w:color w:val="222222"/>
              </w:rPr>
              <w:t>,</w:t>
            </w:r>
            <w:r w:rsidRPr="0079263B">
              <w:rPr>
                <w:rFonts w:cstheme="minorHAnsi"/>
                <w:color w:val="222222"/>
              </w:rPr>
              <w:t>053.46</w:t>
            </w:r>
          </w:p>
        </w:tc>
        <w:tc>
          <w:tcPr>
            <w:tcW w:w="1701" w:type="dxa"/>
            <w:shd w:val="clear" w:color="auto" w:fill="auto"/>
          </w:tcPr>
          <w:p w:rsidR="0079263B" w:rsidRDefault="0079263B" w:rsidP="0079263B">
            <w:pPr>
              <w:pStyle w:val="Tablewriting"/>
              <w:spacing w:before="0"/>
              <w:rPr>
                <w:rFonts w:ascii="Calibri" w:hAnsi="Calibri"/>
                <w:szCs w:val="22"/>
              </w:rPr>
            </w:pPr>
            <w:r>
              <w:rPr>
                <w:rFonts w:ascii="Calibri" w:hAnsi="Calibri"/>
                <w:szCs w:val="22"/>
              </w:rPr>
              <w:t>Opdivo®</w:t>
            </w:r>
          </w:p>
          <w:p w:rsidR="00987073" w:rsidRPr="0079263B" w:rsidDel="00EE2BBB" w:rsidRDefault="00987073" w:rsidP="0079263B">
            <w:pPr>
              <w:pStyle w:val="Tablewriting"/>
              <w:spacing w:before="0"/>
              <w:rPr>
                <w:rFonts w:ascii="Calibri" w:hAnsi="Calibri"/>
                <w:szCs w:val="22"/>
              </w:rPr>
            </w:pPr>
            <w:r w:rsidRPr="0079263B">
              <w:rPr>
                <w:rFonts w:ascii="Calibri" w:hAnsi="Calibri"/>
                <w:szCs w:val="22"/>
              </w:rPr>
              <w:t>Bristol-Myers Squibb Australia Pty Ltd</w:t>
            </w:r>
          </w:p>
        </w:tc>
      </w:tr>
      <w:tr w:rsidR="0079263B" w:rsidRPr="00A35800" w:rsidDel="00EE2BBB" w:rsidTr="00B1788D">
        <w:trPr>
          <w:trHeight w:val="546"/>
          <w:tblHeader/>
        </w:trPr>
        <w:tc>
          <w:tcPr>
            <w:tcW w:w="907" w:type="dxa"/>
            <w:shd w:val="clear" w:color="auto" w:fill="auto"/>
          </w:tcPr>
          <w:p w:rsidR="0079263B" w:rsidRPr="00987073" w:rsidDel="00EE2BBB" w:rsidRDefault="0079263B" w:rsidP="00681653">
            <w:pPr>
              <w:pStyle w:val="Tablewriting"/>
              <w:spacing w:before="0"/>
            </w:pPr>
            <w:r w:rsidRPr="00987073">
              <w:rPr>
                <w:rFonts w:ascii="Calibri" w:hAnsi="Calibri"/>
                <w:bCs/>
                <w:szCs w:val="22"/>
              </w:rPr>
              <w:t>11160J</w:t>
            </w:r>
          </w:p>
        </w:tc>
        <w:tc>
          <w:tcPr>
            <w:tcW w:w="1923" w:type="dxa"/>
            <w:shd w:val="clear" w:color="auto" w:fill="auto"/>
          </w:tcPr>
          <w:p w:rsidR="0079263B" w:rsidRPr="00987073" w:rsidDel="00EE2BBB" w:rsidRDefault="0079263B" w:rsidP="00681653">
            <w:pPr>
              <w:pStyle w:val="Tablewriting"/>
              <w:spacing w:before="0"/>
            </w:pPr>
            <w:r w:rsidRPr="00987073">
              <w:rPr>
                <w:rFonts w:ascii="Calibri" w:hAnsi="Calibri"/>
                <w:szCs w:val="22"/>
              </w:rPr>
              <w:t>Injection concentrate for I.V. infusion 100 mg in 10 mL</w:t>
            </w:r>
          </w:p>
        </w:tc>
        <w:tc>
          <w:tcPr>
            <w:tcW w:w="993" w:type="dxa"/>
          </w:tcPr>
          <w:p w:rsidR="0079263B" w:rsidRPr="00987073" w:rsidDel="00EE2BBB" w:rsidRDefault="0079263B" w:rsidP="00681653">
            <w:pPr>
              <w:pStyle w:val="Tablewriting"/>
              <w:spacing w:before="0"/>
            </w:pPr>
            <w:r w:rsidRPr="00987073">
              <w:rPr>
                <w:rFonts w:ascii="Calibri" w:hAnsi="Calibri"/>
                <w:szCs w:val="22"/>
              </w:rPr>
              <w:t>Continuing treatment</w:t>
            </w:r>
            <w:r>
              <w:rPr>
                <w:rFonts w:ascii="Calibri" w:hAnsi="Calibri"/>
                <w:szCs w:val="22"/>
              </w:rPr>
              <w:t xml:space="preserve"> – Public Hospital</w:t>
            </w:r>
          </w:p>
        </w:tc>
        <w:tc>
          <w:tcPr>
            <w:tcW w:w="1134" w:type="dxa"/>
            <w:shd w:val="clear" w:color="auto" w:fill="auto"/>
          </w:tcPr>
          <w:p w:rsidR="0079263B" w:rsidRPr="00987073" w:rsidDel="00EE2BBB" w:rsidRDefault="0079263B" w:rsidP="00681653">
            <w:pPr>
              <w:pStyle w:val="Tablewriting"/>
              <w:spacing w:before="0"/>
            </w:pPr>
            <w:r w:rsidRPr="00987073">
              <w:rPr>
                <w:rFonts w:ascii="Calibri" w:hAnsi="Calibri"/>
                <w:szCs w:val="22"/>
              </w:rPr>
              <w:t>1/08/2017</w:t>
            </w:r>
          </w:p>
        </w:tc>
        <w:tc>
          <w:tcPr>
            <w:tcW w:w="992" w:type="dxa"/>
          </w:tcPr>
          <w:p w:rsidR="0079263B" w:rsidRPr="00A35800" w:rsidDel="00EE2BBB" w:rsidRDefault="0079263B" w:rsidP="00681653">
            <w:pPr>
              <w:pStyle w:val="Tablewriting"/>
              <w:spacing w:before="0"/>
              <w:jc w:val="center"/>
            </w:pPr>
            <w:r w:rsidRPr="0079263B">
              <w:rPr>
                <w:rFonts w:cstheme="minorHAnsi"/>
                <w:color w:val="222222"/>
              </w:rPr>
              <w:t>480 mg</w:t>
            </w:r>
          </w:p>
        </w:tc>
        <w:tc>
          <w:tcPr>
            <w:tcW w:w="709" w:type="dxa"/>
            <w:shd w:val="clear" w:color="auto" w:fill="auto"/>
          </w:tcPr>
          <w:p w:rsidR="0079263B" w:rsidRPr="00A35800" w:rsidDel="00EE2BBB" w:rsidRDefault="0079263B" w:rsidP="00681653">
            <w:pPr>
              <w:pStyle w:val="Tablewriting"/>
              <w:spacing w:before="0"/>
              <w:jc w:val="center"/>
            </w:pPr>
            <w:r>
              <w:rPr>
                <w:rFonts w:cstheme="minorHAnsi"/>
                <w:color w:val="222222"/>
              </w:rPr>
              <w:t>11</w:t>
            </w:r>
          </w:p>
        </w:tc>
        <w:tc>
          <w:tcPr>
            <w:tcW w:w="992" w:type="dxa"/>
            <w:shd w:val="clear" w:color="auto" w:fill="auto"/>
          </w:tcPr>
          <w:p w:rsidR="0079263B" w:rsidRPr="00A35800" w:rsidDel="00EE2BBB" w:rsidRDefault="0079263B" w:rsidP="00681653">
            <w:pPr>
              <w:pStyle w:val="Tablewriting"/>
              <w:spacing w:before="0"/>
              <w:jc w:val="center"/>
            </w:pPr>
            <w:r w:rsidRPr="0079263B">
              <w:rPr>
                <w:rFonts w:cstheme="minorHAnsi"/>
                <w:color w:val="222222"/>
              </w:rPr>
              <w:t>$10</w:t>
            </w:r>
            <w:r>
              <w:rPr>
                <w:rFonts w:cstheme="minorHAnsi"/>
                <w:color w:val="222222"/>
              </w:rPr>
              <w:t>,</w:t>
            </w:r>
            <w:r w:rsidRPr="0079263B">
              <w:rPr>
                <w:rFonts w:cstheme="minorHAnsi"/>
                <w:color w:val="222222"/>
              </w:rPr>
              <w:t>053.46</w:t>
            </w:r>
          </w:p>
        </w:tc>
        <w:tc>
          <w:tcPr>
            <w:tcW w:w="1701" w:type="dxa"/>
            <w:shd w:val="clear" w:color="auto" w:fill="auto"/>
          </w:tcPr>
          <w:p w:rsidR="0079263B" w:rsidRDefault="0079263B" w:rsidP="00681653">
            <w:pPr>
              <w:pStyle w:val="Tablewriting"/>
              <w:spacing w:before="0"/>
              <w:rPr>
                <w:rFonts w:ascii="Calibri" w:hAnsi="Calibri"/>
                <w:szCs w:val="22"/>
              </w:rPr>
            </w:pPr>
            <w:r>
              <w:rPr>
                <w:rFonts w:ascii="Calibri" w:hAnsi="Calibri"/>
                <w:szCs w:val="22"/>
              </w:rPr>
              <w:t>Opdivo®</w:t>
            </w:r>
          </w:p>
          <w:p w:rsidR="0079263B" w:rsidRPr="00A35800" w:rsidDel="00EE2BBB" w:rsidRDefault="0079263B" w:rsidP="00681653">
            <w:pPr>
              <w:pStyle w:val="Tablewriting"/>
              <w:spacing w:before="0"/>
              <w:jc w:val="both"/>
            </w:pPr>
            <w:r w:rsidRPr="0079263B">
              <w:rPr>
                <w:rFonts w:ascii="Calibri" w:hAnsi="Calibri"/>
                <w:szCs w:val="22"/>
              </w:rPr>
              <w:t>Bristol-Myers Squibb Australia Pty Ltd</w:t>
            </w:r>
          </w:p>
        </w:tc>
      </w:tr>
      <w:tr w:rsidR="0079263B" w:rsidRPr="00A35800" w:rsidDel="00EE2BBB" w:rsidTr="00B1788D">
        <w:trPr>
          <w:trHeight w:val="552"/>
          <w:tblHeader/>
        </w:trPr>
        <w:tc>
          <w:tcPr>
            <w:tcW w:w="907" w:type="dxa"/>
            <w:shd w:val="clear" w:color="auto" w:fill="auto"/>
          </w:tcPr>
          <w:p w:rsidR="0079263B" w:rsidRPr="00987073" w:rsidRDefault="0079263B" w:rsidP="0079263B">
            <w:pPr>
              <w:pStyle w:val="Tablewriting"/>
              <w:spacing w:before="0"/>
              <w:rPr>
                <w:rFonts w:ascii="Calibri" w:hAnsi="Calibri"/>
                <w:bCs/>
                <w:szCs w:val="22"/>
              </w:rPr>
            </w:pPr>
            <w:r w:rsidRPr="00987073">
              <w:rPr>
                <w:rFonts w:ascii="Calibri" w:hAnsi="Calibri"/>
                <w:bCs/>
                <w:szCs w:val="22"/>
              </w:rPr>
              <w:t>11159H</w:t>
            </w:r>
          </w:p>
        </w:tc>
        <w:tc>
          <w:tcPr>
            <w:tcW w:w="1923" w:type="dxa"/>
            <w:shd w:val="clear" w:color="auto" w:fill="auto"/>
          </w:tcPr>
          <w:p w:rsidR="0079263B" w:rsidRPr="00987073" w:rsidRDefault="0079263B" w:rsidP="0079263B">
            <w:pPr>
              <w:pStyle w:val="Tablewriting"/>
              <w:spacing w:before="0"/>
              <w:rPr>
                <w:rFonts w:ascii="Calibri" w:hAnsi="Calibri"/>
                <w:b/>
                <w:bCs/>
                <w:szCs w:val="22"/>
              </w:rPr>
            </w:pPr>
            <w:r w:rsidRPr="00987073">
              <w:rPr>
                <w:rFonts w:ascii="Calibri" w:hAnsi="Calibri"/>
                <w:szCs w:val="22"/>
              </w:rPr>
              <w:t>Injection concentrate for I.V. infusion 100 mg in 10 mL</w:t>
            </w:r>
          </w:p>
        </w:tc>
        <w:tc>
          <w:tcPr>
            <w:tcW w:w="993" w:type="dxa"/>
          </w:tcPr>
          <w:p w:rsidR="0079263B" w:rsidRPr="00987073" w:rsidRDefault="0079263B" w:rsidP="0079263B">
            <w:pPr>
              <w:pStyle w:val="Tablewriting"/>
              <w:spacing w:before="0"/>
              <w:rPr>
                <w:rFonts w:ascii="Calibri" w:hAnsi="Calibri"/>
                <w:b/>
                <w:bCs/>
                <w:szCs w:val="22"/>
              </w:rPr>
            </w:pPr>
            <w:r w:rsidRPr="00987073">
              <w:rPr>
                <w:rFonts w:ascii="Calibri" w:hAnsi="Calibri"/>
                <w:szCs w:val="22"/>
              </w:rPr>
              <w:t>Initial treatment</w:t>
            </w:r>
            <w:r>
              <w:rPr>
                <w:rFonts w:ascii="Calibri" w:hAnsi="Calibri"/>
                <w:szCs w:val="22"/>
              </w:rPr>
              <w:t xml:space="preserve"> – Private Hospital</w:t>
            </w:r>
          </w:p>
        </w:tc>
        <w:tc>
          <w:tcPr>
            <w:tcW w:w="1134" w:type="dxa"/>
            <w:shd w:val="clear" w:color="auto" w:fill="auto"/>
          </w:tcPr>
          <w:p w:rsidR="0079263B" w:rsidRPr="00987073" w:rsidRDefault="0079263B" w:rsidP="0079263B">
            <w:pPr>
              <w:pStyle w:val="Tablewriting"/>
              <w:spacing w:before="0"/>
              <w:rPr>
                <w:rFonts w:ascii="Calibri" w:hAnsi="Calibri"/>
                <w:b/>
                <w:bCs/>
                <w:szCs w:val="22"/>
              </w:rPr>
            </w:pPr>
            <w:r w:rsidRPr="00987073">
              <w:rPr>
                <w:rFonts w:ascii="Calibri" w:hAnsi="Calibri"/>
                <w:szCs w:val="22"/>
              </w:rPr>
              <w:t>1/08/2017</w:t>
            </w:r>
          </w:p>
        </w:tc>
        <w:tc>
          <w:tcPr>
            <w:tcW w:w="992" w:type="dxa"/>
          </w:tcPr>
          <w:p w:rsidR="0079263B" w:rsidRPr="00A35800" w:rsidDel="00EE2BBB" w:rsidRDefault="0079263B" w:rsidP="0079263B">
            <w:pPr>
              <w:pStyle w:val="Tablewriting"/>
              <w:spacing w:before="0"/>
              <w:jc w:val="center"/>
            </w:pPr>
            <w:r w:rsidRPr="0079263B">
              <w:rPr>
                <w:rFonts w:cstheme="minorHAnsi"/>
                <w:color w:val="222222"/>
              </w:rPr>
              <w:t>480 mg</w:t>
            </w:r>
          </w:p>
        </w:tc>
        <w:tc>
          <w:tcPr>
            <w:tcW w:w="709" w:type="dxa"/>
            <w:shd w:val="clear" w:color="auto" w:fill="auto"/>
          </w:tcPr>
          <w:p w:rsidR="0079263B" w:rsidRPr="00A35800" w:rsidDel="00EE2BBB" w:rsidRDefault="0079263B" w:rsidP="0079263B">
            <w:pPr>
              <w:pStyle w:val="Tablewriting"/>
              <w:spacing w:before="0"/>
              <w:jc w:val="center"/>
            </w:pPr>
            <w:r w:rsidRPr="0079263B">
              <w:rPr>
                <w:rFonts w:cstheme="minorHAnsi"/>
                <w:color w:val="222222"/>
              </w:rPr>
              <w:t>8</w:t>
            </w:r>
          </w:p>
        </w:tc>
        <w:tc>
          <w:tcPr>
            <w:tcW w:w="992" w:type="dxa"/>
            <w:shd w:val="clear" w:color="auto" w:fill="auto"/>
          </w:tcPr>
          <w:p w:rsidR="0079263B" w:rsidRPr="00A35800" w:rsidDel="00EE2BBB" w:rsidRDefault="0079263B" w:rsidP="0079263B">
            <w:pPr>
              <w:pStyle w:val="Tablewriting"/>
              <w:spacing w:before="0"/>
              <w:jc w:val="center"/>
            </w:pPr>
            <w:r w:rsidRPr="0079263B">
              <w:rPr>
                <w:rFonts w:cstheme="minorHAnsi"/>
                <w:color w:val="222222"/>
              </w:rPr>
              <w:t>$10</w:t>
            </w:r>
            <w:r>
              <w:rPr>
                <w:rFonts w:cstheme="minorHAnsi"/>
                <w:color w:val="222222"/>
              </w:rPr>
              <w:t>,</w:t>
            </w:r>
            <w:r w:rsidRPr="0079263B">
              <w:rPr>
                <w:rFonts w:cstheme="minorHAnsi"/>
                <w:color w:val="222222"/>
              </w:rPr>
              <w:t>232.76</w:t>
            </w:r>
          </w:p>
        </w:tc>
        <w:tc>
          <w:tcPr>
            <w:tcW w:w="1701" w:type="dxa"/>
            <w:shd w:val="clear" w:color="auto" w:fill="auto"/>
          </w:tcPr>
          <w:p w:rsidR="0079263B" w:rsidRDefault="0079263B" w:rsidP="0079263B">
            <w:pPr>
              <w:pStyle w:val="Tablewriting"/>
              <w:spacing w:before="0"/>
              <w:rPr>
                <w:rFonts w:ascii="Calibri" w:hAnsi="Calibri"/>
                <w:szCs w:val="22"/>
              </w:rPr>
            </w:pPr>
            <w:r>
              <w:rPr>
                <w:rFonts w:ascii="Calibri" w:hAnsi="Calibri"/>
                <w:szCs w:val="22"/>
              </w:rPr>
              <w:t>Opdivo®</w:t>
            </w:r>
          </w:p>
          <w:p w:rsidR="0079263B" w:rsidRPr="00A35800" w:rsidDel="00EE2BBB" w:rsidRDefault="0079263B" w:rsidP="0079263B">
            <w:pPr>
              <w:pStyle w:val="Tablewriting"/>
              <w:spacing w:before="0"/>
              <w:jc w:val="both"/>
            </w:pPr>
            <w:r w:rsidRPr="0079263B">
              <w:rPr>
                <w:rFonts w:ascii="Calibri" w:hAnsi="Calibri"/>
                <w:szCs w:val="22"/>
              </w:rPr>
              <w:t>Bristol-Myers Squibb Australia Pty Ltd</w:t>
            </w:r>
          </w:p>
        </w:tc>
      </w:tr>
      <w:tr w:rsidR="0079263B" w:rsidRPr="00A35800" w:rsidDel="00EE2BBB" w:rsidTr="00B1788D">
        <w:trPr>
          <w:trHeight w:val="552"/>
          <w:tblHeader/>
        </w:trPr>
        <w:tc>
          <w:tcPr>
            <w:tcW w:w="907" w:type="dxa"/>
            <w:shd w:val="clear" w:color="auto" w:fill="auto"/>
          </w:tcPr>
          <w:p w:rsidR="0079263B" w:rsidRPr="00987073" w:rsidRDefault="0079263B" w:rsidP="0079263B">
            <w:pPr>
              <w:pStyle w:val="Tablewriting"/>
              <w:spacing w:before="0"/>
              <w:rPr>
                <w:rFonts w:ascii="Calibri" w:hAnsi="Calibri"/>
                <w:bCs/>
                <w:szCs w:val="22"/>
              </w:rPr>
            </w:pPr>
            <w:r w:rsidRPr="00987073">
              <w:rPr>
                <w:rFonts w:ascii="Calibri" w:hAnsi="Calibri"/>
                <w:bCs/>
                <w:szCs w:val="22"/>
              </w:rPr>
              <w:t>11157F</w:t>
            </w:r>
          </w:p>
        </w:tc>
        <w:tc>
          <w:tcPr>
            <w:tcW w:w="1923" w:type="dxa"/>
            <w:shd w:val="clear" w:color="auto" w:fill="auto"/>
          </w:tcPr>
          <w:p w:rsidR="0079263B" w:rsidRPr="00987073" w:rsidRDefault="0079263B" w:rsidP="0079263B">
            <w:pPr>
              <w:pStyle w:val="Tablewriting"/>
              <w:spacing w:before="0"/>
              <w:rPr>
                <w:rFonts w:ascii="Calibri" w:hAnsi="Calibri"/>
                <w:b/>
                <w:bCs/>
                <w:szCs w:val="22"/>
              </w:rPr>
            </w:pPr>
            <w:r w:rsidRPr="00987073">
              <w:rPr>
                <w:rFonts w:ascii="Calibri" w:hAnsi="Calibri"/>
                <w:szCs w:val="22"/>
              </w:rPr>
              <w:t>Injection concentrate for I.V. infusion 100 mg in 10 mL</w:t>
            </w:r>
          </w:p>
        </w:tc>
        <w:tc>
          <w:tcPr>
            <w:tcW w:w="993" w:type="dxa"/>
          </w:tcPr>
          <w:p w:rsidR="0079263B" w:rsidRPr="00987073" w:rsidRDefault="0079263B" w:rsidP="0079263B">
            <w:pPr>
              <w:pStyle w:val="Tablewriting"/>
              <w:spacing w:before="0"/>
              <w:rPr>
                <w:rFonts w:ascii="Calibri" w:hAnsi="Calibri"/>
                <w:b/>
                <w:bCs/>
                <w:szCs w:val="22"/>
              </w:rPr>
            </w:pPr>
            <w:r w:rsidRPr="00987073">
              <w:rPr>
                <w:rFonts w:ascii="Calibri" w:hAnsi="Calibri"/>
                <w:szCs w:val="22"/>
              </w:rPr>
              <w:t>Continuing treatment</w:t>
            </w:r>
            <w:r>
              <w:rPr>
                <w:rFonts w:ascii="Calibri" w:hAnsi="Calibri"/>
                <w:szCs w:val="22"/>
              </w:rPr>
              <w:t xml:space="preserve"> – Private Hospital</w:t>
            </w:r>
          </w:p>
        </w:tc>
        <w:tc>
          <w:tcPr>
            <w:tcW w:w="1134" w:type="dxa"/>
            <w:shd w:val="clear" w:color="auto" w:fill="auto"/>
          </w:tcPr>
          <w:p w:rsidR="0079263B" w:rsidRPr="00987073" w:rsidRDefault="0079263B" w:rsidP="0079263B">
            <w:pPr>
              <w:pStyle w:val="Tablewriting"/>
              <w:spacing w:before="0"/>
              <w:rPr>
                <w:rFonts w:ascii="Calibri" w:hAnsi="Calibri"/>
                <w:b/>
                <w:bCs/>
                <w:szCs w:val="22"/>
              </w:rPr>
            </w:pPr>
            <w:r w:rsidRPr="00987073">
              <w:rPr>
                <w:rFonts w:ascii="Calibri" w:hAnsi="Calibri"/>
                <w:szCs w:val="22"/>
              </w:rPr>
              <w:t>1/08/2017</w:t>
            </w:r>
          </w:p>
        </w:tc>
        <w:tc>
          <w:tcPr>
            <w:tcW w:w="992" w:type="dxa"/>
          </w:tcPr>
          <w:p w:rsidR="0079263B" w:rsidRPr="00A35800" w:rsidDel="00EE2BBB" w:rsidRDefault="0079263B" w:rsidP="0079263B">
            <w:pPr>
              <w:pStyle w:val="Tablewriting"/>
              <w:spacing w:before="0"/>
              <w:jc w:val="center"/>
            </w:pPr>
            <w:r w:rsidRPr="0079263B">
              <w:rPr>
                <w:rFonts w:cstheme="minorHAnsi"/>
                <w:color w:val="222222"/>
              </w:rPr>
              <w:t>480 mg</w:t>
            </w:r>
          </w:p>
        </w:tc>
        <w:tc>
          <w:tcPr>
            <w:tcW w:w="709" w:type="dxa"/>
            <w:shd w:val="clear" w:color="auto" w:fill="auto"/>
          </w:tcPr>
          <w:p w:rsidR="0079263B" w:rsidRPr="00A35800" w:rsidDel="00EE2BBB" w:rsidRDefault="0079263B" w:rsidP="0079263B">
            <w:pPr>
              <w:pStyle w:val="Tablewriting"/>
              <w:spacing w:before="0"/>
              <w:jc w:val="center"/>
            </w:pPr>
            <w:r>
              <w:rPr>
                <w:rFonts w:cstheme="minorHAnsi"/>
                <w:color w:val="222222"/>
              </w:rPr>
              <w:t>11</w:t>
            </w:r>
          </w:p>
        </w:tc>
        <w:tc>
          <w:tcPr>
            <w:tcW w:w="992" w:type="dxa"/>
            <w:shd w:val="clear" w:color="auto" w:fill="auto"/>
          </w:tcPr>
          <w:p w:rsidR="0079263B" w:rsidRPr="00A35800" w:rsidDel="00EE2BBB" w:rsidRDefault="0079263B" w:rsidP="0079263B">
            <w:pPr>
              <w:pStyle w:val="Tablewriting"/>
              <w:spacing w:before="0"/>
              <w:jc w:val="center"/>
            </w:pPr>
            <w:r w:rsidRPr="0079263B">
              <w:rPr>
                <w:rFonts w:cstheme="minorHAnsi"/>
                <w:color w:val="222222"/>
              </w:rPr>
              <w:t>$10</w:t>
            </w:r>
            <w:r>
              <w:rPr>
                <w:rFonts w:cstheme="minorHAnsi"/>
                <w:color w:val="222222"/>
              </w:rPr>
              <w:t>,</w:t>
            </w:r>
            <w:r w:rsidRPr="0079263B">
              <w:rPr>
                <w:rFonts w:cstheme="minorHAnsi"/>
                <w:color w:val="222222"/>
              </w:rPr>
              <w:t>232.76</w:t>
            </w:r>
          </w:p>
        </w:tc>
        <w:tc>
          <w:tcPr>
            <w:tcW w:w="1701" w:type="dxa"/>
            <w:shd w:val="clear" w:color="auto" w:fill="auto"/>
          </w:tcPr>
          <w:p w:rsidR="0079263B" w:rsidRDefault="0079263B" w:rsidP="0079263B">
            <w:pPr>
              <w:pStyle w:val="Tablewriting"/>
              <w:spacing w:before="0"/>
              <w:rPr>
                <w:rFonts w:ascii="Calibri" w:hAnsi="Calibri"/>
                <w:szCs w:val="22"/>
              </w:rPr>
            </w:pPr>
            <w:r>
              <w:rPr>
                <w:rFonts w:ascii="Calibri" w:hAnsi="Calibri"/>
                <w:szCs w:val="22"/>
              </w:rPr>
              <w:t>Opdivo®</w:t>
            </w:r>
          </w:p>
          <w:p w:rsidR="0079263B" w:rsidRPr="0079263B" w:rsidDel="00EE2BBB" w:rsidRDefault="0079263B" w:rsidP="0079263B">
            <w:pPr>
              <w:pStyle w:val="Tablewriting"/>
              <w:spacing w:before="0"/>
              <w:rPr>
                <w:rFonts w:ascii="Calibri" w:hAnsi="Calibri"/>
                <w:szCs w:val="22"/>
              </w:rPr>
            </w:pPr>
            <w:r w:rsidRPr="0079263B">
              <w:rPr>
                <w:rFonts w:ascii="Calibri" w:hAnsi="Calibri"/>
                <w:szCs w:val="22"/>
              </w:rPr>
              <w:t>Bristol-Myers Squibb Australia Pty Ltd</w:t>
            </w:r>
          </w:p>
        </w:tc>
      </w:tr>
    </w:tbl>
    <w:p w:rsidR="00987073" w:rsidRPr="00A35800" w:rsidDel="00EE2BBB" w:rsidRDefault="007408C7" w:rsidP="00BB1D3B">
      <w:pPr>
        <w:pStyle w:val="Notes"/>
      </w:pPr>
      <w:r w:rsidRPr="00A35800" w:rsidDel="00EE2BBB">
        <w:t xml:space="preserve">Source: </w:t>
      </w:r>
      <w:r w:rsidR="001624D7" w:rsidDel="00EE2BBB">
        <w:t xml:space="preserve">the </w:t>
      </w:r>
      <w:r w:rsidR="001624D7" w:rsidRPr="001348C4" w:rsidDel="00EE2BBB">
        <w:t>PBS website</w:t>
      </w:r>
      <w:r w:rsidR="001624D7" w:rsidDel="00EE2BBB">
        <w:t>.</w:t>
      </w:r>
      <w:r w:rsidR="0080485E" w:rsidDel="00EE2BBB">
        <w:t xml:space="preserve">  </w:t>
      </w:r>
      <w:r w:rsidR="0079263B">
        <w:t>*</w:t>
      </w:r>
      <w:r w:rsidR="0080485E" w:rsidRPr="0080485E" w:rsidDel="00EE2BBB">
        <w:t>Special Pricing Arrangement</w:t>
      </w:r>
      <w:r w:rsidR="0079263B">
        <w:t>s</w:t>
      </w:r>
      <w:r w:rsidR="0080485E" w:rsidRPr="0080485E" w:rsidDel="00EE2BBB">
        <w:t xml:space="preserve"> </w:t>
      </w:r>
      <w:r w:rsidR="0079263B">
        <w:t>apply.</w:t>
      </w:r>
    </w:p>
    <w:p w:rsidR="004C3186" w:rsidDel="00EE2BBB" w:rsidRDefault="004C3186" w:rsidP="00CF5E22">
      <w:pPr>
        <w:pStyle w:val="Heading3"/>
      </w:pPr>
      <w:r w:rsidDel="00EE2BBB">
        <w:t>Restriction</w:t>
      </w:r>
    </w:p>
    <w:p w:rsidR="009D67DB" w:rsidRDefault="009D67DB" w:rsidP="00E71181">
      <w:pPr>
        <w:spacing w:after="0"/>
      </w:pPr>
      <w:r>
        <w:t>Nivolumab has Authority Required (STREAMLINED) listings for initial and continuing treatment.</w:t>
      </w:r>
    </w:p>
    <w:p w:rsidR="009D67DB" w:rsidRDefault="009D67DB" w:rsidP="00E71181">
      <w:pPr>
        <w:spacing w:after="0"/>
      </w:pPr>
    </w:p>
    <w:p w:rsidR="00E71181" w:rsidRPr="00E71181" w:rsidRDefault="00E71181" w:rsidP="00E71181">
      <w:pPr>
        <w:spacing w:after="0"/>
      </w:pPr>
      <w:r w:rsidRPr="00E71181">
        <w:t>Stage IV clear cell variant renal cell carcinoma (RCC)</w:t>
      </w:r>
    </w:p>
    <w:p w:rsidR="00E71181" w:rsidRPr="00E71181" w:rsidRDefault="00E71181" w:rsidP="00E71181">
      <w:pPr>
        <w:spacing w:after="0"/>
      </w:pPr>
      <w:r w:rsidRPr="00E71181">
        <w:t xml:space="preserve">Treatment Phase: </w:t>
      </w:r>
      <w:r w:rsidRPr="006E28F5">
        <w:t>Initial Treatment</w:t>
      </w:r>
    </w:p>
    <w:p w:rsidR="00E71181" w:rsidRPr="00E71181" w:rsidRDefault="00E71181" w:rsidP="00E71181">
      <w:pPr>
        <w:spacing w:after="0"/>
      </w:pPr>
      <w:r w:rsidRPr="00E71181">
        <w:t>Clinical criteria:</w:t>
      </w:r>
    </w:p>
    <w:p w:rsidR="00E71181" w:rsidRPr="00E71181" w:rsidRDefault="00E71181" w:rsidP="00E71181">
      <w:pPr>
        <w:pStyle w:val="ListParagraph"/>
        <w:numPr>
          <w:ilvl w:val="0"/>
          <w:numId w:val="10"/>
        </w:numPr>
        <w:spacing w:after="0"/>
      </w:pPr>
      <w:r w:rsidRPr="00E71181">
        <w:t>The treatment must be the sole PBS-subsidised therapy for this condition,</w:t>
      </w:r>
    </w:p>
    <w:p w:rsidR="00E71181" w:rsidRPr="00E71181" w:rsidRDefault="00E71181" w:rsidP="00E71181">
      <w:pPr>
        <w:spacing w:after="0"/>
      </w:pPr>
      <w:r w:rsidRPr="00E71181">
        <w:t>AND</w:t>
      </w:r>
    </w:p>
    <w:p w:rsidR="00E71181" w:rsidRPr="00E71181" w:rsidRDefault="00E71181" w:rsidP="00E71181">
      <w:pPr>
        <w:pStyle w:val="ListParagraph"/>
        <w:numPr>
          <w:ilvl w:val="0"/>
          <w:numId w:val="10"/>
        </w:numPr>
        <w:spacing w:after="0"/>
      </w:pPr>
      <w:r w:rsidRPr="00E71181">
        <w:t>Patient must have a WHO performance status of 2 or less,</w:t>
      </w:r>
    </w:p>
    <w:p w:rsidR="00E71181" w:rsidRPr="00E71181" w:rsidRDefault="00E71181" w:rsidP="00E71181">
      <w:pPr>
        <w:spacing w:after="0"/>
      </w:pPr>
      <w:r w:rsidRPr="00E71181">
        <w:t>AND</w:t>
      </w:r>
    </w:p>
    <w:p w:rsidR="00E71181" w:rsidRPr="00E71181" w:rsidRDefault="00E71181" w:rsidP="00E71181">
      <w:pPr>
        <w:pStyle w:val="ListParagraph"/>
        <w:numPr>
          <w:ilvl w:val="0"/>
          <w:numId w:val="10"/>
        </w:numPr>
        <w:spacing w:after="0"/>
      </w:pPr>
      <w:r w:rsidRPr="00E71181">
        <w:t>Patient must have progressive disease according to the Response Evaluation Criteria in Solid Tumours (RECIST) following prior treatment with a tyrosine kinase inhibitor; OR</w:t>
      </w:r>
    </w:p>
    <w:p w:rsidR="00E71181" w:rsidRPr="00E71181" w:rsidRDefault="00E71181" w:rsidP="00E71181">
      <w:pPr>
        <w:pStyle w:val="ListParagraph"/>
        <w:numPr>
          <w:ilvl w:val="0"/>
          <w:numId w:val="10"/>
        </w:numPr>
        <w:spacing w:after="0"/>
      </w:pPr>
      <w:r w:rsidRPr="00E71181">
        <w:t>Patient must have developed intolerance to a tyrosine kinase inhibitor of a severity necessitating permanent treatment withdrawal,</w:t>
      </w:r>
    </w:p>
    <w:p w:rsidR="00E71181" w:rsidRPr="00E71181" w:rsidRDefault="00E71181" w:rsidP="00E71181">
      <w:pPr>
        <w:spacing w:after="0"/>
      </w:pPr>
      <w:r w:rsidRPr="00E71181">
        <w:t>AND</w:t>
      </w:r>
    </w:p>
    <w:p w:rsidR="00E71181" w:rsidRPr="00E71181" w:rsidRDefault="00E71181" w:rsidP="00E71181">
      <w:pPr>
        <w:pStyle w:val="ListParagraph"/>
        <w:numPr>
          <w:ilvl w:val="0"/>
          <w:numId w:val="10"/>
        </w:numPr>
        <w:spacing w:after="0"/>
      </w:pPr>
      <w:r w:rsidRPr="00E71181">
        <w:t>Patient must not have received prior treatment with a programmed cell death-1 (PD-1) inhibitor or a programmed cell death ligand-1 (PD-L1) inhibitor for this condition.</w:t>
      </w:r>
    </w:p>
    <w:p w:rsidR="00E71181" w:rsidRPr="00E71181" w:rsidRDefault="00E71181" w:rsidP="00E71181">
      <w:pPr>
        <w:spacing w:after="0"/>
      </w:pPr>
    </w:p>
    <w:p w:rsidR="00E71181" w:rsidRPr="00E71181" w:rsidRDefault="00E71181" w:rsidP="00E71181">
      <w:pPr>
        <w:spacing w:after="0"/>
      </w:pPr>
      <w:r w:rsidRPr="00E71181">
        <w:t>The patient's body weight must be documented in the patient's medical records at the time treatment is initiated.</w:t>
      </w:r>
    </w:p>
    <w:p w:rsidR="00E71181" w:rsidRPr="00E71181" w:rsidRDefault="00E71181" w:rsidP="00E71181">
      <w:pPr>
        <w:spacing w:after="0"/>
      </w:pPr>
      <w:r w:rsidRPr="00E71181">
        <w:t>Patients must only receive a maximum of 240 mg every two weeks or 480 mg every four weeks under a weight based or flat dosing regimen.</w:t>
      </w:r>
    </w:p>
    <w:p w:rsidR="00E71181" w:rsidRDefault="00E71181" w:rsidP="00E71181">
      <w:pPr>
        <w:spacing w:after="0"/>
      </w:pPr>
    </w:p>
    <w:p w:rsidR="008C2938" w:rsidRPr="008C2938" w:rsidRDefault="008C2938" w:rsidP="00B1788D">
      <w:pPr>
        <w:keepNext/>
        <w:spacing w:after="0"/>
        <w:rPr>
          <w:u w:val="single"/>
        </w:rPr>
      </w:pPr>
      <w:r w:rsidRPr="008C2938">
        <w:rPr>
          <w:u w:val="single"/>
        </w:rPr>
        <w:t>Note</w:t>
      </w:r>
    </w:p>
    <w:p w:rsidR="008C2938" w:rsidRPr="008C2938" w:rsidRDefault="008C2938" w:rsidP="008C2938">
      <w:pPr>
        <w:spacing w:after="0"/>
      </w:pPr>
      <w:r w:rsidRPr="008C2938">
        <w:t xml:space="preserve">In the </w:t>
      </w:r>
      <w:r w:rsidR="00F629EF">
        <w:t>first</w:t>
      </w:r>
      <w:r w:rsidRPr="008C2938">
        <w:t xml:space="preserve"> few months after start of immunotherapy, some patients can have a transient tumour flare with subsequent disease response. When progression is suspected, this should be confirmed through a confirmatory scan, taken at least 4 weeks later.</w:t>
      </w:r>
    </w:p>
    <w:p w:rsidR="008C2938" w:rsidRPr="008C2938" w:rsidRDefault="008C2938" w:rsidP="008C2938">
      <w:pPr>
        <w:spacing w:after="0"/>
      </w:pPr>
      <w:r w:rsidRPr="008C2938">
        <w:t>Response Evaluation Criteria In Solid Tumours (RECIST) is defined as follows:</w:t>
      </w:r>
    </w:p>
    <w:p w:rsidR="008C2938" w:rsidRPr="008C2938" w:rsidRDefault="008C2938" w:rsidP="008C2938">
      <w:pPr>
        <w:spacing w:after="0"/>
      </w:pPr>
      <w:r w:rsidRPr="008C2938">
        <w:t>Complete response (CR) is disappearance of all target lesions.</w:t>
      </w:r>
    </w:p>
    <w:p w:rsidR="008C2938" w:rsidRPr="008C2938" w:rsidRDefault="008C2938" w:rsidP="008C2938">
      <w:pPr>
        <w:spacing w:after="0"/>
      </w:pPr>
      <w:r w:rsidRPr="008C2938">
        <w:t>Partial response (PR) is a 30% decrease in the sum of the longest diameter of target lesions.</w:t>
      </w:r>
    </w:p>
    <w:p w:rsidR="008C2938" w:rsidRPr="008C2938" w:rsidRDefault="008C2938" w:rsidP="008C2938">
      <w:pPr>
        <w:spacing w:after="0"/>
      </w:pPr>
      <w:r w:rsidRPr="008C2938">
        <w:t>Progressive disease (PD) is a 20% increase in the sum of the longest diameter of target lesions.</w:t>
      </w:r>
    </w:p>
    <w:p w:rsidR="008C2938" w:rsidRPr="008C2938" w:rsidRDefault="008C2938" w:rsidP="008C2938">
      <w:pPr>
        <w:spacing w:after="0"/>
      </w:pPr>
      <w:r w:rsidRPr="008C2938">
        <w:t>Stable disease (SD) is small changes that do not meet above criteria.</w:t>
      </w:r>
    </w:p>
    <w:p w:rsidR="008C2938" w:rsidRPr="008C2938" w:rsidRDefault="008C2938" w:rsidP="008C2938">
      <w:pPr>
        <w:spacing w:after="0"/>
      </w:pPr>
    </w:p>
    <w:p w:rsidR="008C2938" w:rsidRPr="008C2938" w:rsidRDefault="008C2938" w:rsidP="008C2938">
      <w:pPr>
        <w:spacing w:after="0"/>
      </w:pPr>
      <w:r w:rsidRPr="008C2938">
        <w:t>No increase in the maximum number of repeats may be authorised.</w:t>
      </w:r>
    </w:p>
    <w:p w:rsidR="008C2938" w:rsidRDefault="008C2938" w:rsidP="00E71181">
      <w:pPr>
        <w:spacing w:after="0"/>
      </w:pPr>
    </w:p>
    <w:p w:rsidR="00E71181" w:rsidRPr="00E71181" w:rsidRDefault="00E71181" w:rsidP="00E71181">
      <w:pPr>
        <w:pStyle w:val="NormalWeb"/>
        <w:shd w:val="clear" w:color="auto" w:fill="FFFFFF"/>
        <w:spacing w:before="0" w:beforeAutospacing="0" w:after="0" w:afterAutospacing="0"/>
        <w:rPr>
          <w:rFonts w:asciiTheme="minorHAnsi" w:hAnsiTheme="minorHAnsi" w:cstheme="minorHAnsi"/>
          <w:color w:val="222222"/>
        </w:rPr>
      </w:pPr>
      <w:r w:rsidRPr="00E71181">
        <w:rPr>
          <w:rFonts w:asciiTheme="minorHAnsi" w:hAnsiTheme="minorHAnsi" w:cstheme="minorHAnsi"/>
          <w:color w:val="222222"/>
        </w:rPr>
        <w:t xml:space="preserve">Treatment Phase: </w:t>
      </w:r>
      <w:r w:rsidRPr="006E28F5">
        <w:rPr>
          <w:rFonts w:asciiTheme="minorHAnsi" w:hAnsiTheme="minorHAnsi" w:cstheme="minorHAnsi"/>
          <w:color w:val="222222"/>
        </w:rPr>
        <w:t>Continuing treatment</w:t>
      </w:r>
    </w:p>
    <w:p w:rsidR="00E71181" w:rsidRPr="00E71181" w:rsidRDefault="00E71181" w:rsidP="00E71181">
      <w:pPr>
        <w:pStyle w:val="NormalWeb"/>
        <w:shd w:val="clear" w:color="auto" w:fill="FFFFFF"/>
        <w:spacing w:before="0" w:beforeAutospacing="0" w:after="0" w:afterAutospacing="0"/>
        <w:rPr>
          <w:rFonts w:asciiTheme="minorHAnsi" w:hAnsiTheme="minorHAnsi" w:cstheme="minorHAnsi"/>
          <w:color w:val="222222"/>
        </w:rPr>
      </w:pPr>
      <w:r w:rsidRPr="00E71181">
        <w:rPr>
          <w:rFonts w:asciiTheme="minorHAnsi" w:hAnsiTheme="minorHAnsi" w:cstheme="minorHAnsi"/>
          <w:bCs/>
          <w:color w:val="222222"/>
          <w:bdr w:val="none" w:sz="0" w:space="0" w:color="auto" w:frame="1"/>
        </w:rPr>
        <w:t>Clinical criteria:</w:t>
      </w:r>
    </w:p>
    <w:p w:rsidR="00E71181" w:rsidRPr="00E71181" w:rsidRDefault="00E71181" w:rsidP="00E71181">
      <w:pPr>
        <w:pStyle w:val="ListParagraph"/>
        <w:numPr>
          <w:ilvl w:val="0"/>
          <w:numId w:val="10"/>
        </w:numPr>
        <w:spacing w:after="0"/>
      </w:pPr>
      <w:r w:rsidRPr="00E71181">
        <w:t>Patient must have previously received PBS-subsidised treatment with this drug for this condition,</w:t>
      </w:r>
    </w:p>
    <w:p w:rsidR="00E71181" w:rsidRPr="00E71181" w:rsidRDefault="00E71181" w:rsidP="00E71181">
      <w:pPr>
        <w:pStyle w:val="NormalWeb"/>
        <w:shd w:val="clear" w:color="auto" w:fill="FFFFFF"/>
        <w:spacing w:before="0" w:beforeAutospacing="0" w:after="0" w:afterAutospacing="0"/>
        <w:rPr>
          <w:rFonts w:asciiTheme="minorHAnsi" w:hAnsiTheme="minorHAnsi" w:cstheme="minorHAnsi"/>
          <w:color w:val="222222"/>
        </w:rPr>
      </w:pPr>
      <w:r w:rsidRPr="00E71181">
        <w:rPr>
          <w:rFonts w:asciiTheme="minorHAnsi" w:hAnsiTheme="minorHAnsi" w:cstheme="minorHAnsi"/>
          <w:bCs/>
          <w:color w:val="222222"/>
          <w:bdr w:val="none" w:sz="0" w:space="0" w:color="auto" w:frame="1"/>
        </w:rPr>
        <w:t>AND</w:t>
      </w:r>
    </w:p>
    <w:p w:rsidR="00E71181" w:rsidRPr="00E71181" w:rsidRDefault="00E71181" w:rsidP="00E71181">
      <w:pPr>
        <w:pStyle w:val="ListParagraph"/>
        <w:numPr>
          <w:ilvl w:val="0"/>
          <w:numId w:val="10"/>
        </w:numPr>
        <w:spacing w:after="0"/>
      </w:pPr>
      <w:r w:rsidRPr="00E71181">
        <w:t>Patient must not have developed disease progression while being treated with this drug for this condition,</w:t>
      </w:r>
    </w:p>
    <w:p w:rsidR="00E71181" w:rsidRPr="00E71181" w:rsidRDefault="00E71181" w:rsidP="00E71181">
      <w:pPr>
        <w:pStyle w:val="NormalWeb"/>
        <w:shd w:val="clear" w:color="auto" w:fill="FFFFFF"/>
        <w:spacing w:before="0" w:beforeAutospacing="0" w:after="0" w:afterAutospacing="0"/>
        <w:rPr>
          <w:rFonts w:asciiTheme="minorHAnsi" w:hAnsiTheme="minorHAnsi" w:cstheme="minorHAnsi"/>
          <w:color w:val="222222"/>
        </w:rPr>
      </w:pPr>
      <w:r w:rsidRPr="00E71181">
        <w:rPr>
          <w:rFonts w:asciiTheme="minorHAnsi" w:hAnsiTheme="minorHAnsi" w:cstheme="minorHAnsi"/>
          <w:bCs/>
          <w:color w:val="222222"/>
          <w:bdr w:val="none" w:sz="0" w:space="0" w:color="auto" w:frame="1"/>
        </w:rPr>
        <w:t>AND</w:t>
      </w:r>
    </w:p>
    <w:p w:rsidR="00E71181" w:rsidRDefault="00E71181" w:rsidP="00E71181">
      <w:pPr>
        <w:pStyle w:val="ListParagraph"/>
        <w:numPr>
          <w:ilvl w:val="0"/>
          <w:numId w:val="10"/>
        </w:numPr>
        <w:spacing w:after="0"/>
      </w:pPr>
      <w:r w:rsidRPr="00E71181">
        <w:t>The treatment must be the sole PBS-subsidised therapy for this condition.</w:t>
      </w:r>
    </w:p>
    <w:p w:rsidR="00E71181" w:rsidRPr="00E71181" w:rsidRDefault="00E71181" w:rsidP="00E71181">
      <w:pPr>
        <w:spacing w:after="0"/>
      </w:pPr>
    </w:p>
    <w:p w:rsidR="00E71181" w:rsidRPr="00E71181" w:rsidRDefault="00E71181" w:rsidP="00E71181">
      <w:pPr>
        <w:pStyle w:val="NormalWeb"/>
        <w:shd w:val="clear" w:color="auto" w:fill="FFFFFF"/>
        <w:spacing w:before="0" w:beforeAutospacing="0" w:after="0" w:afterAutospacing="0"/>
        <w:rPr>
          <w:rFonts w:asciiTheme="minorHAnsi" w:hAnsiTheme="minorHAnsi" w:cstheme="minorHAnsi"/>
          <w:color w:val="222222"/>
        </w:rPr>
      </w:pPr>
      <w:r w:rsidRPr="00E71181">
        <w:rPr>
          <w:rFonts w:asciiTheme="minorHAnsi" w:hAnsiTheme="minorHAnsi" w:cstheme="minorHAnsi"/>
          <w:color w:val="222222"/>
        </w:rPr>
        <w:t>Patients must only receive a maximum of 240 mg every two weeks or 480 mg every four weeks under a weight based or flat dosing regimen.</w:t>
      </w:r>
    </w:p>
    <w:p w:rsidR="008C2938" w:rsidRDefault="008C2938" w:rsidP="008C2938">
      <w:pPr>
        <w:spacing w:after="0"/>
        <w:rPr>
          <w:bCs/>
          <w:u w:val="single"/>
        </w:rPr>
      </w:pPr>
    </w:p>
    <w:p w:rsidR="008C2938" w:rsidRPr="008C2938" w:rsidRDefault="008C2938" w:rsidP="008C2938">
      <w:pPr>
        <w:spacing w:after="0"/>
      </w:pPr>
      <w:r w:rsidRPr="008C2938">
        <w:rPr>
          <w:bCs/>
          <w:u w:val="single"/>
        </w:rPr>
        <w:t>Note</w:t>
      </w:r>
    </w:p>
    <w:p w:rsidR="008C2938" w:rsidRPr="008C2938" w:rsidRDefault="008C2938" w:rsidP="008C2938">
      <w:pPr>
        <w:spacing w:after="0"/>
      </w:pPr>
      <w:r w:rsidRPr="008C2938">
        <w:t>No increase in the maximum number of repeats may be authorised.</w:t>
      </w:r>
    </w:p>
    <w:p w:rsidR="008C2938" w:rsidRDefault="008C2938" w:rsidP="00E71181">
      <w:pPr>
        <w:spacing w:after="0"/>
      </w:pPr>
    </w:p>
    <w:p w:rsidR="006775F1" w:rsidRPr="006775F1" w:rsidDel="00EE2BBB" w:rsidRDefault="006775F1" w:rsidP="00A35800">
      <w:r w:rsidRPr="006775F1" w:rsidDel="00EE2BBB">
        <w:t xml:space="preserve">For </w:t>
      </w:r>
      <w:r w:rsidR="00835337" w:rsidDel="00EE2BBB">
        <w:t xml:space="preserve">details of the current PBS listing refer to the </w:t>
      </w:r>
      <w:r w:rsidR="00835337" w:rsidRPr="001348C4" w:rsidDel="00EE2BBB">
        <w:t>PBS website</w:t>
      </w:r>
      <w:r w:rsidR="00835337" w:rsidDel="00EE2BBB">
        <w:rPr>
          <w:rStyle w:val="Hyperlink"/>
        </w:rPr>
        <w:t>.</w:t>
      </w:r>
    </w:p>
    <w:p w:rsidR="00675BB1" w:rsidRPr="00675BB1" w:rsidDel="00EE2BBB" w:rsidRDefault="00675BB1" w:rsidP="00CF5E22">
      <w:pPr>
        <w:pStyle w:val="Heading3"/>
      </w:pPr>
      <w:r w:rsidRPr="00675BB1" w:rsidDel="00EE2BBB">
        <w:t>Changes to listing</w:t>
      </w:r>
    </w:p>
    <w:p w:rsidR="00CE48E2" w:rsidRDefault="00CE48E2" w:rsidP="00A35800">
      <w:pPr>
        <w:rPr>
          <w:lang w:val="en-US"/>
        </w:rPr>
      </w:pPr>
      <w:r>
        <w:rPr>
          <w:lang w:val="en-US"/>
        </w:rPr>
        <w:t>On</w:t>
      </w:r>
      <w:r w:rsidRPr="005E4380">
        <w:rPr>
          <w:lang w:val="en-US"/>
        </w:rPr>
        <w:t xml:space="preserve"> </w:t>
      </w:r>
      <w:r>
        <w:rPr>
          <w:lang w:val="en-US"/>
        </w:rPr>
        <w:t xml:space="preserve">1 March 2019 the listing of nivolumab was extended to use in </w:t>
      </w:r>
      <w:r w:rsidR="002B1FCB">
        <w:rPr>
          <w:lang w:val="en-US"/>
        </w:rPr>
        <w:t>1st</w:t>
      </w:r>
      <w:r>
        <w:rPr>
          <w:lang w:val="en-US"/>
        </w:rPr>
        <w:t xml:space="preserve"> line th</w:t>
      </w:r>
      <w:r w:rsidR="00E11DD8">
        <w:rPr>
          <w:lang w:val="en-US"/>
        </w:rPr>
        <w:t>erapy (in combination with ipilimu</w:t>
      </w:r>
      <w:r>
        <w:rPr>
          <w:lang w:val="en-US"/>
        </w:rPr>
        <w:t>mab for the induction phase).</w:t>
      </w:r>
    </w:p>
    <w:p w:rsidR="00CE48E2" w:rsidRDefault="000E01E9" w:rsidP="00A35800">
      <w:pPr>
        <w:rPr>
          <w:lang w:val="en-US"/>
        </w:rPr>
      </w:pPr>
      <w:r>
        <w:rPr>
          <w:lang w:val="en-US"/>
        </w:rPr>
        <w:t>T</w:t>
      </w:r>
      <w:r w:rsidR="00D932C6">
        <w:rPr>
          <w:lang w:val="en-US"/>
        </w:rPr>
        <w:t>he n</w:t>
      </w:r>
      <w:r w:rsidR="00CE48E2">
        <w:rPr>
          <w:lang w:val="en-US"/>
        </w:rPr>
        <w:t xml:space="preserve">ivolumab </w:t>
      </w:r>
      <w:r w:rsidR="009A3EB4">
        <w:rPr>
          <w:lang w:val="en-US"/>
        </w:rPr>
        <w:t>2nd</w:t>
      </w:r>
      <w:r w:rsidR="00D932C6">
        <w:rPr>
          <w:lang w:val="en-US"/>
        </w:rPr>
        <w:t xml:space="preserve"> line listing had a change</w:t>
      </w:r>
      <w:r w:rsidR="00CE48E2">
        <w:rPr>
          <w:lang w:val="en-US"/>
        </w:rPr>
        <w:t xml:space="preserve"> in </w:t>
      </w:r>
      <w:r w:rsidR="00FC14F9">
        <w:rPr>
          <w:lang w:val="en-US"/>
        </w:rPr>
        <w:t>A</w:t>
      </w:r>
      <w:r w:rsidR="00CE48E2">
        <w:rPr>
          <w:lang w:val="en-US"/>
        </w:rPr>
        <w:t xml:space="preserve">uthority </w:t>
      </w:r>
      <w:r w:rsidR="00D932C6">
        <w:rPr>
          <w:lang w:val="en-US"/>
        </w:rPr>
        <w:t xml:space="preserve">approval </w:t>
      </w:r>
      <w:r w:rsidR="00CE48E2">
        <w:rPr>
          <w:lang w:val="en-US"/>
        </w:rPr>
        <w:t xml:space="preserve">level (Authority Required to Streamlined) for initial and continuing prescriptions on 1 September 2019. </w:t>
      </w:r>
      <w:r w:rsidR="002B1FCB">
        <w:rPr>
          <w:lang w:val="en-US"/>
        </w:rPr>
        <w:t>1st</w:t>
      </w:r>
      <w:r w:rsidR="00CE48E2">
        <w:rPr>
          <w:lang w:val="en-US"/>
        </w:rPr>
        <w:t xml:space="preserve"> line prescriptions for induction and grandfathering were Streamlined Authority from listing on 1 March 2019 (this applies to both nivolumab and ipilimumab). The maintenance phase of </w:t>
      </w:r>
      <w:r w:rsidR="00E47EAC">
        <w:rPr>
          <w:lang w:val="en-US"/>
        </w:rPr>
        <w:t>1st</w:t>
      </w:r>
      <w:r w:rsidR="00CE48E2">
        <w:rPr>
          <w:lang w:val="en-US"/>
        </w:rPr>
        <w:t xml:space="preserve"> line treatment, which only includes nivolumab, was Authority Required from </w:t>
      </w:r>
      <w:r w:rsidR="00D932C6">
        <w:rPr>
          <w:lang w:val="en-US"/>
        </w:rPr>
        <w:t xml:space="preserve">listing on </w:t>
      </w:r>
      <w:r w:rsidR="00CE48E2">
        <w:rPr>
          <w:lang w:val="en-US"/>
        </w:rPr>
        <w:t>1 March 2019 and became Streamlined on 1 September 2019</w:t>
      </w:r>
    </w:p>
    <w:p w:rsidR="000E01E9" w:rsidRDefault="000E01E9" w:rsidP="00A35800">
      <w:pPr>
        <w:rPr>
          <w:lang w:val="en-US"/>
        </w:rPr>
      </w:pPr>
      <w:r>
        <w:rPr>
          <w:lang w:val="en-US"/>
        </w:rPr>
        <w:t>On 1 September 2019, the following sentence was added to the restriction of all nivolumab PBS listings.</w:t>
      </w:r>
    </w:p>
    <w:p w:rsidR="000E01E9" w:rsidRPr="000E01E9" w:rsidRDefault="000E01E9" w:rsidP="00A35800">
      <w:pPr>
        <w:rPr>
          <w:i/>
          <w:lang w:val="en-US"/>
        </w:rPr>
      </w:pPr>
      <w:r w:rsidRPr="000E01E9">
        <w:rPr>
          <w:i/>
          <w:lang w:val="en-US"/>
        </w:rPr>
        <w:t xml:space="preserve">Patients must only receive a maximum of 240 mg every two weeks or 480 mg every four weeks under a weight based or flat dosing regimen.  </w:t>
      </w:r>
    </w:p>
    <w:p w:rsidR="000E01E9" w:rsidRDefault="000E01E9" w:rsidP="000E01E9">
      <w:r>
        <w:t>In addition the Maximum Amount was changed from 360 mg to 480 mg. This was in response to a minor submission to the March 2019 PBAC requesting the addition of two flat dosing regimens to the current 3 mg/kg every two weeks (Q2W) weight based dosing regimen to allow clinicians choice of either:</w:t>
      </w:r>
    </w:p>
    <w:p w:rsidR="000E01E9" w:rsidRDefault="000E01E9" w:rsidP="00117DE2">
      <w:pPr>
        <w:pStyle w:val="ListParagraph"/>
        <w:numPr>
          <w:ilvl w:val="0"/>
          <w:numId w:val="29"/>
        </w:numPr>
      </w:pPr>
      <w:r>
        <w:t xml:space="preserve">weight-based 3 mg/kg </w:t>
      </w:r>
      <w:r w:rsidR="00117DE2">
        <w:t xml:space="preserve">every two weeks </w:t>
      </w:r>
      <w:r>
        <w:t>dosing, or</w:t>
      </w:r>
    </w:p>
    <w:p w:rsidR="000E01E9" w:rsidRDefault="000E01E9" w:rsidP="00117DE2">
      <w:pPr>
        <w:pStyle w:val="ListParagraph"/>
        <w:numPr>
          <w:ilvl w:val="0"/>
          <w:numId w:val="29"/>
        </w:numPr>
      </w:pPr>
      <w:r>
        <w:t xml:space="preserve">flat 240 mg </w:t>
      </w:r>
      <w:r w:rsidR="00117DE2">
        <w:t xml:space="preserve">every two weeks </w:t>
      </w:r>
      <w:r>
        <w:t>dosing, or</w:t>
      </w:r>
    </w:p>
    <w:p w:rsidR="000E01E9" w:rsidRPr="000E01E9" w:rsidRDefault="000E01E9" w:rsidP="00117DE2">
      <w:pPr>
        <w:pStyle w:val="ListParagraph"/>
        <w:numPr>
          <w:ilvl w:val="0"/>
          <w:numId w:val="29"/>
        </w:numPr>
      </w:pPr>
      <w:r>
        <w:t xml:space="preserve">flat 480 mg </w:t>
      </w:r>
      <w:r w:rsidR="00117DE2">
        <w:t xml:space="preserve">every four weeks </w:t>
      </w:r>
      <w:r>
        <w:t>dosing</w:t>
      </w:r>
    </w:p>
    <w:p w:rsidR="00BF544D" w:rsidRPr="002F61CA" w:rsidDel="00EE2BBB" w:rsidRDefault="00BF544D" w:rsidP="00BF544D">
      <w:r w:rsidRPr="002F61CA" w:rsidDel="00EE2BBB">
        <w:t xml:space="preserve">Current PBS listing details are available from </w:t>
      </w:r>
      <w:r w:rsidDel="00EE2BBB">
        <w:t xml:space="preserve">the </w:t>
      </w:r>
      <w:r w:rsidRPr="001348C4" w:rsidDel="00EE2BBB">
        <w:t>PBS website</w:t>
      </w:r>
      <w:r w:rsidDel="00EE2BBB">
        <w:t>.</w:t>
      </w:r>
    </w:p>
    <w:p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rsidR="00635A47" w:rsidRPr="00D932C6" w:rsidRDefault="00635A47" w:rsidP="00A35800">
      <w:pPr>
        <w:rPr>
          <w:b/>
          <w:i/>
        </w:rPr>
      </w:pPr>
      <w:r w:rsidRPr="00D932C6">
        <w:rPr>
          <w:b/>
          <w:i/>
        </w:rPr>
        <w:t>July 2016 PBAC</w:t>
      </w:r>
    </w:p>
    <w:p w:rsidR="00635A47" w:rsidRDefault="00635A47" w:rsidP="00A35800">
      <w:r>
        <w:t>The PBAC decided not to recommend that nivolumab be listed in the PBS for the treatment of advanced or metastatic clear cell variant renal cell carcinoma (RCC) based on an unacceptably high and uncertain incremental cost-effectiveness ratio (ICER) at the requested effective price. The PBAC also noted that the relevant TGA delegate’s overview was not yet available for its consideration</w:t>
      </w:r>
      <w:r>
        <w:rPr>
          <w:rStyle w:val="FootnoteReference"/>
        </w:rPr>
        <w:footnoteReference w:id="5"/>
      </w:r>
      <w:r>
        <w:t>.</w:t>
      </w:r>
    </w:p>
    <w:p w:rsidR="003C5B45" w:rsidRPr="00D932C6" w:rsidRDefault="003C5B45" w:rsidP="00A35800">
      <w:pPr>
        <w:rPr>
          <w:b/>
          <w:i/>
        </w:rPr>
      </w:pPr>
      <w:r w:rsidRPr="00D932C6">
        <w:rPr>
          <w:b/>
          <w:i/>
        </w:rPr>
        <w:t>November 2016 PBAC</w:t>
      </w:r>
    </w:p>
    <w:p w:rsidR="00635A47" w:rsidRDefault="00635A47" w:rsidP="00A35800">
      <w:r>
        <w:t>The PBAC did not recommend the listing of nivolumab for the treatment of advanced or metastatic clear cell variant renal cell carcinoma (RCC) on grounds of unfavourable and uncertain cost-effectiveness. The PBAC considered that the benefit of treatment with nivolumab was uncertain and likely overestimated and that the proposed risk sharing arrangement would not address this uncertainty</w:t>
      </w:r>
      <w:r w:rsidR="003C5B45">
        <w:rPr>
          <w:rStyle w:val="FootnoteReference"/>
        </w:rPr>
        <w:footnoteReference w:id="6"/>
      </w:r>
      <w:r w:rsidR="00C3129F">
        <w:t>.</w:t>
      </w:r>
    </w:p>
    <w:p w:rsidR="00CE48E2" w:rsidRPr="00D932C6" w:rsidRDefault="00CE48E2" w:rsidP="00A35800">
      <w:pPr>
        <w:rPr>
          <w:b/>
          <w:i/>
        </w:rPr>
      </w:pPr>
      <w:r w:rsidRPr="00D932C6">
        <w:rPr>
          <w:b/>
          <w:i/>
        </w:rPr>
        <w:t>March 2017 PBAC</w:t>
      </w:r>
    </w:p>
    <w:p w:rsidR="00635A47" w:rsidRPr="00600064" w:rsidRDefault="00635A47" w:rsidP="00635A47">
      <w:r w:rsidRPr="00600064">
        <w:t>After lodging its major resubmission in November 2016, the sponsor then lodged a resubmission-addendum in December 2016 and a financial-addendum in January 2017 for consideration at the March 2017 PBAC meeting.</w:t>
      </w:r>
    </w:p>
    <w:p w:rsidR="00CE48E2" w:rsidRDefault="003C5B45" w:rsidP="00A35800">
      <w:r>
        <w:t xml:space="preserve">The PBAC recommended the listing of nivolumab, on the basis that it be available only under special arrangements under Section 100 (Efficient Funding of Chemotherapy – Public and Private Hospital) for the treatment of Stage IV clear cell variant renal cell carcinoma (RCC) in patients who have progressed according to Response Evaluation Criteria in Solid Tumours (RECIST) following </w:t>
      </w:r>
      <w:r w:rsidR="002B1FCB">
        <w:t>1st</w:t>
      </w:r>
      <w:r>
        <w:t xml:space="preserve"> line treatment with a tyrosine-kinase inhibitor (TKI). The PBAC was satisfied that nivolumab provides, for some patients, a significant improvement in efficacy and reduction in toxicity over everolimus</w:t>
      </w:r>
      <w:r>
        <w:rPr>
          <w:rStyle w:val="FootnoteReference"/>
        </w:rPr>
        <w:footnoteReference w:id="7"/>
      </w:r>
      <w:r>
        <w:t>.</w:t>
      </w:r>
    </w:p>
    <w:p w:rsidR="00792FED" w:rsidRDefault="00682BCC" w:rsidP="00682BCC">
      <w:pPr>
        <w:spacing w:after="0"/>
      </w:pPr>
      <w:r>
        <w:t>The PBAC discussed how to deal with pseudo-progression, where progression appears to occur</w:t>
      </w:r>
      <w:r w:rsidR="00792FED">
        <w:t xml:space="preserve"> (using the RECIST criteria)</w:t>
      </w:r>
      <w:r>
        <w:t xml:space="preserve"> in the </w:t>
      </w:r>
      <w:r w:rsidR="00DA06A4">
        <w:t>first</w:t>
      </w:r>
      <w:r>
        <w:t xml:space="preserve"> few months of treatment </w:t>
      </w:r>
      <w:r w:rsidR="00792FED">
        <w:t>however the patient can subsequently have a response to treatment if it is continued.</w:t>
      </w:r>
    </w:p>
    <w:p w:rsidR="00792FED" w:rsidRDefault="00792FED" w:rsidP="00682BCC">
      <w:pPr>
        <w:spacing w:after="0"/>
      </w:pPr>
    </w:p>
    <w:p w:rsidR="00792FED" w:rsidRDefault="00792FED" w:rsidP="00682BCC">
      <w:pPr>
        <w:spacing w:after="0"/>
      </w:pPr>
      <w:r>
        <w:t>The continuing phase restriction has the criterion;</w:t>
      </w:r>
    </w:p>
    <w:p w:rsidR="00792FED" w:rsidRDefault="00792FED" w:rsidP="00792FED">
      <w:pPr>
        <w:pStyle w:val="ListParagraph"/>
        <w:numPr>
          <w:ilvl w:val="0"/>
          <w:numId w:val="10"/>
        </w:numPr>
        <w:spacing w:after="0"/>
      </w:pPr>
      <w:r w:rsidRPr="00E71181">
        <w:t>Patient must not have developed disease progression while being treated with this drug for this condition</w:t>
      </w:r>
      <w:r>
        <w:t>;</w:t>
      </w:r>
    </w:p>
    <w:p w:rsidR="00792FED" w:rsidRDefault="00792FED" w:rsidP="00682BCC">
      <w:pPr>
        <w:spacing w:after="0"/>
      </w:pPr>
    </w:p>
    <w:p w:rsidR="00792FED" w:rsidRDefault="00792FED" w:rsidP="00682BCC">
      <w:pPr>
        <w:spacing w:after="0"/>
      </w:pPr>
      <w:r>
        <w:t>However the possibility of pseudo-progression was dealt with by adding the following note to the initial phase criteria;</w:t>
      </w:r>
    </w:p>
    <w:p w:rsidR="00792FED" w:rsidRDefault="009637A8" w:rsidP="00792FED">
      <w:pPr>
        <w:pStyle w:val="ListParagraph"/>
        <w:numPr>
          <w:ilvl w:val="0"/>
          <w:numId w:val="10"/>
        </w:numPr>
        <w:spacing w:after="0"/>
      </w:pPr>
      <w:r>
        <w:t>In the first</w:t>
      </w:r>
      <w:r w:rsidR="00792FED" w:rsidRPr="008C2938">
        <w:t xml:space="preserve"> few months after start of immunotherapy, some patients can have a transient tumour flare with subsequent disease response. When progression is suspected, this should be confirmed through a confirmatory scan, taken at least 4 weeks later.</w:t>
      </w:r>
    </w:p>
    <w:p w:rsidR="00792FED" w:rsidRPr="008C2938" w:rsidRDefault="00792FED" w:rsidP="00792FED">
      <w:pPr>
        <w:spacing w:after="0"/>
      </w:pPr>
    </w:p>
    <w:p w:rsidR="00B21BB9" w:rsidRDefault="00792FED" w:rsidP="00792FED">
      <w:pPr>
        <w:spacing w:after="0"/>
      </w:pPr>
      <w:r>
        <w:t>This is the same approach that was taken for the listing of nivolumab for melanoma.</w:t>
      </w:r>
      <w:r w:rsidR="00B21BB9">
        <w:t xml:space="preserve"> It should be noted that the restriction stopping rule is still intended to be based on the RECIST criteria, but allowing them to be modified for early pseudo-progression</w:t>
      </w:r>
      <w:r w:rsidR="00B21BB9" w:rsidRPr="00B21BB9">
        <w:rPr>
          <w:vertAlign w:val="superscript"/>
        </w:rPr>
        <w:t>7</w:t>
      </w:r>
      <w:r w:rsidR="00B21BB9">
        <w:t>.</w:t>
      </w:r>
    </w:p>
    <w:p w:rsidR="00B21BB9" w:rsidRDefault="00B21BB9" w:rsidP="00792FED">
      <w:pPr>
        <w:spacing w:after="0"/>
      </w:pPr>
    </w:p>
    <w:p w:rsidR="00D94863" w:rsidRPr="00F65F0D" w:rsidRDefault="00D94863" w:rsidP="00D94863">
      <w:r>
        <w:t xml:space="preserve">For further details refer to </w:t>
      </w:r>
      <w:r w:rsidRPr="00F65F0D">
        <w:t>the Public Summary Document</w:t>
      </w:r>
      <w:r w:rsidR="003C5B45">
        <w:t>s referenced in the above text</w:t>
      </w:r>
      <w:r>
        <w:t>.</w:t>
      </w:r>
    </w:p>
    <w:p w:rsidR="00094DCF" w:rsidRDefault="00ED633B" w:rsidP="00CF5E22">
      <w:pPr>
        <w:pStyle w:val="Heading2"/>
      </w:pPr>
      <w:r>
        <w:t xml:space="preserve">Previous reviews by </w:t>
      </w:r>
      <w:r w:rsidR="00177B86">
        <w:t xml:space="preserve">the </w:t>
      </w:r>
      <w:r>
        <w:t>DUSC</w:t>
      </w:r>
    </w:p>
    <w:p w:rsidR="00AC73F6" w:rsidRDefault="00AC73F6" w:rsidP="00A35800">
      <w:r>
        <w:t xml:space="preserve">DUSC considered a </w:t>
      </w:r>
      <w:r w:rsidRPr="00A822E8">
        <w:t>predicted vs actual utilisation</w:t>
      </w:r>
      <w:r>
        <w:t xml:space="preserve"> analysis of pazopanib and s</w:t>
      </w:r>
      <w:r w:rsidR="00A822E8" w:rsidRPr="00A822E8">
        <w:t xml:space="preserve">unitinib for </w:t>
      </w:r>
      <w:r>
        <w:t xml:space="preserve">RCC at its June 2014 meeting. </w:t>
      </w:r>
      <w:r w:rsidRPr="00872C0C">
        <w:t xml:space="preserve">Sunitinib </w:t>
      </w:r>
      <w:r>
        <w:t xml:space="preserve">and pazopanib were </w:t>
      </w:r>
      <w:r w:rsidRPr="00872C0C">
        <w:t>PBS-listed for RCC on 1 May 2009</w:t>
      </w:r>
      <w:r>
        <w:t xml:space="preserve"> and</w:t>
      </w:r>
      <w:r w:rsidRPr="00872C0C">
        <w:t xml:space="preserve"> 1 October 2012</w:t>
      </w:r>
      <w:r>
        <w:t>, respectively. The key findings were:</w:t>
      </w:r>
    </w:p>
    <w:p w:rsidR="00AC73F6" w:rsidRPr="00AC73F6" w:rsidRDefault="00AC73F6" w:rsidP="00AC73F6">
      <w:pPr>
        <w:pStyle w:val="ListParagraph"/>
        <w:numPr>
          <w:ilvl w:val="0"/>
          <w:numId w:val="19"/>
        </w:numPr>
        <w:spacing w:after="0"/>
        <w:jc w:val="both"/>
        <w:rPr>
          <w:rFonts w:eastAsia="Times New Roman" w:cs="Times New Roman"/>
          <w:szCs w:val="20"/>
        </w:rPr>
      </w:pPr>
      <w:r w:rsidRPr="00AC73F6">
        <w:rPr>
          <w:rFonts w:eastAsia="Times New Roman" w:cs="Times New Roman"/>
          <w:szCs w:val="20"/>
        </w:rPr>
        <w:t>Following the PBS listing of sunitinib, more patients started treatment for RCC than originally predicted.</w:t>
      </w:r>
    </w:p>
    <w:p w:rsidR="00AC73F6" w:rsidRPr="00AC73F6" w:rsidRDefault="00AC73F6" w:rsidP="00AC73F6">
      <w:pPr>
        <w:pStyle w:val="ListParagraph"/>
        <w:numPr>
          <w:ilvl w:val="0"/>
          <w:numId w:val="19"/>
        </w:numPr>
        <w:spacing w:after="0"/>
        <w:jc w:val="both"/>
        <w:rPr>
          <w:rFonts w:eastAsia="Times New Roman" w:cs="Times New Roman"/>
          <w:szCs w:val="20"/>
        </w:rPr>
      </w:pPr>
      <w:r w:rsidRPr="00AC73F6">
        <w:rPr>
          <w:rFonts w:eastAsia="Times New Roman" w:cs="Times New Roman"/>
          <w:szCs w:val="20"/>
        </w:rPr>
        <w:t>The number of new patients who start</w:t>
      </w:r>
      <w:r w:rsidR="00EA4630">
        <w:rPr>
          <w:rFonts w:eastAsia="Times New Roman" w:cs="Times New Roman"/>
          <w:szCs w:val="20"/>
        </w:rPr>
        <w:t>ed</w:t>
      </w:r>
      <w:r w:rsidRPr="00AC73F6">
        <w:rPr>
          <w:rFonts w:eastAsia="Times New Roman" w:cs="Times New Roman"/>
          <w:szCs w:val="20"/>
        </w:rPr>
        <w:t xml:space="preserve"> treatment with either pazopanib </w:t>
      </w:r>
      <w:r w:rsidR="00EA4630">
        <w:rPr>
          <w:rFonts w:eastAsia="Times New Roman" w:cs="Times New Roman"/>
          <w:szCs w:val="20"/>
        </w:rPr>
        <w:t>or sunitinib for RCC each year was</w:t>
      </w:r>
      <w:r w:rsidRPr="00AC73F6">
        <w:rPr>
          <w:rFonts w:eastAsia="Times New Roman" w:cs="Times New Roman"/>
          <w:szCs w:val="20"/>
        </w:rPr>
        <w:t xml:space="preserve"> </w:t>
      </w:r>
      <w:r w:rsidR="007E6FA5">
        <w:rPr>
          <w:rFonts w:eastAsia="Times New Roman" w:cs="Times New Roman"/>
          <w:szCs w:val="20"/>
        </w:rPr>
        <w:t xml:space="preserve">stable at </w:t>
      </w:r>
      <w:r w:rsidRPr="00AC73F6">
        <w:rPr>
          <w:rFonts w:eastAsia="Times New Roman" w:cs="Times New Roman"/>
          <w:szCs w:val="20"/>
        </w:rPr>
        <w:t>approximately 500</w:t>
      </w:r>
      <w:r w:rsidR="00EA4630">
        <w:rPr>
          <w:rFonts w:eastAsia="Times New Roman" w:cs="Times New Roman"/>
          <w:szCs w:val="20"/>
        </w:rPr>
        <w:t xml:space="preserve"> (from </w:t>
      </w:r>
      <w:r w:rsidR="007E6FA5">
        <w:rPr>
          <w:rFonts w:eastAsia="Times New Roman" w:cs="Times New Roman"/>
          <w:szCs w:val="20"/>
        </w:rPr>
        <w:t>2010</w:t>
      </w:r>
      <w:r w:rsidR="00EA4630">
        <w:rPr>
          <w:rFonts w:eastAsia="Times New Roman" w:cs="Times New Roman"/>
          <w:szCs w:val="20"/>
        </w:rPr>
        <w:t xml:space="preserve"> to </w:t>
      </w:r>
      <w:r w:rsidR="007E6FA5">
        <w:rPr>
          <w:rFonts w:eastAsia="Times New Roman" w:cs="Times New Roman"/>
          <w:szCs w:val="20"/>
        </w:rPr>
        <w:t>2013 inclusive</w:t>
      </w:r>
      <w:r w:rsidR="00EA4630">
        <w:rPr>
          <w:rFonts w:eastAsia="Times New Roman" w:cs="Times New Roman"/>
          <w:szCs w:val="20"/>
        </w:rPr>
        <w:t>)</w:t>
      </w:r>
      <w:r w:rsidRPr="00AC73F6">
        <w:rPr>
          <w:rFonts w:eastAsia="Times New Roman" w:cs="Times New Roman"/>
          <w:szCs w:val="20"/>
        </w:rPr>
        <w:t>.</w:t>
      </w:r>
    </w:p>
    <w:p w:rsidR="00AC73F6" w:rsidRPr="00AC73F6" w:rsidRDefault="00AC73F6" w:rsidP="00AC73F6">
      <w:pPr>
        <w:pStyle w:val="ListParagraph"/>
        <w:numPr>
          <w:ilvl w:val="0"/>
          <w:numId w:val="19"/>
        </w:numPr>
        <w:spacing w:after="0"/>
        <w:jc w:val="both"/>
        <w:rPr>
          <w:rFonts w:eastAsia="Times New Roman" w:cs="Times New Roman"/>
          <w:szCs w:val="20"/>
        </w:rPr>
      </w:pPr>
      <w:r w:rsidRPr="00AC73F6">
        <w:rPr>
          <w:rFonts w:eastAsia="Times New Roman" w:cs="Times New Roman"/>
          <w:szCs w:val="20"/>
        </w:rPr>
        <w:t>Following the PBS listing of pazopanib, the number of prevalent patients receiving either pazopanib or sunitinib increased from approximately 600 patients in the 12-month period prior to listing to approximately 700 patients in the 12-month period after listing.</w:t>
      </w:r>
    </w:p>
    <w:p w:rsidR="00AC73F6" w:rsidRPr="00AC73F6" w:rsidRDefault="00AC73F6" w:rsidP="00AC73F6">
      <w:pPr>
        <w:pStyle w:val="ListParagraph"/>
        <w:numPr>
          <w:ilvl w:val="0"/>
          <w:numId w:val="19"/>
        </w:numPr>
        <w:spacing w:after="0"/>
        <w:jc w:val="both"/>
        <w:rPr>
          <w:rFonts w:eastAsia="Times New Roman" w:cs="Times New Roman"/>
          <w:szCs w:val="20"/>
        </w:rPr>
      </w:pPr>
      <w:r w:rsidRPr="00AC73F6">
        <w:rPr>
          <w:rFonts w:eastAsia="Times New Roman" w:cs="Times New Roman"/>
          <w:szCs w:val="20"/>
        </w:rPr>
        <w:t>The number of prescriptions for sunitinib were lower than originally expected, indicating that patients treated with sunitinib received fewer prescriptions per year than originally estimated.</w:t>
      </w:r>
    </w:p>
    <w:p w:rsidR="00AC73F6" w:rsidRPr="00AC73F6" w:rsidRDefault="00B76FE1" w:rsidP="00AC73F6">
      <w:pPr>
        <w:pStyle w:val="ListParagraph"/>
        <w:numPr>
          <w:ilvl w:val="0"/>
          <w:numId w:val="19"/>
        </w:numPr>
        <w:spacing w:after="0"/>
        <w:jc w:val="both"/>
        <w:rPr>
          <w:rFonts w:eastAsia="Times New Roman" w:cs="Times New Roman"/>
          <w:szCs w:val="20"/>
        </w:rPr>
      </w:pPr>
      <w:r w:rsidRPr="00C449D6">
        <w:rPr>
          <w:rFonts w:eastAsia="Times New Roman" w:cs="Times New Roman"/>
          <w:szCs w:val="20"/>
        </w:rPr>
        <w:t xml:space="preserve">The number of prescriptions for pazopanib were more than double that expected </w:t>
      </w:r>
      <w:r>
        <w:rPr>
          <w:rFonts w:eastAsia="Times New Roman" w:cs="Times New Roman"/>
          <w:szCs w:val="20"/>
        </w:rPr>
        <w:t xml:space="preserve">in the </w:t>
      </w:r>
      <w:r w:rsidR="008E4CA4">
        <w:rPr>
          <w:rFonts w:eastAsia="Times New Roman" w:cs="Times New Roman"/>
          <w:szCs w:val="20"/>
        </w:rPr>
        <w:t>first</w:t>
      </w:r>
      <w:r>
        <w:rPr>
          <w:rFonts w:eastAsia="Times New Roman" w:cs="Times New Roman"/>
          <w:szCs w:val="20"/>
        </w:rPr>
        <w:t xml:space="preserve"> year of listing</w:t>
      </w:r>
      <w:r w:rsidR="00AC73F6" w:rsidRPr="00AC73F6">
        <w:rPr>
          <w:rFonts w:eastAsia="Times New Roman" w:cs="Times New Roman"/>
          <w:szCs w:val="20"/>
        </w:rPr>
        <w:t>. Pazopanib appeared to be substituting for sunitinib, with sunitinib prescriptions decreasing after the PBS listing of pazopanib.</w:t>
      </w:r>
    </w:p>
    <w:p w:rsidR="00A822E8" w:rsidRDefault="00A822E8" w:rsidP="00A35800"/>
    <w:p w:rsidR="00E371EA" w:rsidRPr="00ED633B" w:rsidRDefault="009D1ED5" w:rsidP="00A35800">
      <w:r>
        <w:t xml:space="preserve">For details of the DUSC consideration of </w:t>
      </w:r>
      <w:r w:rsidR="00AC73F6">
        <w:t>s</w:t>
      </w:r>
      <w:r w:rsidR="00AC73F6" w:rsidRPr="00872C0C">
        <w:t xml:space="preserve">unitinib </w:t>
      </w:r>
      <w:r w:rsidR="00AC73F6">
        <w:t xml:space="preserve">and pazopanib refer to the </w:t>
      </w:r>
      <w:r w:rsidRPr="001348C4">
        <w:t>Public Release Document</w:t>
      </w:r>
      <w:r>
        <w:t xml:space="preserve"> from the </w:t>
      </w:r>
      <w:r w:rsidR="00AC73F6">
        <w:t>June 2014</w:t>
      </w:r>
      <w:r>
        <w:t xml:space="preserve"> DUSC meeting.</w:t>
      </w:r>
    </w:p>
    <w:p w:rsidR="00E677DD" w:rsidRPr="005E22C2" w:rsidRDefault="00E677DD" w:rsidP="00CF5E22">
      <w:pPr>
        <w:pStyle w:val="Heading1"/>
      </w:pPr>
      <w:r w:rsidRPr="005E22C2">
        <w:t>Method</w:t>
      </w:r>
      <w:r w:rsidR="001B5D37" w:rsidRPr="005E22C2">
        <w:t>s</w:t>
      </w:r>
    </w:p>
    <w:p w:rsidR="00CD5CFA" w:rsidRDefault="00FE1883" w:rsidP="00B83184">
      <w:r>
        <w:t>The report examines the use of nivolumab for the treatment of RCC in the context of the whole RCC treatment market.</w:t>
      </w:r>
    </w:p>
    <w:p w:rsidR="006358B6" w:rsidRDefault="006358B6" w:rsidP="00B83184">
      <w:r w:rsidRPr="006358B6">
        <w:t>Prescription</w:t>
      </w:r>
      <w:r>
        <w:t xml:space="preserve">s were extracted </w:t>
      </w:r>
      <w:r w:rsidR="0038176C">
        <w:t xml:space="preserve">from the Services Australia prescription database </w:t>
      </w:r>
      <w:r>
        <w:t xml:space="preserve">for all </w:t>
      </w:r>
      <w:r w:rsidR="00F80A64">
        <w:t xml:space="preserve">PBS </w:t>
      </w:r>
      <w:r>
        <w:t>items that have an RCC restriction (48 items, see Appendix A</w:t>
      </w:r>
      <w:r w:rsidR="00FE1883">
        <w:t>,</w:t>
      </w:r>
      <w:r>
        <w:t xml:space="preserve"> T</w:t>
      </w:r>
      <w:r w:rsidR="00EA4881">
        <w:t>able A.1)</w:t>
      </w:r>
      <w:r w:rsidR="00F80A64">
        <w:t xml:space="preserve"> from 1 May 2009 (the listing date for sunitinib, the </w:t>
      </w:r>
      <w:r w:rsidR="004C581F">
        <w:t>first</w:t>
      </w:r>
      <w:r w:rsidR="00F80A64">
        <w:t xml:space="preserve"> medicine listed with an RCC </w:t>
      </w:r>
      <w:r w:rsidR="00880118">
        <w:t>restriction</w:t>
      </w:r>
      <w:r w:rsidR="00F80A64">
        <w:t>)</w:t>
      </w:r>
      <w:r w:rsidR="00FB1245">
        <w:t xml:space="preserve"> until the end of December 2019 (based on date of supply)</w:t>
      </w:r>
      <w:r w:rsidR="00EA4881">
        <w:t xml:space="preserve">. Of these </w:t>
      </w:r>
      <w:r w:rsidR="00F80A64">
        <w:t xml:space="preserve">items </w:t>
      </w:r>
      <w:r w:rsidR="00EA4881">
        <w:t xml:space="preserve">there were four </w:t>
      </w:r>
      <w:r w:rsidR="004D427C">
        <w:t>everol</w:t>
      </w:r>
      <w:r w:rsidR="00D75FF7">
        <w:t>i</w:t>
      </w:r>
      <w:r w:rsidR="004D427C">
        <w:t xml:space="preserve">mus </w:t>
      </w:r>
      <w:r>
        <w:t>items (</w:t>
      </w:r>
      <w:r w:rsidR="00B83184">
        <w:t xml:space="preserve">10131F, 10132G, 10133H &amp; 10135K) that had other indications </w:t>
      </w:r>
      <w:r w:rsidR="0038176C">
        <w:t xml:space="preserve">in addition to </w:t>
      </w:r>
      <w:r w:rsidR="00B83184">
        <w:t>RCC. For these items</w:t>
      </w:r>
      <w:r w:rsidR="00FE1883">
        <w:t>,</w:t>
      </w:r>
      <w:r w:rsidR="00B83184">
        <w:t xml:space="preserve"> prescriptions were classified</w:t>
      </w:r>
      <w:r w:rsidR="00FE1883">
        <w:t xml:space="preserve"> as for treatment of</w:t>
      </w:r>
      <w:r w:rsidR="00B83184">
        <w:t xml:space="preserve"> RCC or not, based on the </w:t>
      </w:r>
      <w:r w:rsidR="0038176C">
        <w:t xml:space="preserve">Services Australia </w:t>
      </w:r>
      <w:r w:rsidR="00D75FF7">
        <w:t>A</w:t>
      </w:r>
      <w:r w:rsidR="00B83184">
        <w:t xml:space="preserve">uthority approval </w:t>
      </w:r>
      <w:r w:rsidR="00EA4881">
        <w:t xml:space="preserve">database </w:t>
      </w:r>
      <w:r w:rsidR="00B83184">
        <w:t>restriction code</w:t>
      </w:r>
      <w:r w:rsidR="00EA4881">
        <w:t xml:space="preserve"> or the Streamlined Authority code</w:t>
      </w:r>
      <w:r w:rsidR="0038176C">
        <w:t xml:space="preserve"> in the prescription database</w:t>
      </w:r>
    </w:p>
    <w:p w:rsidR="00681653" w:rsidRDefault="00681653" w:rsidP="00B83184">
      <w:r>
        <w:t>In addition</w:t>
      </w:r>
      <w:r w:rsidR="000F0AF7">
        <w:t>,</w:t>
      </w:r>
      <w:r>
        <w:t xml:space="preserve"> consistency of assignment of indication was investigated</w:t>
      </w:r>
      <w:r w:rsidR="00D835DB">
        <w:t xml:space="preserve"> for nivolumab</w:t>
      </w:r>
      <w:r>
        <w:t>. This involved extractin</w:t>
      </w:r>
      <w:r w:rsidR="009B3030">
        <w:t>g all nivolumab items (i.e. for all indications) from the</w:t>
      </w:r>
      <w:r w:rsidR="009B3030" w:rsidRPr="009B3030">
        <w:t xml:space="preserve"> </w:t>
      </w:r>
      <w:r w:rsidR="009B3030">
        <w:t xml:space="preserve">Services Australia prescription database </w:t>
      </w:r>
      <w:r w:rsidR="00FB1245">
        <w:t xml:space="preserve">from </w:t>
      </w:r>
      <w:r w:rsidR="009B3030">
        <w:t xml:space="preserve">the 1 May 2016 when nivolumab was </w:t>
      </w:r>
      <w:r w:rsidR="004C581F">
        <w:t>first</w:t>
      </w:r>
      <w:r w:rsidR="009B3030">
        <w:t xml:space="preserve"> listed (for malignant melanoma)</w:t>
      </w:r>
      <w:r w:rsidR="00FB1245">
        <w:t xml:space="preserve"> until the end of December 2019 (based on date of supply).</w:t>
      </w:r>
      <w:r w:rsidR="009B3030">
        <w:t xml:space="preserve"> An analysis of indication sequence (see Consistency of indication section for details) was then performed to determine the reliability of assigning indication via PBS item code.</w:t>
      </w:r>
    </w:p>
    <w:p w:rsidR="00524D13" w:rsidRDefault="00E7594B" w:rsidP="00524D13">
      <w:r>
        <w:t>As th</w:t>
      </w:r>
      <w:r w:rsidR="00FB1245">
        <w:t>ese</w:t>
      </w:r>
      <w:r>
        <w:t xml:space="preserve"> analys</w:t>
      </w:r>
      <w:r w:rsidR="00FB1245">
        <w:t>es</w:t>
      </w:r>
      <w:r>
        <w:t xml:space="preserve"> use date of supply </w:t>
      </w:r>
      <w:r w:rsidR="005E085C">
        <w:t xml:space="preserve">prescription </w:t>
      </w:r>
      <w:r>
        <w:t xml:space="preserve">data, there may be small differences compared with publicly available </w:t>
      </w:r>
      <w:r w:rsidR="00FB1245">
        <w:t>Services Australia</w:t>
      </w:r>
      <w:r>
        <w:t xml:space="preserve"> </w:t>
      </w:r>
      <w:r w:rsidR="00FB1245">
        <w:t>PBS date of processing data</w:t>
      </w:r>
      <w:r w:rsidR="00576B18">
        <w:rPr>
          <w:rStyle w:val="FootnoteReference"/>
        </w:rPr>
        <w:footnoteReference w:id="8"/>
      </w:r>
      <w:r w:rsidR="00576B18">
        <w:t xml:space="preserve"> </w:t>
      </w:r>
      <w:r w:rsidR="00FB1245">
        <w:t>which</w:t>
      </w:r>
      <w:r w:rsidR="0090691F">
        <w:t xml:space="preserve"> </w:t>
      </w:r>
      <w:r w:rsidR="008E3F8C">
        <w:t xml:space="preserve">only </w:t>
      </w:r>
      <w:r w:rsidR="0090691F">
        <w:t xml:space="preserve">includes </w:t>
      </w:r>
      <w:r w:rsidR="00524D13">
        <w:t xml:space="preserve">subsidised PBS </w:t>
      </w:r>
      <w:r w:rsidR="00FB1245">
        <w:t xml:space="preserve">and Repatriation PBS (R/PBS) </w:t>
      </w:r>
      <w:r w:rsidR="00524D13">
        <w:t xml:space="preserve">prescriptions </w:t>
      </w:r>
      <w:r w:rsidR="00FB1245">
        <w:t xml:space="preserve">(i.e. </w:t>
      </w:r>
      <w:r w:rsidR="008E3F8C">
        <w:t xml:space="preserve">prescriptions </w:t>
      </w:r>
      <w:r w:rsidR="00524D13">
        <w:t xml:space="preserve">under </w:t>
      </w:r>
      <w:r w:rsidR="00DD29A3">
        <w:t xml:space="preserve">the </w:t>
      </w:r>
      <w:r w:rsidR="00524D13">
        <w:t xml:space="preserve">patient co-payment </w:t>
      </w:r>
      <w:r w:rsidR="00FB1245">
        <w:t xml:space="preserve">are </w:t>
      </w:r>
      <w:r w:rsidR="008E3F8C">
        <w:t>not included</w:t>
      </w:r>
      <w:r w:rsidR="00FB1245">
        <w:t>)</w:t>
      </w:r>
      <w:r w:rsidR="00524D13">
        <w:t>.</w:t>
      </w:r>
      <w:r w:rsidR="00DD29A3">
        <w:t xml:space="preserve">  The </w:t>
      </w:r>
      <w:r w:rsidR="00FE1883">
        <w:t xml:space="preserve">Services Australia </w:t>
      </w:r>
      <w:r w:rsidR="00FB1245">
        <w:t xml:space="preserve">prescription database </w:t>
      </w:r>
      <w:r w:rsidR="00DD29A3">
        <w:t>data used in this report includes under co-payment prescriptions from 1 April 2012.</w:t>
      </w:r>
    </w:p>
    <w:p w:rsidR="00BB1560" w:rsidRPr="005401CA" w:rsidRDefault="00BB1560" w:rsidP="00BB1560">
      <w:pPr>
        <w:spacing w:line="276" w:lineRule="auto"/>
        <w:rPr>
          <w:u w:val="single"/>
        </w:rPr>
      </w:pPr>
      <w:r w:rsidRPr="005401CA">
        <w:rPr>
          <w:u w:val="single"/>
        </w:rPr>
        <w:t xml:space="preserve">Length of treatment </w:t>
      </w:r>
    </w:p>
    <w:p w:rsidR="00BB1560" w:rsidRDefault="00BB1560" w:rsidP="00BB1560">
      <w:pPr>
        <w:rPr>
          <w:rFonts w:ascii="Calibri" w:eastAsia="MS Mincho" w:hAnsi="Calibri" w:cs="Times New Roman"/>
        </w:rPr>
      </w:pPr>
      <w:r>
        <w:rPr>
          <w:rFonts w:ascii="Calibri" w:eastAsia="MS Mincho" w:hAnsi="Calibri" w:cs="Times New Roman"/>
        </w:rPr>
        <w:t xml:space="preserve">The duration of treatment analysis used the Kaplan Meier (aka Product-Limit) method to determine the length of treatment for patients on </w:t>
      </w:r>
      <w:r w:rsidR="002710F3">
        <w:rPr>
          <w:rFonts w:ascii="Calibri" w:eastAsia="MS Mincho" w:hAnsi="Calibri" w:cs="Times New Roman"/>
        </w:rPr>
        <w:t>nivolumab and other medicines for RCC</w:t>
      </w:r>
      <w:r>
        <w:rPr>
          <w:rFonts w:ascii="Calibri" w:eastAsia="MS Mincho" w:hAnsi="Calibri" w:cs="Times New Roman"/>
        </w:rPr>
        <w:t>. T</w:t>
      </w:r>
      <w:r w:rsidRPr="00DE3347">
        <w:rPr>
          <w:rFonts w:ascii="Calibri" w:eastAsia="MS Mincho" w:hAnsi="Calibri" w:cs="Times New Roman"/>
        </w:rPr>
        <w:t xml:space="preserve">wo </w:t>
      </w:r>
      <w:r>
        <w:rPr>
          <w:rFonts w:ascii="Calibri" w:eastAsia="MS Mincho" w:hAnsi="Calibri" w:cs="Times New Roman"/>
        </w:rPr>
        <w:t xml:space="preserve">ways of </w:t>
      </w:r>
      <w:r w:rsidRPr="00DE3347">
        <w:rPr>
          <w:rFonts w:ascii="Calibri" w:eastAsia="MS Mincho" w:hAnsi="Calibri" w:cs="Times New Roman"/>
        </w:rPr>
        <w:t>measur</w:t>
      </w:r>
      <w:r>
        <w:rPr>
          <w:rFonts w:ascii="Calibri" w:eastAsia="MS Mincho" w:hAnsi="Calibri" w:cs="Times New Roman"/>
        </w:rPr>
        <w:t>ing length of treatment were undertaken</w:t>
      </w:r>
      <w:r w:rsidRPr="00DE3347">
        <w:rPr>
          <w:rFonts w:ascii="Calibri" w:eastAsia="MS Mincho" w:hAnsi="Calibri" w:cs="Times New Roman"/>
        </w:rPr>
        <w:t>. One exclude</w:t>
      </w:r>
      <w:r>
        <w:rPr>
          <w:rFonts w:ascii="Calibri" w:eastAsia="MS Mincho" w:hAnsi="Calibri" w:cs="Times New Roman"/>
        </w:rPr>
        <w:t>d</w:t>
      </w:r>
      <w:r w:rsidRPr="00DE3347">
        <w:rPr>
          <w:rFonts w:ascii="Calibri" w:eastAsia="MS Mincho" w:hAnsi="Calibri" w:cs="Times New Roman"/>
        </w:rPr>
        <w:t xml:space="preserve"> any breaks in treatment and the other d</w:t>
      </w:r>
      <w:r>
        <w:rPr>
          <w:rFonts w:ascii="Calibri" w:eastAsia="MS Mincho" w:hAnsi="Calibri" w:cs="Times New Roman"/>
        </w:rPr>
        <w:t>id</w:t>
      </w:r>
      <w:r w:rsidRPr="00DE3347">
        <w:rPr>
          <w:rFonts w:ascii="Calibri" w:eastAsia="MS Mincho" w:hAnsi="Calibri" w:cs="Times New Roman"/>
        </w:rPr>
        <w:t xml:space="preserve"> not.</w:t>
      </w:r>
      <w:r>
        <w:rPr>
          <w:rFonts w:ascii="Calibri" w:eastAsia="MS Mincho" w:hAnsi="Calibri" w:cs="Times New Roman"/>
        </w:rPr>
        <w:t xml:space="preserve"> A break in treatment </w:t>
      </w:r>
      <w:r w:rsidR="00FB1245">
        <w:rPr>
          <w:rFonts w:ascii="Calibri" w:eastAsia="MS Mincho" w:hAnsi="Calibri" w:cs="Times New Roman"/>
        </w:rPr>
        <w:t>was</w:t>
      </w:r>
      <w:r>
        <w:rPr>
          <w:rFonts w:ascii="Calibri" w:eastAsia="MS Mincho" w:hAnsi="Calibri" w:cs="Times New Roman"/>
        </w:rPr>
        <w:t xml:space="preserve"> defined as a gap of more than 3 times the median time to resupply </w:t>
      </w:r>
      <w:r w:rsidR="002710F3">
        <w:rPr>
          <w:rFonts w:ascii="Calibri" w:eastAsia="MS Mincho" w:hAnsi="Calibri" w:cs="Times New Roman"/>
        </w:rPr>
        <w:t xml:space="preserve">(also known as Standard Coverage Days (SCD)) </w:t>
      </w:r>
      <w:r>
        <w:rPr>
          <w:rFonts w:ascii="Calibri" w:eastAsia="MS Mincho" w:hAnsi="Calibri" w:cs="Times New Roman"/>
        </w:rPr>
        <w:t xml:space="preserve">between supplies, which was an estimated break in treatment of at least 2 times the median time to resupply. </w:t>
      </w:r>
    </w:p>
    <w:p w:rsidR="00BB1560" w:rsidRDefault="00BB1560" w:rsidP="00BB1560">
      <w:pPr>
        <w:rPr>
          <w:rFonts w:ascii="Calibri" w:eastAsia="MS Mincho" w:hAnsi="Calibri" w:cs="Times New Roman"/>
        </w:rPr>
      </w:pPr>
      <w:r>
        <w:rPr>
          <w:rFonts w:ascii="Calibri" w:eastAsia="MS Mincho" w:hAnsi="Calibri" w:cs="Times New Roman"/>
        </w:rPr>
        <w:t xml:space="preserve">A patient was deemed to be continuing treatment (classified as censored in the Product-Limit method) at the end of the data period (i.e. the end of </w:t>
      </w:r>
      <w:r w:rsidR="002710F3">
        <w:rPr>
          <w:rFonts w:ascii="Calibri" w:eastAsia="MS Mincho" w:hAnsi="Calibri" w:cs="Times New Roman"/>
        </w:rPr>
        <w:t>December 2019</w:t>
      </w:r>
      <w:r>
        <w:rPr>
          <w:rFonts w:ascii="Calibri" w:eastAsia="MS Mincho" w:hAnsi="Calibri" w:cs="Times New Roman"/>
        </w:rPr>
        <w:t xml:space="preserve">) if their last prescription was within </w:t>
      </w:r>
      <w:r w:rsidR="002710F3">
        <w:rPr>
          <w:rFonts w:ascii="Calibri" w:eastAsia="MS Mincho" w:hAnsi="Calibri" w:cs="Times New Roman"/>
        </w:rPr>
        <w:t>3 x SCD</w:t>
      </w:r>
      <w:r>
        <w:rPr>
          <w:rFonts w:ascii="Calibri" w:eastAsia="MS Mincho" w:hAnsi="Calibri" w:cs="Times New Roman"/>
        </w:rPr>
        <w:t xml:space="preserve"> days of this end date</w:t>
      </w:r>
      <w:r w:rsidR="002710F3">
        <w:rPr>
          <w:rFonts w:ascii="Calibri" w:eastAsia="MS Mincho" w:hAnsi="Calibri" w:cs="Times New Roman"/>
        </w:rPr>
        <w:t xml:space="preserve"> (the value of SCD depends on the medi</w:t>
      </w:r>
      <w:r w:rsidR="00031D27">
        <w:rPr>
          <w:rFonts w:ascii="Calibri" w:eastAsia="MS Mincho" w:hAnsi="Calibri" w:cs="Times New Roman"/>
        </w:rPr>
        <w:t>cine being analysed, see Table 8</w:t>
      </w:r>
      <w:r w:rsidR="002710F3">
        <w:rPr>
          <w:rFonts w:ascii="Calibri" w:eastAsia="MS Mincho" w:hAnsi="Calibri" w:cs="Times New Roman"/>
        </w:rPr>
        <w:t xml:space="preserve"> for details). </w:t>
      </w:r>
      <w:r>
        <w:rPr>
          <w:rFonts w:ascii="Calibri" w:eastAsia="MS Mincho" w:hAnsi="Calibri" w:cs="Times New Roman"/>
        </w:rPr>
        <w:t xml:space="preserve">Otherwise the patient was deemed to have ceased treatment with the treatment coverage end date being the supply date of their last prescription plus </w:t>
      </w:r>
      <w:r w:rsidR="009F5614">
        <w:rPr>
          <w:rFonts w:ascii="Calibri" w:eastAsia="MS Mincho" w:hAnsi="Calibri" w:cs="Times New Roman"/>
        </w:rPr>
        <w:t xml:space="preserve">1 x </w:t>
      </w:r>
      <w:r w:rsidR="002710F3">
        <w:rPr>
          <w:rFonts w:ascii="Calibri" w:eastAsia="MS Mincho" w:hAnsi="Calibri" w:cs="Times New Roman"/>
        </w:rPr>
        <w:t xml:space="preserve">SCD </w:t>
      </w:r>
      <w:r>
        <w:rPr>
          <w:rFonts w:ascii="Calibri" w:eastAsia="MS Mincho" w:hAnsi="Calibri" w:cs="Times New Roman"/>
        </w:rPr>
        <w:t xml:space="preserve">or the end of the data period, whichever was later. </w:t>
      </w:r>
    </w:p>
    <w:p w:rsidR="00BB1560" w:rsidRDefault="00CC55CC" w:rsidP="00524D13">
      <w:pPr>
        <w:rPr>
          <w:rFonts w:ascii="Calibri" w:eastAsia="MS Mincho" w:hAnsi="Calibri" w:cs="Times New Roman"/>
        </w:rPr>
      </w:pPr>
      <w:r>
        <w:rPr>
          <w:rFonts w:ascii="Calibri" w:eastAsia="MS Mincho" w:hAnsi="Calibri" w:cs="Times New Roman"/>
        </w:rPr>
        <w:t>Date of death data was sourced from Services Australia for all patients that had bee</w:t>
      </w:r>
      <w:r w:rsidR="00031D27">
        <w:rPr>
          <w:rFonts w:ascii="Calibri" w:eastAsia="MS Mincho" w:hAnsi="Calibri" w:cs="Times New Roman"/>
        </w:rPr>
        <w:t>n treated with nivolumab. A</w:t>
      </w:r>
      <w:r>
        <w:rPr>
          <w:rFonts w:ascii="Calibri" w:eastAsia="MS Mincho" w:hAnsi="Calibri" w:cs="Times New Roman"/>
        </w:rPr>
        <w:t>nalyses of length of nivolumab treatment used the date of death to adjust the coverage end date</w:t>
      </w:r>
      <w:r w:rsidR="00D835DB">
        <w:rPr>
          <w:rFonts w:ascii="Calibri" w:eastAsia="MS Mincho" w:hAnsi="Calibri" w:cs="Times New Roman"/>
        </w:rPr>
        <w:t xml:space="preserve"> and the censoring status for patients who died on treatment</w:t>
      </w:r>
      <w:r>
        <w:rPr>
          <w:rFonts w:ascii="Calibri" w:eastAsia="MS Mincho" w:hAnsi="Calibri" w:cs="Times New Roman"/>
        </w:rPr>
        <w:t xml:space="preserve">. </w:t>
      </w:r>
      <w:r w:rsidR="00D835DB">
        <w:rPr>
          <w:rFonts w:ascii="Calibri" w:eastAsia="MS Mincho" w:hAnsi="Calibri" w:cs="Times New Roman"/>
        </w:rPr>
        <w:t xml:space="preserve">A patient was deemed to have died on treatment if DoD &lt; last supply date + SCD. That is, if </w:t>
      </w:r>
      <w:r w:rsidR="00203475">
        <w:rPr>
          <w:rFonts w:ascii="Calibri" w:eastAsia="MS Mincho" w:hAnsi="Calibri" w:cs="Times New Roman"/>
        </w:rPr>
        <w:t xml:space="preserve">the </w:t>
      </w:r>
      <w:r w:rsidR="00D835DB">
        <w:rPr>
          <w:rFonts w:ascii="Calibri" w:eastAsia="MS Mincho" w:hAnsi="Calibri" w:cs="Times New Roman"/>
        </w:rPr>
        <w:t>last</w:t>
      </w:r>
      <w:r>
        <w:rPr>
          <w:rFonts w:ascii="Calibri" w:eastAsia="MS Mincho" w:hAnsi="Calibri" w:cs="Times New Roman"/>
        </w:rPr>
        <w:t xml:space="preserve"> coverage end date based on the above method </w:t>
      </w:r>
      <w:r w:rsidR="00D835DB">
        <w:rPr>
          <w:rFonts w:ascii="Calibri" w:eastAsia="MS Mincho" w:hAnsi="Calibri" w:cs="Times New Roman"/>
        </w:rPr>
        <w:t xml:space="preserve">(i.e. using prescriptions only) </w:t>
      </w:r>
      <w:r>
        <w:rPr>
          <w:rFonts w:ascii="Calibri" w:eastAsia="MS Mincho" w:hAnsi="Calibri" w:cs="Times New Roman"/>
        </w:rPr>
        <w:t>was greater than the date of death, then the coverage end date was changed to the date of death, otherwise it remained unchanged.</w:t>
      </w:r>
      <w:r w:rsidR="00D835DB">
        <w:rPr>
          <w:rFonts w:ascii="Calibri" w:eastAsia="MS Mincho" w:hAnsi="Calibri" w:cs="Times New Roman"/>
        </w:rPr>
        <w:t xml:space="preserve"> In addition the censoring scheme was changed so that patients who died on treatment were censored (i.e. deemed to be continuing treatment).</w:t>
      </w:r>
    </w:p>
    <w:p w:rsidR="00CC55CC" w:rsidRDefault="00CC55CC" w:rsidP="00524D13">
      <w:pPr>
        <w:rPr>
          <w:rFonts w:ascii="Calibri" w:eastAsia="MS Mincho" w:hAnsi="Calibri" w:cs="Times New Roman"/>
          <w:u w:val="single"/>
        </w:rPr>
      </w:pPr>
      <w:r w:rsidRPr="00CC55CC">
        <w:rPr>
          <w:rFonts w:ascii="Calibri" w:eastAsia="MS Mincho" w:hAnsi="Calibri" w:cs="Times New Roman"/>
          <w:u w:val="single"/>
        </w:rPr>
        <w:t>Proxy for Date of Death</w:t>
      </w:r>
      <w:r w:rsidR="00C225B6">
        <w:rPr>
          <w:rFonts w:ascii="Calibri" w:eastAsia="MS Mincho" w:hAnsi="Calibri" w:cs="Times New Roman"/>
          <w:u w:val="single"/>
        </w:rPr>
        <w:t xml:space="preserve"> (DoD)</w:t>
      </w:r>
    </w:p>
    <w:p w:rsidR="00C225B6" w:rsidRDefault="00CC55CC" w:rsidP="00C225B6">
      <w:pPr>
        <w:rPr>
          <w:rFonts w:ascii="Calibri" w:eastAsia="MS Mincho" w:hAnsi="Calibri" w:cs="Times New Roman"/>
        </w:rPr>
      </w:pPr>
      <w:r>
        <w:rPr>
          <w:rFonts w:ascii="Calibri" w:eastAsia="MS Mincho" w:hAnsi="Calibri" w:cs="Times New Roman"/>
        </w:rPr>
        <w:t xml:space="preserve">The availability of the date of death data made it possible to </w:t>
      </w:r>
      <w:r w:rsidR="00C225B6">
        <w:rPr>
          <w:rFonts w:ascii="Calibri" w:eastAsia="MS Mincho" w:hAnsi="Calibri" w:cs="Times New Roman"/>
        </w:rPr>
        <w:t>validate</w:t>
      </w:r>
      <w:r>
        <w:rPr>
          <w:rFonts w:ascii="Calibri" w:eastAsia="MS Mincho" w:hAnsi="Calibri" w:cs="Times New Roman"/>
        </w:rPr>
        <w:t xml:space="preserve"> a proxy for dat</w:t>
      </w:r>
      <w:r w:rsidR="00D75FF7">
        <w:rPr>
          <w:rFonts w:ascii="Calibri" w:eastAsia="MS Mincho" w:hAnsi="Calibri" w:cs="Times New Roman"/>
        </w:rPr>
        <w:t>e</w:t>
      </w:r>
      <w:r>
        <w:rPr>
          <w:rFonts w:ascii="Calibri" w:eastAsia="MS Mincho" w:hAnsi="Calibri" w:cs="Times New Roman"/>
        </w:rPr>
        <w:t xml:space="preserve"> of death based on PBS prescrip</w:t>
      </w:r>
      <w:r w:rsidR="00C225B6">
        <w:rPr>
          <w:rFonts w:ascii="Calibri" w:eastAsia="MS Mincho" w:hAnsi="Calibri" w:cs="Times New Roman"/>
        </w:rPr>
        <w:t xml:space="preserve">tions only. </w:t>
      </w:r>
    </w:p>
    <w:p w:rsidR="00C225B6" w:rsidRDefault="00C225B6" w:rsidP="00C225B6">
      <w:pPr>
        <w:rPr>
          <w:rFonts w:ascii="Calibri" w:eastAsia="MS Mincho" w:hAnsi="Calibri" w:cs="Times New Roman"/>
        </w:rPr>
      </w:pPr>
      <w:r>
        <w:rPr>
          <w:rFonts w:ascii="Calibri" w:eastAsia="MS Mincho" w:hAnsi="Calibri" w:cs="Times New Roman"/>
        </w:rPr>
        <w:t xml:space="preserve">The DoD proxy was estimated by </w:t>
      </w:r>
      <w:r w:rsidR="00FD5E27">
        <w:rPr>
          <w:rFonts w:ascii="Calibri" w:eastAsia="MS Mincho" w:hAnsi="Calibri" w:cs="Times New Roman"/>
        </w:rPr>
        <w:t>first</w:t>
      </w:r>
      <w:r>
        <w:rPr>
          <w:rFonts w:ascii="Calibri" w:eastAsia="MS Mincho" w:hAnsi="Calibri" w:cs="Times New Roman"/>
        </w:rPr>
        <w:t xml:space="preserve"> measuring the time to next supply for all prescriptions (i</w:t>
      </w:r>
      <w:r w:rsidR="00031D27">
        <w:rPr>
          <w:rFonts w:ascii="Calibri" w:eastAsia="MS Mincho" w:hAnsi="Calibri" w:cs="Times New Roman"/>
        </w:rPr>
        <w:t>.</w:t>
      </w:r>
      <w:r>
        <w:rPr>
          <w:rFonts w:ascii="Calibri" w:eastAsia="MS Mincho" w:hAnsi="Calibri" w:cs="Times New Roman"/>
        </w:rPr>
        <w:t xml:space="preserve">e. all </w:t>
      </w:r>
      <w:r w:rsidR="00031D27">
        <w:rPr>
          <w:rFonts w:ascii="Calibri" w:eastAsia="MS Mincho" w:hAnsi="Calibri" w:cs="Times New Roman"/>
        </w:rPr>
        <w:t>medicines</w:t>
      </w:r>
      <w:r>
        <w:rPr>
          <w:rFonts w:ascii="Calibri" w:eastAsia="MS Mincho" w:hAnsi="Calibri" w:cs="Times New Roman"/>
        </w:rPr>
        <w:t xml:space="preserve">, not just the one of interest in this report) supplied to the RCC patients in this report. The phrase “next supply” is used rather than “resupply” to clarify that the supply it not necessarily for the same drug or strength. It was established that the </w:t>
      </w:r>
      <w:r w:rsidR="006006E2">
        <w:rPr>
          <w:rFonts w:ascii="Calibri" w:eastAsia="MS Mincho" w:hAnsi="Calibri" w:cs="Times New Roman"/>
        </w:rPr>
        <w:t>median time to next supply was 8</w:t>
      </w:r>
      <w:r>
        <w:rPr>
          <w:rFonts w:ascii="Calibri" w:eastAsia="MS Mincho" w:hAnsi="Calibri" w:cs="Times New Roman"/>
        </w:rPr>
        <w:t xml:space="preserve"> days and that </w:t>
      </w:r>
      <w:r w:rsidR="00731A6D">
        <w:rPr>
          <w:rFonts w:ascii="Calibri" w:eastAsia="MS Mincho" w:hAnsi="Calibri" w:cs="Times New Roman"/>
        </w:rPr>
        <w:t>99.4</w:t>
      </w:r>
      <w:r>
        <w:rPr>
          <w:rFonts w:ascii="Calibri" w:eastAsia="MS Mincho" w:hAnsi="Calibri" w:cs="Times New Roman"/>
        </w:rPr>
        <w:t>% of scripts had a next supply within 90 days. Thus a patient was estimated to have died if they had no supply of any prescription in the 90 days after their last prescription in the PBS data. If this was the case, the date of death was estimated to b</w:t>
      </w:r>
      <w:r w:rsidR="00731A6D">
        <w:rPr>
          <w:rFonts w:ascii="Calibri" w:eastAsia="MS Mincho" w:hAnsi="Calibri" w:cs="Times New Roman"/>
        </w:rPr>
        <w:t>e the date of last supply plus 8</w:t>
      </w:r>
      <w:r>
        <w:rPr>
          <w:rFonts w:ascii="Calibri" w:eastAsia="MS Mincho" w:hAnsi="Calibri" w:cs="Times New Roman"/>
        </w:rPr>
        <w:t xml:space="preserve"> days (</w:t>
      </w:r>
      <w:r w:rsidR="00E11DD8">
        <w:rPr>
          <w:rFonts w:ascii="Calibri" w:eastAsia="MS Mincho" w:hAnsi="Calibri" w:cs="Times New Roman"/>
        </w:rPr>
        <w:t>i.e.</w:t>
      </w:r>
      <w:r>
        <w:rPr>
          <w:rFonts w:ascii="Calibri" w:eastAsia="MS Mincho" w:hAnsi="Calibri" w:cs="Times New Roman"/>
        </w:rPr>
        <w:t xml:space="preserve"> the expected number of days to next supply).</w:t>
      </w:r>
    </w:p>
    <w:p w:rsidR="00C225B6" w:rsidRDefault="00C225B6" w:rsidP="00C225B6">
      <w:pPr>
        <w:rPr>
          <w:rFonts w:ascii="Calibri" w:eastAsia="MS Mincho" w:hAnsi="Calibri" w:cs="Times New Roman"/>
        </w:rPr>
      </w:pPr>
      <w:r>
        <w:rPr>
          <w:rFonts w:ascii="Calibri" w:eastAsia="MS Mincho" w:hAnsi="Calibri" w:cs="Times New Roman"/>
        </w:rPr>
        <w:t xml:space="preserve">Date of death proxies based on PBS data have been calculated by other researchers. </w:t>
      </w:r>
      <w:r w:rsidRPr="0074523F">
        <w:rPr>
          <w:rFonts w:ascii="Calibri" w:eastAsia="MS Mincho" w:hAnsi="Calibri" w:cs="Times New Roman"/>
        </w:rPr>
        <w:t xml:space="preserve">Pearson </w:t>
      </w:r>
      <w:r>
        <w:rPr>
          <w:rFonts w:ascii="Calibri" w:eastAsia="MS Mincho" w:hAnsi="Calibri" w:cs="Times New Roman"/>
        </w:rPr>
        <w:t>et al.</w:t>
      </w:r>
      <w:r>
        <w:rPr>
          <w:rStyle w:val="FootnoteReference"/>
          <w:rFonts w:ascii="Calibri" w:eastAsia="MS Mincho" w:hAnsi="Calibri" w:cs="Times New Roman"/>
        </w:rPr>
        <w:t xml:space="preserve"> </w:t>
      </w:r>
      <w:r>
        <w:rPr>
          <w:rFonts w:ascii="Calibri" w:eastAsia="MS Mincho" w:hAnsi="Calibri" w:cs="Times New Roman"/>
        </w:rPr>
        <w:t>(2012)</w:t>
      </w:r>
      <w:r>
        <w:rPr>
          <w:rStyle w:val="FootnoteReference"/>
          <w:rFonts w:ascii="Calibri" w:eastAsia="MS Mincho" w:hAnsi="Calibri" w:cs="Times New Roman"/>
        </w:rPr>
        <w:footnoteReference w:id="9"/>
      </w:r>
      <w:r>
        <w:rPr>
          <w:rFonts w:ascii="Calibri" w:eastAsia="MS Mincho" w:hAnsi="Calibri" w:cs="Times New Roman"/>
        </w:rPr>
        <w:t xml:space="preserve"> </w:t>
      </w:r>
      <w:r>
        <w:rPr>
          <w:rStyle w:val="FootnoteReference"/>
          <w:rFonts w:ascii="Calibri" w:eastAsia="MS Mincho" w:hAnsi="Calibri" w:cs="Times New Roman"/>
        </w:rPr>
        <w:t xml:space="preserve"> </w:t>
      </w:r>
      <w:r>
        <w:rPr>
          <w:rFonts w:ascii="Calibri" w:eastAsia="MS Mincho" w:hAnsi="Calibri" w:cs="Times New Roman"/>
        </w:rPr>
        <w:t>used a similar method to this analysis. In addition, they validated the proxy against actual date of death data. A sensitivity analysis indicated that a 90 day or greater delay between a patient’s last prescription and the end of the data period was the best indicator of death compared to shorter and longer delays (i</w:t>
      </w:r>
      <w:r w:rsidR="00D75FF7">
        <w:rPr>
          <w:rFonts w:ascii="Calibri" w:eastAsia="MS Mincho" w:hAnsi="Calibri" w:cs="Times New Roman"/>
        </w:rPr>
        <w:t>.</w:t>
      </w:r>
      <w:r>
        <w:rPr>
          <w:rFonts w:ascii="Calibri" w:eastAsia="MS Mincho" w:hAnsi="Calibri" w:cs="Times New Roman"/>
        </w:rPr>
        <w:t xml:space="preserve">e. 30, 60 and 180 days). </w:t>
      </w:r>
    </w:p>
    <w:p w:rsidR="00FE1883" w:rsidRDefault="00C225B6" w:rsidP="00B1788D">
      <w:pPr>
        <w:rPr>
          <w:rFonts w:eastAsiaTheme="majorEastAsia" w:cstheme="majorBidi"/>
          <w:b/>
          <w:bCs/>
          <w:sz w:val="32"/>
          <w:szCs w:val="32"/>
        </w:rPr>
      </w:pPr>
      <w:r>
        <w:rPr>
          <w:rFonts w:ascii="Calibri" w:eastAsia="MS Mincho" w:hAnsi="Calibri" w:cs="Times New Roman"/>
        </w:rPr>
        <w:t xml:space="preserve">The above method for estimating a proxy DoD could only detect </w:t>
      </w:r>
      <w:r w:rsidR="00264543">
        <w:rPr>
          <w:rFonts w:ascii="Calibri" w:eastAsia="MS Mincho" w:hAnsi="Calibri" w:cs="Times New Roman"/>
        </w:rPr>
        <w:t xml:space="preserve">estimated dates of death up to </w:t>
      </w:r>
      <w:r w:rsidR="004A53DA">
        <w:rPr>
          <w:rFonts w:ascii="Calibri" w:eastAsia="MS Mincho" w:hAnsi="Calibri" w:cs="Times New Roman"/>
        </w:rPr>
        <w:t>8</w:t>
      </w:r>
      <w:r>
        <w:rPr>
          <w:rFonts w:ascii="Calibri" w:eastAsia="MS Mincho" w:hAnsi="Calibri" w:cs="Times New Roman"/>
        </w:rPr>
        <w:t xml:space="preserve"> </w:t>
      </w:r>
      <w:r w:rsidR="004A53DA">
        <w:rPr>
          <w:rFonts w:ascii="Calibri" w:eastAsia="MS Mincho" w:hAnsi="Calibri" w:cs="Times New Roman"/>
        </w:rPr>
        <w:t>December</w:t>
      </w:r>
      <w:r w:rsidR="00401D14">
        <w:rPr>
          <w:rFonts w:ascii="Calibri" w:eastAsia="MS Mincho" w:hAnsi="Calibri" w:cs="Times New Roman"/>
        </w:rPr>
        <w:t xml:space="preserve"> 2019</w:t>
      </w:r>
      <w:r>
        <w:rPr>
          <w:rFonts w:ascii="Calibri" w:eastAsia="MS Mincho" w:hAnsi="Calibri" w:cs="Times New Roman"/>
        </w:rPr>
        <w:t xml:space="preserve">. That is, the latest possible </w:t>
      </w:r>
      <w:r w:rsidR="004E74F5">
        <w:rPr>
          <w:rFonts w:ascii="Calibri" w:eastAsia="MS Mincho" w:hAnsi="Calibri" w:cs="Times New Roman"/>
        </w:rPr>
        <w:t xml:space="preserve">proxy </w:t>
      </w:r>
      <w:r>
        <w:rPr>
          <w:rFonts w:ascii="Calibri" w:eastAsia="MS Mincho" w:hAnsi="Calibri" w:cs="Times New Roman"/>
        </w:rPr>
        <w:t>DoD would be for a pa</w:t>
      </w:r>
      <w:r w:rsidR="00264543">
        <w:rPr>
          <w:rFonts w:ascii="Calibri" w:eastAsia="MS Mincho" w:hAnsi="Calibri" w:cs="Times New Roman"/>
        </w:rPr>
        <w:t xml:space="preserve">tient whose last script was on </w:t>
      </w:r>
      <w:r w:rsidR="00D75D43">
        <w:rPr>
          <w:rFonts w:ascii="Calibri" w:eastAsia="MS Mincho" w:hAnsi="Calibri" w:cs="Times New Roman"/>
        </w:rPr>
        <w:t>29</w:t>
      </w:r>
      <w:r>
        <w:rPr>
          <w:rFonts w:ascii="Calibri" w:eastAsia="MS Mincho" w:hAnsi="Calibri" w:cs="Times New Roman"/>
        </w:rPr>
        <w:t xml:space="preserve"> </w:t>
      </w:r>
      <w:r w:rsidR="00D75D43">
        <w:rPr>
          <w:rFonts w:ascii="Calibri" w:eastAsia="MS Mincho" w:hAnsi="Calibri" w:cs="Times New Roman"/>
        </w:rPr>
        <w:t xml:space="preserve">November </w:t>
      </w:r>
      <w:r w:rsidR="00401D14">
        <w:rPr>
          <w:rFonts w:ascii="Calibri" w:eastAsia="MS Mincho" w:hAnsi="Calibri" w:cs="Times New Roman"/>
        </w:rPr>
        <w:t>2019</w:t>
      </w:r>
      <w:r>
        <w:rPr>
          <w:rFonts w:ascii="Calibri" w:eastAsia="MS Mincho" w:hAnsi="Calibri" w:cs="Times New Roman"/>
        </w:rPr>
        <w:t xml:space="preserve"> </w:t>
      </w:r>
      <w:r w:rsidR="00401D14">
        <w:rPr>
          <w:rFonts w:ascii="Calibri" w:eastAsia="MS Mincho" w:hAnsi="Calibri" w:cs="Times New Roman"/>
        </w:rPr>
        <w:t xml:space="preserve">and </w:t>
      </w:r>
      <w:r>
        <w:rPr>
          <w:rFonts w:ascii="Calibri" w:eastAsia="MS Mincho" w:hAnsi="Calibri" w:cs="Times New Roman"/>
        </w:rPr>
        <w:t xml:space="preserve">had </w:t>
      </w:r>
      <w:r w:rsidR="00401D14">
        <w:rPr>
          <w:rFonts w:ascii="Calibri" w:eastAsia="MS Mincho" w:hAnsi="Calibri" w:cs="Times New Roman"/>
        </w:rPr>
        <w:t>90</w:t>
      </w:r>
      <w:r>
        <w:rPr>
          <w:rFonts w:ascii="Calibri" w:eastAsia="MS Mincho" w:hAnsi="Calibri" w:cs="Times New Roman"/>
        </w:rPr>
        <w:t xml:space="preserve"> days without a prescription before the end of the data period on </w:t>
      </w:r>
      <w:r w:rsidR="00D75D43">
        <w:rPr>
          <w:rFonts w:ascii="Calibri" w:eastAsia="MS Mincho" w:hAnsi="Calibri" w:cs="Times New Roman"/>
        </w:rPr>
        <w:t>29 February</w:t>
      </w:r>
      <w:r w:rsidR="00401D14">
        <w:rPr>
          <w:rFonts w:ascii="Calibri" w:eastAsia="MS Mincho" w:hAnsi="Calibri" w:cs="Times New Roman"/>
        </w:rPr>
        <w:t xml:space="preserve"> 20</w:t>
      </w:r>
      <w:r w:rsidR="00264543">
        <w:rPr>
          <w:rFonts w:ascii="Calibri" w:eastAsia="MS Mincho" w:hAnsi="Calibri" w:cs="Times New Roman"/>
        </w:rPr>
        <w:t>20</w:t>
      </w:r>
      <w:r>
        <w:rPr>
          <w:rFonts w:ascii="Calibri" w:eastAsia="MS Mincho" w:hAnsi="Calibri" w:cs="Times New Roman"/>
        </w:rPr>
        <w:t xml:space="preserve">. The estimated </w:t>
      </w:r>
      <w:r w:rsidR="00401D14">
        <w:rPr>
          <w:rFonts w:ascii="Calibri" w:eastAsia="MS Mincho" w:hAnsi="Calibri" w:cs="Times New Roman"/>
        </w:rPr>
        <w:t xml:space="preserve">DoD for this patient would be </w:t>
      </w:r>
      <w:r w:rsidR="00D75D43">
        <w:rPr>
          <w:rFonts w:ascii="Calibri" w:eastAsia="MS Mincho" w:hAnsi="Calibri" w:cs="Times New Roman"/>
        </w:rPr>
        <w:t>29</w:t>
      </w:r>
      <w:r>
        <w:rPr>
          <w:rFonts w:ascii="Calibri" w:eastAsia="MS Mincho" w:hAnsi="Calibri" w:cs="Times New Roman"/>
        </w:rPr>
        <w:t> </w:t>
      </w:r>
      <w:r w:rsidR="00264543">
        <w:rPr>
          <w:rFonts w:ascii="Calibri" w:eastAsia="MS Mincho" w:hAnsi="Calibri" w:cs="Times New Roman"/>
        </w:rPr>
        <w:t>November</w:t>
      </w:r>
      <w:r w:rsidR="00401D14">
        <w:rPr>
          <w:rFonts w:ascii="Calibri" w:eastAsia="MS Mincho" w:hAnsi="Calibri" w:cs="Times New Roman"/>
        </w:rPr>
        <w:t xml:space="preserve"> 2019 + 8 days = </w:t>
      </w:r>
      <w:r w:rsidR="00D75D43">
        <w:rPr>
          <w:rFonts w:ascii="Calibri" w:eastAsia="MS Mincho" w:hAnsi="Calibri" w:cs="Times New Roman"/>
        </w:rPr>
        <w:t>8</w:t>
      </w:r>
      <w:r>
        <w:rPr>
          <w:rFonts w:ascii="Calibri" w:eastAsia="MS Mincho" w:hAnsi="Calibri" w:cs="Times New Roman"/>
        </w:rPr>
        <w:t xml:space="preserve"> </w:t>
      </w:r>
      <w:r w:rsidR="00D75D43">
        <w:rPr>
          <w:rFonts w:ascii="Calibri" w:eastAsia="MS Mincho" w:hAnsi="Calibri" w:cs="Times New Roman"/>
        </w:rPr>
        <w:t>December</w:t>
      </w:r>
      <w:r w:rsidR="00401D14">
        <w:rPr>
          <w:rFonts w:ascii="Calibri" w:eastAsia="MS Mincho" w:hAnsi="Calibri" w:cs="Times New Roman"/>
        </w:rPr>
        <w:t xml:space="preserve"> 2019</w:t>
      </w:r>
      <w:r>
        <w:rPr>
          <w:rFonts w:ascii="Calibri" w:eastAsia="MS Mincho" w:hAnsi="Calibri" w:cs="Times New Roman"/>
        </w:rPr>
        <w:t xml:space="preserve">. </w:t>
      </w:r>
      <w:r w:rsidR="00401D14">
        <w:rPr>
          <w:rFonts w:ascii="Calibri" w:eastAsia="MS Mincho" w:hAnsi="Calibri" w:cs="Times New Roman"/>
        </w:rPr>
        <w:t xml:space="preserve">The DoD data received from Services Australia was complete up until </w:t>
      </w:r>
      <w:r w:rsidR="00D75D43">
        <w:rPr>
          <w:rFonts w:ascii="Calibri" w:eastAsia="MS Mincho" w:hAnsi="Calibri" w:cs="Times New Roman"/>
        </w:rPr>
        <w:t xml:space="preserve">31 December </w:t>
      </w:r>
      <w:r w:rsidR="00401D14">
        <w:rPr>
          <w:rFonts w:ascii="Calibri" w:eastAsia="MS Mincho" w:hAnsi="Calibri" w:cs="Times New Roman"/>
        </w:rPr>
        <w:t>2019.</w:t>
      </w:r>
      <w:r w:rsidR="008F5BEA">
        <w:rPr>
          <w:rFonts w:ascii="Calibri" w:eastAsia="MS Mincho" w:hAnsi="Calibri" w:cs="Times New Roman"/>
        </w:rPr>
        <w:t xml:space="preserve"> Appendix B shows</w:t>
      </w:r>
      <w:r w:rsidR="00880118">
        <w:rPr>
          <w:rFonts w:ascii="Calibri" w:eastAsia="MS Mincho" w:hAnsi="Calibri" w:cs="Times New Roman"/>
        </w:rPr>
        <w:t xml:space="preserve"> the results of the comparison of proxy DoD and Services Australia DoD</w:t>
      </w:r>
      <w:r w:rsidR="007838C6">
        <w:rPr>
          <w:rFonts w:ascii="Calibri" w:eastAsia="MS Mincho" w:hAnsi="Calibri" w:cs="Times New Roman"/>
        </w:rPr>
        <w:t>.</w:t>
      </w:r>
      <w:r w:rsidR="00FE1883">
        <w:br w:type="page"/>
      </w:r>
    </w:p>
    <w:p w:rsidR="00C714D0" w:rsidRPr="005E22C2" w:rsidRDefault="00C714D0" w:rsidP="00CF5E22">
      <w:pPr>
        <w:pStyle w:val="Heading1"/>
      </w:pPr>
      <w:r w:rsidRPr="005E22C2">
        <w:t>Results</w:t>
      </w:r>
    </w:p>
    <w:p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Pr="005E22C2" w:rsidRDefault="00C932F0" w:rsidP="00CF5E22">
      <w:pPr>
        <w:pStyle w:val="Heading3"/>
      </w:pPr>
      <w:r>
        <w:t>Prescription</w:t>
      </w:r>
      <w:r w:rsidR="00736041" w:rsidRPr="005E22C2">
        <w:t xml:space="preserve"> utilisation</w:t>
      </w:r>
    </w:p>
    <w:p w:rsidR="004D427C" w:rsidRPr="004D427C" w:rsidRDefault="00DA0474" w:rsidP="00B1788D">
      <w:pPr>
        <w:spacing w:before="60"/>
      </w:pPr>
      <w:r>
        <w:rPr>
          <w:noProof/>
        </w:rPr>
        <w:drawing>
          <wp:inline distT="0" distB="0" distL="0" distR="0" wp14:anchorId="2688DCC6" wp14:editId="1FBF2286">
            <wp:extent cx="5687695" cy="3703955"/>
            <wp:effectExtent l="0" t="0" r="8255" b="10795"/>
            <wp:docPr id="9" name="Chart 9" title="Figure 1: Prescriptions for the treatment of RCC by line of therapy and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124C2" w:rsidRPr="00B1788D">
        <w:rPr>
          <w:rStyle w:val="FiguretitleChar"/>
        </w:rPr>
        <w:t>Figure 1</w:t>
      </w:r>
      <w:r w:rsidR="004D427C" w:rsidRPr="00B1788D">
        <w:rPr>
          <w:rStyle w:val="FiguretitleChar"/>
        </w:rPr>
        <w:t>: Prescriptions for the treatment of RCC by line of therapy and drug</w:t>
      </w:r>
      <w:r w:rsidR="004D427C" w:rsidRPr="00B1788D">
        <w:rPr>
          <w:rStyle w:val="FiguretitleChar"/>
        </w:rPr>
        <w:br/>
      </w:r>
      <w:r w:rsidR="004D427C" w:rsidRPr="004D427C">
        <w:rPr>
          <w:sz w:val="20"/>
        </w:rPr>
        <w:t xml:space="preserve">Note: Nivolumab for </w:t>
      </w:r>
      <w:r w:rsidR="009A3EB4">
        <w:rPr>
          <w:sz w:val="20"/>
        </w:rPr>
        <w:t>2nd</w:t>
      </w:r>
      <w:r w:rsidR="004D427C" w:rsidRPr="004D427C">
        <w:rPr>
          <w:sz w:val="20"/>
        </w:rPr>
        <w:t xml:space="preserve"> line RCC was PBS listed on 1 August 2017</w:t>
      </w:r>
    </w:p>
    <w:p w:rsidR="004D427C" w:rsidRDefault="00E124C2" w:rsidP="004A7751">
      <w:r>
        <w:t xml:space="preserve">Figure 1 shows that </w:t>
      </w:r>
      <w:r w:rsidR="009A3EB4">
        <w:t>2nd</w:t>
      </w:r>
      <w:r>
        <w:t xml:space="preserve"> </w:t>
      </w:r>
      <w:r w:rsidR="004E74F5">
        <w:t>line nivolumab ha</w:t>
      </w:r>
      <w:r>
        <w:t xml:space="preserve">s the most </w:t>
      </w:r>
      <w:r w:rsidR="004E74F5">
        <w:t xml:space="preserve">prescription utilisation </w:t>
      </w:r>
      <w:r>
        <w:t>in the RCC treatment market.</w:t>
      </w:r>
      <w:r w:rsidR="004E74F5">
        <w:t xml:space="preserve"> Relative prescription utilisation differs from the relative number of </w:t>
      </w:r>
      <w:r w:rsidR="008C13C8">
        <w:t>patients (see Figure 4</w:t>
      </w:r>
      <w:r w:rsidR="004E74F5">
        <w:t xml:space="preserve">) because </w:t>
      </w:r>
      <w:r w:rsidR="009A3EB4">
        <w:t>2nd</w:t>
      </w:r>
      <w:r w:rsidR="00D0410B">
        <w:t xml:space="preserve"> line n</w:t>
      </w:r>
      <w:r w:rsidR="004E74F5">
        <w:t xml:space="preserve">ivolumab </w:t>
      </w:r>
      <w:r w:rsidR="00D75FF7">
        <w:t>is</w:t>
      </w:r>
      <w:r w:rsidR="00D0410B">
        <w:t xml:space="preserve"> supplied twice as frequently (i.e. every 14 days) as most of the other medicines (see Table 8 for details). The decrease in </w:t>
      </w:r>
      <w:r w:rsidR="009A3EB4">
        <w:t>2nd</w:t>
      </w:r>
      <w:r w:rsidR="00D0410B">
        <w:t xml:space="preserve"> line nivolumab utilisation in 2019 Q4 is most likely due to the change in restriction on 1 September 2019 that allowed the use of 4 weekly flat dose infusions. Prior to this all infusions had been 2 weekly.</w:t>
      </w:r>
    </w:p>
    <w:p w:rsidR="00210F4C" w:rsidRDefault="00210F4C" w:rsidP="00243DBC">
      <w:pPr>
        <w:rPr>
          <w:b/>
          <w:lang w:val="en-US"/>
        </w:rPr>
      </w:pPr>
    </w:p>
    <w:p w:rsidR="0001548C" w:rsidRPr="00B1788D" w:rsidRDefault="00210F4C" w:rsidP="00243DBC">
      <w:pPr>
        <w:rPr>
          <w:rStyle w:val="FiguretitleChar"/>
        </w:rPr>
      </w:pPr>
      <w:r>
        <w:rPr>
          <w:noProof/>
        </w:rPr>
        <w:drawing>
          <wp:inline distT="0" distB="0" distL="0" distR="0" wp14:anchorId="75913147" wp14:editId="0C3AC406">
            <wp:extent cx="5687695" cy="3703955"/>
            <wp:effectExtent l="0" t="0" r="8255" b="10795"/>
            <wp:docPr id="2" name="Chart 2" title="Figure 2: Nivolumab and ipilimumab prescriptions for RCC by line of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E7643" w:rsidRPr="00B1788D">
        <w:rPr>
          <w:rStyle w:val="FiguretitleChar"/>
        </w:rPr>
        <w:t xml:space="preserve">Figure 2: Nivolumab and </w:t>
      </w:r>
      <w:r w:rsidR="00E11DD8" w:rsidRPr="00B1788D">
        <w:rPr>
          <w:rStyle w:val="FiguretitleChar"/>
        </w:rPr>
        <w:t>ipilimumab</w:t>
      </w:r>
      <w:r w:rsidR="004E7643" w:rsidRPr="00B1788D">
        <w:rPr>
          <w:rStyle w:val="FiguretitleChar"/>
        </w:rPr>
        <w:t xml:space="preserve"> prescriptions for RCC by </w:t>
      </w:r>
      <w:r w:rsidR="0001548C" w:rsidRPr="00B1788D">
        <w:rPr>
          <w:rStyle w:val="FiguretitleChar"/>
        </w:rPr>
        <w:t>line of therapy</w:t>
      </w:r>
    </w:p>
    <w:p w:rsidR="00E62866" w:rsidRDefault="00210F4C" w:rsidP="00243DBC">
      <w:pPr>
        <w:rPr>
          <w:lang w:val="en-US"/>
        </w:rPr>
      </w:pPr>
      <w:r>
        <w:rPr>
          <w:lang w:val="en-US"/>
        </w:rPr>
        <w:t>Figure 2 uses month</w:t>
      </w:r>
      <w:r w:rsidR="00D0410B">
        <w:rPr>
          <w:lang w:val="en-US"/>
        </w:rPr>
        <w:t>ly</w:t>
      </w:r>
      <w:r>
        <w:rPr>
          <w:lang w:val="en-US"/>
        </w:rPr>
        <w:t xml:space="preserve"> instead of quarter</w:t>
      </w:r>
      <w:r w:rsidR="00D0410B">
        <w:rPr>
          <w:lang w:val="en-US"/>
        </w:rPr>
        <w:t>ly data</w:t>
      </w:r>
      <w:r>
        <w:rPr>
          <w:lang w:val="en-US"/>
        </w:rPr>
        <w:t xml:space="preserve"> to better discern the influence of </w:t>
      </w:r>
      <w:r w:rsidR="00E62866">
        <w:rPr>
          <w:lang w:val="en-US"/>
        </w:rPr>
        <w:t>three</w:t>
      </w:r>
      <w:r>
        <w:rPr>
          <w:lang w:val="en-US"/>
        </w:rPr>
        <w:t xml:space="preserve"> separate changes to listing. Th</w:t>
      </w:r>
      <w:r w:rsidR="00E62866">
        <w:rPr>
          <w:lang w:val="en-US"/>
        </w:rPr>
        <w:t>ese were;</w:t>
      </w:r>
    </w:p>
    <w:p w:rsidR="00E62866" w:rsidRDefault="00210F4C" w:rsidP="00E62866">
      <w:pPr>
        <w:pStyle w:val="ListParagraph"/>
        <w:numPr>
          <w:ilvl w:val="0"/>
          <w:numId w:val="31"/>
        </w:numPr>
        <w:rPr>
          <w:lang w:val="en-US"/>
        </w:rPr>
      </w:pPr>
      <w:r w:rsidRPr="00E62866">
        <w:rPr>
          <w:lang w:val="en-US"/>
        </w:rPr>
        <w:t xml:space="preserve">the extension of nivolumab to </w:t>
      </w:r>
      <w:r w:rsidR="002B1FCB">
        <w:rPr>
          <w:lang w:val="en-US"/>
        </w:rPr>
        <w:t>1st</w:t>
      </w:r>
      <w:r w:rsidRPr="00E62866">
        <w:rPr>
          <w:lang w:val="en-US"/>
        </w:rPr>
        <w:t xml:space="preserve"> line treatment</w:t>
      </w:r>
      <w:r w:rsidR="00E62866">
        <w:rPr>
          <w:lang w:val="en-US"/>
        </w:rPr>
        <w:t xml:space="preserve"> on 1 March 2019;</w:t>
      </w:r>
      <w:r w:rsidR="00BD2EDE">
        <w:rPr>
          <w:lang w:val="en-US"/>
        </w:rPr>
        <w:t xml:space="preserve"> </w:t>
      </w:r>
    </w:p>
    <w:p w:rsidR="00BD2EDE" w:rsidRPr="00BD2EDE" w:rsidRDefault="00BD2EDE" w:rsidP="00BD2EDE">
      <w:pPr>
        <w:pStyle w:val="ListParagraph"/>
        <w:numPr>
          <w:ilvl w:val="0"/>
          <w:numId w:val="31"/>
        </w:numPr>
        <w:rPr>
          <w:lang w:val="en-US"/>
        </w:rPr>
      </w:pPr>
      <w:r>
        <w:t xml:space="preserve">the extension the </w:t>
      </w:r>
      <w:r w:rsidR="002B1FCB">
        <w:t>1st</w:t>
      </w:r>
      <w:r>
        <w:t xml:space="preserve"> &amp; </w:t>
      </w:r>
      <w:r w:rsidR="009A3EB4">
        <w:t>2nd</w:t>
      </w:r>
      <w:r>
        <w:t xml:space="preserve"> line listing to allow use of 4 weekly flat dose infusions on 1 September 2019; and</w:t>
      </w:r>
    </w:p>
    <w:p w:rsidR="00210F4C" w:rsidRPr="00BD2EDE" w:rsidRDefault="00210F4C" w:rsidP="00BD2EDE">
      <w:pPr>
        <w:pStyle w:val="ListParagraph"/>
        <w:numPr>
          <w:ilvl w:val="0"/>
          <w:numId w:val="31"/>
        </w:numPr>
        <w:rPr>
          <w:lang w:val="en-US"/>
        </w:rPr>
      </w:pPr>
      <w:r w:rsidRPr="00BD2EDE">
        <w:rPr>
          <w:lang w:val="en-US"/>
        </w:rPr>
        <w:t>the change in authority level (Authority Required to Streamlined)</w:t>
      </w:r>
      <w:r w:rsidR="00E62866" w:rsidRPr="00BD2EDE">
        <w:rPr>
          <w:lang w:val="en-US"/>
        </w:rPr>
        <w:t xml:space="preserve"> for both </w:t>
      </w:r>
      <w:r w:rsidR="002B1FCB">
        <w:rPr>
          <w:lang w:val="en-US"/>
        </w:rPr>
        <w:t>1st</w:t>
      </w:r>
      <w:r w:rsidR="00E62866" w:rsidRPr="00BD2EDE">
        <w:rPr>
          <w:lang w:val="en-US"/>
        </w:rPr>
        <w:t xml:space="preserve"> &amp; </w:t>
      </w:r>
      <w:r w:rsidR="009A3EB4">
        <w:rPr>
          <w:lang w:val="en-US"/>
        </w:rPr>
        <w:t>2nd</w:t>
      </w:r>
      <w:r w:rsidR="00E62866" w:rsidRPr="00BD2EDE">
        <w:rPr>
          <w:lang w:val="en-US"/>
        </w:rPr>
        <w:t xml:space="preserve"> line on 1 September 2019</w:t>
      </w:r>
      <w:r w:rsidRPr="00BD2EDE">
        <w:rPr>
          <w:lang w:val="en-US"/>
        </w:rPr>
        <w:t xml:space="preserve">. </w:t>
      </w:r>
    </w:p>
    <w:p w:rsidR="005E4380" w:rsidRDefault="005E4380" w:rsidP="00243DBC">
      <w:pPr>
        <w:rPr>
          <w:lang w:val="en-US"/>
        </w:rPr>
      </w:pPr>
      <w:r>
        <w:rPr>
          <w:lang w:val="en-US"/>
        </w:rPr>
        <w:t>On</w:t>
      </w:r>
      <w:r w:rsidRPr="005E4380">
        <w:rPr>
          <w:lang w:val="en-US"/>
        </w:rPr>
        <w:t xml:space="preserve"> </w:t>
      </w:r>
      <w:r>
        <w:rPr>
          <w:lang w:val="en-US"/>
        </w:rPr>
        <w:t xml:space="preserve">1 March 2019 the listing of nivolumab was extended </w:t>
      </w:r>
      <w:r w:rsidR="0001548C">
        <w:rPr>
          <w:lang w:val="en-US"/>
        </w:rPr>
        <w:t xml:space="preserve">to use in </w:t>
      </w:r>
      <w:r w:rsidR="002B1FCB">
        <w:rPr>
          <w:lang w:val="en-US"/>
        </w:rPr>
        <w:t>1st</w:t>
      </w:r>
      <w:r w:rsidR="0001548C">
        <w:rPr>
          <w:lang w:val="en-US"/>
        </w:rPr>
        <w:t xml:space="preserve"> line therapy (in combination with </w:t>
      </w:r>
      <w:r w:rsidR="00E124C2">
        <w:rPr>
          <w:lang w:val="en-US"/>
        </w:rPr>
        <w:t>ipilimumab</w:t>
      </w:r>
      <w:r w:rsidR="0001548C">
        <w:rPr>
          <w:lang w:val="en-US"/>
        </w:rPr>
        <w:t xml:space="preserve"> for the induction </w:t>
      </w:r>
      <w:r w:rsidR="00C67A7D">
        <w:rPr>
          <w:lang w:val="en-US"/>
        </w:rPr>
        <w:t>phase)</w:t>
      </w:r>
      <w:r w:rsidR="0001548C">
        <w:rPr>
          <w:lang w:val="en-US"/>
        </w:rPr>
        <w:t>.</w:t>
      </w:r>
      <w:r w:rsidR="00943D12">
        <w:rPr>
          <w:lang w:val="en-US"/>
        </w:rPr>
        <w:t xml:space="preserve"> The predicted versus actual (PvA) analysis later in this report will consider if the </w:t>
      </w:r>
      <w:r w:rsidR="009A3EB4">
        <w:rPr>
          <w:lang w:val="en-US"/>
        </w:rPr>
        <w:t>2nd</w:t>
      </w:r>
      <w:r w:rsidR="00943D12">
        <w:rPr>
          <w:lang w:val="en-US"/>
        </w:rPr>
        <w:t xml:space="preserve"> line actuals have been impacted in the </w:t>
      </w:r>
      <w:r w:rsidR="009A3EB4">
        <w:rPr>
          <w:lang w:val="en-US"/>
        </w:rPr>
        <w:t>2nd</w:t>
      </w:r>
      <w:r w:rsidR="00943D12">
        <w:rPr>
          <w:lang w:val="en-US"/>
        </w:rPr>
        <w:t xml:space="preserve"> year of listing (i</w:t>
      </w:r>
      <w:r w:rsidR="003D01DF">
        <w:rPr>
          <w:lang w:val="en-US"/>
        </w:rPr>
        <w:t>.</w:t>
      </w:r>
      <w:r w:rsidR="00943D12">
        <w:rPr>
          <w:lang w:val="en-US"/>
        </w:rPr>
        <w:t xml:space="preserve">e. August 2018 to the end of July 2019) by the </w:t>
      </w:r>
      <w:r w:rsidR="002B1FCB">
        <w:rPr>
          <w:lang w:val="en-US"/>
        </w:rPr>
        <w:t>1st</w:t>
      </w:r>
      <w:r w:rsidR="00943D12">
        <w:rPr>
          <w:lang w:val="en-US"/>
        </w:rPr>
        <w:t xml:space="preserve"> line listing. </w:t>
      </w:r>
      <w:r w:rsidR="0001548C">
        <w:rPr>
          <w:lang w:val="en-US"/>
        </w:rPr>
        <w:t xml:space="preserve"> </w:t>
      </w:r>
    </w:p>
    <w:p w:rsidR="009C4860" w:rsidRDefault="00BD2EDE" w:rsidP="009C4860">
      <w:pPr>
        <w:keepNext/>
        <w:keepLines/>
        <w:spacing w:after="0"/>
      </w:pPr>
      <w:r>
        <w:rPr>
          <w:lang w:val="en-US"/>
        </w:rPr>
        <w:t xml:space="preserve">The extension of listing to allow </w:t>
      </w:r>
      <w:r w:rsidR="009C4860">
        <w:t xml:space="preserve">4 weekly flat dose infusions from 1 September 2019 as an alternative to 2 weekly dosing does seem to have reduced the number of prescriptions for </w:t>
      </w:r>
      <w:r w:rsidR="009A3EB4">
        <w:t>2nd</w:t>
      </w:r>
      <w:r w:rsidR="009C4860" w:rsidRPr="009C4860">
        <w:t xml:space="preserve"> line nivolumab from that date. For more detail see the section “Dose distribution of </w:t>
      </w:r>
      <w:r w:rsidR="009A3EB4">
        <w:t>2nd</w:t>
      </w:r>
      <w:r w:rsidR="009C4860" w:rsidRPr="009C4860">
        <w:t xml:space="preserve"> line nivolumab infusions”.</w:t>
      </w:r>
      <w:r w:rsidR="009C4860">
        <w:t xml:space="preserve"> The utilisation of</w:t>
      </w:r>
      <w:r w:rsidR="00B53546">
        <w:t xml:space="preserve"> </w:t>
      </w:r>
      <w:r w:rsidR="002B1FCB">
        <w:t>1st</w:t>
      </w:r>
      <w:r w:rsidR="009C4860">
        <w:t xml:space="preserve"> line nivolumab does not seem to have been impacted by this change.</w:t>
      </w:r>
    </w:p>
    <w:p w:rsidR="009C4860" w:rsidRPr="009C4860" w:rsidRDefault="009C4860" w:rsidP="009C4860">
      <w:pPr>
        <w:keepNext/>
        <w:keepLines/>
        <w:spacing w:after="0"/>
      </w:pPr>
    </w:p>
    <w:p w:rsidR="003D6245" w:rsidRDefault="00210F4C" w:rsidP="00151724">
      <w:pPr>
        <w:rPr>
          <w:b/>
          <w:i/>
        </w:rPr>
      </w:pPr>
      <w:r>
        <w:rPr>
          <w:lang w:val="en-US"/>
        </w:rPr>
        <w:t xml:space="preserve">The </w:t>
      </w:r>
      <w:r w:rsidR="009C4860">
        <w:rPr>
          <w:lang w:val="en-US"/>
        </w:rPr>
        <w:t xml:space="preserve">third </w:t>
      </w:r>
      <w:r>
        <w:rPr>
          <w:lang w:val="en-US"/>
        </w:rPr>
        <w:t xml:space="preserve">change to the listing of nivolumab was the change in authority level (Authority Required to Streamlined) for </w:t>
      </w:r>
      <w:r w:rsidR="009A3EB4">
        <w:rPr>
          <w:lang w:val="en-US"/>
        </w:rPr>
        <w:t>2nd</w:t>
      </w:r>
      <w:r>
        <w:rPr>
          <w:lang w:val="en-US"/>
        </w:rPr>
        <w:t xml:space="preserve"> line </w:t>
      </w:r>
      <w:r w:rsidR="00256DED">
        <w:rPr>
          <w:lang w:val="en-US"/>
        </w:rPr>
        <w:t>initial and continuing prescriptions</w:t>
      </w:r>
      <w:r>
        <w:rPr>
          <w:lang w:val="en-US"/>
        </w:rPr>
        <w:t xml:space="preserve"> </w:t>
      </w:r>
      <w:r w:rsidR="00256DED">
        <w:rPr>
          <w:lang w:val="en-US"/>
        </w:rPr>
        <w:t xml:space="preserve">on </w:t>
      </w:r>
      <w:r>
        <w:rPr>
          <w:lang w:val="en-US"/>
        </w:rPr>
        <w:t xml:space="preserve">1 September </w:t>
      </w:r>
      <w:r w:rsidR="00256DED">
        <w:rPr>
          <w:lang w:val="en-US"/>
        </w:rPr>
        <w:t>2019</w:t>
      </w:r>
      <w:r w:rsidR="00256DED" w:rsidRPr="007C47CC">
        <w:rPr>
          <w:lang w:val="en-US"/>
        </w:rPr>
        <w:t>.</w:t>
      </w:r>
      <w:r w:rsidR="00256DED">
        <w:rPr>
          <w:lang w:val="en-US"/>
        </w:rPr>
        <w:t xml:space="preserve"> </w:t>
      </w:r>
      <w:r w:rsidR="002B1FCB">
        <w:rPr>
          <w:lang w:val="en-US"/>
        </w:rPr>
        <w:t>1st</w:t>
      </w:r>
      <w:r w:rsidR="00256DED">
        <w:rPr>
          <w:lang w:val="en-US"/>
        </w:rPr>
        <w:t xml:space="preserve"> line prescriptions for induction and grandfathering </w:t>
      </w:r>
      <w:r w:rsidR="00630DB6">
        <w:rPr>
          <w:lang w:val="en-US"/>
        </w:rPr>
        <w:t>were Streamlined Authority f</w:t>
      </w:r>
      <w:r w:rsidR="00256DED">
        <w:rPr>
          <w:lang w:val="en-US"/>
        </w:rPr>
        <w:t>r</w:t>
      </w:r>
      <w:r w:rsidR="00630DB6">
        <w:rPr>
          <w:lang w:val="en-US"/>
        </w:rPr>
        <w:t>o</w:t>
      </w:r>
      <w:r w:rsidR="00256DED">
        <w:rPr>
          <w:lang w:val="en-US"/>
        </w:rPr>
        <w:t>m listing on 1 March 2019</w:t>
      </w:r>
      <w:r w:rsidR="00630DB6">
        <w:rPr>
          <w:lang w:val="en-US"/>
        </w:rPr>
        <w:t xml:space="preserve"> (this applies to both nivolumab and ipilimumab)</w:t>
      </w:r>
      <w:r w:rsidR="00256DED">
        <w:rPr>
          <w:lang w:val="en-US"/>
        </w:rPr>
        <w:t>. The maintenance</w:t>
      </w:r>
      <w:r w:rsidR="00630DB6">
        <w:rPr>
          <w:lang w:val="en-US"/>
        </w:rPr>
        <w:t xml:space="preserve"> phase, which only includes nivolumab, </w:t>
      </w:r>
      <w:r w:rsidR="00256DED">
        <w:rPr>
          <w:lang w:val="en-US"/>
        </w:rPr>
        <w:t xml:space="preserve">was Authority Required from 1 March 2019 and became Streamlined on 1 September 2019. There does not appear to be any obvious </w:t>
      </w:r>
      <w:r w:rsidR="00943D12">
        <w:rPr>
          <w:lang w:val="en-US"/>
        </w:rPr>
        <w:t xml:space="preserve">increase </w:t>
      </w:r>
      <w:r w:rsidR="00256DED">
        <w:rPr>
          <w:lang w:val="en-US"/>
        </w:rPr>
        <w:t>in utilisation due to the reduction in approval level on 1 September 2019 in either line of therapy.</w:t>
      </w:r>
      <w:r w:rsidR="00630DB6">
        <w:rPr>
          <w:lang w:val="en-US"/>
        </w:rPr>
        <w:t xml:space="preserve"> </w:t>
      </w:r>
      <w:r w:rsidR="00151724">
        <w:rPr>
          <w:lang w:val="en-US"/>
        </w:rPr>
        <w:t>However, any such effect may have been masked by the other two changes to the listing.</w:t>
      </w:r>
    </w:p>
    <w:p w:rsidR="004E7643" w:rsidRPr="007169A6" w:rsidRDefault="00E43039" w:rsidP="007169A6">
      <w:pPr>
        <w:pStyle w:val="Heading3"/>
      </w:pPr>
      <w:r w:rsidRPr="003D6245">
        <w:t>Patients</w:t>
      </w:r>
    </w:p>
    <w:p w:rsidR="00EC5333" w:rsidRDefault="00EC5333" w:rsidP="00EC5333">
      <w:pPr>
        <w:rPr>
          <w:sz w:val="20"/>
        </w:rPr>
      </w:pPr>
      <w:r>
        <w:rPr>
          <w:noProof/>
        </w:rPr>
        <w:drawing>
          <wp:inline distT="0" distB="0" distL="0" distR="0" wp14:anchorId="3CE92541" wp14:editId="085ECB69">
            <wp:extent cx="5687695" cy="3706495"/>
            <wp:effectExtent l="0" t="0" r="8255" b="8255"/>
            <wp:docPr id="10" name="Chart 10" title="Figure 2: Nivolumab and ipilimumab prescriptions for RCC by line of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1788D">
        <w:rPr>
          <w:rStyle w:val="FiguretitleChar"/>
        </w:rPr>
        <w:t>Figure 3: Initiating and prevalent patients for the PBS treatment of RCC</w:t>
      </w:r>
      <w:r w:rsidR="003D6245" w:rsidRPr="00B1788D">
        <w:rPr>
          <w:rStyle w:val="FiguretitleChar"/>
        </w:rPr>
        <w:br/>
      </w:r>
      <w:r w:rsidR="003D6245" w:rsidRPr="003D6245">
        <w:rPr>
          <w:sz w:val="20"/>
        </w:rPr>
        <w:t>Note: initiating patients have no prior prescription for RCC treatment with any drug</w:t>
      </w:r>
    </w:p>
    <w:p w:rsidR="00E124C2" w:rsidRPr="00E124C2" w:rsidRDefault="00E124C2" w:rsidP="00EC5333">
      <w:pPr>
        <w:rPr>
          <w:lang w:val="en-US"/>
        </w:rPr>
      </w:pPr>
      <w:r w:rsidRPr="00E124C2">
        <w:t xml:space="preserve">Figure 3 </w:t>
      </w:r>
      <w:r>
        <w:t>shows the number of patients initiating RCC treatment has been gradually increasing.</w:t>
      </w:r>
    </w:p>
    <w:p w:rsidR="004746D1" w:rsidRDefault="00B41961" w:rsidP="004746D1">
      <w:pPr>
        <w:rPr>
          <w:sz w:val="20"/>
          <w:szCs w:val="20"/>
        </w:rPr>
      </w:pPr>
      <w:r>
        <w:rPr>
          <w:noProof/>
        </w:rPr>
        <w:drawing>
          <wp:inline distT="0" distB="0" distL="0" distR="0" wp14:anchorId="70D68ECF" wp14:editId="2DA9E6BB">
            <wp:extent cx="5687695" cy="3706495"/>
            <wp:effectExtent l="0" t="0" r="8255" b="8255"/>
            <wp:docPr id="12" name="Chart 12" title="Figure 2: Nivolumab and ipilimumab prescriptions for RCC by line of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C3C57" w:rsidRPr="009C3C57">
        <w:rPr>
          <w:rStyle w:val="FiguretitleChar"/>
        </w:rPr>
        <w:t xml:space="preserve"> </w:t>
      </w:r>
      <w:r w:rsidR="009C3C57" w:rsidRPr="00B1788D">
        <w:rPr>
          <w:rStyle w:val="FiguretitleChar"/>
        </w:rPr>
        <w:t>Figure 2: Nivolumab and ipilimumab prescriptions for RCC by line of therapy</w:t>
      </w:r>
      <w:r w:rsidR="004746D1" w:rsidRPr="00B1788D">
        <w:rPr>
          <w:rStyle w:val="FiguretitleChar"/>
        </w:rPr>
        <w:br/>
      </w:r>
      <w:r w:rsidR="004746D1" w:rsidRPr="00E154B6">
        <w:rPr>
          <w:sz w:val="20"/>
          <w:szCs w:val="20"/>
        </w:rPr>
        <w:t xml:space="preserve">Note: patients can be prevalent to </w:t>
      </w:r>
      <w:r w:rsidR="00E154B6">
        <w:rPr>
          <w:sz w:val="20"/>
          <w:szCs w:val="20"/>
        </w:rPr>
        <w:t xml:space="preserve">(i.e. supplied) </w:t>
      </w:r>
      <w:r w:rsidR="004746D1" w:rsidRPr="00E154B6">
        <w:rPr>
          <w:sz w:val="20"/>
          <w:szCs w:val="20"/>
        </w:rPr>
        <w:t>more than one drug in a quarter</w:t>
      </w:r>
    </w:p>
    <w:p w:rsidR="009C1627" w:rsidRDefault="009C1627" w:rsidP="004746D1">
      <w:pPr>
        <w:rPr>
          <w:szCs w:val="20"/>
        </w:rPr>
      </w:pPr>
      <w:r>
        <w:rPr>
          <w:szCs w:val="20"/>
        </w:rPr>
        <w:t>In Figure 4:</w:t>
      </w:r>
    </w:p>
    <w:p w:rsidR="008C13C8" w:rsidRDefault="009A3EB4" w:rsidP="009C1627">
      <w:pPr>
        <w:pStyle w:val="ListParagraph"/>
        <w:numPr>
          <w:ilvl w:val="0"/>
          <w:numId w:val="4"/>
        </w:numPr>
        <w:rPr>
          <w:szCs w:val="20"/>
        </w:rPr>
      </w:pPr>
      <w:r>
        <w:rPr>
          <w:szCs w:val="20"/>
        </w:rPr>
        <w:t>2nd</w:t>
      </w:r>
      <w:r w:rsidR="00BD3BAA">
        <w:rPr>
          <w:szCs w:val="20"/>
        </w:rPr>
        <w:t xml:space="preserve"> line nivolumab wa</w:t>
      </w:r>
      <w:r w:rsidR="008C13C8">
        <w:rPr>
          <w:szCs w:val="20"/>
        </w:rPr>
        <w:t xml:space="preserve">s (as at 2019 Q4) the most utilised treatment, followed by </w:t>
      </w:r>
      <w:r w:rsidR="002B1FCB">
        <w:rPr>
          <w:szCs w:val="20"/>
        </w:rPr>
        <w:t>1st</w:t>
      </w:r>
      <w:r w:rsidR="008C13C8">
        <w:rPr>
          <w:szCs w:val="20"/>
        </w:rPr>
        <w:t xml:space="preserve"> line pazopanib and then </w:t>
      </w:r>
      <w:r w:rsidR="002B1FCB">
        <w:rPr>
          <w:szCs w:val="20"/>
        </w:rPr>
        <w:t>1st</w:t>
      </w:r>
      <w:r w:rsidR="008C13C8">
        <w:rPr>
          <w:szCs w:val="20"/>
        </w:rPr>
        <w:t xml:space="preserve"> line nivolumab.</w:t>
      </w:r>
    </w:p>
    <w:p w:rsidR="00B41961" w:rsidRPr="009C1627" w:rsidRDefault="002B1FCB" w:rsidP="009C1627">
      <w:pPr>
        <w:pStyle w:val="ListParagraph"/>
        <w:numPr>
          <w:ilvl w:val="0"/>
          <w:numId w:val="4"/>
        </w:numPr>
        <w:rPr>
          <w:szCs w:val="20"/>
        </w:rPr>
      </w:pPr>
      <w:r>
        <w:rPr>
          <w:szCs w:val="20"/>
        </w:rPr>
        <w:t>1st</w:t>
      </w:r>
      <w:r w:rsidR="00B41961" w:rsidRPr="009C1627">
        <w:rPr>
          <w:szCs w:val="20"/>
        </w:rPr>
        <w:t xml:space="preserve"> line nivolumab looks to be mainly replacing </w:t>
      </w:r>
      <w:r>
        <w:rPr>
          <w:szCs w:val="20"/>
        </w:rPr>
        <w:t>1st</w:t>
      </w:r>
      <w:r w:rsidR="00D0410B">
        <w:rPr>
          <w:szCs w:val="20"/>
        </w:rPr>
        <w:t xml:space="preserve"> line </w:t>
      </w:r>
      <w:r w:rsidR="00B41961" w:rsidRPr="009C1627">
        <w:rPr>
          <w:szCs w:val="20"/>
        </w:rPr>
        <w:t>pazopanib.</w:t>
      </w:r>
    </w:p>
    <w:p w:rsidR="00B41961" w:rsidRPr="009C1627" w:rsidRDefault="009A3EB4" w:rsidP="009C1627">
      <w:pPr>
        <w:pStyle w:val="ListParagraph"/>
        <w:numPr>
          <w:ilvl w:val="0"/>
          <w:numId w:val="4"/>
        </w:numPr>
        <w:rPr>
          <w:b/>
        </w:rPr>
      </w:pPr>
      <w:r>
        <w:rPr>
          <w:szCs w:val="20"/>
        </w:rPr>
        <w:t>2nd</w:t>
      </w:r>
      <w:r w:rsidR="00B41961" w:rsidRPr="009C1627">
        <w:rPr>
          <w:szCs w:val="20"/>
        </w:rPr>
        <w:t xml:space="preserve"> line nivolumab looks to have mainly replaced </w:t>
      </w:r>
      <w:r>
        <w:rPr>
          <w:szCs w:val="20"/>
        </w:rPr>
        <w:t>2nd</w:t>
      </w:r>
      <w:r w:rsidR="00D0410B">
        <w:rPr>
          <w:szCs w:val="20"/>
        </w:rPr>
        <w:t xml:space="preserve"> line </w:t>
      </w:r>
      <w:r w:rsidR="00B41961" w:rsidRPr="009C1627">
        <w:rPr>
          <w:szCs w:val="20"/>
        </w:rPr>
        <w:t>axitinib.</w:t>
      </w:r>
    </w:p>
    <w:p w:rsidR="009C1627" w:rsidRPr="009C1627" w:rsidRDefault="009A3EB4" w:rsidP="009C1627">
      <w:pPr>
        <w:pStyle w:val="ListParagraph"/>
        <w:numPr>
          <w:ilvl w:val="0"/>
          <w:numId w:val="4"/>
        </w:numPr>
        <w:rPr>
          <w:b/>
        </w:rPr>
      </w:pPr>
      <w:r>
        <w:rPr>
          <w:szCs w:val="20"/>
        </w:rPr>
        <w:t>2nd</w:t>
      </w:r>
      <w:r w:rsidR="009C1627" w:rsidRPr="009C1627">
        <w:rPr>
          <w:szCs w:val="20"/>
        </w:rPr>
        <w:t xml:space="preserve"> line </w:t>
      </w:r>
      <w:r w:rsidR="00E11DD8">
        <w:rPr>
          <w:szCs w:val="20"/>
        </w:rPr>
        <w:t>cabozantinib</w:t>
      </w:r>
      <w:r w:rsidR="009C1627">
        <w:rPr>
          <w:szCs w:val="20"/>
        </w:rPr>
        <w:t xml:space="preserve"> is growing strongly </w:t>
      </w:r>
      <w:r w:rsidR="008866EE">
        <w:rPr>
          <w:szCs w:val="20"/>
        </w:rPr>
        <w:t xml:space="preserve">and it looks to have </w:t>
      </w:r>
      <w:r w:rsidR="00D0410B">
        <w:rPr>
          <w:szCs w:val="20"/>
        </w:rPr>
        <w:t xml:space="preserve">reduced </w:t>
      </w:r>
      <w:r w:rsidR="008866EE">
        <w:rPr>
          <w:szCs w:val="20"/>
        </w:rPr>
        <w:t xml:space="preserve">the growth of </w:t>
      </w:r>
      <w:r>
        <w:rPr>
          <w:szCs w:val="20"/>
        </w:rPr>
        <w:t>2nd</w:t>
      </w:r>
      <w:r w:rsidR="008866EE" w:rsidRPr="009C1627">
        <w:rPr>
          <w:szCs w:val="20"/>
        </w:rPr>
        <w:t xml:space="preserve"> line nivolumab </w:t>
      </w:r>
      <w:r w:rsidR="008866EE">
        <w:rPr>
          <w:szCs w:val="20"/>
        </w:rPr>
        <w:t>after it was listed on 1 June 2018.</w:t>
      </w:r>
    </w:p>
    <w:p w:rsidR="004746D1" w:rsidRDefault="00B41961" w:rsidP="004A7751">
      <w:r>
        <w:rPr>
          <w:noProof/>
        </w:rPr>
        <w:drawing>
          <wp:inline distT="0" distB="0" distL="0" distR="0" wp14:anchorId="3F756159" wp14:editId="6D0D1AD2">
            <wp:extent cx="5687695" cy="3706495"/>
            <wp:effectExtent l="0" t="0" r="8255" b="8255"/>
            <wp:docPr id="13" name="Chart 13" title="Figure 5: Initiating patients for the treatment of RCC by line of therapy and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94CB5" w:rsidRPr="004746D1">
        <w:rPr>
          <w:b/>
          <w:lang w:val="en-US"/>
        </w:rPr>
        <w:t xml:space="preserve">Figure </w:t>
      </w:r>
      <w:r w:rsidR="00EC5333">
        <w:rPr>
          <w:b/>
          <w:lang w:val="en-US"/>
        </w:rPr>
        <w:t>5</w:t>
      </w:r>
      <w:r w:rsidR="00794CB5" w:rsidRPr="004746D1">
        <w:rPr>
          <w:b/>
          <w:lang w:val="en-US"/>
        </w:rPr>
        <w:t xml:space="preserve">: </w:t>
      </w:r>
      <w:r w:rsidR="00794CB5">
        <w:rPr>
          <w:b/>
        </w:rPr>
        <w:t>Initiating</w:t>
      </w:r>
      <w:r w:rsidR="00794CB5" w:rsidRPr="004746D1">
        <w:rPr>
          <w:b/>
        </w:rPr>
        <w:t xml:space="preserve"> patients for the treatment of RCC by </w:t>
      </w:r>
      <w:r w:rsidR="00141879">
        <w:rPr>
          <w:b/>
        </w:rPr>
        <w:t xml:space="preserve">line of therapy and </w:t>
      </w:r>
      <w:r w:rsidR="00794CB5" w:rsidRPr="004746D1">
        <w:rPr>
          <w:b/>
        </w:rPr>
        <w:t>drug</w:t>
      </w:r>
      <w:r w:rsidR="00794CB5">
        <w:rPr>
          <w:b/>
        </w:rPr>
        <w:br/>
      </w:r>
      <w:r w:rsidR="00794CB5" w:rsidRPr="00E154B6">
        <w:rPr>
          <w:sz w:val="20"/>
          <w:szCs w:val="20"/>
        </w:rPr>
        <w:t xml:space="preserve">Note: </w:t>
      </w:r>
      <w:r w:rsidR="003D6245">
        <w:rPr>
          <w:sz w:val="20"/>
          <w:szCs w:val="20"/>
        </w:rPr>
        <w:t>P</w:t>
      </w:r>
      <w:r w:rsidR="00794CB5" w:rsidRPr="00E154B6">
        <w:rPr>
          <w:sz w:val="20"/>
          <w:szCs w:val="20"/>
        </w:rPr>
        <w:t xml:space="preserve">atients can </w:t>
      </w:r>
      <w:r w:rsidR="00794CB5">
        <w:rPr>
          <w:sz w:val="20"/>
          <w:szCs w:val="20"/>
        </w:rPr>
        <w:t xml:space="preserve">initiate </w:t>
      </w:r>
      <w:r w:rsidR="00794CB5" w:rsidRPr="00E154B6">
        <w:rPr>
          <w:sz w:val="20"/>
          <w:szCs w:val="20"/>
        </w:rPr>
        <w:t>more than one drug in a quarter</w:t>
      </w:r>
      <w:r w:rsidR="003D6245">
        <w:rPr>
          <w:sz w:val="20"/>
          <w:szCs w:val="20"/>
        </w:rPr>
        <w:t xml:space="preserve">. </w:t>
      </w:r>
    </w:p>
    <w:p w:rsidR="00E43039" w:rsidRDefault="008C13C8" w:rsidP="004A7751">
      <w:r>
        <w:t xml:space="preserve">Figure 5 shows that currently (as at 2019 Q4) </w:t>
      </w:r>
      <w:r w:rsidR="002B1FCB">
        <w:t>1st</w:t>
      </w:r>
      <w:r>
        <w:t xml:space="preserve"> line and </w:t>
      </w:r>
      <w:r w:rsidR="009A3EB4">
        <w:t>2nd</w:t>
      </w:r>
      <w:r>
        <w:t xml:space="preserve"> line nivolumab are the two most commonly initiated treatments.</w:t>
      </w:r>
    </w:p>
    <w:p w:rsidR="00EC4A40" w:rsidRPr="005E22C2" w:rsidRDefault="00EC4A40" w:rsidP="00EC4A40">
      <w:pPr>
        <w:pStyle w:val="Heading2"/>
      </w:pPr>
      <w:r>
        <w:t xml:space="preserve">Analysis </w:t>
      </w:r>
      <w:r w:rsidRPr="005E22C2">
        <w:t xml:space="preserve">of </w:t>
      </w:r>
      <w:r>
        <w:t>p</w:t>
      </w:r>
      <w:r w:rsidRPr="005E22C2">
        <w:t xml:space="preserve">redicted versus </w:t>
      </w:r>
      <w:r>
        <w:t>a</w:t>
      </w:r>
      <w:r w:rsidRPr="005E22C2">
        <w:t xml:space="preserve">ctual </w:t>
      </w:r>
      <w:r>
        <w:t>u</w:t>
      </w:r>
      <w:r w:rsidRPr="005E22C2">
        <w:t>tilisation</w:t>
      </w:r>
    </w:p>
    <w:p w:rsidR="00344720" w:rsidRPr="00344720" w:rsidRDefault="00344720" w:rsidP="00344720">
      <w:pPr>
        <w:pStyle w:val="Heading2"/>
        <w:rPr>
          <w:i/>
          <w:sz w:val="24"/>
        </w:rPr>
      </w:pPr>
      <w:r w:rsidRPr="00344720">
        <w:rPr>
          <w:i/>
          <w:sz w:val="24"/>
        </w:rPr>
        <w:t>Approach taken to estimate utilisation</w:t>
      </w:r>
    </w:p>
    <w:p w:rsidR="00344720" w:rsidRDefault="00344720" w:rsidP="00344720">
      <w:r>
        <w:t>The re-submission to the March 2017 PBAC was not considered by DUSC. The financial estimates arising from the resubmission-addendum were provided shortly before consideration by the ESC.</w:t>
      </w:r>
    </w:p>
    <w:p w:rsidR="00344720" w:rsidRDefault="00344720" w:rsidP="00344720">
      <w:pPr>
        <w:rPr>
          <w:highlight w:val="yellow"/>
        </w:rPr>
      </w:pPr>
      <w:r>
        <w:t xml:space="preserve">The total number of patients likely to be treated with nivolumab over the 5-year forecast period was derived by applying </w:t>
      </w:r>
      <w:r w:rsidR="009A3EB4">
        <w:t>2nd</w:t>
      </w:r>
      <w:r>
        <w:t xml:space="preserve">-line treatment rates to the forecast for the number of patients initiated on TKI therapy each year and factoring in the estimated market share of nivolumab and additional patients to be treated with a </w:t>
      </w:r>
      <w:r w:rsidR="002B1FCB">
        <w:t>1st</w:t>
      </w:r>
      <w:r>
        <w:t xml:space="preserve"> line TKI in order to be eligible to receive nivolumab in the </w:t>
      </w:r>
      <w:r w:rsidR="009A3EB4">
        <w:t>2nd</w:t>
      </w:r>
      <w:r>
        <w:t>-line setting. Estimated utilisation and subsequent costs to the PBS, including from the financial addendum, are presented in Table 2, including a comparison with the estimates presented in the July 2016 submission.</w:t>
      </w:r>
    </w:p>
    <w:p w:rsidR="00344720" w:rsidRPr="00B64C92" w:rsidRDefault="00344720" w:rsidP="003D7A96">
      <w:pPr>
        <w:keepNext/>
        <w:keepLines/>
        <w:spacing w:after="0"/>
        <w:jc w:val="both"/>
        <w:rPr>
          <w:rFonts w:eastAsia="Times New Roman" w:cstheme="minorHAnsi"/>
          <w:b/>
          <w:snapToGrid w:val="0"/>
          <w:szCs w:val="16"/>
          <w:lang w:eastAsia="en-US"/>
        </w:rPr>
      </w:pPr>
      <w:r w:rsidRPr="00B64C92">
        <w:rPr>
          <w:rFonts w:eastAsia="Times New Roman" w:cstheme="minorHAnsi"/>
          <w:b/>
          <w:snapToGrid w:val="0"/>
          <w:szCs w:val="16"/>
          <w:lang w:eastAsia="en-US"/>
        </w:rPr>
        <w:t xml:space="preserve">Table </w:t>
      </w:r>
      <w:r>
        <w:rPr>
          <w:rFonts w:eastAsia="Times New Roman" w:cstheme="minorHAnsi"/>
          <w:b/>
          <w:snapToGrid w:val="0"/>
          <w:szCs w:val="16"/>
          <w:lang w:eastAsia="en-US"/>
        </w:rPr>
        <w:t>2</w:t>
      </w:r>
      <w:r w:rsidRPr="00B64C92">
        <w:rPr>
          <w:rFonts w:eastAsia="Times New Roman" w:cstheme="minorHAnsi"/>
          <w:b/>
          <w:snapToGrid w:val="0"/>
          <w:szCs w:val="16"/>
          <w:lang w:eastAsia="en-US"/>
        </w:rPr>
        <w:t>: Estimated use and financial implications</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4"/>
        <w:gridCol w:w="1060"/>
        <w:gridCol w:w="1060"/>
        <w:gridCol w:w="1060"/>
        <w:gridCol w:w="1060"/>
        <w:gridCol w:w="1060"/>
        <w:gridCol w:w="1078"/>
      </w:tblGrid>
      <w:tr w:rsidR="00344720" w:rsidRPr="00B64C92" w:rsidTr="00DC58D5">
        <w:trPr>
          <w:tblHeader/>
        </w:trPr>
        <w:tc>
          <w:tcPr>
            <w:tcW w:w="2694" w:type="dxa"/>
            <w:shd w:val="clear" w:color="auto" w:fill="auto"/>
            <w:vAlign w:val="center"/>
          </w:tcPr>
          <w:p w:rsidR="00344720" w:rsidRPr="00B64C92" w:rsidRDefault="00344720" w:rsidP="003D7A96">
            <w:pPr>
              <w:keepNext/>
              <w:keepLines/>
              <w:tabs>
                <w:tab w:val="left" w:pos="142"/>
              </w:tabs>
              <w:spacing w:after="0"/>
              <w:ind w:right="93"/>
              <w:rPr>
                <w:rFonts w:ascii="Arial Narrow" w:eastAsia="Times New Roman" w:hAnsi="Arial Narrow" w:cs="Arial"/>
                <w:b/>
                <w:snapToGrid w:val="0"/>
                <w:sz w:val="20"/>
                <w:szCs w:val="20"/>
                <w:lang w:eastAsia="en-US"/>
              </w:rPr>
            </w:pPr>
          </w:p>
        </w:tc>
        <w:tc>
          <w:tcPr>
            <w:tcW w:w="1060" w:type="dxa"/>
            <w:shd w:val="clear" w:color="auto" w:fill="auto"/>
            <w:vAlign w:val="center"/>
          </w:tcPr>
          <w:p w:rsidR="00344720" w:rsidRPr="00B64C92" w:rsidRDefault="00344720" w:rsidP="003D7A96">
            <w:pPr>
              <w:keepNext/>
              <w:keepLines/>
              <w:spacing w:after="0"/>
              <w:ind w:right="93"/>
              <w:jc w:val="center"/>
              <w:rPr>
                <w:rFonts w:ascii="Arial Narrow" w:eastAsia="Times New Roman" w:hAnsi="Arial Narrow" w:cs="Arial"/>
                <w:b/>
                <w:snapToGrid w:val="0"/>
                <w:sz w:val="20"/>
                <w:szCs w:val="20"/>
                <w:lang w:eastAsia="en-US"/>
              </w:rPr>
            </w:pPr>
            <w:r w:rsidRPr="00B64C92">
              <w:rPr>
                <w:rFonts w:ascii="Arial Narrow" w:eastAsia="Times New Roman" w:hAnsi="Arial Narrow" w:cs="Arial"/>
                <w:b/>
                <w:snapToGrid w:val="0"/>
                <w:sz w:val="20"/>
                <w:szCs w:val="20"/>
                <w:lang w:eastAsia="en-US"/>
              </w:rPr>
              <w:t>Year 1</w:t>
            </w:r>
          </w:p>
        </w:tc>
        <w:tc>
          <w:tcPr>
            <w:tcW w:w="1060" w:type="dxa"/>
            <w:shd w:val="clear" w:color="auto" w:fill="auto"/>
            <w:vAlign w:val="center"/>
          </w:tcPr>
          <w:p w:rsidR="00344720" w:rsidRPr="00B64C92" w:rsidRDefault="00344720" w:rsidP="003D7A96">
            <w:pPr>
              <w:keepNext/>
              <w:keepLines/>
              <w:spacing w:after="0"/>
              <w:ind w:right="93"/>
              <w:jc w:val="center"/>
              <w:rPr>
                <w:rFonts w:ascii="Arial Narrow" w:eastAsia="Times New Roman" w:hAnsi="Arial Narrow" w:cs="Arial"/>
                <w:b/>
                <w:snapToGrid w:val="0"/>
                <w:sz w:val="20"/>
                <w:szCs w:val="20"/>
                <w:lang w:eastAsia="en-US"/>
              </w:rPr>
            </w:pPr>
            <w:r w:rsidRPr="00B64C92">
              <w:rPr>
                <w:rFonts w:ascii="Arial Narrow" w:eastAsia="Times New Roman" w:hAnsi="Arial Narrow" w:cs="Arial"/>
                <w:b/>
                <w:snapToGrid w:val="0"/>
                <w:sz w:val="20"/>
                <w:szCs w:val="20"/>
                <w:lang w:eastAsia="en-US"/>
              </w:rPr>
              <w:t>Year 2</w:t>
            </w:r>
          </w:p>
        </w:tc>
        <w:tc>
          <w:tcPr>
            <w:tcW w:w="1060" w:type="dxa"/>
            <w:shd w:val="clear" w:color="auto" w:fill="auto"/>
            <w:vAlign w:val="center"/>
          </w:tcPr>
          <w:p w:rsidR="00344720" w:rsidRPr="00B64C92" w:rsidRDefault="00344720" w:rsidP="003D7A96">
            <w:pPr>
              <w:keepNext/>
              <w:keepLines/>
              <w:spacing w:after="0"/>
              <w:ind w:right="93"/>
              <w:jc w:val="center"/>
              <w:rPr>
                <w:rFonts w:ascii="Arial Narrow" w:eastAsia="Times New Roman" w:hAnsi="Arial Narrow" w:cs="Arial"/>
                <w:b/>
                <w:snapToGrid w:val="0"/>
                <w:sz w:val="20"/>
                <w:szCs w:val="20"/>
                <w:lang w:eastAsia="en-US"/>
              </w:rPr>
            </w:pPr>
            <w:r w:rsidRPr="00B64C92">
              <w:rPr>
                <w:rFonts w:ascii="Arial Narrow" w:eastAsia="Times New Roman" w:hAnsi="Arial Narrow" w:cs="Arial"/>
                <w:b/>
                <w:snapToGrid w:val="0"/>
                <w:sz w:val="20"/>
                <w:szCs w:val="20"/>
                <w:lang w:eastAsia="en-US"/>
              </w:rPr>
              <w:t>Year 3</w:t>
            </w:r>
          </w:p>
        </w:tc>
        <w:tc>
          <w:tcPr>
            <w:tcW w:w="1060" w:type="dxa"/>
            <w:shd w:val="clear" w:color="auto" w:fill="auto"/>
            <w:vAlign w:val="center"/>
          </w:tcPr>
          <w:p w:rsidR="00344720" w:rsidRPr="00B64C92" w:rsidRDefault="00344720" w:rsidP="003D7A96">
            <w:pPr>
              <w:keepNext/>
              <w:keepLines/>
              <w:spacing w:after="0"/>
              <w:ind w:right="93"/>
              <w:jc w:val="center"/>
              <w:rPr>
                <w:rFonts w:ascii="Arial Narrow" w:eastAsia="Times New Roman" w:hAnsi="Arial Narrow" w:cs="Arial"/>
                <w:b/>
                <w:snapToGrid w:val="0"/>
                <w:sz w:val="20"/>
                <w:szCs w:val="20"/>
                <w:lang w:eastAsia="en-US"/>
              </w:rPr>
            </w:pPr>
            <w:r w:rsidRPr="00B64C92">
              <w:rPr>
                <w:rFonts w:ascii="Arial Narrow" w:eastAsia="Times New Roman" w:hAnsi="Arial Narrow" w:cs="Arial"/>
                <w:b/>
                <w:snapToGrid w:val="0"/>
                <w:sz w:val="20"/>
                <w:szCs w:val="20"/>
                <w:lang w:eastAsia="en-US"/>
              </w:rPr>
              <w:t>Year 4</w:t>
            </w:r>
          </w:p>
        </w:tc>
        <w:tc>
          <w:tcPr>
            <w:tcW w:w="1060" w:type="dxa"/>
            <w:shd w:val="clear" w:color="auto" w:fill="auto"/>
            <w:vAlign w:val="center"/>
          </w:tcPr>
          <w:p w:rsidR="00344720" w:rsidRPr="00B64C92" w:rsidRDefault="00344720" w:rsidP="003D7A96">
            <w:pPr>
              <w:keepNext/>
              <w:keepLines/>
              <w:spacing w:after="0"/>
              <w:ind w:right="93"/>
              <w:jc w:val="center"/>
              <w:rPr>
                <w:rFonts w:ascii="Arial Narrow" w:eastAsia="Times New Roman" w:hAnsi="Arial Narrow" w:cs="Arial"/>
                <w:b/>
                <w:snapToGrid w:val="0"/>
                <w:sz w:val="20"/>
                <w:szCs w:val="20"/>
                <w:lang w:eastAsia="en-US"/>
              </w:rPr>
            </w:pPr>
            <w:r w:rsidRPr="00B64C92">
              <w:rPr>
                <w:rFonts w:ascii="Arial Narrow" w:eastAsia="Times New Roman" w:hAnsi="Arial Narrow" w:cs="Arial"/>
                <w:b/>
                <w:snapToGrid w:val="0"/>
                <w:sz w:val="20"/>
                <w:szCs w:val="20"/>
                <w:lang w:eastAsia="en-US"/>
              </w:rPr>
              <w:t>Year 5</w:t>
            </w:r>
          </w:p>
        </w:tc>
        <w:tc>
          <w:tcPr>
            <w:tcW w:w="1078" w:type="dxa"/>
          </w:tcPr>
          <w:p w:rsidR="00344720" w:rsidRPr="00B64C92" w:rsidRDefault="00344720" w:rsidP="003D7A96">
            <w:pPr>
              <w:keepNext/>
              <w:keepLines/>
              <w:spacing w:after="0"/>
              <w:ind w:right="93"/>
              <w:jc w:val="center"/>
              <w:rPr>
                <w:rFonts w:ascii="Arial Narrow" w:eastAsia="Times New Roman" w:hAnsi="Arial Narrow" w:cs="Arial"/>
                <w:b/>
                <w:snapToGrid w:val="0"/>
                <w:sz w:val="20"/>
                <w:szCs w:val="20"/>
                <w:lang w:eastAsia="en-US"/>
              </w:rPr>
            </w:pPr>
            <w:r w:rsidRPr="00B64C92">
              <w:rPr>
                <w:rFonts w:ascii="Arial Narrow" w:eastAsia="Times New Roman" w:hAnsi="Arial Narrow" w:cs="Arial"/>
                <w:b/>
                <w:snapToGrid w:val="0"/>
                <w:sz w:val="20"/>
                <w:szCs w:val="20"/>
                <w:lang w:eastAsia="en-US"/>
              </w:rPr>
              <w:t>Years 1-5</w:t>
            </w:r>
          </w:p>
        </w:tc>
      </w:tr>
      <w:tr w:rsidR="00344720" w:rsidRPr="002C47C6" w:rsidTr="00DC58D5">
        <w:tc>
          <w:tcPr>
            <w:tcW w:w="9072" w:type="dxa"/>
            <w:gridSpan w:val="7"/>
            <w:shd w:val="clear" w:color="auto" w:fill="auto"/>
            <w:vAlign w:val="center"/>
          </w:tcPr>
          <w:p w:rsidR="00344720" w:rsidRPr="001348C4" w:rsidRDefault="001348C4" w:rsidP="003D7A96">
            <w:pPr>
              <w:keepNext/>
              <w:keepLines/>
              <w:spacing w:after="0"/>
              <w:ind w:right="93"/>
              <w:rPr>
                <w:rFonts w:ascii="Arial Narrow" w:eastAsia="Times New Roman" w:hAnsi="Arial Narrow" w:cs="Arial"/>
                <w:b/>
                <w:bCs/>
                <w:snapToGrid w:val="0"/>
                <w:color w:val="000000"/>
                <w:sz w:val="20"/>
                <w:szCs w:val="20"/>
                <w:highlight w:val="black"/>
                <w:lang w:eastAsia="en-US"/>
              </w:rPr>
            </w:pPr>
            <w:r>
              <w:rPr>
                <w:rFonts w:ascii="Arial Narrow" w:eastAsia="Times New Roman" w:hAnsi="Arial Narrow" w:cs="Arial"/>
                <w:b/>
                <w:bCs/>
                <w:noProof/>
                <w:snapToGrid w:val="0"/>
                <w:color w:val="000000"/>
                <w:sz w:val="20"/>
                <w:szCs w:val="20"/>
                <w:highlight w:val="black"/>
                <w:lang w:eastAsia="en-US"/>
              </w:rPr>
              <w:t>''''''''''''''''''''' ''''''''''''' '''' ''''''''</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w:t>
            </w:r>
          </w:p>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78" w:type="dxa"/>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w:t>
            </w:r>
          </w:p>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bCs/>
                <w:snapToGrid w:val="0"/>
                <w:sz w:val="20"/>
                <w:szCs w:val="20"/>
                <w:highlight w:val="black"/>
                <w:lang w:eastAsia="en-US"/>
              </w:rPr>
            </w:pPr>
            <w:r>
              <w:rPr>
                <w:rFonts w:ascii="Arial Narrow" w:eastAsia="Times New Roman" w:hAnsi="Arial Narrow" w:cs="Times New Roman"/>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bCs/>
                <w:snapToGrid w:val="0"/>
                <w:sz w:val="20"/>
                <w:szCs w:val="20"/>
                <w:highlight w:val="black"/>
                <w:lang w:eastAsia="en-US"/>
              </w:rPr>
            </w:pPr>
            <w:r>
              <w:rPr>
                <w:rFonts w:ascii="Arial Narrow" w:eastAsia="Times New Roman" w:hAnsi="Arial Narrow" w:cs="Times New Roman"/>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bCs/>
                <w:snapToGrid w:val="0"/>
                <w:sz w:val="20"/>
                <w:szCs w:val="20"/>
                <w:highlight w:val="black"/>
                <w:lang w:eastAsia="en-US"/>
              </w:rPr>
            </w:pPr>
            <w:r>
              <w:rPr>
                <w:rFonts w:ascii="Arial Narrow" w:eastAsia="Times New Roman" w:hAnsi="Arial Narrow" w:cs="Times New Roman"/>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bCs/>
                <w:snapToGrid w:val="0"/>
                <w:sz w:val="20"/>
                <w:szCs w:val="20"/>
                <w:highlight w:val="black"/>
                <w:lang w:eastAsia="en-US"/>
              </w:rPr>
            </w:pPr>
            <w:r>
              <w:rPr>
                <w:rFonts w:ascii="Arial Narrow" w:eastAsia="Times New Roman" w:hAnsi="Arial Narrow" w:cs="Times New Roman"/>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bCs/>
                <w:snapToGrid w:val="0"/>
                <w:sz w:val="20"/>
                <w:szCs w:val="20"/>
                <w:highlight w:val="black"/>
                <w:lang w:eastAsia="en-US"/>
              </w:rPr>
            </w:pPr>
            <w:r>
              <w:rPr>
                <w:rFonts w:ascii="Arial Narrow" w:eastAsia="Times New Roman" w:hAnsi="Arial Narrow" w:cs="Times New Roman"/>
                <w:noProof/>
                <w:snapToGrid w:val="0"/>
                <w:color w:val="000000"/>
                <w:sz w:val="20"/>
                <w:szCs w:val="20"/>
                <w:highlight w:val="black"/>
              </w:rPr>
              <w:t>'''''''''</w:t>
            </w:r>
          </w:p>
        </w:tc>
        <w:tc>
          <w:tcPr>
            <w:tcW w:w="1078" w:type="dxa"/>
            <w:vAlign w:val="center"/>
          </w:tcPr>
          <w:p w:rsidR="00344720" w:rsidRPr="001348C4" w:rsidRDefault="001348C4" w:rsidP="003D7A96">
            <w:pPr>
              <w:keepNext/>
              <w:keepLines/>
              <w:spacing w:after="0"/>
              <w:ind w:right="93"/>
              <w:jc w:val="center"/>
              <w:rPr>
                <w:rFonts w:ascii="Arial Narrow" w:eastAsia="Times New Roman" w:hAnsi="Arial Narrow" w:cs="Times New Roman"/>
                <w:snapToGrid w:val="0"/>
                <w:sz w:val="20"/>
                <w:szCs w:val="20"/>
                <w:highlight w:val="black"/>
              </w:rPr>
            </w:pPr>
            <w:r>
              <w:rPr>
                <w:rFonts w:ascii="Arial Narrow" w:eastAsia="Times New Roman" w:hAnsi="Arial Narrow" w:cs="Times New Roman"/>
                <w:noProof/>
                <w:snapToGrid w:val="0"/>
                <w:color w:val="000000"/>
                <w:sz w:val="20"/>
                <w:szCs w:val="20"/>
                <w:highlight w:val="black"/>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bCs/>
                <w:snapToGrid w:val="0"/>
                <w:color w:val="000000"/>
                <w:sz w:val="20"/>
                <w:szCs w:val="20"/>
                <w:highlight w:val="black"/>
                <w:lang w:eastAsia="en-US"/>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bCs/>
                <w:snapToGrid w:val="0"/>
                <w:color w:val="000000"/>
                <w:sz w:val="20"/>
                <w:szCs w:val="20"/>
                <w:highlight w:val="black"/>
                <w:lang w:eastAsia="en-US"/>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bCs/>
                <w:snapToGrid w:val="0"/>
                <w:color w:val="000000"/>
                <w:sz w:val="20"/>
                <w:szCs w:val="20"/>
                <w:highlight w:val="black"/>
                <w:lang w:eastAsia="en-US"/>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bCs/>
                <w:snapToGrid w:val="0"/>
                <w:color w:val="000000"/>
                <w:sz w:val="20"/>
                <w:szCs w:val="20"/>
                <w:highlight w:val="black"/>
                <w:lang w:eastAsia="en-US"/>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bCs/>
                <w:snapToGrid w:val="0"/>
                <w:color w:val="000000"/>
                <w:sz w:val="20"/>
                <w:szCs w:val="20"/>
                <w:highlight w:val="black"/>
                <w:lang w:eastAsia="en-US"/>
              </w:rPr>
            </w:pPr>
            <w:r>
              <w:rPr>
                <w:rFonts w:ascii="Arial Narrow" w:eastAsia="Times New Roman" w:hAnsi="Arial Narrow" w:cs="Arial"/>
                <w:noProof/>
                <w:snapToGrid w:val="0"/>
                <w:color w:val="000000"/>
                <w:sz w:val="20"/>
                <w:szCs w:val="20"/>
                <w:highlight w:val="black"/>
              </w:rPr>
              <w:t>'''''''''''''''</w:t>
            </w:r>
          </w:p>
        </w:tc>
        <w:tc>
          <w:tcPr>
            <w:tcW w:w="1078" w:type="dxa"/>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w:t>
            </w:r>
          </w:p>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78" w:type="dxa"/>
            <w:vAlign w:val="center"/>
          </w:tcPr>
          <w:p w:rsidR="00344720" w:rsidRPr="001348C4" w:rsidRDefault="001348C4" w:rsidP="003D7A96">
            <w:pPr>
              <w:keepNext/>
              <w:keepLines/>
              <w:spacing w:after="0"/>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jc w:val="both"/>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w:t>
            </w:r>
          </w:p>
          <w:p w:rsidR="00344720" w:rsidRPr="001348C4" w:rsidRDefault="001348C4" w:rsidP="003D7A96">
            <w:pPr>
              <w:keepNext/>
              <w:keepLines/>
              <w:tabs>
                <w:tab w:val="left" w:pos="142"/>
              </w:tabs>
              <w:spacing w:after="0"/>
              <w:ind w:right="93"/>
              <w:jc w:val="both"/>
              <w:rPr>
                <w:rFonts w:ascii="Arial Narrow" w:eastAsia="Times New Roman" w:hAnsi="Arial Narrow" w:cs="Arial"/>
                <w:snapToGrid w:val="0"/>
                <w:sz w:val="20"/>
                <w:szCs w:val="20"/>
                <w:highlight w:val="black"/>
                <w:vertAlign w:val="superscript"/>
                <w:lang w:eastAsia="en-US"/>
              </w:rPr>
            </w:pPr>
            <w:r>
              <w:rPr>
                <w:rFonts w:ascii="Arial Narrow" w:eastAsia="Times New Roman" w:hAnsi="Arial Narrow" w:cs="Arial"/>
                <w:noProof/>
                <w:snapToGrid w:val="0"/>
                <w:color w:val="000000"/>
                <w:sz w:val="20"/>
                <w:szCs w:val="20"/>
                <w:highlight w:val="black"/>
                <w:lang w:eastAsia="en-US"/>
              </w:rPr>
              <w:t>'''''''''''''' ''''''''''' '''''''''''''''''''''''''''''''''''''''''''''''''' ''''''''''''''''' '''''''''''''''''''''''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78" w:type="dxa"/>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jc w:val="both"/>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w:t>
            </w:r>
          </w:p>
          <w:p w:rsidR="00344720" w:rsidRPr="001348C4" w:rsidRDefault="001348C4" w:rsidP="003D7A96">
            <w:pPr>
              <w:keepNext/>
              <w:keepLines/>
              <w:tabs>
                <w:tab w:val="left" w:pos="142"/>
              </w:tabs>
              <w:spacing w:after="0"/>
              <w:ind w:right="93"/>
              <w:jc w:val="both"/>
              <w:rPr>
                <w:rFonts w:ascii="Arial Narrow" w:eastAsia="Times New Roman" w:hAnsi="Arial Narrow" w:cs="Arial"/>
                <w:snapToGrid w:val="0"/>
                <w:sz w:val="20"/>
                <w:szCs w:val="20"/>
                <w:highlight w:val="black"/>
                <w:vertAlign w:val="superscript"/>
                <w:lang w:eastAsia="en-US"/>
              </w:rPr>
            </w:pPr>
            <w:r>
              <w:rPr>
                <w:rFonts w:ascii="Arial Narrow" w:eastAsia="Times New Roman" w:hAnsi="Arial Narrow" w:cs="Arial"/>
                <w:noProof/>
                <w:snapToGrid w:val="0"/>
                <w:color w:val="000000"/>
                <w:sz w:val="20"/>
                <w:szCs w:val="20"/>
                <w:highlight w:val="black"/>
                <w:lang w:eastAsia="en-US"/>
              </w:rPr>
              <w:t>'''''''''''''' '''''''''''' ''''''''''''''''''''''''''''''''''''''''' '''''''''''''''''''''' ''''''''''''''''''''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78" w:type="dxa"/>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2"/>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r>
      <w:tr w:rsidR="00344720" w:rsidRPr="002C47C6" w:rsidTr="00DC58D5">
        <w:tc>
          <w:tcPr>
            <w:tcW w:w="9072" w:type="dxa"/>
            <w:gridSpan w:val="7"/>
            <w:shd w:val="clear" w:color="auto" w:fill="auto"/>
            <w:vAlign w:val="center"/>
          </w:tcPr>
          <w:p w:rsidR="00344720" w:rsidRPr="001348C4" w:rsidRDefault="001348C4" w:rsidP="003D7A96">
            <w:pPr>
              <w:keepNext/>
              <w:keepLines/>
              <w:spacing w:after="0"/>
              <w:ind w:right="93"/>
              <w:rPr>
                <w:rFonts w:ascii="Arial Narrow" w:eastAsia="Times New Roman" w:hAnsi="Arial Narrow" w:cs="Arial"/>
                <w:b/>
                <w:bCs/>
                <w:snapToGrid w:val="0"/>
                <w:color w:val="000000"/>
                <w:sz w:val="20"/>
                <w:szCs w:val="20"/>
                <w:highlight w:val="black"/>
                <w:lang w:eastAsia="en-US"/>
              </w:rPr>
            </w:pPr>
            <w:r>
              <w:rPr>
                <w:rFonts w:ascii="Arial Narrow" w:eastAsia="Times New Roman" w:hAnsi="Arial Narrow" w:cs="Arial"/>
                <w:b/>
                <w:bCs/>
                <w:noProof/>
                <w:snapToGrid w:val="0"/>
                <w:color w:val="000000"/>
                <w:sz w:val="20"/>
                <w:szCs w:val="20"/>
                <w:highlight w:val="black"/>
                <w:lang w:eastAsia="en-US"/>
              </w:rPr>
              <w:t>''''''''''''''''''' '''''' ''''''''' '''' ''''''''''''''''''''''''' ''' ''''''''''''' '''''' '''''''''''''''' '''''''''''''</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78" w:type="dxa"/>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 '''''''''''''''''''''''''''</w:t>
            </w:r>
          </w:p>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78" w:type="dxa"/>
            <w:vAlign w:val="center"/>
          </w:tcPr>
          <w:p w:rsidR="00344720" w:rsidRPr="001348C4" w:rsidRDefault="001348C4" w:rsidP="003D7A96">
            <w:pPr>
              <w:keepNext/>
              <w:keepLines/>
              <w:spacing w:after="0"/>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vertAlign w:val="superscript"/>
                <w:lang w:eastAsia="en-US"/>
              </w:rPr>
            </w:pPr>
            <w:r>
              <w:rPr>
                <w:rFonts w:ascii="Arial Narrow" w:eastAsia="Times New Roman" w:hAnsi="Arial Narrow" w:cs="Arial"/>
                <w:noProof/>
                <w:snapToGrid w:val="0"/>
                <w:color w:val="000000"/>
                <w:sz w:val="20"/>
                <w:szCs w:val="20"/>
                <w:highlight w:val="black"/>
                <w:lang w:eastAsia="en-US"/>
              </w:rPr>
              <w:t>''''''''' ''''''''''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78" w:type="dxa"/>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xml:space="preserve">'''''''' ''''''''' '''' '''''''''' </w:t>
            </w:r>
          </w:p>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78" w:type="dxa"/>
            <w:vAlign w:val="center"/>
          </w:tcPr>
          <w:p w:rsidR="00344720" w:rsidRPr="001348C4" w:rsidRDefault="001348C4" w:rsidP="003D7A96">
            <w:pPr>
              <w:keepNext/>
              <w:keepLines/>
              <w:spacing w:after="0"/>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 ''''''''''' ''''''''''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78" w:type="dxa"/>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 ''''''''''''' '''''''''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c>
          <w:tcPr>
            <w:tcW w:w="1078" w:type="dxa"/>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w:t>
            </w:r>
          </w:p>
        </w:tc>
      </w:tr>
      <w:tr w:rsidR="00344720" w:rsidRPr="002C47C6" w:rsidTr="00DC58D5">
        <w:tc>
          <w:tcPr>
            <w:tcW w:w="9072" w:type="dxa"/>
            <w:gridSpan w:val="7"/>
            <w:shd w:val="clear" w:color="auto" w:fill="auto"/>
            <w:vAlign w:val="center"/>
          </w:tcPr>
          <w:p w:rsidR="00344720" w:rsidRPr="001348C4" w:rsidRDefault="001348C4" w:rsidP="003D7A96">
            <w:pPr>
              <w:keepNext/>
              <w:keepLines/>
              <w:spacing w:after="0"/>
              <w:ind w:right="93"/>
              <w:rPr>
                <w:rFonts w:ascii="Arial Narrow" w:eastAsia="Times New Roman" w:hAnsi="Arial Narrow" w:cs="Arial"/>
                <w:b/>
                <w:snapToGrid w:val="0"/>
                <w:color w:val="000000"/>
                <w:sz w:val="20"/>
                <w:szCs w:val="20"/>
                <w:highlight w:val="black"/>
                <w:lang w:eastAsia="en-US"/>
              </w:rPr>
            </w:pPr>
            <w:r>
              <w:rPr>
                <w:rFonts w:ascii="Arial Narrow" w:eastAsia="Times New Roman" w:hAnsi="Arial Narrow" w:cs="Arial"/>
                <w:b/>
                <w:noProof/>
                <w:snapToGrid w:val="0"/>
                <w:color w:val="000000"/>
                <w:sz w:val="20"/>
                <w:szCs w:val="20"/>
                <w:highlight w:val="black"/>
                <w:lang w:eastAsia="en-US"/>
              </w:rPr>
              <w:t>'''''''''''''''''''' '''''''''' ''''''' ''''''''</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b/>
                <w:bCs/>
                <w:snapToGrid w:val="0"/>
                <w:color w:val="000000"/>
                <w:sz w:val="20"/>
                <w:szCs w:val="20"/>
                <w:highlight w:val="black"/>
                <w:vertAlign w:val="superscript"/>
                <w:lang w:eastAsia="en-US"/>
              </w:rPr>
            </w:pPr>
            <w:r>
              <w:rPr>
                <w:rFonts w:ascii="Arial Narrow" w:eastAsia="Times New Roman" w:hAnsi="Arial Narrow" w:cs="Arial"/>
                <w:b/>
                <w:bCs/>
                <w:noProof/>
                <w:snapToGrid w:val="0"/>
                <w:color w:val="000000"/>
                <w:sz w:val="20"/>
                <w:szCs w:val="20"/>
                <w:highlight w:val="black"/>
                <w:lang w:eastAsia="en-US"/>
              </w:rPr>
              <w:t>''''''' ''''''''' ''''''''''''''''''''''''''</w:t>
            </w:r>
          </w:p>
          <w:p w:rsidR="00344720" w:rsidRPr="001348C4" w:rsidRDefault="001348C4" w:rsidP="003D7A96">
            <w:pPr>
              <w:keepNext/>
              <w:keepLines/>
              <w:tabs>
                <w:tab w:val="left" w:pos="142"/>
              </w:tabs>
              <w:spacing w:after="0"/>
              <w:ind w:right="93"/>
              <w:rPr>
                <w:rFonts w:ascii="Arial Narrow" w:eastAsia="Times New Roman" w:hAnsi="Arial Narrow" w:cs="Arial"/>
                <w:b/>
                <w:snapToGrid w:val="0"/>
                <w:sz w:val="20"/>
                <w:szCs w:val="20"/>
                <w:highlight w:val="black"/>
                <w:lang w:eastAsia="en-US"/>
              </w:rPr>
            </w:pPr>
            <w:r>
              <w:rPr>
                <w:rFonts w:ascii="Arial Narrow" w:eastAsia="Times New Roman" w:hAnsi="Arial Narrow" w:cs="Arial"/>
                <w:b/>
                <w:bCs/>
                <w:noProof/>
                <w:snapToGrid w:val="0"/>
                <w:color w:val="000000"/>
                <w:sz w:val="20"/>
                <w:szCs w:val="20"/>
                <w:highlight w:val="black"/>
                <w:lang w:eastAsia="en-US"/>
              </w:rPr>
              <w:t>'''''''''''''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78" w:type="dxa"/>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bCs/>
                <w:snapToGrid w:val="0"/>
                <w:sz w:val="20"/>
                <w:szCs w:val="20"/>
                <w:highlight w:val="black"/>
                <w:lang w:eastAsia="en-US"/>
              </w:rPr>
            </w:pPr>
            <w:r>
              <w:rPr>
                <w:rFonts w:ascii="Arial Narrow" w:eastAsia="Times New Roman" w:hAnsi="Arial Narrow" w:cs="Arial"/>
                <w:bCs/>
                <w:noProof/>
                <w:snapToGrid w:val="0"/>
                <w:color w:val="000000"/>
                <w:sz w:val="20"/>
                <w:szCs w:val="20"/>
                <w:highlight w:val="black"/>
                <w:lang w:eastAsia="en-US"/>
              </w:rPr>
              <w:t xml:space="preserve">'''''''' '''''''''' '''''''''''''''''''''''''' </w:t>
            </w:r>
          </w:p>
          <w:p w:rsidR="00344720" w:rsidRPr="001348C4" w:rsidRDefault="001348C4" w:rsidP="003D7A96">
            <w:pPr>
              <w:keepNext/>
              <w:keepLines/>
              <w:tabs>
                <w:tab w:val="left" w:pos="142"/>
              </w:tabs>
              <w:spacing w:after="0"/>
              <w:ind w:right="93"/>
              <w:rPr>
                <w:rFonts w:ascii="Arial Narrow" w:eastAsia="Times New Roman" w:hAnsi="Arial Narrow" w:cs="Arial"/>
                <w:snapToGrid w:val="0"/>
                <w:sz w:val="20"/>
                <w:szCs w:val="20"/>
                <w:highlight w:val="black"/>
                <w:lang w:eastAsia="en-US"/>
              </w:rPr>
            </w:pPr>
            <w:r>
              <w:rPr>
                <w:rFonts w:ascii="Arial Narrow" w:eastAsia="Times New Roman" w:hAnsi="Arial Narrow" w:cs="Arial"/>
                <w:noProof/>
                <w:snapToGrid w:val="0"/>
                <w:color w:val="000000"/>
                <w:sz w:val="20"/>
                <w:szCs w:val="20"/>
                <w:highlight w:val="black"/>
                <w:lang w:eastAsia="en-US"/>
              </w:rPr>
              <w:t>'''''''''''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1078" w:type="dxa"/>
            <w:vAlign w:val="center"/>
          </w:tcPr>
          <w:p w:rsidR="00344720" w:rsidRPr="001348C4" w:rsidRDefault="001348C4" w:rsidP="003D7A96">
            <w:pPr>
              <w:keepNext/>
              <w:keepLines/>
              <w:spacing w:after="0"/>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r>
      <w:tr w:rsidR="00344720" w:rsidRPr="002C47C6" w:rsidTr="00DC58D5">
        <w:tc>
          <w:tcPr>
            <w:tcW w:w="9072" w:type="dxa"/>
            <w:gridSpan w:val="7"/>
            <w:shd w:val="clear" w:color="auto" w:fill="auto"/>
            <w:vAlign w:val="center"/>
          </w:tcPr>
          <w:p w:rsidR="00344720" w:rsidRPr="001348C4" w:rsidRDefault="001348C4" w:rsidP="003D7A96">
            <w:pPr>
              <w:keepNext/>
              <w:keepLines/>
              <w:spacing w:after="0"/>
              <w:rPr>
                <w:rFonts w:ascii="Arial Narrow" w:eastAsia="Times New Roman" w:hAnsi="Arial Narrow" w:cs="Arial"/>
                <w:b/>
                <w:snapToGrid w:val="0"/>
                <w:sz w:val="20"/>
                <w:szCs w:val="20"/>
                <w:highlight w:val="black"/>
                <w:vertAlign w:val="superscript"/>
              </w:rPr>
            </w:pPr>
            <w:r>
              <w:rPr>
                <w:rFonts w:ascii="Arial Narrow" w:eastAsia="Times New Roman" w:hAnsi="Arial Narrow" w:cs="Arial"/>
                <w:b/>
                <w:bCs/>
                <w:noProof/>
                <w:snapToGrid w:val="0"/>
                <w:color w:val="000000"/>
                <w:sz w:val="20"/>
                <w:szCs w:val="20"/>
                <w:highlight w:val="black"/>
                <w:lang w:eastAsia="en-US"/>
              </w:rPr>
              <w:t>''''''''''''''''''''''''''''''''''''' ''''''''''''''''''' '''''''''''''</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bCs/>
                <w:snapToGrid w:val="0"/>
                <w:sz w:val="20"/>
                <w:szCs w:val="20"/>
                <w:highlight w:val="black"/>
                <w:lang w:eastAsia="en-US"/>
              </w:rPr>
            </w:pPr>
            <w:r>
              <w:rPr>
                <w:rFonts w:ascii="Arial Narrow" w:eastAsia="Times New Roman" w:hAnsi="Arial Narrow" w:cs="Arial"/>
                <w:bCs/>
                <w:noProof/>
                <w:snapToGrid w:val="0"/>
                <w:color w:val="000000"/>
                <w:sz w:val="20"/>
                <w:szCs w:val="20"/>
                <w:highlight w:val="black"/>
                <w:lang w:eastAsia="en-US"/>
              </w:rPr>
              <w:t xml:space="preserve">'''''''' '''''''''' ''''' ''''''''' ''''''''''''''''''''''' </w:t>
            </w:r>
          </w:p>
          <w:p w:rsidR="00344720" w:rsidRPr="001348C4" w:rsidRDefault="001348C4" w:rsidP="003D7A96">
            <w:pPr>
              <w:keepNext/>
              <w:keepLines/>
              <w:tabs>
                <w:tab w:val="left" w:pos="142"/>
              </w:tabs>
              <w:spacing w:after="0"/>
              <w:ind w:right="93"/>
              <w:rPr>
                <w:rFonts w:ascii="Arial Narrow" w:eastAsia="Times New Roman" w:hAnsi="Arial Narrow" w:cs="Arial"/>
                <w:bCs/>
                <w:snapToGrid w:val="0"/>
                <w:sz w:val="20"/>
                <w:szCs w:val="20"/>
                <w:highlight w:val="black"/>
                <w:lang w:eastAsia="en-US"/>
              </w:rPr>
            </w:pPr>
            <w:r>
              <w:rPr>
                <w:rFonts w:ascii="Arial Narrow" w:eastAsia="Times New Roman" w:hAnsi="Arial Narrow" w:cs="Arial"/>
                <w:bCs/>
                <w:noProof/>
                <w:snapToGrid w:val="0"/>
                <w:color w:val="000000"/>
                <w:sz w:val="20"/>
                <w:szCs w:val="20"/>
                <w:highlight w:val="black"/>
                <w:lang w:eastAsia="en-US"/>
              </w:rPr>
              <w:t>''''''''''''''' '''''''''''''''''''''''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c>
          <w:tcPr>
            <w:tcW w:w="1078" w:type="dxa"/>
            <w:vAlign w:val="center"/>
          </w:tcPr>
          <w:p w:rsidR="00344720" w:rsidRPr="001348C4" w:rsidRDefault="001348C4" w:rsidP="003D7A96">
            <w:pPr>
              <w:keepNext/>
              <w:keepLines/>
              <w:spacing w:after="0"/>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r>
      <w:tr w:rsidR="00344720" w:rsidRPr="002C47C6" w:rsidTr="00DC58D5">
        <w:tc>
          <w:tcPr>
            <w:tcW w:w="2694" w:type="dxa"/>
            <w:shd w:val="clear" w:color="auto" w:fill="auto"/>
            <w:vAlign w:val="center"/>
          </w:tcPr>
          <w:p w:rsidR="00344720" w:rsidRPr="001348C4" w:rsidRDefault="001348C4" w:rsidP="003D7A96">
            <w:pPr>
              <w:keepNext/>
              <w:keepLines/>
              <w:tabs>
                <w:tab w:val="left" w:pos="142"/>
              </w:tabs>
              <w:spacing w:after="0"/>
              <w:ind w:right="93"/>
              <w:rPr>
                <w:rFonts w:ascii="Arial Narrow" w:eastAsia="Times New Roman" w:hAnsi="Arial Narrow" w:cs="Arial"/>
                <w:bCs/>
                <w:snapToGrid w:val="0"/>
                <w:sz w:val="20"/>
                <w:szCs w:val="20"/>
                <w:highlight w:val="black"/>
                <w:lang w:eastAsia="en-US"/>
              </w:rPr>
            </w:pPr>
            <w:r>
              <w:rPr>
                <w:rFonts w:ascii="Arial Narrow" w:eastAsia="Times New Roman" w:hAnsi="Arial Narrow" w:cs="Arial"/>
                <w:bCs/>
                <w:noProof/>
                <w:snapToGrid w:val="0"/>
                <w:color w:val="000000"/>
                <w:sz w:val="20"/>
                <w:szCs w:val="20"/>
                <w:highlight w:val="black"/>
                <w:lang w:eastAsia="en-US"/>
              </w:rPr>
              <w:t>'''''''' ''''''''' '''' '''''''' '''''''''''''''''''''''''' ''''''''''''''''''''' '''''''''''''''''''''' ''''''''''' ''''''''''''''''</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c>
          <w:tcPr>
            <w:tcW w:w="1060" w:type="dxa"/>
            <w:shd w:val="clear" w:color="auto" w:fill="auto"/>
            <w:vAlign w:val="center"/>
          </w:tcPr>
          <w:p w:rsidR="00344720" w:rsidRPr="001348C4" w:rsidRDefault="001348C4" w:rsidP="003D7A96">
            <w:pPr>
              <w:keepNext/>
              <w:keepLines/>
              <w:spacing w:after="0"/>
              <w:ind w:right="93"/>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c>
          <w:tcPr>
            <w:tcW w:w="1078" w:type="dxa"/>
            <w:vAlign w:val="center"/>
          </w:tcPr>
          <w:p w:rsidR="00344720" w:rsidRPr="001348C4" w:rsidRDefault="001348C4" w:rsidP="003D7A96">
            <w:pPr>
              <w:keepNext/>
              <w:keepLines/>
              <w:spacing w:after="0"/>
              <w:jc w:val="center"/>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eastAsia="en-US"/>
              </w:rPr>
              <w:t>'''''''''''''''''''''''''''''''</w:t>
            </w:r>
          </w:p>
        </w:tc>
      </w:tr>
    </w:tbl>
    <w:p w:rsidR="00344720" w:rsidRPr="001348C4" w:rsidRDefault="001348C4" w:rsidP="003D7A96">
      <w:pPr>
        <w:keepNext/>
        <w:keepLines/>
        <w:spacing w:after="0"/>
        <w:jc w:val="both"/>
        <w:rPr>
          <w:rFonts w:ascii="Arial Narrow" w:eastAsia="Times New Roman" w:hAnsi="Arial Narrow" w:cs="Arial"/>
          <w:snapToGrid w:val="0"/>
          <w:sz w:val="16"/>
          <w:szCs w:val="16"/>
          <w:highlight w:val="black"/>
        </w:rPr>
      </w:pPr>
      <w:r>
        <w:rPr>
          <w:rFonts w:ascii="Arial Narrow" w:eastAsia="Times New Roman" w:hAnsi="Arial Narrow" w:cs="Arial"/>
          <w:noProof/>
          <w:snapToGrid w:val="0"/>
          <w:color w:val="000000"/>
          <w:sz w:val="16"/>
          <w:szCs w:val="16"/>
          <w:highlight w:val="black"/>
        </w:rPr>
        <w:t xml:space="preserve">''''''''''''''''''' ''''''''''''''''''''''' ''''''''''''' ''''''' ''''''''''''''''''''''''''' </w:t>
      </w:r>
    </w:p>
    <w:p w:rsidR="00344720" w:rsidRPr="001348C4" w:rsidRDefault="001348C4" w:rsidP="003D7A96">
      <w:pPr>
        <w:keepNext/>
        <w:keepLines/>
        <w:spacing w:after="0"/>
        <w:jc w:val="both"/>
        <w:rPr>
          <w:rFonts w:ascii="Arial Narrow" w:eastAsia="Times New Roman" w:hAnsi="Arial Narrow" w:cs="Arial"/>
          <w:snapToGrid w:val="0"/>
          <w:sz w:val="16"/>
          <w:szCs w:val="16"/>
          <w:highlight w:val="black"/>
        </w:rPr>
      </w:pPr>
      <w:r>
        <w:rPr>
          <w:rFonts w:ascii="Arial Narrow" w:eastAsia="Times New Roman" w:hAnsi="Arial Narrow" w:cs="Arial"/>
          <w:noProof/>
          <w:snapToGrid w:val="0"/>
          <w:color w:val="000000"/>
          <w:sz w:val="16"/>
          <w:szCs w:val="16"/>
          <w:highlight w:val="black"/>
        </w:rPr>
        <w:t>'''''''''''''''''''''''''''''''''' ''''''''''''' '''''''''''''''''''' '''''''''''''''' '''''''''''''''''''''''' '''''''''''' ''''''''''''''''''''''''''''''''''''' ''''''''''''''''''' ''''''''''''''''''''''' '''''''''''''''' ''''''''''''''''''''''''''''''' '''''''''''''''''''''''''''''''''''''''' '''''''''''''''''''' '''''''''''''''''''''''</w:t>
      </w:r>
    </w:p>
    <w:p w:rsidR="00344720" w:rsidRPr="001348C4" w:rsidRDefault="001348C4" w:rsidP="003D7A96">
      <w:pPr>
        <w:keepNext/>
        <w:keepLines/>
        <w:spacing w:after="0"/>
        <w:jc w:val="both"/>
        <w:rPr>
          <w:rFonts w:ascii="Arial Narrow" w:eastAsia="Times New Roman" w:hAnsi="Arial Narrow" w:cs="Arial"/>
          <w:snapToGrid w:val="0"/>
          <w:sz w:val="16"/>
          <w:szCs w:val="16"/>
          <w:highlight w:val="black"/>
          <w:lang w:eastAsia="en-US"/>
        </w:rPr>
      </w:pPr>
      <w:r>
        <w:rPr>
          <w:rFonts w:ascii="Arial Narrow" w:eastAsia="Times New Roman" w:hAnsi="Arial Narrow" w:cs="Arial"/>
          <w:noProof/>
          <w:snapToGrid w:val="0"/>
          <w:color w:val="000000"/>
          <w:sz w:val="16"/>
          <w:szCs w:val="16"/>
          <w:highlight w:val="black"/>
          <w:vertAlign w:val="superscript"/>
          <w:lang w:eastAsia="en-US"/>
        </w:rPr>
        <w:t>''' ''''''''''''' ''''''''''' ''''''''''''''''''''''' ''''''''' ''''''''''''''''''''' '''''''''''''''''</w:t>
      </w:r>
    </w:p>
    <w:p w:rsidR="00344720" w:rsidRPr="001348C4" w:rsidRDefault="001348C4" w:rsidP="003D7A96">
      <w:pPr>
        <w:keepNext/>
        <w:keepLines/>
        <w:spacing w:after="0"/>
        <w:jc w:val="both"/>
        <w:rPr>
          <w:rFonts w:ascii="Arial Narrow" w:eastAsia="Times New Roman" w:hAnsi="Arial Narrow" w:cs="Arial"/>
          <w:snapToGrid w:val="0"/>
          <w:sz w:val="16"/>
          <w:szCs w:val="16"/>
          <w:highlight w:val="black"/>
          <w:lang w:eastAsia="en-US"/>
        </w:rPr>
      </w:pPr>
      <w:r>
        <w:rPr>
          <w:rFonts w:ascii="Arial Narrow" w:eastAsia="Times New Roman" w:hAnsi="Arial Narrow" w:cs="Arial"/>
          <w:noProof/>
          <w:snapToGrid w:val="0"/>
          <w:color w:val="000000"/>
          <w:sz w:val="16"/>
          <w:szCs w:val="16"/>
          <w:highlight w:val="black"/>
          <w:vertAlign w:val="superscript"/>
          <w:lang w:eastAsia="en-US"/>
        </w:rPr>
        <w:t>''' ''''''''''''' ''''''''''' ''''''''''''''''''''''' '''''''' '''''''''''''''''''''''' ''''''''''''''''''</w:t>
      </w:r>
    </w:p>
    <w:p w:rsidR="00344720" w:rsidRPr="001348C4" w:rsidRDefault="001348C4" w:rsidP="003D7A96">
      <w:pPr>
        <w:keepNext/>
        <w:keepLines/>
        <w:spacing w:after="0"/>
        <w:jc w:val="both"/>
        <w:rPr>
          <w:rFonts w:ascii="Arial Narrow" w:eastAsia="Times New Roman" w:hAnsi="Arial Narrow" w:cs="Arial"/>
          <w:snapToGrid w:val="0"/>
          <w:sz w:val="16"/>
          <w:szCs w:val="16"/>
          <w:highlight w:val="black"/>
          <w:lang w:eastAsia="en-US"/>
        </w:rPr>
      </w:pPr>
      <w:r>
        <w:rPr>
          <w:rFonts w:ascii="Arial Narrow" w:eastAsia="Times New Roman" w:hAnsi="Arial Narrow" w:cs="Arial"/>
          <w:noProof/>
          <w:snapToGrid w:val="0"/>
          <w:color w:val="000000"/>
          <w:sz w:val="16"/>
          <w:szCs w:val="16"/>
          <w:highlight w:val="black"/>
          <w:vertAlign w:val="superscript"/>
          <w:lang w:eastAsia="en-US"/>
        </w:rPr>
        <w:t>'''' '''''''''''''' ''''''''''' '''''''''''''''''''''' ''''''' '''''''''''''''''''''' '''''''''''''''''''</w:t>
      </w:r>
    </w:p>
    <w:p w:rsidR="00344720" w:rsidRPr="001348C4" w:rsidRDefault="001348C4" w:rsidP="003D7A96">
      <w:pPr>
        <w:keepNext/>
        <w:keepLines/>
        <w:spacing w:after="0"/>
        <w:jc w:val="both"/>
        <w:rPr>
          <w:rFonts w:ascii="Arial Narrow" w:eastAsia="Times New Roman" w:hAnsi="Arial Narrow" w:cs="Arial"/>
          <w:snapToGrid w:val="0"/>
          <w:sz w:val="16"/>
          <w:szCs w:val="16"/>
          <w:highlight w:val="black"/>
          <w:lang w:eastAsia="en-US"/>
        </w:rPr>
      </w:pPr>
      <w:r>
        <w:rPr>
          <w:rFonts w:ascii="Arial Narrow" w:eastAsia="Times New Roman" w:hAnsi="Arial Narrow" w:cs="Arial"/>
          <w:noProof/>
          <w:snapToGrid w:val="0"/>
          <w:color w:val="000000"/>
          <w:sz w:val="16"/>
          <w:szCs w:val="16"/>
          <w:highlight w:val="black"/>
          <w:vertAlign w:val="superscript"/>
          <w:lang w:eastAsia="en-US"/>
        </w:rPr>
        <w:t>'''' '''''''''''''' '''''''''''' ''''''''''''''''''' '''''''' ''''''''''''''''''''' '''''''''''''''''</w:t>
      </w:r>
    </w:p>
    <w:p w:rsidR="00344720" w:rsidRPr="001348C4" w:rsidRDefault="001348C4" w:rsidP="003D7A96">
      <w:pPr>
        <w:keepNext/>
        <w:keepLines/>
        <w:spacing w:after="0"/>
        <w:jc w:val="both"/>
        <w:rPr>
          <w:rFonts w:ascii="Arial Narrow" w:eastAsia="Times New Roman" w:hAnsi="Arial Narrow" w:cs="Arial"/>
          <w:snapToGrid w:val="0"/>
          <w:sz w:val="16"/>
          <w:szCs w:val="16"/>
          <w:highlight w:val="black"/>
          <w:lang w:eastAsia="en-US"/>
        </w:rPr>
      </w:pPr>
      <w:r>
        <w:rPr>
          <w:rFonts w:ascii="Arial Narrow" w:eastAsia="Times New Roman" w:hAnsi="Arial Narrow" w:cs="Arial"/>
          <w:noProof/>
          <w:snapToGrid w:val="0"/>
          <w:color w:val="000000"/>
          <w:sz w:val="16"/>
          <w:szCs w:val="16"/>
          <w:highlight w:val="black"/>
          <w:vertAlign w:val="superscript"/>
          <w:lang w:eastAsia="en-US"/>
        </w:rPr>
        <w:t>'''' ''''''''''''' ''''''''''''''''''''''' '''''''''''' '''''''' ''''''''''''''''''''''''''''''''' '''''''''''' '''''''''''''''''''''' '''''''''''''' '''''''' '''''''''''''''''''''''</w:t>
      </w:r>
    </w:p>
    <w:p w:rsidR="00344720" w:rsidRPr="001348C4" w:rsidRDefault="001348C4" w:rsidP="003D7A96">
      <w:pPr>
        <w:keepNext/>
        <w:keepLines/>
        <w:spacing w:after="0"/>
        <w:jc w:val="both"/>
        <w:rPr>
          <w:rFonts w:ascii="Arial Narrow" w:eastAsia="Times New Roman" w:hAnsi="Arial Narrow" w:cs="Arial"/>
          <w:snapToGrid w:val="0"/>
          <w:sz w:val="16"/>
          <w:szCs w:val="16"/>
          <w:highlight w:val="black"/>
          <w:lang w:eastAsia="en-US"/>
        </w:rPr>
      </w:pPr>
      <w:r>
        <w:rPr>
          <w:rFonts w:ascii="Arial Narrow" w:eastAsia="Times New Roman" w:hAnsi="Arial Narrow" w:cs="Arial"/>
          <w:noProof/>
          <w:snapToGrid w:val="0"/>
          <w:color w:val="000000"/>
          <w:sz w:val="16"/>
          <w:szCs w:val="16"/>
          <w:highlight w:val="black"/>
          <w:vertAlign w:val="superscript"/>
          <w:lang w:eastAsia="en-US"/>
        </w:rPr>
        <w:t>''' '''''' ''''''''''''''''''' ''''' '''''''' '''''''''''''''''''''''''''''''''''''''''''''''</w:t>
      </w:r>
    </w:p>
    <w:p w:rsidR="00344720" w:rsidRPr="00B64C92" w:rsidRDefault="00344720" w:rsidP="00344720">
      <w:pPr>
        <w:widowControl w:val="0"/>
        <w:spacing w:after="0"/>
        <w:jc w:val="both"/>
        <w:rPr>
          <w:rFonts w:ascii="Arial" w:eastAsia="Times New Roman" w:hAnsi="Arial" w:cs="Arial"/>
          <w:snapToGrid w:val="0"/>
          <w:sz w:val="22"/>
          <w:szCs w:val="20"/>
          <w:lang w:eastAsia="en-US"/>
        </w:rPr>
      </w:pPr>
    </w:p>
    <w:p w:rsidR="00344720" w:rsidRDefault="00344720" w:rsidP="00344720">
      <w:r w:rsidRPr="005B31BA">
        <w:t xml:space="preserve">The final agreed estimates </w:t>
      </w:r>
      <w:r>
        <w:t xml:space="preserve">were </w:t>
      </w:r>
      <w:r w:rsidRPr="005B31BA">
        <w:t xml:space="preserve">the </w:t>
      </w:r>
      <w:r>
        <w:t>“</w:t>
      </w:r>
      <w:r w:rsidRPr="005B31BA">
        <w:t>PBAC amend base case</w:t>
      </w:r>
      <w:r>
        <w:t>”</w:t>
      </w:r>
      <w:r w:rsidRPr="005B31BA">
        <w:t xml:space="preserve"> from the above table and these are used as the predicted values in </w:t>
      </w:r>
      <w:r w:rsidR="00402C4F">
        <w:t>Table 3</w:t>
      </w:r>
      <w:r w:rsidRPr="005B31BA">
        <w:t>.</w:t>
      </w:r>
      <w:r w:rsidR="00402C4F">
        <w:t xml:space="preserve"> </w:t>
      </w:r>
      <w:r>
        <w:t xml:space="preserve">The predicted number of infusions per treatment course was </w:t>
      </w:r>
      <w:r w:rsidR="001348C4">
        <w:rPr>
          <w:noProof/>
          <w:color w:val="000000"/>
          <w:highlight w:val="black"/>
        </w:rPr>
        <w:t>'''''''''</w:t>
      </w:r>
      <w:r>
        <w:t xml:space="preserve">. </w:t>
      </w:r>
      <w:r w:rsidR="007F70DD">
        <w:t xml:space="preserve">This corresponds to a mean length of treatment of </w:t>
      </w:r>
      <w:r w:rsidR="001348C4">
        <w:rPr>
          <w:noProof/>
          <w:color w:val="000000"/>
          <w:highlight w:val="black"/>
        </w:rPr>
        <w:t>''''''''' ''' '''''' ''''''''' ''' '''''''' ''''''''' '' '''''''''</w:t>
      </w:r>
      <w:r w:rsidR="007F70DD">
        <w:t xml:space="preserve"> months. The submission reported that the median length of treatment from the pivotal trial (CA209025) was 5.54 months</w:t>
      </w:r>
      <w:r w:rsidR="007F70DD">
        <w:rPr>
          <w:rStyle w:val="FootnoteReference"/>
        </w:rPr>
        <w:footnoteReference w:id="10"/>
      </w:r>
      <w:r w:rsidR="007F70DD">
        <w:t xml:space="preserve">. </w:t>
      </w:r>
    </w:p>
    <w:p w:rsidR="00EC4A40" w:rsidRPr="002703EB" w:rsidRDefault="00EC4A40" w:rsidP="00EC4A40">
      <w:pPr>
        <w:pStyle w:val="Tabletitle"/>
        <w:rPr>
          <w:b w:val="0"/>
        </w:rPr>
      </w:pPr>
      <w:r w:rsidRPr="002703EB">
        <w:rPr>
          <w:b w:val="0"/>
          <w:lang w:val="en-US"/>
        </w:rPr>
        <w:t xml:space="preserve">This </w:t>
      </w:r>
      <w:r>
        <w:rPr>
          <w:b w:val="0"/>
          <w:lang w:val="en-US"/>
        </w:rPr>
        <w:t xml:space="preserve">PvA </w:t>
      </w:r>
      <w:r w:rsidRPr="002703EB">
        <w:rPr>
          <w:b w:val="0"/>
          <w:lang w:val="en-US"/>
        </w:rPr>
        <w:t xml:space="preserve">analysis only pertains to nivolumab for </w:t>
      </w:r>
      <w:r w:rsidR="009A3EB4">
        <w:rPr>
          <w:b w:val="0"/>
          <w:lang w:val="en-US"/>
        </w:rPr>
        <w:t>2nd</w:t>
      </w:r>
      <w:r w:rsidRPr="002703EB">
        <w:rPr>
          <w:b w:val="0"/>
          <w:lang w:val="en-US"/>
        </w:rPr>
        <w:t xml:space="preserve"> line treatment which was listed on 1 August 2017. </w:t>
      </w:r>
      <w:r>
        <w:rPr>
          <w:b w:val="0"/>
          <w:lang w:val="en-US"/>
        </w:rPr>
        <w:t>As shown in Figure 2, t</w:t>
      </w:r>
      <w:r w:rsidRPr="002703EB">
        <w:rPr>
          <w:b w:val="0"/>
          <w:lang w:val="en-US"/>
        </w:rPr>
        <w:t xml:space="preserve">he </w:t>
      </w:r>
      <w:r w:rsidR="009A3EB4">
        <w:rPr>
          <w:b w:val="0"/>
          <w:lang w:val="en-US"/>
        </w:rPr>
        <w:t>2nd</w:t>
      </w:r>
      <w:r w:rsidRPr="002703EB">
        <w:rPr>
          <w:b w:val="0"/>
          <w:lang w:val="en-US"/>
        </w:rPr>
        <w:t xml:space="preserve"> year of listing (August 2018 to July 2019 inclusive) overlaps by 5 months with the </w:t>
      </w:r>
      <w:r w:rsidR="002B1FCB">
        <w:rPr>
          <w:b w:val="0"/>
          <w:lang w:val="en-US"/>
        </w:rPr>
        <w:t>1st</w:t>
      </w:r>
      <w:r w:rsidRPr="002703EB">
        <w:rPr>
          <w:b w:val="0"/>
          <w:lang w:val="en-US"/>
        </w:rPr>
        <w:t xml:space="preserve"> line listing (started 1 March 2019). The final minor resubmission for </w:t>
      </w:r>
      <w:r w:rsidR="002B1FCB">
        <w:rPr>
          <w:b w:val="0"/>
          <w:lang w:val="en-US"/>
        </w:rPr>
        <w:t>1st</w:t>
      </w:r>
      <w:r w:rsidRPr="002703EB">
        <w:rPr>
          <w:b w:val="0"/>
          <w:lang w:val="en-US"/>
        </w:rPr>
        <w:t xml:space="preserve"> line listing of nivolumab to the November 2018 PBAC meeting included offsets for reduction in </w:t>
      </w:r>
      <w:r w:rsidR="009A3EB4">
        <w:rPr>
          <w:b w:val="0"/>
          <w:lang w:val="en-US"/>
        </w:rPr>
        <w:t>2nd</w:t>
      </w:r>
      <w:r w:rsidRPr="002703EB">
        <w:rPr>
          <w:b w:val="0"/>
          <w:lang w:val="en-US"/>
        </w:rPr>
        <w:t xml:space="preserve"> line nivolumab treatment, however this reduction does not appear to have been significant in the </w:t>
      </w:r>
      <w:r w:rsidR="00A87222">
        <w:rPr>
          <w:b w:val="0"/>
          <w:lang w:val="en-US"/>
        </w:rPr>
        <w:t>first</w:t>
      </w:r>
      <w:r w:rsidRPr="002703EB">
        <w:rPr>
          <w:b w:val="0"/>
          <w:lang w:val="en-US"/>
        </w:rPr>
        <w:t xml:space="preserve"> 5 months (i.e. until the end of July 2019) of  listing of </w:t>
      </w:r>
      <w:r w:rsidR="002B1FCB">
        <w:rPr>
          <w:b w:val="0"/>
          <w:lang w:val="en-US"/>
        </w:rPr>
        <w:t>1st</w:t>
      </w:r>
      <w:r w:rsidRPr="002703EB">
        <w:rPr>
          <w:b w:val="0"/>
          <w:lang w:val="en-US"/>
        </w:rPr>
        <w:t xml:space="preserve"> line nivolumab. Thus it seems reasonable in the PvA analysis to only include the </w:t>
      </w:r>
      <w:r w:rsidR="009A3EB4">
        <w:rPr>
          <w:b w:val="0"/>
          <w:lang w:val="en-US"/>
        </w:rPr>
        <w:t>2nd</w:t>
      </w:r>
      <w:r w:rsidRPr="002703EB">
        <w:rPr>
          <w:b w:val="0"/>
          <w:lang w:val="en-US"/>
        </w:rPr>
        <w:t xml:space="preserve"> line prescriptions for the </w:t>
      </w:r>
      <w:r w:rsidR="009A3EB4">
        <w:rPr>
          <w:b w:val="0"/>
          <w:lang w:val="en-US"/>
        </w:rPr>
        <w:t>2nd</w:t>
      </w:r>
      <w:r w:rsidRPr="002703EB">
        <w:rPr>
          <w:b w:val="0"/>
          <w:lang w:val="en-US"/>
        </w:rPr>
        <w:t xml:space="preserve"> year of listing and not attempt to allow for reduction in utilisation due to the </w:t>
      </w:r>
      <w:r w:rsidR="002B1FCB">
        <w:rPr>
          <w:b w:val="0"/>
          <w:lang w:val="en-US"/>
        </w:rPr>
        <w:t>1st</w:t>
      </w:r>
      <w:r w:rsidRPr="002703EB">
        <w:rPr>
          <w:b w:val="0"/>
          <w:lang w:val="en-US"/>
        </w:rPr>
        <w:t xml:space="preserve"> line listing. </w:t>
      </w:r>
    </w:p>
    <w:p w:rsidR="00EC4A40" w:rsidRPr="004B4DAB" w:rsidRDefault="00EC4A40" w:rsidP="00EC4A40">
      <w:pPr>
        <w:pStyle w:val="Tabletitle"/>
      </w:pPr>
      <w:r w:rsidRPr="004B4DAB">
        <w:t>Table 3</w:t>
      </w:r>
      <w:r>
        <w:t>: Predicted vs Actua</w:t>
      </w:r>
      <w:r w:rsidR="005C512C">
        <w:t>l analysis of nivolumab for RCC</w:t>
      </w:r>
    </w:p>
    <w:tbl>
      <w:tblPr>
        <w:tblW w:w="6917" w:type="dxa"/>
        <w:tblInd w:w="93" w:type="dxa"/>
        <w:tblLook w:val="04A0" w:firstRow="1" w:lastRow="0" w:firstColumn="1" w:lastColumn="0" w:noHBand="0" w:noVBand="1"/>
      </w:tblPr>
      <w:tblGrid>
        <w:gridCol w:w="1304"/>
        <w:gridCol w:w="2211"/>
        <w:gridCol w:w="1701"/>
        <w:gridCol w:w="1701"/>
      </w:tblGrid>
      <w:tr w:rsidR="00EC4A40" w:rsidRPr="00F26420" w:rsidTr="001A7D2B">
        <w:trPr>
          <w:trHeight w:val="315"/>
        </w:trPr>
        <w:tc>
          <w:tcPr>
            <w:tcW w:w="1304" w:type="dxa"/>
            <w:tcBorders>
              <w:top w:val="single" w:sz="8" w:space="0" w:color="auto"/>
              <w:left w:val="single" w:sz="8" w:space="0" w:color="auto"/>
              <w:bottom w:val="nil"/>
              <w:right w:val="single" w:sz="8" w:space="0" w:color="auto"/>
            </w:tcBorders>
            <w:shd w:val="clear" w:color="000000" w:fill="BFBFBF"/>
            <w:noWrap/>
            <w:vAlign w:val="center"/>
            <w:hideMark/>
          </w:tcPr>
          <w:p w:rsidR="00EC4A40" w:rsidRPr="00F26420" w:rsidRDefault="00EC4A40" w:rsidP="001A7D2B">
            <w:pPr>
              <w:spacing w:after="0"/>
              <w:rPr>
                <w:rFonts w:ascii="Calibri" w:eastAsia="Times New Roman" w:hAnsi="Calibri" w:cs="Calibri"/>
                <w:sz w:val="22"/>
                <w:szCs w:val="22"/>
              </w:rPr>
            </w:pPr>
            <w:r w:rsidRPr="00F26420">
              <w:rPr>
                <w:rFonts w:ascii="Calibri" w:eastAsia="Times New Roman" w:hAnsi="Calibri" w:cs="Calibri"/>
                <w:sz w:val="22"/>
                <w:szCs w:val="22"/>
              </w:rPr>
              <w:t> </w:t>
            </w:r>
          </w:p>
        </w:tc>
        <w:tc>
          <w:tcPr>
            <w:tcW w:w="2211" w:type="dxa"/>
            <w:tcBorders>
              <w:top w:val="single" w:sz="8" w:space="0" w:color="auto"/>
              <w:left w:val="nil"/>
              <w:bottom w:val="nil"/>
              <w:right w:val="single" w:sz="8" w:space="0" w:color="auto"/>
            </w:tcBorders>
            <w:shd w:val="clear" w:color="000000" w:fill="BFBFBF"/>
            <w:vAlign w:val="center"/>
            <w:hideMark/>
          </w:tcPr>
          <w:p w:rsidR="00EC4A40" w:rsidRPr="00F26420" w:rsidRDefault="00EC4A40" w:rsidP="001A7D2B">
            <w:pPr>
              <w:spacing w:after="0"/>
              <w:rPr>
                <w:rFonts w:ascii="Calibri" w:eastAsia="Times New Roman" w:hAnsi="Calibri" w:cs="Calibri"/>
                <w:b/>
                <w:bCs/>
                <w:color w:val="000000"/>
                <w:sz w:val="20"/>
                <w:szCs w:val="20"/>
              </w:rPr>
            </w:pPr>
            <w:r w:rsidRPr="00F26420">
              <w:rPr>
                <w:rFonts w:ascii="Calibri" w:eastAsia="Times New Roman" w:hAnsi="Calibri" w:cs="Calibri"/>
                <w:b/>
                <w:bCs/>
                <w:color w:val="000000"/>
                <w:sz w:val="20"/>
                <w:szCs w:val="20"/>
              </w:rPr>
              <w:t> </w:t>
            </w:r>
          </w:p>
        </w:tc>
        <w:tc>
          <w:tcPr>
            <w:tcW w:w="1701" w:type="dxa"/>
            <w:tcBorders>
              <w:top w:val="single" w:sz="8" w:space="0" w:color="auto"/>
              <w:left w:val="nil"/>
              <w:bottom w:val="single" w:sz="8" w:space="0" w:color="auto"/>
              <w:right w:val="single" w:sz="8" w:space="0" w:color="auto"/>
            </w:tcBorders>
            <w:shd w:val="clear" w:color="000000" w:fill="BFBFBF"/>
            <w:noWrap/>
            <w:vAlign w:val="center"/>
            <w:hideMark/>
          </w:tcPr>
          <w:p w:rsidR="00EC4A40" w:rsidRPr="00F26420" w:rsidRDefault="00EC4A40" w:rsidP="001A7D2B">
            <w:pPr>
              <w:spacing w:after="0"/>
              <w:jc w:val="center"/>
              <w:rPr>
                <w:rFonts w:ascii="Calibri" w:eastAsia="Times New Roman" w:hAnsi="Calibri" w:cs="Calibri"/>
                <w:b/>
                <w:bCs/>
                <w:color w:val="000000"/>
                <w:sz w:val="20"/>
                <w:szCs w:val="20"/>
              </w:rPr>
            </w:pPr>
            <w:r w:rsidRPr="00F26420">
              <w:rPr>
                <w:rFonts w:ascii="Calibri" w:eastAsia="Times New Roman" w:hAnsi="Calibri" w:cs="Calibri"/>
                <w:b/>
                <w:bCs/>
                <w:color w:val="000000"/>
                <w:sz w:val="20"/>
                <w:szCs w:val="20"/>
              </w:rPr>
              <w:t>Year</w:t>
            </w:r>
            <w:r w:rsidR="00520B51">
              <w:rPr>
                <w:rFonts w:ascii="Calibri" w:eastAsia="Times New Roman" w:hAnsi="Calibri" w:cs="Calibri"/>
                <w:b/>
                <w:bCs/>
                <w:color w:val="000000"/>
                <w:sz w:val="20"/>
                <w:szCs w:val="20"/>
              </w:rPr>
              <w:t xml:space="preserve"> </w:t>
            </w:r>
            <w:r w:rsidRPr="00F26420">
              <w:rPr>
                <w:rFonts w:ascii="Calibri" w:eastAsia="Times New Roman" w:hAnsi="Calibri" w:cs="Calibri"/>
                <w:b/>
                <w:bCs/>
                <w:color w:val="000000"/>
                <w:sz w:val="20"/>
                <w:szCs w:val="20"/>
              </w:rPr>
              <w:t>1</w:t>
            </w:r>
          </w:p>
        </w:tc>
        <w:tc>
          <w:tcPr>
            <w:tcW w:w="1701" w:type="dxa"/>
            <w:tcBorders>
              <w:top w:val="single" w:sz="8" w:space="0" w:color="auto"/>
              <w:left w:val="nil"/>
              <w:bottom w:val="single" w:sz="8" w:space="0" w:color="auto"/>
              <w:right w:val="single" w:sz="8" w:space="0" w:color="auto"/>
            </w:tcBorders>
            <w:shd w:val="clear" w:color="000000" w:fill="BFBFBF"/>
            <w:noWrap/>
            <w:vAlign w:val="center"/>
            <w:hideMark/>
          </w:tcPr>
          <w:p w:rsidR="00EC4A40" w:rsidRPr="00F26420" w:rsidRDefault="00EC4A40" w:rsidP="001A7D2B">
            <w:pPr>
              <w:spacing w:after="0"/>
              <w:jc w:val="center"/>
              <w:rPr>
                <w:rFonts w:ascii="Calibri" w:eastAsia="Times New Roman" w:hAnsi="Calibri" w:cs="Calibri"/>
                <w:b/>
                <w:bCs/>
                <w:color w:val="000000"/>
                <w:sz w:val="20"/>
                <w:szCs w:val="20"/>
              </w:rPr>
            </w:pPr>
            <w:r w:rsidRPr="00F26420">
              <w:rPr>
                <w:rFonts w:ascii="Calibri" w:eastAsia="Times New Roman" w:hAnsi="Calibri" w:cs="Calibri"/>
                <w:b/>
                <w:bCs/>
                <w:color w:val="000000"/>
                <w:sz w:val="20"/>
                <w:szCs w:val="20"/>
              </w:rPr>
              <w:t>Year 2</w:t>
            </w:r>
          </w:p>
        </w:tc>
      </w:tr>
      <w:tr w:rsidR="00EC4A40" w:rsidRPr="00F26420" w:rsidTr="001A7D2B">
        <w:trPr>
          <w:trHeight w:val="170"/>
        </w:trPr>
        <w:tc>
          <w:tcPr>
            <w:tcW w:w="1304" w:type="dxa"/>
            <w:tcBorders>
              <w:top w:val="nil"/>
              <w:left w:val="single" w:sz="8" w:space="0" w:color="auto"/>
              <w:bottom w:val="single" w:sz="4" w:space="0" w:color="auto"/>
              <w:right w:val="single" w:sz="8" w:space="0" w:color="auto"/>
            </w:tcBorders>
            <w:shd w:val="clear" w:color="000000" w:fill="BFBFBF"/>
            <w:noWrap/>
            <w:vAlign w:val="center"/>
            <w:hideMark/>
          </w:tcPr>
          <w:p w:rsidR="00EC4A40" w:rsidRPr="00F26420" w:rsidRDefault="00EC4A40" w:rsidP="001A7D2B">
            <w:pPr>
              <w:spacing w:after="0"/>
              <w:rPr>
                <w:rFonts w:ascii="Calibri" w:eastAsia="Times New Roman" w:hAnsi="Calibri" w:cs="Calibri"/>
                <w:sz w:val="22"/>
                <w:szCs w:val="22"/>
              </w:rPr>
            </w:pPr>
            <w:r w:rsidRPr="00F26420">
              <w:rPr>
                <w:rFonts w:ascii="Calibri" w:eastAsia="Times New Roman" w:hAnsi="Calibri" w:cs="Calibri"/>
                <w:sz w:val="22"/>
                <w:szCs w:val="22"/>
              </w:rPr>
              <w:t> </w:t>
            </w:r>
          </w:p>
        </w:tc>
        <w:tc>
          <w:tcPr>
            <w:tcW w:w="2211" w:type="dxa"/>
            <w:tcBorders>
              <w:top w:val="nil"/>
              <w:left w:val="nil"/>
              <w:bottom w:val="single" w:sz="4" w:space="0" w:color="auto"/>
              <w:right w:val="single" w:sz="8" w:space="0" w:color="auto"/>
            </w:tcBorders>
            <w:shd w:val="clear" w:color="000000" w:fill="BFBFBF"/>
            <w:vAlign w:val="center"/>
            <w:hideMark/>
          </w:tcPr>
          <w:p w:rsidR="00EC4A40" w:rsidRPr="00F26420" w:rsidRDefault="00EC4A40" w:rsidP="001A7D2B">
            <w:pPr>
              <w:spacing w:after="0"/>
              <w:rPr>
                <w:rFonts w:ascii="Calibri" w:eastAsia="Times New Roman" w:hAnsi="Calibri" w:cs="Calibri"/>
                <w:b/>
                <w:bCs/>
                <w:color w:val="000000"/>
                <w:sz w:val="20"/>
                <w:szCs w:val="20"/>
              </w:rPr>
            </w:pPr>
            <w:r w:rsidRPr="00F26420">
              <w:rPr>
                <w:rFonts w:ascii="Calibri" w:eastAsia="Times New Roman" w:hAnsi="Calibri" w:cs="Calibri"/>
                <w:b/>
                <w:bCs/>
                <w:color w:val="000000"/>
                <w:sz w:val="20"/>
                <w:szCs w:val="20"/>
              </w:rPr>
              <w:t> </w:t>
            </w:r>
          </w:p>
        </w:tc>
        <w:tc>
          <w:tcPr>
            <w:tcW w:w="1701" w:type="dxa"/>
            <w:tcBorders>
              <w:top w:val="nil"/>
              <w:left w:val="nil"/>
              <w:bottom w:val="single" w:sz="4" w:space="0" w:color="auto"/>
              <w:right w:val="single" w:sz="8" w:space="0" w:color="auto"/>
            </w:tcBorders>
            <w:shd w:val="clear" w:color="000000" w:fill="BFBFBF"/>
            <w:noWrap/>
            <w:vAlign w:val="center"/>
            <w:hideMark/>
          </w:tcPr>
          <w:p w:rsidR="00EC4A40" w:rsidRPr="00F26420" w:rsidRDefault="00EC4A40" w:rsidP="001A7D2B">
            <w:pPr>
              <w:spacing w:after="0"/>
              <w:jc w:val="center"/>
              <w:rPr>
                <w:rFonts w:ascii="Calibri" w:eastAsia="Times New Roman" w:hAnsi="Calibri" w:cs="Calibri"/>
                <w:b/>
                <w:bCs/>
                <w:color w:val="000000"/>
                <w:sz w:val="20"/>
                <w:szCs w:val="20"/>
              </w:rPr>
            </w:pPr>
            <w:r>
              <w:rPr>
                <w:rFonts w:ascii="Calibri" w:hAnsi="Calibri" w:cs="Calibri"/>
                <w:b/>
                <w:bCs/>
                <w:color w:val="000000"/>
                <w:sz w:val="20"/>
                <w:szCs w:val="20"/>
              </w:rPr>
              <w:t>Aug 17 to Jul 18</w:t>
            </w:r>
          </w:p>
        </w:tc>
        <w:tc>
          <w:tcPr>
            <w:tcW w:w="1701" w:type="dxa"/>
            <w:tcBorders>
              <w:top w:val="nil"/>
              <w:left w:val="nil"/>
              <w:bottom w:val="single" w:sz="4" w:space="0" w:color="auto"/>
              <w:right w:val="single" w:sz="8" w:space="0" w:color="auto"/>
            </w:tcBorders>
            <w:shd w:val="clear" w:color="000000" w:fill="BFBFBF"/>
            <w:noWrap/>
            <w:vAlign w:val="center"/>
            <w:hideMark/>
          </w:tcPr>
          <w:p w:rsidR="00EC4A40" w:rsidRPr="00F26420" w:rsidRDefault="00EC4A40" w:rsidP="001A7D2B">
            <w:pPr>
              <w:spacing w:after="0"/>
              <w:jc w:val="center"/>
              <w:rPr>
                <w:rFonts w:ascii="Calibri" w:eastAsia="Times New Roman" w:hAnsi="Calibri" w:cs="Calibri"/>
                <w:b/>
                <w:bCs/>
                <w:color w:val="000000"/>
                <w:sz w:val="20"/>
                <w:szCs w:val="20"/>
              </w:rPr>
            </w:pPr>
            <w:r>
              <w:rPr>
                <w:rFonts w:ascii="Calibri" w:hAnsi="Calibri" w:cs="Calibri"/>
                <w:b/>
                <w:bCs/>
                <w:color w:val="000000"/>
                <w:sz w:val="20"/>
                <w:szCs w:val="20"/>
              </w:rPr>
              <w:t>Aug 18 to Jul 19</w:t>
            </w:r>
          </w:p>
        </w:tc>
      </w:tr>
      <w:tr w:rsidR="00EC4A40" w:rsidRPr="00F26420" w:rsidTr="001A7D2B">
        <w:trPr>
          <w:trHeight w:val="283"/>
        </w:trPr>
        <w:tc>
          <w:tcPr>
            <w:tcW w:w="1304" w:type="dxa"/>
            <w:vMerge w:val="restart"/>
            <w:tcBorders>
              <w:top w:val="single" w:sz="4" w:space="0" w:color="auto"/>
              <w:left w:val="single" w:sz="4"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Treated patients</w:t>
            </w:r>
          </w:p>
        </w:tc>
        <w:tc>
          <w:tcPr>
            <w:tcW w:w="2211" w:type="dxa"/>
            <w:tcBorders>
              <w:top w:val="single" w:sz="4" w:space="0" w:color="auto"/>
              <w:left w:val="nil"/>
              <w:bottom w:val="single" w:sz="8"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r>
      <w:tr w:rsidR="00EC4A40" w:rsidRPr="00F26420" w:rsidTr="001A7D2B">
        <w:trPr>
          <w:trHeight w:val="283"/>
        </w:trPr>
        <w:tc>
          <w:tcPr>
            <w:tcW w:w="1304" w:type="dxa"/>
            <w:vMerge/>
            <w:tcBorders>
              <w:left w:val="single" w:sz="4" w:space="0" w:color="auto"/>
              <w:right w:val="single" w:sz="8" w:space="0" w:color="auto"/>
            </w:tcBorders>
            <w:vAlign w:val="center"/>
            <w:hideMark/>
          </w:tcPr>
          <w:p w:rsidR="00EC4A40" w:rsidRPr="00F26420" w:rsidRDefault="00EC4A40" w:rsidP="001A7D2B">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nil"/>
              <w:left w:val="nil"/>
              <w:bottom w:val="single" w:sz="8" w:space="0" w:color="auto"/>
              <w:right w:val="single" w:sz="8" w:space="0" w:color="auto"/>
            </w:tcBorders>
            <w:shd w:val="clear" w:color="auto" w:fill="auto"/>
            <w:vAlign w:val="center"/>
            <w:hideMark/>
          </w:tcPr>
          <w:p w:rsidR="00EC4A40" w:rsidRDefault="00EC4A40" w:rsidP="001A7D2B">
            <w:pPr>
              <w:spacing w:after="0"/>
              <w:jc w:val="center"/>
              <w:rPr>
                <w:rFonts w:ascii="Calibri" w:hAnsi="Calibri" w:cs="Calibri"/>
                <w:color w:val="000000"/>
                <w:sz w:val="20"/>
                <w:szCs w:val="20"/>
              </w:rPr>
            </w:pPr>
            <w:r>
              <w:rPr>
                <w:rFonts w:ascii="Calibri" w:hAnsi="Calibri" w:cs="Calibri"/>
                <w:color w:val="000000"/>
                <w:sz w:val="20"/>
                <w:szCs w:val="20"/>
              </w:rPr>
              <w:t>736</w:t>
            </w:r>
          </w:p>
        </w:tc>
        <w:tc>
          <w:tcPr>
            <w:tcW w:w="1701" w:type="dxa"/>
            <w:tcBorders>
              <w:top w:val="nil"/>
              <w:left w:val="nil"/>
              <w:bottom w:val="single" w:sz="8" w:space="0" w:color="auto"/>
              <w:right w:val="single" w:sz="4" w:space="0" w:color="auto"/>
            </w:tcBorders>
            <w:shd w:val="clear" w:color="auto" w:fill="auto"/>
            <w:vAlign w:val="center"/>
            <w:hideMark/>
          </w:tcPr>
          <w:p w:rsidR="00EC4A40" w:rsidRDefault="00EC4A40" w:rsidP="001A7D2B">
            <w:pPr>
              <w:spacing w:after="0"/>
              <w:jc w:val="center"/>
              <w:rPr>
                <w:rFonts w:ascii="Calibri" w:hAnsi="Calibri" w:cs="Calibri"/>
                <w:color w:val="000000"/>
                <w:sz w:val="20"/>
                <w:szCs w:val="20"/>
              </w:rPr>
            </w:pPr>
            <w:r>
              <w:rPr>
                <w:rFonts w:ascii="Calibri" w:hAnsi="Calibri" w:cs="Calibri"/>
                <w:color w:val="000000"/>
                <w:sz w:val="20"/>
                <w:szCs w:val="20"/>
              </w:rPr>
              <w:t>757</w:t>
            </w:r>
          </w:p>
        </w:tc>
      </w:tr>
      <w:tr w:rsidR="00EC4A40" w:rsidRPr="00F26420" w:rsidTr="001A7D2B">
        <w:trPr>
          <w:trHeight w:val="283"/>
        </w:trPr>
        <w:tc>
          <w:tcPr>
            <w:tcW w:w="1304" w:type="dxa"/>
            <w:vMerge/>
            <w:tcBorders>
              <w:left w:val="single" w:sz="4" w:space="0" w:color="auto"/>
              <w:bottom w:val="single" w:sz="4" w:space="0" w:color="auto"/>
              <w:right w:val="single" w:sz="8" w:space="0" w:color="auto"/>
            </w:tcBorders>
            <w:vAlign w:val="center"/>
            <w:hideMark/>
          </w:tcPr>
          <w:p w:rsidR="00EC4A40" w:rsidRPr="00F26420" w:rsidRDefault="00EC4A40" w:rsidP="001A7D2B">
            <w:pPr>
              <w:spacing w:after="0"/>
              <w:rPr>
                <w:rFonts w:ascii="Calibri" w:eastAsia="Times New Roman" w:hAnsi="Calibri" w:cs="Calibri"/>
                <w:color w:val="000000"/>
                <w:sz w:val="20"/>
                <w:szCs w:val="20"/>
              </w:rPr>
            </w:pPr>
          </w:p>
        </w:tc>
        <w:tc>
          <w:tcPr>
            <w:tcW w:w="2211" w:type="dxa"/>
            <w:tcBorders>
              <w:top w:val="nil"/>
              <w:left w:val="nil"/>
              <w:bottom w:val="single" w:sz="4"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nil"/>
              <w:left w:val="nil"/>
              <w:bottom w:val="single" w:sz="4" w:space="0" w:color="auto"/>
              <w:right w:val="single" w:sz="8"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c>
          <w:tcPr>
            <w:tcW w:w="1701" w:type="dxa"/>
            <w:tcBorders>
              <w:top w:val="nil"/>
              <w:left w:val="nil"/>
              <w:bottom w:val="single" w:sz="4" w:space="0" w:color="auto"/>
              <w:right w:val="single" w:sz="4"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r>
      <w:tr w:rsidR="00EC4A40" w:rsidRPr="00F26420" w:rsidTr="001A7D2B">
        <w:trPr>
          <w:trHeight w:val="283"/>
        </w:trPr>
        <w:tc>
          <w:tcPr>
            <w:tcW w:w="1304" w:type="dxa"/>
            <w:vMerge w:val="restart"/>
            <w:tcBorders>
              <w:top w:val="single" w:sz="4" w:space="0" w:color="auto"/>
              <w:left w:val="single" w:sz="4"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Prescriptions</w:t>
            </w:r>
          </w:p>
        </w:tc>
        <w:tc>
          <w:tcPr>
            <w:tcW w:w="2211" w:type="dxa"/>
            <w:tcBorders>
              <w:top w:val="single" w:sz="4" w:space="0" w:color="auto"/>
              <w:left w:val="nil"/>
              <w:bottom w:val="single" w:sz="8"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r>
      <w:tr w:rsidR="00EC4A40" w:rsidRPr="00F26420" w:rsidTr="001A7D2B">
        <w:trPr>
          <w:trHeight w:val="283"/>
        </w:trPr>
        <w:tc>
          <w:tcPr>
            <w:tcW w:w="1304" w:type="dxa"/>
            <w:vMerge/>
            <w:tcBorders>
              <w:left w:val="single" w:sz="4" w:space="0" w:color="auto"/>
              <w:right w:val="single" w:sz="8" w:space="0" w:color="auto"/>
            </w:tcBorders>
            <w:vAlign w:val="center"/>
            <w:hideMark/>
          </w:tcPr>
          <w:p w:rsidR="00EC4A40" w:rsidRPr="00F26420" w:rsidRDefault="00EC4A40" w:rsidP="001A7D2B">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nil"/>
              <w:left w:val="nil"/>
              <w:bottom w:val="single" w:sz="8" w:space="0" w:color="auto"/>
              <w:right w:val="single" w:sz="8" w:space="0" w:color="auto"/>
            </w:tcBorders>
            <w:shd w:val="clear" w:color="auto" w:fill="auto"/>
            <w:vAlign w:val="center"/>
            <w:hideMark/>
          </w:tcPr>
          <w:p w:rsidR="00EC4A40" w:rsidRDefault="00EC4A40" w:rsidP="001A7D2B">
            <w:pPr>
              <w:spacing w:after="0"/>
              <w:jc w:val="center"/>
              <w:rPr>
                <w:rFonts w:ascii="Calibri" w:hAnsi="Calibri" w:cs="Calibri"/>
                <w:color w:val="000000"/>
                <w:sz w:val="20"/>
                <w:szCs w:val="20"/>
              </w:rPr>
            </w:pPr>
            <w:r>
              <w:rPr>
                <w:rFonts w:ascii="Calibri" w:hAnsi="Calibri" w:cs="Calibri"/>
                <w:color w:val="000000"/>
                <w:sz w:val="20"/>
                <w:szCs w:val="20"/>
              </w:rPr>
              <w:t>7,021</w:t>
            </w:r>
          </w:p>
        </w:tc>
        <w:tc>
          <w:tcPr>
            <w:tcW w:w="1701" w:type="dxa"/>
            <w:tcBorders>
              <w:top w:val="nil"/>
              <w:left w:val="nil"/>
              <w:bottom w:val="single" w:sz="8" w:space="0" w:color="auto"/>
              <w:right w:val="single" w:sz="4" w:space="0" w:color="auto"/>
            </w:tcBorders>
            <w:shd w:val="clear" w:color="auto" w:fill="auto"/>
            <w:vAlign w:val="center"/>
            <w:hideMark/>
          </w:tcPr>
          <w:p w:rsidR="00EC4A40" w:rsidRDefault="00EC4A40" w:rsidP="001A7D2B">
            <w:pPr>
              <w:spacing w:after="0"/>
              <w:jc w:val="center"/>
              <w:rPr>
                <w:rFonts w:ascii="Calibri" w:hAnsi="Calibri" w:cs="Calibri"/>
                <w:color w:val="000000"/>
                <w:sz w:val="20"/>
                <w:szCs w:val="20"/>
              </w:rPr>
            </w:pPr>
            <w:r>
              <w:rPr>
                <w:rFonts w:ascii="Calibri" w:hAnsi="Calibri" w:cs="Calibri"/>
                <w:color w:val="000000"/>
                <w:sz w:val="20"/>
                <w:szCs w:val="20"/>
              </w:rPr>
              <w:t>7,847</w:t>
            </w:r>
          </w:p>
        </w:tc>
      </w:tr>
      <w:tr w:rsidR="00EC4A40" w:rsidRPr="00F26420" w:rsidTr="001A7D2B">
        <w:trPr>
          <w:trHeight w:val="283"/>
        </w:trPr>
        <w:tc>
          <w:tcPr>
            <w:tcW w:w="1304" w:type="dxa"/>
            <w:vMerge/>
            <w:tcBorders>
              <w:left w:val="single" w:sz="4" w:space="0" w:color="auto"/>
              <w:bottom w:val="single" w:sz="4" w:space="0" w:color="auto"/>
              <w:right w:val="single" w:sz="8" w:space="0" w:color="auto"/>
            </w:tcBorders>
            <w:vAlign w:val="center"/>
            <w:hideMark/>
          </w:tcPr>
          <w:p w:rsidR="00EC4A40" w:rsidRPr="00F26420" w:rsidRDefault="00EC4A40" w:rsidP="001A7D2B">
            <w:pPr>
              <w:spacing w:after="0"/>
              <w:rPr>
                <w:rFonts w:ascii="Calibri" w:eastAsia="Times New Roman" w:hAnsi="Calibri" w:cs="Calibri"/>
                <w:color w:val="000000"/>
                <w:sz w:val="20"/>
                <w:szCs w:val="20"/>
              </w:rPr>
            </w:pPr>
          </w:p>
        </w:tc>
        <w:tc>
          <w:tcPr>
            <w:tcW w:w="2211" w:type="dxa"/>
            <w:tcBorders>
              <w:top w:val="nil"/>
              <w:left w:val="nil"/>
              <w:bottom w:val="single" w:sz="4"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nil"/>
              <w:left w:val="nil"/>
              <w:bottom w:val="single" w:sz="4" w:space="0" w:color="auto"/>
              <w:right w:val="single" w:sz="8"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c>
          <w:tcPr>
            <w:tcW w:w="1701" w:type="dxa"/>
            <w:tcBorders>
              <w:top w:val="nil"/>
              <w:left w:val="nil"/>
              <w:bottom w:val="single" w:sz="4" w:space="0" w:color="auto"/>
              <w:right w:val="single" w:sz="4"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r>
      <w:tr w:rsidR="00EC4A40" w:rsidRPr="00F26420" w:rsidTr="001A7D2B">
        <w:trPr>
          <w:trHeight w:val="283"/>
        </w:trPr>
        <w:tc>
          <w:tcPr>
            <w:tcW w:w="1304" w:type="dxa"/>
            <w:vMerge w:val="restart"/>
            <w:tcBorders>
              <w:top w:val="single" w:sz="4" w:space="0" w:color="auto"/>
              <w:left w:val="single" w:sz="4"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Prescriptions per patient</w:t>
            </w:r>
          </w:p>
        </w:tc>
        <w:tc>
          <w:tcPr>
            <w:tcW w:w="2211" w:type="dxa"/>
            <w:tcBorders>
              <w:top w:val="single" w:sz="4" w:space="0" w:color="auto"/>
              <w:left w:val="nil"/>
              <w:bottom w:val="single" w:sz="8"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r>
      <w:tr w:rsidR="00EC4A40" w:rsidRPr="00F26420" w:rsidTr="001A7D2B">
        <w:trPr>
          <w:trHeight w:val="283"/>
        </w:trPr>
        <w:tc>
          <w:tcPr>
            <w:tcW w:w="1304" w:type="dxa"/>
            <w:vMerge/>
            <w:tcBorders>
              <w:left w:val="single" w:sz="4" w:space="0" w:color="auto"/>
              <w:right w:val="single" w:sz="8" w:space="0" w:color="auto"/>
            </w:tcBorders>
            <w:vAlign w:val="center"/>
            <w:hideMark/>
          </w:tcPr>
          <w:p w:rsidR="00EC4A40" w:rsidRPr="00F26420" w:rsidRDefault="00EC4A40" w:rsidP="001A7D2B">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nil"/>
              <w:left w:val="nil"/>
              <w:bottom w:val="single" w:sz="8" w:space="0" w:color="auto"/>
              <w:right w:val="single" w:sz="8" w:space="0" w:color="auto"/>
            </w:tcBorders>
            <w:shd w:val="clear" w:color="auto" w:fill="auto"/>
            <w:vAlign w:val="center"/>
            <w:hideMark/>
          </w:tcPr>
          <w:p w:rsidR="00EC4A40" w:rsidRDefault="00EC4A40" w:rsidP="001A7D2B">
            <w:pPr>
              <w:spacing w:after="0"/>
              <w:jc w:val="center"/>
              <w:rPr>
                <w:rFonts w:ascii="Calibri" w:hAnsi="Calibri" w:cs="Calibri"/>
                <w:color w:val="000000"/>
                <w:sz w:val="20"/>
                <w:szCs w:val="20"/>
              </w:rPr>
            </w:pPr>
            <w:r>
              <w:rPr>
                <w:rFonts w:ascii="Calibri" w:hAnsi="Calibri" w:cs="Calibri"/>
                <w:color w:val="000000"/>
                <w:sz w:val="20"/>
                <w:szCs w:val="20"/>
              </w:rPr>
              <w:t>9.5</w:t>
            </w:r>
          </w:p>
        </w:tc>
        <w:tc>
          <w:tcPr>
            <w:tcW w:w="1701" w:type="dxa"/>
            <w:tcBorders>
              <w:top w:val="nil"/>
              <w:left w:val="nil"/>
              <w:bottom w:val="single" w:sz="8" w:space="0" w:color="auto"/>
              <w:right w:val="single" w:sz="4" w:space="0" w:color="auto"/>
            </w:tcBorders>
            <w:shd w:val="clear" w:color="auto" w:fill="auto"/>
            <w:vAlign w:val="center"/>
            <w:hideMark/>
          </w:tcPr>
          <w:p w:rsidR="00EC4A40" w:rsidRDefault="00EC4A40" w:rsidP="001A7D2B">
            <w:pPr>
              <w:spacing w:after="0"/>
              <w:jc w:val="center"/>
              <w:rPr>
                <w:rFonts w:ascii="Calibri" w:hAnsi="Calibri" w:cs="Calibri"/>
                <w:color w:val="000000"/>
                <w:sz w:val="20"/>
                <w:szCs w:val="20"/>
              </w:rPr>
            </w:pPr>
            <w:r>
              <w:rPr>
                <w:rFonts w:ascii="Calibri" w:hAnsi="Calibri" w:cs="Calibri"/>
                <w:color w:val="000000"/>
                <w:sz w:val="20"/>
                <w:szCs w:val="20"/>
              </w:rPr>
              <w:t>10.4</w:t>
            </w:r>
          </w:p>
        </w:tc>
      </w:tr>
      <w:tr w:rsidR="00EC4A40" w:rsidRPr="00F26420" w:rsidTr="001A7D2B">
        <w:trPr>
          <w:trHeight w:val="283"/>
        </w:trPr>
        <w:tc>
          <w:tcPr>
            <w:tcW w:w="1304" w:type="dxa"/>
            <w:vMerge/>
            <w:tcBorders>
              <w:left w:val="single" w:sz="4" w:space="0" w:color="auto"/>
              <w:bottom w:val="single" w:sz="4" w:space="0" w:color="auto"/>
              <w:right w:val="single" w:sz="8" w:space="0" w:color="auto"/>
            </w:tcBorders>
            <w:vAlign w:val="center"/>
            <w:hideMark/>
          </w:tcPr>
          <w:p w:rsidR="00EC4A40" w:rsidRPr="00F26420" w:rsidRDefault="00EC4A40" w:rsidP="001A7D2B">
            <w:pPr>
              <w:spacing w:after="0"/>
              <w:rPr>
                <w:rFonts w:ascii="Calibri" w:eastAsia="Times New Roman" w:hAnsi="Calibri" w:cs="Calibri"/>
                <w:color w:val="000000"/>
                <w:sz w:val="20"/>
                <w:szCs w:val="20"/>
              </w:rPr>
            </w:pPr>
          </w:p>
        </w:tc>
        <w:tc>
          <w:tcPr>
            <w:tcW w:w="2211" w:type="dxa"/>
            <w:tcBorders>
              <w:top w:val="nil"/>
              <w:left w:val="nil"/>
              <w:bottom w:val="single" w:sz="4" w:space="0" w:color="auto"/>
              <w:right w:val="single" w:sz="8" w:space="0" w:color="auto"/>
            </w:tcBorders>
            <w:shd w:val="clear" w:color="auto" w:fill="auto"/>
            <w:vAlign w:val="center"/>
            <w:hideMark/>
          </w:tcPr>
          <w:p w:rsidR="00EC4A40" w:rsidRPr="00F26420" w:rsidRDefault="00EC4A40" w:rsidP="001A7D2B">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nil"/>
              <w:left w:val="nil"/>
              <w:bottom w:val="single" w:sz="4" w:space="0" w:color="auto"/>
              <w:right w:val="single" w:sz="8"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c>
          <w:tcPr>
            <w:tcW w:w="1701" w:type="dxa"/>
            <w:tcBorders>
              <w:top w:val="nil"/>
              <w:left w:val="nil"/>
              <w:bottom w:val="single" w:sz="4" w:space="0" w:color="auto"/>
              <w:right w:val="single" w:sz="4" w:space="0" w:color="auto"/>
            </w:tcBorders>
            <w:shd w:val="clear" w:color="auto" w:fill="auto"/>
            <w:vAlign w:val="center"/>
            <w:hideMark/>
          </w:tcPr>
          <w:p w:rsidR="00EC4A40" w:rsidRPr="001348C4" w:rsidRDefault="001348C4" w:rsidP="001A7D2B">
            <w:pPr>
              <w:spacing w:after="0"/>
              <w:jc w:val="center"/>
              <w:rPr>
                <w:rFonts w:ascii="Calibri" w:hAnsi="Calibri" w:cs="Calibri"/>
                <w:color w:val="000000"/>
                <w:sz w:val="20"/>
                <w:szCs w:val="20"/>
                <w:highlight w:val="black"/>
              </w:rPr>
            </w:pPr>
            <w:r>
              <w:rPr>
                <w:rFonts w:ascii="Calibri" w:hAnsi="Calibri" w:cs="Calibri"/>
                <w:noProof/>
                <w:color w:val="000000"/>
                <w:sz w:val="20"/>
                <w:szCs w:val="20"/>
                <w:highlight w:val="black"/>
              </w:rPr>
              <w:t>''''''''''</w:t>
            </w:r>
          </w:p>
        </w:tc>
      </w:tr>
    </w:tbl>
    <w:p w:rsidR="00EC4A40" w:rsidRPr="00A206E1" w:rsidRDefault="00EC4A40" w:rsidP="00EC4A40">
      <w:pPr>
        <w:pStyle w:val="Notes"/>
      </w:pPr>
      <w:r w:rsidRPr="004C1B5D">
        <w:t xml:space="preserve">Source: </w:t>
      </w:r>
      <w:r>
        <w:t>Final agreed estimates (</w:t>
      </w:r>
      <w:r w:rsidRPr="00A206E1">
        <w:t>P17-10235 PBS Nivolumab RCC vF 20170609.xlsx</w:t>
      </w:r>
      <w:r>
        <w:t>)</w:t>
      </w:r>
      <w:r w:rsidR="005C512C">
        <w:t>.</w:t>
      </w:r>
    </w:p>
    <w:p w:rsidR="00E25A44" w:rsidRDefault="005C512C" w:rsidP="00520B51">
      <w:r>
        <w:t>In Table 3</w:t>
      </w:r>
      <w:r w:rsidR="00EC4A40">
        <w:t xml:space="preserve"> the number of actual treated patients was approximately 50% more than predicted. However the number of actual prescriptions per patient was approximate</w:t>
      </w:r>
      <w:r w:rsidR="00AA1905">
        <w:t>ly</w:t>
      </w:r>
      <w:r w:rsidR="00EC4A40">
        <w:t xml:space="preserve"> half of that predicted, resulting in the</w:t>
      </w:r>
      <w:r w:rsidR="00AA1905">
        <w:t xml:space="preserve"> total</w:t>
      </w:r>
      <w:r w:rsidR="00EC4A40">
        <w:t xml:space="preserve"> number of actual prescript</w:t>
      </w:r>
      <w:r w:rsidR="00ED2FA2">
        <w:t>ions being less than predicted.</w:t>
      </w:r>
    </w:p>
    <w:p w:rsidR="00447B9A" w:rsidRDefault="00E25A44" w:rsidP="00520B51">
      <w:r>
        <w:t xml:space="preserve">The predicted number of patients is based on the number of patients initiating </w:t>
      </w:r>
      <w:r w:rsidR="002B1FCB">
        <w:t>1st</w:t>
      </w:r>
      <w:r>
        <w:t xml:space="preserve"> line TKI (Source: PBS 10% sample). The estimates then presume that a proportion of these patients will be treated with </w:t>
      </w:r>
      <w:r w:rsidR="009A3EB4">
        <w:t>2nd</w:t>
      </w:r>
      <w:r>
        <w:t xml:space="preserve"> line nivolumab and these patients will received </w:t>
      </w:r>
      <w:r w:rsidR="001348C4">
        <w:rPr>
          <w:noProof/>
          <w:color w:val="000000"/>
          <w:highlight w:val="black"/>
        </w:rPr>
        <w:t>'''''''''</w:t>
      </w:r>
      <w:r>
        <w:t xml:space="preserve"> infusions in the same year that they initiate treatment. That is, the estimates do not take into account that </w:t>
      </w:r>
      <w:r w:rsidR="00ED2FA2">
        <w:t>patients will initiate throughout Year 1 and so some of their course of treatment (</w:t>
      </w:r>
      <w:r w:rsidR="001348C4">
        <w:rPr>
          <w:noProof/>
          <w:color w:val="000000"/>
          <w:highlight w:val="black"/>
        </w:rPr>
        <w:t>'''''''''</w:t>
      </w:r>
      <w:r w:rsidR="00ED2FA2">
        <w:t xml:space="preserve"> infusions, taking approximately </w:t>
      </w:r>
      <w:r w:rsidR="001348C4">
        <w:rPr>
          <w:noProof/>
          <w:color w:val="000000"/>
          <w:highlight w:val="black"/>
        </w:rPr>
        <w:t>'''''</w:t>
      </w:r>
      <w:r w:rsidR="00ED2FA2">
        <w:t xml:space="preserve"> weeks on average) will be split across Year 1 and 2. That is</w:t>
      </w:r>
      <w:r w:rsidR="00BD3BAA">
        <w:t>,</w:t>
      </w:r>
      <w:r w:rsidR="00ED2FA2">
        <w:t xml:space="preserve"> there was no “half cycle correction”</w:t>
      </w:r>
      <w:r w:rsidR="00447B9A">
        <w:t xml:space="preserve"> applied to the </w:t>
      </w:r>
      <w:r w:rsidR="009A4B5E">
        <w:t xml:space="preserve">prescription </w:t>
      </w:r>
      <w:r w:rsidR="00447B9A">
        <w:t xml:space="preserve">estimates and this </w:t>
      </w:r>
      <w:r w:rsidR="00BD3BAA">
        <w:t xml:space="preserve">could be </w:t>
      </w:r>
      <w:r w:rsidR="00447B9A">
        <w:t>the</w:t>
      </w:r>
      <w:r w:rsidR="00002B76">
        <w:t xml:space="preserve"> main reason for the difference in prescriptions per patient.</w:t>
      </w:r>
    </w:p>
    <w:p w:rsidR="00A95AF5" w:rsidRDefault="00447B9A" w:rsidP="00520B51">
      <w:r>
        <w:t>This report also contains a “</w:t>
      </w:r>
      <w:r w:rsidR="009A3EB4">
        <w:t>2nd</w:t>
      </w:r>
      <w:r w:rsidRPr="00447B9A">
        <w:t xml:space="preserve"> line Nivolumab length of treatment</w:t>
      </w:r>
      <w:r>
        <w:t>” section.</w:t>
      </w:r>
      <w:r w:rsidR="009A4B5E">
        <w:t xml:space="preserve"> This shows that the mean length of treatment (excluding breaks) was </w:t>
      </w:r>
      <w:r w:rsidR="001348C4">
        <w:rPr>
          <w:noProof/>
          <w:color w:val="000000"/>
          <w:highlight w:val="black"/>
        </w:rPr>
        <w:t>''''''</w:t>
      </w:r>
      <w:r w:rsidR="009A4B5E">
        <w:t xml:space="preserve"> months. This is approximately </w:t>
      </w:r>
      <w:r w:rsidR="001348C4">
        <w:rPr>
          <w:noProof/>
          <w:color w:val="000000"/>
          <w:highlight w:val="black"/>
        </w:rPr>
        <w:t>''''''</w:t>
      </w:r>
      <w:r w:rsidR="009A4B5E">
        <w:t xml:space="preserve"> weeks and </w:t>
      </w:r>
      <w:r w:rsidR="001348C4">
        <w:rPr>
          <w:noProof/>
          <w:color w:val="000000"/>
          <w:highlight w:val="black"/>
        </w:rPr>
        <w:t>''''''''</w:t>
      </w:r>
      <w:r w:rsidR="009A4B5E">
        <w:t xml:space="preserve"> infusions, which is close to the predicted number of </w:t>
      </w:r>
      <w:r w:rsidR="001348C4">
        <w:rPr>
          <w:noProof/>
          <w:color w:val="000000"/>
          <w:highlight w:val="black"/>
        </w:rPr>
        <w:t>''''''''</w:t>
      </w:r>
      <w:r w:rsidR="009A4B5E">
        <w:t xml:space="preserve"> </w:t>
      </w:r>
      <w:r w:rsidR="00002B76">
        <w:t>infusions.</w:t>
      </w:r>
    </w:p>
    <w:p w:rsidR="00002B76" w:rsidRDefault="00002B76" w:rsidP="00520B51">
      <w:r>
        <w:t xml:space="preserve">In addition the difference between predicted and actual patients </w:t>
      </w:r>
      <w:r w:rsidR="00FE2808">
        <w:t xml:space="preserve">may </w:t>
      </w:r>
      <w:r>
        <w:t>have been less</w:t>
      </w:r>
      <w:r w:rsidR="00FC51F3">
        <w:t xml:space="preserve"> in Year 2 </w:t>
      </w:r>
      <w:r>
        <w:t>if the predicted patients in Year 2 had included continuing patients from Year 1.</w:t>
      </w:r>
    </w:p>
    <w:p w:rsidR="006D7F26" w:rsidRDefault="006D7F26">
      <w:pPr>
        <w:spacing w:line="276" w:lineRule="auto"/>
        <w:rPr>
          <w:b/>
          <w:sz w:val="28"/>
        </w:rPr>
      </w:pPr>
      <w:r>
        <w:br w:type="page"/>
      </w:r>
    </w:p>
    <w:p w:rsidR="00AF58BC" w:rsidRPr="007169A6" w:rsidRDefault="00AF58BC" w:rsidP="007169A6">
      <w:pPr>
        <w:pStyle w:val="Heading2"/>
      </w:pPr>
      <w:r w:rsidRPr="00AF58BC">
        <w:t>Other analyses:</w:t>
      </w:r>
    </w:p>
    <w:p w:rsidR="00AF58BC" w:rsidRPr="007169A6" w:rsidRDefault="00AF58BC" w:rsidP="007169A6">
      <w:pPr>
        <w:pStyle w:val="Heading3"/>
      </w:pPr>
      <w:r w:rsidRPr="007169A6">
        <w:t>Consistency of indication</w:t>
      </w:r>
    </w:p>
    <w:p w:rsidR="00AF58BC" w:rsidRDefault="00AF58BC" w:rsidP="004A7751">
      <w:r>
        <w:t>Nivolumab is listed on the PBS for the following indications;</w:t>
      </w:r>
    </w:p>
    <w:p w:rsidR="00AF58BC" w:rsidRDefault="00AF58BC" w:rsidP="00AF58BC">
      <w:pPr>
        <w:pStyle w:val="ListParagraph"/>
        <w:numPr>
          <w:ilvl w:val="0"/>
          <w:numId w:val="6"/>
        </w:numPr>
      </w:pPr>
      <w:r>
        <w:t>Locally advanced or metastatic non-small cell lung cancer</w:t>
      </w:r>
      <w:r w:rsidR="00943D12">
        <w:t xml:space="preserve"> (NSCLC)</w:t>
      </w:r>
    </w:p>
    <w:p w:rsidR="00AF58BC" w:rsidRDefault="00AF58BC" w:rsidP="00AF58BC">
      <w:pPr>
        <w:pStyle w:val="ListParagraph"/>
        <w:numPr>
          <w:ilvl w:val="0"/>
          <w:numId w:val="6"/>
        </w:numPr>
      </w:pPr>
      <w:r>
        <w:t>Recurrent or metastatic squamous cell carcinoma of the oral cavity, pharynx or larynx</w:t>
      </w:r>
      <w:r w:rsidR="00943D12">
        <w:t xml:space="preserve"> (SCC)</w:t>
      </w:r>
    </w:p>
    <w:p w:rsidR="00AF58BC" w:rsidRDefault="00AF58BC" w:rsidP="00AF58BC">
      <w:pPr>
        <w:pStyle w:val="ListParagraph"/>
        <w:numPr>
          <w:ilvl w:val="0"/>
          <w:numId w:val="6"/>
        </w:numPr>
      </w:pPr>
      <w:r>
        <w:t>Stage IV clear cell variant renal cell carcinoma (RCC)</w:t>
      </w:r>
    </w:p>
    <w:p w:rsidR="00AF58BC" w:rsidRDefault="00AF58BC" w:rsidP="00AF58BC">
      <w:pPr>
        <w:pStyle w:val="ListParagraph"/>
        <w:numPr>
          <w:ilvl w:val="0"/>
          <w:numId w:val="6"/>
        </w:numPr>
      </w:pPr>
      <w:r>
        <w:t>Unresectable Stage III or Stage IV malignant melanoma</w:t>
      </w:r>
      <w:r w:rsidR="00943D12">
        <w:t xml:space="preserve"> (MM)</w:t>
      </w:r>
    </w:p>
    <w:p w:rsidR="00AF58BC" w:rsidRDefault="00AF58BC" w:rsidP="00195AB3">
      <w:r>
        <w:t xml:space="preserve">PBS item codes are indication specific and so in theory allocation of an indication to a prescription can be solely based on the PBS item code and does not need to have regard to the restriction code on the corresponding authority approval. The reliability of the PBS item code (i.e. whether or not the correct item code was used) can be </w:t>
      </w:r>
      <w:r w:rsidRPr="00AF58BC">
        <w:t>check</w:t>
      </w:r>
      <w:r>
        <w:t>ed</w:t>
      </w:r>
      <w:r w:rsidRPr="00AF58BC">
        <w:t xml:space="preserve"> </w:t>
      </w:r>
      <w:r w:rsidR="00195AB3">
        <w:t>by analysing the c</w:t>
      </w:r>
      <w:r w:rsidR="00E23BB8">
        <w:t>onsistency of a patient’s indication across time.</w:t>
      </w:r>
    </w:p>
    <w:p w:rsidR="00E23BB8" w:rsidRDefault="00195AB3" w:rsidP="00E23BB8">
      <w:r>
        <w:t>The table below show the frequency of indication sequences of nivolumab patients across all their nivolumab prescriptions.</w:t>
      </w:r>
    </w:p>
    <w:p w:rsidR="00A922D3" w:rsidRPr="00A922D3" w:rsidRDefault="005C512C" w:rsidP="007D4FE7">
      <w:pPr>
        <w:spacing w:after="0"/>
        <w:rPr>
          <w:b/>
        </w:rPr>
      </w:pPr>
      <w:r>
        <w:rPr>
          <w:b/>
        </w:rPr>
        <w:t>Table 4</w:t>
      </w:r>
      <w:r w:rsidR="00A922D3" w:rsidRPr="00A922D3">
        <w:rPr>
          <w:b/>
        </w:rPr>
        <w:t>: Indication sequences of nivolumab patients</w:t>
      </w:r>
    </w:p>
    <w:tbl>
      <w:tblPr>
        <w:tblStyle w:val="TableGrid"/>
        <w:tblW w:w="0" w:type="auto"/>
        <w:tblLook w:val="04A0" w:firstRow="1" w:lastRow="0" w:firstColumn="1" w:lastColumn="0" w:noHBand="0" w:noVBand="1"/>
        <w:tblCaption w:val="Table 4: Indication sequences of nivolumab patients"/>
      </w:tblPr>
      <w:tblGrid>
        <w:gridCol w:w="2020"/>
        <w:gridCol w:w="960"/>
        <w:gridCol w:w="960"/>
        <w:gridCol w:w="960"/>
      </w:tblGrid>
      <w:tr w:rsidR="00A922D3" w:rsidRPr="00A922D3" w:rsidTr="005B5E7B">
        <w:trPr>
          <w:trHeight w:val="300"/>
          <w:tblHeader/>
        </w:trPr>
        <w:tc>
          <w:tcPr>
            <w:tcW w:w="2020" w:type="dxa"/>
            <w:shd w:val="clear" w:color="auto" w:fill="BFBFBF" w:themeFill="background1" w:themeFillShade="BF"/>
            <w:noWrap/>
            <w:hideMark/>
          </w:tcPr>
          <w:p w:rsidR="00A922D3" w:rsidRPr="00A922D3" w:rsidRDefault="00A922D3">
            <w:pPr>
              <w:rPr>
                <w:rFonts w:cstheme="minorHAnsi"/>
                <w:b/>
                <w:bCs/>
                <w:sz w:val="20"/>
                <w:szCs w:val="20"/>
              </w:rPr>
            </w:pPr>
            <w:r w:rsidRPr="00A922D3">
              <w:rPr>
                <w:rFonts w:cstheme="minorHAnsi"/>
                <w:b/>
                <w:bCs/>
                <w:sz w:val="20"/>
                <w:szCs w:val="20"/>
              </w:rPr>
              <w:t>Indication sequence</w:t>
            </w:r>
          </w:p>
        </w:tc>
        <w:tc>
          <w:tcPr>
            <w:tcW w:w="960" w:type="dxa"/>
            <w:shd w:val="clear" w:color="auto" w:fill="BFBFBF" w:themeFill="background1" w:themeFillShade="BF"/>
            <w:noWrap/>
            <w:hideMark/>
          </w:tcPr>
          <w:p w:rsidR="00A922D3" w:rsidRPr="00A922D3" w:rsidRDefault="00A922D3" w:rsidP="00A922D3">
            <w:pPr>
              <w:jc w:val="center"/>
              <w:rPr>
                <w:rFonts w:cstheme="minorHAnsi"/>
                <w:b/>
                <w:bCs/>
                <w:sz w:val="20"/>
                <w:szCs w:val="20"/>
              </w:rPr>
            </w:pPr>
            <w:r w:rsidRPr="00A922D3">
              <w:rPr>
                <w:rFonts w:cstheme="minorHAnsi"/>
                <w:b/>
                <w:bCs/>
                <w:sz w:val="20"/>
                <w:szCs w:val="20"/>
              </w:rPr>
              <w:t>Rank</w:t>
            </w:r>
          </w:p>
        </w:tc>
        <w:tc>
          <w:tcPr>
            <w:tcW w:w="960" w:type="dxa"/>
            <w:shd w:val="clear" w:color="auto" w:fill="BFBFBF" w:themeFill="background1" w:themeFillShade="BF"/>
            <w:noWrap/>
            <w:hideMark/>
          </w:tcPr>
          <w:p w:rsidR="00A922D3" w:rsidRPr="00A922D3" w:rsidRDefault="00A922D3" w:rsidP="00A922D3">
            <w:pPr>
              <w:jc w:val="center"/>
              <w:rPr>
                <w:rFonts w:cstheme="minorHAnsi"/>
                <w:b/>
                <w:bCs/>
                <w:sz w:val="20"/>
                <w:szCs w:val="20"/>
              </w:rPr>
            </w:pPr>
            <w:r w:rsidRPr="00A922D3">
              <w:rPr>
                <w:rFonts w:cstheme="minorHAnsi"/>
                <w:b/>
                <w:bCs/>
                <w:sz w:val="20"/>
                <w:szCs w:val="20"/>
              </w:rPr>
              <w:t>Patients</w:t>
            </w:r>
          </w:p>
        </w:tc>
        <w:tc>
          <w:tcPr>
            <w:tcW w:w="960" w:type="dxa"/>
            <w:shd w:val="clear" w:color="auto" w:fill="BFBFBF" w:themeFill="background1" w:themeFillShade="BF"/>
            <w:noWrap/>
            <w:hideMark/>
          </w:tcPr>
          <w:p w:rsidR="00A922D3" w:rsidRPr="00A922D3" w:rsidRDefault="00A922D3" w:rsidP="00A922D3">
            <w:pPr>
              <w:jc w:val="center"/>
              <w:rPr>
                <w:rFonts w:cstheme="minorHAnsi"/>
                <w:b/>
                <w:bCs/>
                <w:sz w:val="20"/>
                <w:szCs w:val="20"/>
              </w:rPr>
            </w:pPr>
            <w:r w:rsidRPr="00A922D3">
              <w:rPr>
                <w:rFonts w:cstheme="minorHAnsi"/>
                <w:b/>
                <w:bCs/>
                <w:sz w:val="20"/>
                <w:szCs w:val="20"/>
              </w:rPr>
              <w:t>% Patients</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NSCLC</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4,843</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52.7%</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MM</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2</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1,955</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21.3%</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RCC</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3</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1,482</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16.1%</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SCC</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4</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522</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5.7%</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NSCLC-&gt;MM</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5</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53</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0.6%</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RCC-&gt;NSCLC</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6</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44</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0.5%</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NSCLC-&gt;RCC</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7</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31</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0.3%</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MM-&gt;NSCLC</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8</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28</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0.3%</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NSCLC-&gt;MM-&gt;NSCLC</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9</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20</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0.2%</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NSCLC-&gt;RCC-&gt;NSCLC</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10</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20</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0.2%</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MM-&gt;RCC</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11</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17</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0.2%</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NSCLC-&gt;SCC</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12</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17</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0.2%</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RCC-&gt;MM</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13</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15</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0.2%</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MM-&gt;RCC-&gt;MM</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14</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12</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0.1%</w:t>
            </w:r>
          </w:p>
        </w:tc>
      </w:tr>
      <w:tr w:rsidR="00A922D3" w:rsidRPr="00A922D3" w:rsidTr="005B5E7B">
        <w:trPr>
          <w:trHeight w:val="300"/>
        </w:trPr>
        <w:tc>
          <w:tcPr>
            <w:tcW w:w="2020" w:type="dxa"/>
            <w:noWrap/>
            <w:hideMark/>
          </w:tcPr>
          <w:p w:rsidR="00A922D3" w:rsidRPr="00A922D3" w:rsidRDefault="00A922D3">
            <w:pPr>
              <w:rPr>
                <w:rFonts w:cstheme="minorHAnsi"/>
                <w:sz w:val="20"/>
                <w:szCs w:val="20"/>
              </w:rPr>
            </w:pPr>
            <w:r w:rsidRPr="00A922D3">
              <w:rPr>
                <w:rFonts w:cstheme="minorHAnsi"/>
                <w:sz w:val="20"/>
                <w:szCs w:val="20"/>
              </w:rPr>
              <w:t>RCC-&gt;NSCLC-&gt;RCC</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15</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12</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0.1%</w:t>
            </w:r>
          </w:p>
        </w:tc>
      </w:tr>
      <w:tr w:rsidR="00A922D3" w:rsidRPr="00A922D3" w:rsidTr="005B5E7B">
        <w:trPr>
          <w:trHeight w:val="300"/>
        </w:trPr>
        <w:tc>
          <w:tcPr>
            <w:tcW w:w="2020" w:type="dxa"/>
            <w:noWrap/>
            <w:hideMark/>
          </w:tcPr>
          <w:p w:rsidR="00A922D3" w:rsidRPr="00A922D3" w:rsidRDefault="00A922D3" w:rsidP="00A922D3">
            <w:pPr>
              <w:rPr>
                <w:rFonts w:cstheme="minorHAnsi"/>
                <w:sz w:val="20"/>
                <w:szCs w:val="20"/>
              </w:rPr>
            </w:pPr>
            <w:r w:rsidRPr="00A922D3">
              <w:rPr>
                <w:rFonts w:cstheme="minorHAnsi"/>
                <w:sz w:val="20"/>
                <w:szCs w:val="20"/>
              </w:rPr>
              <w:t>Other</w:t>
            </w:r>
          </w:p>
        </w:tc>
        <w:tc>
          <w:tcPr>
            <w:tcW w:w="960" w:type="dxa"/>
            <w:noWrap/>
          </w:tcPr>
          <w:p w:rsidR="00A922D3" w:rsidRPr="00A922D3" w:rsidRDefault="00A922D3" w:rsidP="00A922D3">
            <w:pPr>
              <w:jc w:val="center"/>
              <w:rPr>
                <w:rFonts w:cstheme="minorHAnsi"/>
                <w:sz w:val="20"/>
                <w:szCs w:val="20"/>
              </w:rPr>
            </w:pP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124</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1.3%</w:t>
            </w:r>
          </w:p>
        </w:tc>
      </w:tr>
      <w:tr w:rsidR="00A922D3" w:rsidRPr="00A922D3" w:rsidTr="005B5E7B">
        <w:trPr>
          <w:trHeight w:val="300"/>
        </w:trPr>
        <w:tc>
          <w:tcPr>
            <w:tcW w:w="2020" w:type="dxa"/>
            <w:noWrap/>
            <w:hideMark/>
          </w:tcPr>
          <w:p w:rsidR="00A922D3" w:rsidRPr="00A922D3" w:rsidRDefault="00A922D3" w:rsidP="00A922D3">
            <w:pPr>
              <w:rPr>
                <w:rFonts w:cstheme="minorHAnsi"/>
                <w:sz w:val="20"/>
                <w:szCs w:val="20"/>
              </w:rPr>
            </w:pPr>
            <w:r w:rsidRPr="00A922D3">
              <w:rPr>
                <w:rFonts w:cstheme="minorHAnsi"/>
                <w:sz w:val="20"/>
                <w:szCs w:val="20"/>
              </w:rPr>
              <w:t>Total</w:t>
            </w:r>
          </w:p>
        </w:tc>
        <w:tc>
          <w:tcPr>
            <w:tcW w:w="960" w:type="dxa"/>
            <w:noWrap/>
          </w:tcPr>
          <w:p w:rsidR="00A922D3" w:rsidRPr="00A922D3" w:rsidRDefault="00A922D3" w:rsidP="00A922D3">
            <w:pPr>
              <w:jc w:val="center"/>
              <w:rPr>
                <w:rFonts w:cstheme="minorHAnsi"/>
                <w:sz w:val="20"/>
                <w:szCs w:val="20"/>
              </w:rPr>
            </w:pP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9,195</w:t>
            </w:r>
          </w:p>
        </w:tc>
        <w:tc>
          <w:tcPr>
            <w:tcW w:w="960" w:type="dxa"/>
            <w:noWrap/>
            <w:hideMark/>
          </w:tcPr>
          <w:p w:rsidR="00A922D3" w:rsidRPr="00A922D3" w:rsidRDefault="00A922D3" w:rsidP="00A922D3">
            <w:pPr>
              <w:jc w:val="center"/>
              <w:rPr>
                <w:rFonts w:cstheme="minorHAnsi"/>
                <w:sz w:val="20"/>
                <w:szCs w:val="20"/>
              </w:rPr>
            </w:pPr>
            <w:r w:rsidRPr="00A922D3">
              <w:rPr>
                <w:rFonts w:cstheme="minorHAnsi"/>
                <w:sz w:val="20"/>
                <w:szCs w:val="20"/>
              </w:rPr>
              <w:t>100.0%</w:t>
            </w:r>
          </w:p>
        </w:tc>
      </w:tr>
    </w:tbl>
    <w:p w:rsidR="00195AB3" w:rsidRDefault="00195AB3" w:rsidP="00E23BB8"/>
    <w:p w:rsidR="00A922D3" w:rsidRDefault="005C512C" w:rsidP="00E23BB8">
      <w:r>
        <w:t>Table 4</w:t>
      </w:r>
      <w:r w:rsidR="00A922D3">
        <w:t xml:space="preserve"> shows that 95.7% (sum of the top 4 sequences) of patients have a consistent indication for nivolumab. This indicates that the </w:t>
      </w:r>
      <w:r w:rsidR="00EA4881">
        <w:t xml:space="preserve">PBS </w:t>
      </w:r>
      <w:r w:rsidR="00A922D3">
        <w:t xml:space="preserve">item code selection is reasonably reliable. In the patient level analyses to follow, only RCC indicated prescriptions will be included.  </w:t>
      </w:r>
    </w:p>
    <w:p w:rsidR="007D4FE7" w:rsidRPr="007169A6" w:rsidRDefault="007D4FE7" w:rsidP="007169A6">
      <w:pPr>
        <w:pStyle w:val="Heading3"/>
      </w:pPr>
      <w:r w:rsidRPr="007169A6">
        <w:t xml:space="preserve">Drug initiation sequence for </w:t>
      </w:r>
      <w:r w:rsidR="009A3EB4">
        <w:t>2nd</w:t>
      </w:r>
      <w:r w:rsidRPr="007169A6">
        <w:t xml:space="preserve"> line nivolumab patients</w:t>
      </w:r>
    </w:p>
    <w:p w:rsidR="007D4FE7" w:rsidRPr="007D4FE7" w:rsidRDefault="005C512C" w:rsidP="007D4FE7">
      <w:pPr>
        <w:spacing w:line="276" w:lineRule="auto"/>
      </w:pPr>
      <w:r>
        <w:t>Table 5</w:t>
      </w:r>
      <w:r w:rsidR="007D4FE7">
        <w:t xml:space="preserve"> shows the drug initiation sequence for all initiators to </w:t>
      </w:r>
      <w:r w:rsidR="009A3EB4">
        <w:t>2nd</w:t>
      </w:r>
      <w:r w:rsidR="007D4FE7">
        <w:t xml:space="preserve"> line nivolumab treatment. This include</w:t>
      </w:r>
      <w:r w:rsidR="00A335B7">
        <w:t>s</w:t>
      </w:r>
      <w:r w:rsidR="007D4FE7">
        <w:t xml:space="preserve"> all prescriptions indicated for RCC from 1 May 2009 </w:t>
      </w:r>
      <w:r w:rsidR="00A335B7">
        <w:t>(the list</w:t>
      </w:r>
      <w:r w:rsidR="00097CA8">
        <w:t>ing</w:t>
      </w:r>
      <w:r w:rsidR="00A335B7">
        <w:t xml:space="preserve"> of sunitinib for RCC) </w:t>
      </w:r>
      <w:r w:rsidR="007D4FE7">
        <w:t>to the end of December 2019.</w:t>
      </w:r>
    </w:p>
    <w:p w:rsidR="007D4FE7" w:rsidRDefault="005C512C" w:rsidP="00053AB4">
      <w:pPr>
        <w:keepNext/>
        <w:keepLines/>
        <w:spacing w:after="0"/>
        <w:rPr>
          <w:b/>
        </w:rPr>
      </w:pPr>
      <w:r>
        <w:rPr>
          <w:b/>
        </w:rPr>
        <w:t>Table 5</w:t>
      </w:r>
      <w:r w:rsidR="007D4FE7" w:rsidRPr="00A922D3">
        <w:rPr>
          <w:b/>
        </w:rPr>
        <w:t xml:space="preserve">: </w:t>
      </w:r>
      <w:r w:rsidR="007D4FE7">
        <w:rPr>
          <w:b/>
        </w:rPr>
        <w:t>Drug i</w:t>
      </w:r>
      <w:r w:rsidR="007D4FE7" w:rsidRPr="00A922D3">
        <w:rPr>
          <w:b/>
        </w:rPr>
        <w:t xml:space="preserve">ndication sequences </w:t>
      </w:r>
      <w:r w:rsidR="009A3EB4">
        <w:rPr>
          <w:b/>
        </w:rPr>
        <w:t>2nd</w:t>
      </w:r>
      <w:r w:rsidR="007D4FE7" w:rsidRPr="007D4FE7">
        <w:rPr>
          <w:b/>
        </w:rPr>
        <w:t xml:space="preserve"> line nivolumab patients</w:t>
      </w:r>
    </w:p>
    <w:tbl>
      <w:tblPr>
        <w:tblStyle w:val="TableGrid"/>
        <w:tblW w:w="9093" w:type="dxa"/>
        <w:tblLook w:val="04A0" w:firstRow="1" w:lastRow="0" w:firstColumn="1" w:lastColumn="0" w:noHBand="0" w:noVBand="1"/>
        <w:tblCaption w:val="Table 5: Drug indication sequences 2nd line nivolumab patients"/>
      </w:tblPr>
      <w:tblGrid>
        <w:gridCol w:w="6180"/>
        <w:gridCol w:w="897"/>
        <w:gridCol w:w="1134"/>
        <w:gridCol w:w="882"/>
      </w:tblGrid>
      <w:tr w:rsidR="00A335B7" w:rsidRPr="007D4FE7" w:rsidTr="005B5E7B">
        <w:trPr>
          <w:trHeight w:val="20"/>
          <w:tblHeader/>
        </w:trPr>
        <w:tc>
          <w:tcPr>
            <w:tcW w:w="6180" w:type="dxa"/>
            <w:shd w:val="clear" w:color="auto" w:fill="BFBFBF" w:themeFill="background1" w:themeFillShade="BF"/>
            <w:noWrap/>
            <w:hideMark/>
          </w:tcPr>
          <w:p w:rsidR="007D4FE7" w:rsidRPr="00A335B7" w:rsidRDefault="007D4FE7" w:rsidP="00053AB4">
            <w:pPr>
              <w:keepNext/>
              <w:keepLines/>
              <w:rPr>
                <w:rFonts w:cstheme="minorHAnsi"/>
                <w:b/>
                <w:bCs/>
                <w:sz w:val="20"/>
                <w:szCs w:val="20"/>
              </w:rPr>
            </w:pPr>
            <w:r w:rsidRPr="00A335B7">
              <w:rPr>
                <w:rFonts w:cstheme="minorHAnsi"/>
                <w:b/>
                <w:bCs/>
                <w:sz w:val="20"/>
                <w:szCs w:val="20"/>
              </w:rPr>
              <w:t>Drug  initiation sequence</w:t>
            </w:r>
          </w:p>
        </w:tc>
        <w:tc>
          <w:tcPr>
            <w:tcW w:w="897" w:type="dxa"/>
            <w:shd w:val="clear" w:color="auto" w:fill="BFBFBF" w:themeFill="background1" w:themeFillShade="BF"/>
            <w:noWrap/>
            <w:hideMark/>
          </w:tcPr>
          <w:p w:rsidR="007D4FE7" w:rsidRPr="00A335B7" w:rsidRDefault="007D4FE7" w:rsidP="00053AB4">
            <w:pPr>
              <w:keepNext/>
              <w:keepLines/>
              <w:jc w:val="center"/>
              <w:rPr>
                <w:rFonts w:cstheme="minorHAnsi"/>
                <w:b/>
                <w:bCs/>
                <w:sz w:val="20"/>
                <w:szCs w:val="20"/>
              </w:rPr>
            </w:pPr>
            <w:r w:rsidRPr="00A335B7">
              <w:rPr>
                <w:rFonts w:cstheme="minorHAnsi"/>
                <w:b/>
                <w:bCs/>
                <w:sz w:val="20"/>
                <w:szCs w:val="20"/>
              </w:rPr>
              <w:t>Patients</w:t>
            </w:r>
          </w:p>
        </w:tc>
        <w:tc>
          <w:tcPr>
            <w:tcW w:w="1134" w:type="dxa"/>
            <w:shd w:val="clear" w:color="auto" w:fill="BFBFBF" w:themeFill="background1" w:themeFillShade="BF"/>
            <w:noWrap/>
            <w:hideMark/>
          </w:tcPr>
          <w:p w:rsidR="007D4FE7" w:rsidRPr="00A335B7" w:rsidRDefault="007D4FE7" w:rsidP="00053AB4">
            <w:pPr>
              <w:keepNext/>
              <w:keepLines/>
              <w:jc w:val="center"/>
              <w:rPr>
                <w:rFonts w:cstheme="minorHAnsi"/>
                <w:b/>
                <w:bCs/>
                <w:sz w:val="20"/>
                <w:szCs w:val="20"/>
              </w:rPr>
            </w:pPr>
            <w:r w:rsidRPr="00A335B7">
              <w:rPr>
                <w:rFonts w:cstheme="minorHAnsi"/>
                <w:b/>
                <w:bCs/>
                <w:sz w:val="20"/>
                <w:szCs w:val="20"/>
              </w:rPr>
              <w:t>% Patients</w:t>
            </w:r>
          </w:p>
        </w:tc>
        <w:tc>
          <w:tcPr>
            <w:tcW w:w="882" w:type="dxa"/>
            <w:shd w:val="clear" w:color="auto" w:fill="BFBFBF" w:themeFill="background1" w:themeFillShade="BF"/>
            <w:noWrap/>
            <w:hideMark/>
          </w:tcPr>
          <w:p w:rsidR="007D4FE7" w:rsidRPr="00A335B7" w:rsidRDefault="007D4FE7" w:rsidP="00053AB4">
            <w:pPr>
              <w:keepNext/>
              <w:keepLines/>
              <w:jc w:val="center"/>
              <w:rPr>
                <w:rFonts w:cstheme="minorHAnsi"/>
                <w:b/>
                <w:bCs/>
                <w:sz w:val="20"/>
                <w:szCs w:val="20"/>
              </w:rPr>
            </w:pPr>
            <w:r w:rsidRPr="00A335B7">
              <w:rPr>
                <w:rFonts w:cstheme="minorHAnsi"/>
                <w:b/>
                <w:bCs/>
                <w:sz w:val="20"/>
                <w:szCs w:val="20"/>
              </w:rPr>
              <w:t>Ranking</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262</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19.0%</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w:t>
            </w:r>
          </w:p>
        </w:tc>
      </w:tr>
      <w:tr w:rsidR="00A335B7" w:rsidRPr="007D4FE7" w:rsidTr="00B466F2">
        <w:trPr>
          <w:trHeight w:val="20"/>
        </w:trPr>
        <w:tc>
          <w:tcPr>
            <w:tcW w:w="6180" w:type="dxa"/>
            <w:noWrap/>
            <w:hideMark/>
          </w:tcPr>
          <w:p w:rsidR="007D4FE7" w:rsidRPr="00A335B7" w:rsidRDefault="009A3EB4" w:rsidP="00053AB4">
            <w:pPr>
              <w:keepNext/>
              <w:keepLines/>
              <w:rPr>
                <w:rFonts w:cstheme="minorHAnsi"/>
                <w:sz w:val="18"/>
                <w:szCs w:val="18"/>
              </w:rPr>
            </w:pPr>
            <w:r>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208</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15.1%</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sunitinib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183</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13.2%</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3</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nivolumab -&gt; </w:t>
            </w:r>
            <w:r w:rsidR="009A3EB4">
              <w:rPr>
                <w:rFonts w:cstheme="minorHAnsi"/>
                <w:sz w:val="18"/>
                <w:szCs w:val="18"/>
              </w:rPr>
              <w:t>2nd</w:t>
            </w:r>
            <w:r w:rsidR="007D4FE7" w:rsidRPr="00A335B7">
              <w:rPr>
                <w:rFonts w:cstheme="minorHAnsi"/>
                <w:sz w:val="18"/>
                <w:szCs w:val="18"/>
              </w:rPr>
              <w:t xml:space="preserve"> line, cabozantinib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67</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4.8%</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4</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ipilimumab -&gt; </w:t>
            </w:r>
            <w:r w:rsidR="009A3EB4">
              <w:rPr>
                <w:rFonts w:cstheme="minorHAnsi"/>
                <w:sz w:val="18"/>
                <w:szCs w:val="18"/>
              </w:rPr>
              <w:t>2nd</w:t>
            </w:r>
            <w:r w:rsidR="007D4FE7" w:rsidRPr="00A335B7">
              <w:rPr>
                <w:rFonts w:cstheme="minorHAnsi"/>
                <w:sz w:val="18"/>
                <w:szCs w:val="18"/>
              </w:rPr>
              <w:t xml:space="preserve"> line, nivolumab(sd)</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37</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2.7%</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5</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sunitinib -&gt; </w:t>
            </w:r>
            <w:r w:rsidR="009A3EB4">
              <w:rPr>
                <w:rFonts w:cstheme="minorHAnsi"/>
                <w:sz w:val="18"/>
                <w:szCs w:val="18"/>
              </w:rPr>
              <w:t>2nd</w:t>
            </w:r>
            <w:r w:rsidR="007D4FE7" w:rsidRPr="00A335B7">
              <w:rPr>
                <w:rFonts w:cstheme="minorHAnsi"/>
                <w:sz w:val="18"/>
                <w:szCs w:val="18"/>
              </w:rPr>
              <w:t xml:space="preserve"> line, nivolumab -&gt; </w:t>
            </w:r>
            <w:r w:rsidR="009A3EB4">
              <w:rPr>
                <w:rFonts w:cstheme="minorHAnsi"/>
                <w:sz w:val="18"/>
                <w:szCs w:val="18"/>
              </w:rPr>
              <w:t>2nd</w:t>
            </w:r>
            <w:r w:rsidR="007D4FE7" w:rsidRPr="00A335B7">
              <w:rPr>
                <w:rFonts w:cstheme="minorHAnsi"/>
                <w:sz w:val="18"/>
                <w:szCs w:val="18"/>
              </w:rPr>
              <w:t xml:space="preserve"> line, cabozantinib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36</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2.6%</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6</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Pr>
                <w:rFonts w:cstheme="minorHAnsi"/>
                <w:sz w:val="18"/>
                <w:szCs w:val="18"/>
              </w:rPr>
              <w:t>1st</w:t>
            </w:r>
            <w:r w:rsidR="007D4FE7" w:rsidRPr="00A335B7">
              <w:rPr>
                <w:rFonts w:cstheme="minorHAnsi"/>
                <w:sz w:val="18"/>
                <w:szCs w:val="18"/>
              </w:rPr>
              <w:t xml:space="preserve"> line, sunitinib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36</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2.6%</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7</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sunitinib -&gt; </w:t>
            </w: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36</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2.6%</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8</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ipilimumab -&gt; </w:t>
            </w:r>
            <w:r>
              <w:rPr>
                <w:rFonts w:cstheme="minorHAnsi"/>
                <w:sz w:val="18"/>
                <w:szCs w:val="18"/>
              </w:rPr>
              <w:t>1st</w:t>
            </w:r>
            <w:r w:rsidR="007D4FE7" w:rsidRPr="00A335B7">
              <w:rPr>
                <w:rFonts w:cstheme="minorHAnsi"/>
                <w:sz w:val="18"/>
                <w:szCs w:val="18"/>
              </w:rPr>
              <w:t xml:space="preserve"> line, nivolumab(sd)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32</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2.3%</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9</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axitinib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31</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2.2%</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10</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nivolumab -&gt; </w:t>
            </w:r>
            <w:r w:rsidR="009A3EB4">
              <w:rPr>
                <w:rFonts w:cstheme="minorHAnsi"/>
                <w:sz w:val="18"/>
                <w:szCs w:val="18"/>
              </w:rPr>
              <w:t>2nd</w:t>
            </w:r>
            <w:r w:rsidR="007D4FE7" w:rsidRPr="00A335B7">
              <w:rPr>
                <w:rFonts w:cstheme="minorHAnsi"/>
                <w:sz w:val="18"/>
                <w:szCs w:val="18"/>
              </w:rPr>
              <w:t xml:space="preserve"> line, axitinib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25</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1.8%</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11</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sunitinib -&gt; </w:t>
            </w:r>
            <w:r w:rsidR="009A3EB4">
              <w:rPr>
                <w:rFonts w:cstheme="minorHAnsi"/>
                <w:sz w:val="18"/>
                <w:szCs w:val="18"/>
              </w:rPr>
              <w:t>2nd</w:t>
            </w:r>
            <w:r w:rsidR="007D4FE7" w:rsidRPr="00A335B7">
              <w:rPr>
                <w:rFonts w:cstheme="minorHAnsi"/>
                <w:sz w:val="18"/>
                <w:szCs w:val="18"/>
              </w:rPr>
              <w:t xml:space="preserve"> line, axitinib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23</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1.7%</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12</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sunitinib -&gt; </w:t>
            </w:r>
            <w:r w:rsidR="009A3EB4">
              <w:rPr>
                <w:rFonts w:cstheme="minorHAnsi"/>
                <w:sz w:val="18"/>
                <w:szCs w:val="18"/>
              </w:rPr>
              <w:t>2nd</w:t>
            </w:r>
            <w:r w:rsidR="007D4FE7" w:rsidRPr="00A335B7">
              <w:rPr>
                <w:rFonts w:cstheme="minorHAnsi"/>
                <w:sz w:val="18"/>
                <w:szCs w:val="18"/>
              </w:rPr>
              <w:t xml:space="preserve"> line, everolimus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15</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1.1%</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13</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sunitinib -&gt; </w:t>
            </w: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nivolumab -&gt; </w:t>
            </w:r>
            <w:r w:rsidR="009A3EB4">
              <w:rPr>
                <w:rFonts w:cstheme="minorHAnsi"/>
                <w:sz w:val="18"/>
                <w:szCs w:val="18"/>
              </w:rPr>
              <w:t>2nd</w:t>
            </w:r>
            <w:r w:rsidR="007D4FE7" w:rsidRPr="00A335B7">
              <w:rPr>
                <w:rFonts w:cstheme="minorHAnsi"/>
                <w:sz w:val="18"/>
                <w:szCs w:val="18"/>
              </w:rPr>
              <w:t xml:space="preserve"> line, cabozantinib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14</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1.0%</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14</w:t>
            </w:r>
          </w:p>
        </w:tc>
      </w:tr>
      <w:tr w:rsidR="00A335B7" w:rsidRPr="007D4FE7" w:rsidTr="00B466F2">
        <w:trPr>
          <w:trHeight w:val="20"/>
        </w:trPr>
        <w:tc>
          <w:tcPr>
            <w:tcW w:w="6180" w:type="dxa"/>
            <w:noWrap/>
            <w:hideMark/>
          </w:tcPr>
          <w:p w:rsidR="007D4FE7" w:rsidRPr="00A335B7" w:rsidRDefault="009A3EB4" w:rsidP="00053AB4">
            <w:pPr>
              <w:keepNext/>
              <w:keepLines/>
              <w:rPr>
                <w:rFonts w:cstheme="minorHAnsi"/>
                <w:sz w:val="18"/>
                <w:szCs w:val="18"/>
              </w:rPr>
            </w:pPr>
            <w:r>
              <w:rPr>
                <w:rFonts w:cstheme="minorHAnsi"/>
                <w:sz w:val="18"/>
                <w:szCs w:val="18"/>
              </w:rPr>
              <w:t>2nd</w:t>
            </w:r>
            <w:r w:rsidR="007D4FE7" w:rsidRPr="00A335B7">
              <w:rPr>
                <w:rFonts w:cstheme="minorHAnsi"/>
                <w:sz w:val="18"/>
                <w:szCs w:val="18"/>
              </w:rPr>
              <w:t xml:space="preserve"> line, nivolumab -&gt; </w:t>
            </w:r>
            <w:r>
              <w:rPr>
                <w:rFonts w:cstheme="minorHAnsi"/>
                <w:sz w:val="18"/>
                <w:szCs w:val="18"/>
              </w:rPr>
              <w:t>2nd</w:t>
            </w:r>
            <w:r w:rsidR="007D4FE7" w:rsidRPr="00A335B7">
              <w:rPr>
                <w:rFonts w:cstheme="minorHAnsi"/>
                <w:sz w:val="18"/>
                <w:szCs w:val="18"/>
              </w:rPr>
              <w:t xml:space="preserve"> line, cabozantinib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13</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0.9%</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15</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sunitinib -&gt; </w:t>
            </w:r>
            <w:r w:rsidR="009A3EB4">
              <w:rPr>
                <w:rFonts w:cstheme="minorHAnsi"/>
                <w:sz w:val="18"/>
                <w:szCs w:val="18"/>
              </w:rPr>
              <w:t>2nd</w:t>
            </w:r>
            <w:r w:rsidR="007D4FE7" w:rsidRPr="00A335B7">
              <w:rPr>
                <w:rFonts w:cstheme="minorHAnsi"/>
                <w:sz w:val="18"/>
                <w:szCs w:val="18"/>
              </w:rPr>
              <w:t xml:space="preserve"> line, nivolumab -&gt; </w:t>
            </w:r>
            <w:r w:rsidR="009A3EB4">
              <w:rPr>
                <w:rFonts w:cstheme="minorHAnsi"/>
                <w:sz w:val="18"/>
                <w:szCs w:val="18"/>
              </w:rPr>
              <w:t>2nd</w:t>
            </w:r>
            <w:r w:rsidR="007D4FE7" w:rsidRPr="00A335B7">
              <w:rPr>
                <w:rFonts w:cstheme="minorHAnsi"/>
                <w:sz w:val="18"/>
                <w:szCs w:val="18"/>
              </w:rPr>
              <w:t xml:space="preserve"> line, axitinib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13</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0.9%</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16</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sunitinib -&gt; </w:t>
            </w:r>
            <w:r w:rsidR="009A3EB4">
              <w:rPr>
                <w:rFonts w:cstheme="minorHAnsi"/>
                <w:sz w:val="18"/>
                <w:szCs w:val="18"/>
              </w:rPr>
              <w:t>2nd</w:t>
            </w:r>
            <w:r w:rsidR="007D4FE7" w:rsidRPr="00A335B7">
              <w:rPr>
                <w:rFonts w:cstheme="minorHAnsi"/>
                <w:sz w:val="18"/>
                <w:szCs w:val="18"/>
              </w:rPr>
              <w:t xml:space="preserve"> line, axitinib -&gt; </w:t>
            </w:r>
            <w:r w:rsidR="009A3EB4">
              <w:rPr>
                <w:rFonts w:cstheme="minorHAnsi"/>
                <w:sz w:val="18"/>
                <w:szCs w:val="18"/>
              </w:rPr>
              <w:t>2nd</w:t>
            </w:r>
            <w:r w:rsidR="007D4FE7" w:rsidRPr="00A335B7">
              <w:rPr>
                <w:rFonts w:cstheme="minorHAnsi"/>
                <w:sz w:val="18"/>
                <w:szCs w:val="18"/>
              </w:rPr>
              <w:t xml:space="preserve"> line, nivolumab -&gt; </w:t>
            </w:r>
            <w:r w:rsidR="009A3EB4">
              <w:rPr>
                <w:rFonts w:cstheme="minorHAnsi"/>
                <w:sz w:val="18"/>
                <w:szCs w:val="18"/>
              </w:rPr>
              <w:t>2nd</w:t>
            </w:r>
            <w:r w:rsidR="007D4FE7" w:rsidRPr="00A335B7">
              <w:rPr>
                <w:rFonts w:cstheme="minorHAnsi"/>
                <w:sz w:val="18"/>
                <w:szCs w:val="18"/>
              </w:rPr>
              <w:t xml:space="preserve"> line, cabozantinib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10</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0.7%</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17</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sunitinib -&gt; </w:t>
            </w: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nivolumab -&gt; </w:t>
            </w:r>
            <w:r w:rsidR="009A3EB4">
              <w:rPr>
                <w:rFonts w:cstheme="minorHAnsi"/>
                <w:sz w:val="18"/>
                <w:szCs w:val="18"/>
              </w:rPr>
              <w:t>2nd</w:t>
            </w:r>
            <w:r w:rsidR="007D4FE7" w:rsidRPr="00A335B7">
              <w:rPr>
                <w:rFonts w:cstheme="minorHAnsi"/>
                <w:sz w:val="18"/>
                <w:szCs w:val="18"/>
              </w:rPr>
              <w:t xml:space="preserve"> line, axitinib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10</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0.7%</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18</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nivolumab -&gt; </w:t>
            </w:r>
            <w:r w:rsidR="009A3EB4">
              <w:rPr>
                <w:rFonts w:cstheme="minorHAnsi"/>
                <w:sz w:val="18"/>
                <w:szCs w:val="18"/>
              </w:rPr>
              <w:t>2nd</w:t>
            </w:r>
            <w:r w:rsidR="007D4FE7" w:rsidRPr="00A335B7">
              <w:rPr>
                <w:rFonts w:cstheme="minorHAnsi"/>
                <w:sz w:val="18"/>
                <w:szCs w:val="18"/>
              </w:rPr>
              <w:t xml:space="preserve"> line, axitinib -&gt; </w:t>
            </w:r>
            <w:r w:rsidR="009A3EB4">
              <w:rPr>
                <w:rFonts w:cstheme="minorHAnsi"/>
                <w:sz w:val="18"/>
                <w:szCs w:val="18"/>
              </w:rPr>
              <w:t>2nd</w:t>
            </w:r>
            <w:r w:rsidR="007D4FE7" w:rsidRPr="00A335B7">
              <w:rPr>
                <w:rFonts w:cstheme="minorHAnsi"/>
                <w:sz w:val="18"/>
                <w:szCs w:val="18"/>
              </w:rPr>
              <w:t xml:space="preserve"> line, cabozantinib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9</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0.7%</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19</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axitinib -&gt; </w:t>
            </w:r>
            <w:r w:rsidR="009A3EB4">
              <w:rPr>
                <w:rFonts w:cstheme="minorHAnsi"/>
                <w:sz w:val="18"/>
                <w:szCs w:val="18"/>
              </w:rPr>
              <w:t>2nd</w:t>
            </w:r>
            <w:r w:rsidR="007D4FE7" w:rsidRPr="00A335B7">
              <w:rPr>
                <w:rFonts w:cstheme="minorHAnsi"/>
                <w:sz w:val="18"/>
                <w:szCs w:val="18"/>
              </w:rPr>
              <w:t xml:space="preserve"> line, nivolumab -&gt; </w:t>
            </w:r>
            <w:r w:rsidR="009A3EB4">
              <w:rPr>
                <w:rFonts w:cstheme="minorHAnsi"/>
                <w:sz w:val="18"/>
                <w:szCs w:val="18"/>
              </w:rPr>
              <w:t>2nd</w:t>
            </w:r>
            <w:r w:rsidR="007D4FE7" w:rsidRPr="00A335B7">
              <w:rPr>
                <w:rFonts w:cstheme="minorHAnsi"/>
                <w:sz w:val="18"/>
                <w:szCs w:val="18"/>
              </w:rPr>
              <w:t xml:space="preserve"> line, cabozantinib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8</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0.6%</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20</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sunitinib -&gt; </w:t>
            </w: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axitinib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8</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0.6%</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21</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axitinib -&gt; </w:t>
            </w:r>
            <w:r w:rsidR="009A3EB4">
              <w:rPr>
                <w:rFonts w:cstheme="minorHAnsi"/>
                <w:sz w:val="18"/>
                <w:szCs w:val="18"/>
              </w:rPr>
              <w:t>2nd</w:t>
            </w:r>
            <w:r w:rsidR="007D4FE7" w:rsidRPr="00A335B7">
              <w:rPr>
                <w:rFonts w:cstheme="minorHAnsi"/>
                <w:sz w:val="18"/>
                <w:szCs w:val="18"/>
              </w:rPr>
              <w:t xml:space="preserve"> line, everolimus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7</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0.5%</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22</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nivolumab -&gt; </w:t>
            </w:r>
            <w:r w:rsidR="009A3EB4">
              <w:rPr>
                <w:rFonts w:cstheme="minorHAnsi"/>
                <w:sz w:val="18"/>
                <w:szCs w:val="18"/>
              </w:rPr>
              <w:t>2nd</w:t>
            </w:r>
            <w:r w:rsidR="007D4FE7" w:rsidRPr="00A335B7">
              <w:rPr>
                <w:rFonts w:cstheme="minorHAnsi"/>
                <w:sz w:val="18"/>
                <w:szCs w:val="18"/>
              </w:rPr>
              <w:t xml:space="preserve"> line, cabozantinib -&gt; </w:t>
            </w:r>
            <w:r w:rsidR="009A3EB4">
              <w:rPr>
                <w:rFonts w:cstheme="minorHAnsi"/>
                <w:sz w:val="18"/>
                <w:szCs w:val="18"/>
              </w:rPr>
              <w:t>2nd</w:t>
            </w:r>
            <w:r w:rsidR="007D4FE7" w:rsidRPr="00A335B7">
              <w:rPr>
                <w:rFonts w:cstheme="minorHAnsi"/>
                <w:sz w:val="18"/>
                <w:szCs w:val="18"/>
              </w:rPr>
              <w:t xml:space="preserve"> line, everolimus</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7</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0.5%</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23</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everolimus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7</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0.5%</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24</w:t>
            </w:r>
          </w:p>
        </w:tc>
      </w:tr>
      <w:tr w:rsidR="00A335B7" w:rsidRPr="007D4FE7" w:rsidTr="00B466F2">
        <w:trPr>
          <w:trHeight w:val="20"/>
        </w:trPr>
        <w:tc>
          <w:tcPr>
            <w:tcW w:w="6180" w:type="dxa"/>
            <w:noWrap/>
            <w:hideMark/>
          </w:tcPr>
          <w:p w:rsidR="007D4FE7" w:rsidRPr="00A335B7" w:rsidRDefault="009A3EB4" w:rsidP="00053AB4">
            <w:pPr>
              <w:keepNext/>
              <w:keepLines/>
              <w:rPr>
                <w:rFonts w:cstheme="minorHAnsi"/>
                <w:sz w:val="18"/>
                <w:szCs w:val="18"/>
              </w:rPr>
            </w:pPr>
            <w:r>
              <w:rPr>
                <w:rFonts w:cstheme="minorHAnsi"/>
                <w:sz w:val="18"/>
                <w:szCs w:val="18"/>
              </w:rPr>
              <w:t>2nd</w:t>
            </w:r>
            <w:r w:rsidR="007D4FE7" w:rsidRPr="00A335B7">
              <w:rPr>
                <w:rFonts w:cstheme="minorHAnsi"/>
                <w:sz w:val="18"/>
                <w:szCs w:val="18"/>
              </w:rPr>
              <w:t xml:space="preserve"> line, nivolumab -&gt; </w:t>
            </w:r>
            <w:r>
              <w:rPr>
                <w:rFonts w:cstheme="minorHAnsi"/>
                <w:sz w:val="18"/>
                <w:szCs w:val="18"/>
              </w:rPr>
              <w:t>2nd</w:t>
            </w:r>
            <w:r w:rsidR="007D4FE7" w:rsidRPr="00A335B7">
              <w:rPr>
                <w:rFonts w:cstheme="minorHAnsi"/>
                <w:sz w:val="18"/>
                <w:szCs w:val="18"/>
              </w:rPr>
              <w:t xml:space="preserve"> line, cabozantinib -&gt; </w:t>
            </w:r>
            <w:r>
              <w:rPr>
                <w:rFonts w:cstheme="minorHAnsi"/>
                <w:sz w:val="18"/>
                <w:szCs w:val="18"/>
              </w:rPr>
              <w:t>2nd</w:t>
            </w:r>
            <w:r w:rsidR="007D4FE7" w:rsidRPr="00A335B7">
              <w:rPr>
                <w:rFonts w:cstheme="minorHAnsi"/>
                <w:sz w:val="18"/>
                <w:szCs w:val="18"/>
              </w:rPr>
              <w:t xml:space="preserve"> line, axitinib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6</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0.4%</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25</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nivolumab -&gt; </w:t>
            </w:r>
            <w:r w:rsidR="009A3EB4">
              <w:rPr>
                <w:rFonts w:cstheme="minorHAnsi"/>
                <w:sz w:val="18"/>
                <w:szCs w:val="18"/>
              </w:rPr>
              <w:t>2nd</w:t>
            </w:r>
            <w:r w:rsidR="007D4FE7" w:rsidRPr="00A335B7">
              <w:rPr>
                <w:rFonts w:cstheme="minorHAnsi"/>
                <w:sz w:val="18"/>
                <w:szCs w:val="18"/>
              </w:rPr>
              <w:t xml:space="preserve"> line, everolimus</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6</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0.4%</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26</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sunitinib -&gt; </w:t>
            </w:r>
            <w:r w:rsidR="009A3EB4">
              <w:rPr>
                <w:rFonts w:cstheme="minorHAnsi"/>
                <w:sz w:val="18"/>
                <w:szCs w:val="18"/>
              </w:rPr>
              <w:t>2nd</w:t>
            </w:r>
            <w:r w:rsidR="007D4FE7" w:rsidRPr="00A335B7">
              <w:rPr>
                <w:rFonts w:cstheme="minorHAnsi"/>
                <w:sz w:val="18"/>
                <w:szCs w:val="18"/>
              </w:rPr>
              <w:t xml:space="preserve"> line, cabozantinib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6</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0.4%</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27</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everolimus -&gt; </w:t>
            </w:r>
            <w:r w:rsidR="009A3EB4">
              <w:rPr>
                <w:rFonts w:cstheme="minorHAnsi"/>
                <w:sz w:val="18"/>
                <w:szCs w:val="18"/>
              </w:rPr>
              <w:t>2nd</w:t>
            </w:r>
            <w:r w:rsidR="007D4FE7" w:rsidRPr="00A335B7">
              <w:rPr>
                <w:rFonts w:cstheme="minorHAnsi"/>
                <w:sz w:val="18"/>
                <w:szCs w:val="18"/>
              </w:rPr>
              <w:t xml:space="preserve"> line, axitinib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6</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0.4%</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28</w:t>
            </w:r>
          </w:p>
        </w:tc>
      </w:tr>
      <w:tr w:rsidR="00A335B7" w:rsidRPr="007D4FE7" w:rsidTr="00B466F2">
        <w:trPr>
          <w:trHeight w:val="20"/>
        </w:trPr>
        <w:tc>
          <w:tcPr>
            <w:tcW w:w="6180" w:type="dxa"/>
            <w:noWrap/>
            <w:hideMark/>
          </w:tcPr>
          <w:p w:rsidR="007D4FE7" w:rsidRPr="00A335B7" w:rsidRDefault="002B1FCB" w:rsidP="00053AB4">
            <w:pPr>
              <w:keepNext/>
              <w:keepLines/>
              <w:rPr>
                <w:rFonts w:cstheme="minorHAnsi"/>
                <w:sz w:val="18"/>
                <w:szCs w:val="18"/>
              </w:rPr>
            </w:pPr>
            <w:r>
              <w:rPr>
                <w:rFonts w:cstheme="minorHAnsi"/>
                <w:sz w:val="18"/>
                <w:szCs w:val="18"/>
              </w:rPr>
              <w:t>1st</w:t>
            </w:r>
            <w:r w:rsidR="007D4FE7" w:rsidRPr="00A335B7">
              <w:rPr>
                <w:rFonts w:cstheme="minorHAnsi"/>
                <w:sz w:val="18"/>
                <w:szCs w:val="18"/>
              </w:rPr>
              <w:t xml:space="preserve"> line, pazopanib -&gt; </w:t>
            </w:r>
            <w:r w:rsidR="009A3EB4">
              <w:rPr>
                <w:rFonts w:cstheme="minorHAnsi"/>
                <w:sz w:val="18"/>
                <w:szCs w:val="18"/>
              </w:rPr>
              <w:t>2nd</w:t>
            </w:r>
            <w:r w:rsidR="007D4FE7" w:rsidRPr="00A335B7">
              <w:rPr>
                <w:rFonts w:cstheme="minorHAnsi"/>
                <w:sz w:val="18"/>
                <w:szCs w:val="18"/>
              </w:rPr>
              <w:t xml:space="preserve"> line, cabozantinib -&gt; </w:t>
            </w:r>
            <w:r w:rsidR="009A3EB4">
              <w:rPr>
                <w:rFonts w:cstheme="minorHAnsi"/>
                <w:sz w:val="18"/>
                <w:szCs w:val="18"/>
              </w:rPr>
              <w:t>2nd</w:t>
            </w:r>
            <w:r w:rsidR="007D4FE7" w:rsidRPr="00A335B7">
              <w:rPr>
                <w:rFonts w:cstheme="minorHAnsi"/>
                <w:sz w:val="18"/>
                <w:szCs w:val="18"/>
              </w:rPr>
              <w:t xml:space="preserve"> line, nivolumab</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6</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0.4%</w:t>
            </w:r>
          </w:p>
        </w:tc>
        <w:tc>
          <w:tcPr>
            <w:tcW w:w="882"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29</w:t>
            </w:r>
          </w:p>
        </w:tc>
      </w:tr>
      <w:tr w:rsidR="00A335B7" w:rsidRPr="007D4FE7" w:rsidTr="00B466F2">
        <w:trPr>
          <w:trHeight w:val="20"/>
        </w:trPr>
        <w:tc>
          <w:tcPr>
            <w:tcW w:w="6180" w:type="dxa"/>
            <w:noWrap/>
            <w:hideMark/>
          </w:tcPr>
          <w:p w:rsidR="007D4FE7" w:rsidRPr="00A335B7" w:rsidRDefault="007D4FE7" w:rsidP="00053AB4">
            <w:pPr>
              <w:keepNext/>
              <w:keepLines/>
              <w:rPr>
                <w:rFonts w:cstheme="minorHAnsi"/>
                <w:sz w:val="18"/>
                <w:szCs w:val="18"/>
              </w:rPr>
            </w:pPr>
            <w:r w:rsidRPr="00A335B7">
              <w:rPr>
                <w:rFonts w:cstheme="minorHAnsi"/>
                <w:sz w:val="18"/>
                <w:szCs w:val="18"/>
              </w:rPr>
              <w:t xml:space="preserve">Other </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255</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18.5%</w:t>
            </w:r>
          </w:p>
        </w:tc>
        <w:tc>
          <w:tcPr>
            <w:tcW w:w="882" w:type="dxa"/>
            <w:noWrap/>
            <w:hideMark/>
          </w:tcPr>
          <w:p w:rsidR="007D4FE7" w:rsidRPr="00A335B7" w:rsidRDefault="007D4FE7" w:rsidP="00053AB4">
            <w:pPr>
              <w:keepNext/>
              <w:keepLines/>
              <w:jc w:val="center"/>
              <w:rPr>
                <w:rFonts w:cstheme="minorHAnsi"/>
                <w:sz w:val="18"/>
                <w:szCs w:val="18"/>
              </w:rPr>
            </w:pPr>
          </w:p>
        </w:tc>
      </w:tr>
      <w:tr w:rsidR="00A335B7" w:rsidRPr="007D4FE7" w:rsidTr="00B466F2">
        <w:trPr>
          <w:trHeight w:val="20"/>
        </w:trPr>
        <w:tc>
          <w:tcPr>
            <w:tcW w:w="6180" w:type="dxa"/>
            <w:noWrap/>
            <w:hideMark/>
          </w:tcPr>
          <w:p w:rsidR="007D4FE7" w:rsidRPr="00A335B7" w:rsidRDefault="007D4FE7" w:rsidP="00053AB4">
            <w:pPr>
              <w:keepNext/>
              <w:keepLines/>
              <w:rPr>
                <w:rFonts w:cstheme="minorHAnsi"/>
                <w:sz w:val="18"/>
                <w:szCs w:val="18"/>
              </w:rPr>
            </w:pPr>
            <w:r w:rsidRPr="00A335B7">
              <w:rPr>
                <w:rFonts w:cstheme="minorHAnsi"/>
                <w:sz w:val="18"/>
                <w:szCs w:val="18"/>
              </w:rPr>
              <w:t>Total</w:t>
            </w:r>
          </w:p>
        </w:tc>
        <w:tc>
          <w:tcPr>
            <w:tcW w:w="897"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1,382</w:t>
            </w:r>
          </w:p>
        </w:tc>
        <w:tc>
          <w:tcPr>
            <w:tcW w:w="1134" w:type="dxa"/>
            <w:noWrap/>
            <w:hideMark/>
          </w:tcPr>
          <w:p w:rsidR="007D4FE7" w:rsidRPr="00A335B7" w:rsidRDefault="007D4FE7" w:rsidP="00053AB4">
            <w:pPr>
              <w:keepNext/>
              <w:keepLines/>
              <w:jc w:val="center"/>
              <w:rPr>
                <w:rFonts w:cstheme="minorHAnsi"/>
                <w:sz w:val="18"/>
                <w:szCs w:val="18"/>
              </w:rPr>
            </w:pPr>
            <w:r w:rsidRPr="00A335B7">
              <w:rPr>
                <w:rFonts w:cstheme="minorHAnsi"/>
                <w:sz w:val="18"/>
                <w:szCs w:val="18"/>
              </w:rPr>
              <w:t>100%</w:t>
            </w:r>
          </w:p>
        </w:tc>
        <w:tc>
          <w:tcPr>
            <w:tcW w:w="882" w:type="dxa"/>
            <w:noWrap/>
            <w:hideMark/>
          </w:tcPr>
          <w:p w:rsidR="007D4FE7" w:rsidRPr="00A335B7" w:rsidRDefault="007D4FE7" w:rsidP="00053AB4">
            <w:pPr>
              <w:keepNext/>
              <w:keepLines/>
              <w:jc w:val="center"/>
              <w:rPr>
                <w:rFonts w:cstheme="minorHAnsi"/>
                <w:sz w:val="18"/>
                <w:szCs w:val="18"/>
              </w:rPr>
            </w:pPr>
          </w:p>
        </w:tc>
      </w:tr>
    </w:tbl>
    <w:p w:rsidR="007D4FE7" w:rsidRPr="006006F3" w:rsidRDefault="003132BB" w:rsidP="00053AB4">
      <w:pPr>
        <w:keepNext/>
        <w:keepLines/>
        <w:spacing w:after="0"/>
        <w:rPr>
          <w:sz w:val="20"/>
          <w:szCs w:val="20"/>
        </w:rPr>
      </w:pPr>
      <w:r w:rsidRPr="006006F3">
        <w:rPr>
          <w:sz w:val="20"/>
          <w:szCs w:val="20"/>
        </w:rPr>
        <w:t>Note: sd = same day initiation as prior drug in sequence</w:t>
      </w:r>
    </w:p>
    <w:p w:rsidR="006006F3" w:rsidRPr="00A922D3" w:rsidRDefault="006006F3" w:rsidP="007D4FE7">
      <w:pPr>
        <w:spacing w:after="0"/>
        <w:rPr>
          <w:b/>
        </w:rPr>
      </w:pPr>
    </w:p>
    <w:p w:rsidR="00A335B7" w:rsidRDefault="00A335B7">
      <w:pPr>
        <w:spacing w:line="276" w:lineRule="auto"/>
      </w:pPr>
      <w:r>
        <w:t xml:space="preserve">The </w:t>
      </w:r>
      <w:r w:rsidR="009A3EB4">
        <w:t>2nd</w:t>
      </w:r>
      <w:r>
        <w:t xml:space="preserve"> line nivolumab </w:t>
      </w:r>
      <w:r w:rsidR="006006F3">
        <w:t xml:space="preserve">PBS restriction </w:t>
      </w:r>
      <w:r>
        <w:t>contains the clinical criterion;</w:t>
      </w:r>
    </w:p>
    <w:p w:rsidR="00A335B7" w:rsidRDefault="00A335B7" w:rsidP="004F2A00">
      <w:pPr>
        <w:pStyle w:val="ListParagraph"/>
        <w:numPr>
          <w:ilvl w:val="0"/>
          <w:numId w:val="26"/>
        </w:numPr>
        <w:spacing w:line="276" w:lineRule="auto"/>
      </w:pPr>
      <w:r w:rsidRPr="00A335B7">
        <w:t xml:space="preserve">Patient must have developed intolerance to a tyrosine kinase inhibitor of a severity necessitating permanent treatment withdrawal </w:t>
      </w:r>
    </w:p>
    <w:p w:rsidR="00A554F8" w:rsidRDefault="00A335B7" w:rsidP="003132BB">
      <w:pPr>
        <w:spacing w:line="276" w:lineRule="auto"/>
      </w:pPr>
      <w:r>
        <w:t xml:space="preserve">This </w:t>
      </w:r>
      <w:r w:rsidR="003132BB">
        <w:t xml:space="preserve">means </w:t>
      </w:r>
      <w:r w:rsidR="006006F3">
        <w:t>a</w:t>
      </w:r>
      <w:r w:rsidR="003132BB">
        <w:t xml:space="preserve"> drug initiation sequence should contain a TKI before initiation of </w:t>
      </w:r>
      <w:r w:rsidR="009A3EB4">
        <w:t>2nd</w:t>
      </w:r>
      <w:r w:rsidR="003132BB">
        <w:t xml:space="preserve"> line nivolumab. </w:t>
      </w:r>
      <w:r w:rsidR="00053AB4">
        <w:t xml:space="preserve">The </w:t>
      </w:r>
      <w:r w:rsidR="009A3EB4">
        <w:t>2nd</w:t>
      </w:r>
      <w:r w:rsidR="006006F3">
        <w:t xml:space="preserve"> ranked sequence (</w:t>
      </w:r>
      <w:r w:rsidR="009A3EB4">
        <w:t>2nd</w:t>
      </w:r>
      <w:r w:rsidR="006006F3" w:rsidRPr="006006F3">
        <w:t xml:space="preserve"> line, nivolumab</w:t>
      </w:r>
      <w:r w:rsidR="006006F3">
        <w:t xml:space="preserve"> only) appears to </w:t>
      </w:r>
      <w:r w:rsidR="007B64A7">
        <w:t xml:space="preserve">be </w:t>
      </w:r>
      <w:r w:rsidR="006006F3">
        <w:t>tr</w:t>
      </w:r>
      <w:r w:rsidR="007B64A7">
        <w:t>eatment outside this</w:t>
      </w:r>
      <w:r w:rsidR="006006F3">
        <w:t xml:space="preserve"> restriction. This is also true for the 15</w:t>
      </w:r>
      <w:r w:rsidR="006006F3" w:rsidRPr="006006F3">
        <w:rPr>
          <w:vertAlign w:val="superscript"/>
        </w:rPr>
        <w:t>th</w:t>
      </w:r>
      <w:r w:rsidR="006006F3">
        <w:t xml:space="preserve"> (</w:t>
      </w:r>
      <w:r w:rsidR="009A3EB4">
        <w:t>2nd</w:t>
      </w:r>
      <w:r w:rsidR="006006F3" w:rsidRPr="006006F3">
        <w:t xml:space="preserve"> line, nivolumab -&gt; </w:t>
      </w:r>
      <w:r w:rsidR="009A3EB4">
        <w:t>2nd</w:t>
      </w:r>
      <w:r w:rsidR="006006F3" w:rsidRPr="006006F3">
        <w:t xml:space="preserve"> line, cabozantinib</w:t>
      </w:r>
      <w:r w:rsidR="006006F3">
        <w:t>) and 25</w:t>
      </w:r>
      <w:r w:rsidR="006006F3" w:rsidRPr="006006F3">
        <w:rPr>
          <w:vertAlign w:val="superscript"/>
        </w:rPr>
        <w:t>th</w:t>
      </w:r>
      <w:r w:rsidR="006006F3">
        <w:t xml:space="preserve"> (</w:t>
      </w:r>
      <w:r w:rsidR="009A3EB4">
        <w:t>2nd</w:t>
      </w:r>
      <w:r w:rsidR="006006F3" w:rsidRPr="006006F3">
        <w:t xml:space="preserve"> line, nivolumab -&gt; </w:t>
      </w:r>
      <w:r w:rsidR="009A3EB4">
        <w:t>2nd</w:t>
      </w:r>
      <w:r w:rsidR="006006F3" w:rsidRPr="006006F3">
        <w:t xml:space="preserve"> line, cabozantinib -&gt; </w:t>
      </w:r>
      <w:r w:rsidR="009A3EB4">
        <w:t>2nd</w:t>
      </w:r>
      <w:r w:rsidR="006006F3" w:rsidRPr="006006F3">
        <w:t xml:space="preserve"> line, axitinib</w:t>
      </w:r>
      <w:r w:rsidR="006006F3">
        <w:t xml:space="preserve">) ranked sequences. </w:t>
      </w:r>
      <w:r w:rsidR="00A554F8">
        <w:t>Including sequences in the “Other” category</w:t>
      </w:r>
      <w:r w:rsidR="007B64A7">
        <w:t>,</w:t>
      </w:r>
      <w:r w:rsidR="00A554F8">
        <w:t xml:space="preserve"> there were 254 patients (18.4%) that did not trial a TKI before starting </w:t>
      </w:r>
      <w:r w:rsidR="009A3EB4">
        <w:t>2nd</w:t>
      </w:r>
      <w:r w:rsidR="00A554F8">
        <w:t xml:space="preserve"> line nivolumab. </w:t>
      </w:r>
    </w:p>
    <w:p w:rsidR="00A335B7" w:rsidRDefault="00A554F8">
      <w:pPr>
        <w:spacing w:line="276" w:lineRule="auto"/>
      </w:pPr>
      <w:r>
        <w:t>The 5</w:t>
      </w:r>
      <w:r w:rsidRPr="00A554F8">
        <w:rPr>
          <w:vertAlign w:val="superscript"/>
        </w:rPr>
        <w:t>th</w:t>
      </w:r>
      <w:r>
        <w:t xml:space="preserve"> ranked sequence (</w:t>
      </w:r>
      <w:r w:rsidR="002B1FCB">
        <w:t>1st</w:t>
      </w:r>
      <w:r w:rsidRPr="00A554F8">
        <w:t xml:space="preserve"> line, ipilimumab -&gt; </w:t>
      </w:r>
      <w:r w:rsidR="009A3EB4">
        <w:t>2nd</w:t>
      </w:r>
      <w:r w:rsidRPr="00A554F8">
        <w:t xml:space="preserve"> line, nivolumab</w:t>
      </w:r>
      <w:r w:rsidR="00252A21">
        <w:t xml:space="preserve"> </w:t>
      </w:r>
      <w:r w:rsidRPr="00A554F8">
        <w:t>(s</w:t>
      </w:r>
      <w:r w:rsidR="00097CA8">
        <w:t>ame day</w:t>
      </w:r>
      <w:r w:rsidRPr="00A554F8">
        <w:t>)</w:t>
      </w:r>
      <w:r>
        <w:t xml:space="preserve">) indicates there has been some misallocation of nivolumab </w:t>
      </w:r>
      <w:r w:rsidR="00252A21">
        <w:t xml:space="preserve">PBS </w:t>
      </w:r>
      <w:r>
        <w:t xml:space="preserve">item codes, with patients initiating using the </w:t>
      </w:r>
      <w:r w:rsidR="009A3EB4">
        <w:t>2nd</w:t>
      </w:r>
      <w:r>
        <w:t xml:space="preserve"> line rather than the </w:t>
      </w:r>
      <w:r w:rsidR="002B1FCB">
        <w:t>1st</w:t>
      </w:r>
      <w:r>
        <w:t xml:space="preserve"> line nivolumab item</w:t>
      </w:r>
      <w:r w:rsidR="00252A21">
        <w:t xml:space="preserve"> code</w:t>
      </w:r>
      <w:r>
        <w:t>.</w:t>
      </w:r>
    </w:p>
    <w:p w:rsidR="00A335B7" w:rsidRPr="007169A6" w:rsidRDefault="004F1963" w:rsidP="007169A6">
      <w:pPr>
        <w:pStyle w:val="Heading3"/>
      </w:pPr>
      <w:r w:rsidRPr="007169A6">
        <w:t xml:space="preserve">Extent of switching between other </w:t>
      </w:r>
      <w:r w:rsidR="009A3EB4">
        <w:t>2nd</w:t>
      </w:r>
      <w:r w:rsidRPr="007169A6">
        <w:t>-line listings</w:t>
      </w:r>
    </w:p>
    <w:p w:rsidR="004F1963" w:rsidRDefault="00D80CFC">
      <w:pPr>
        <w:spacing w:line="276" w:lineRule="auto"/>
      </w:pPr>
      <w:r>
        <w:t xml:space="preserve">Of the 1,382 patients that initiated </w:t>
      </w:r>
      <w:r w:rsidR="009A3EB4">
        <w:t>2nd</w:t>
      </w:r>
      <w:r>
        <w:t xml:space="preserve"> line nivolumab, there were 113 that also initiated </w:t>
      </w:r>
      <w:r w:rsidR="002B1FCB">
        <w:t>1st</w:t>
      </w:r>
      <w:r>
        <w:t xml:space="preserve"> line ipilimumab. In these instances it is unclear if the nivolumab is really </w:t>
      </w:r>
      <w:r w:rsidR="002B1FCB">
        <w:t>1st</w:t>
      </w:r>
      <w:r>
        <w:t xml:space="preserve"> or </w:t>
      </w:r>
      <w:r w:rsidR="009A3EB4">
        <w:t>2nd</w:t>
      </w:r>
      <w:r>
        <w:t xml:space="preserve"> line, so these patients were removed from this </w:t>
      </w:r>
      <w:r w:rsidR="00FE2808">
        <w:t xml:space="preserve">analysis on the </w:t>
      </w:r>
      <w:r>
        <w:t xml:space="preserve">extent of </w:t>
      </w:r>
      <w:r w:rsidR="009A3EB4">
        <w:t>2nd</w:t>
      </w:r>
      <w:r w:rsidR="00C06986">
        <w:t xml:space="preserve"> line </w:t>
      </w:r>
      <w:r w:rsidR="00FE2808">
        <w:t>switching</w:t>
      </w:r>
      <w:r>
        <w:t xml:space="preserve">, leaving 1,269 </w:t>
      </w:r>
      <w:r w:rsidR="00C06986">
        <w:t>patients.</w:t>
      </w:r>
    </w:p>
    <w:p w:rsidR="00C06986" w:rsidRDefault="005C512C">
      <w:pPr>
        <w:spacing w:line="276" w:lineRule="auto"/>
      </w:pPr>
      <w:r>
        <w:t>Table 6</w:t>
      </w:r>
      <w:r w:rsidR="00C06986">
        <w:t xml:space="preserve"> shows initiation sequences for the 512 patients (40.3% of the 1,269 </w:t>
      </w:r>
      <w:r w:rsidR="009A3EB4">
        <w:t>2nd</w:t>
      </w:r>
      <w:r w:rsidR="00C06986">
        <w:t xml:space="preserve"> line nivolumab patients) that have more than one </w:t>
      </w:r>
      <w:r w:rsidR="009A3EB4">
        <w:t>2nd</w:t>
      </w:r>
      <w:r w:rsidR="00C06986">
        <w:t xml:space="preserve"> line treatment (</w:t>
      </w:r>
      <w:r w:rsidR="007F3878">
        <w:t xml:space="preserve">where </w:t>
      </w:r>
      <w:r w:rsidR="00C06986">
        <w:t xml:space="preserve">one must be </w:t>
      </w:r>
      <w:r w:rsidR="009A3EB4">
        <w:t>2nd</w:t>
      </w:r>
      <w:r w:rsidR="00C06986">
        <w:t xml:space="preserve"> line nivolumab).</w:t>
      </w:r>
    </w:p>
    <w:p w:rsidR="00C06986" w:rsidRDefault="005C512C" w:rsidP="0067215F">
      <w:pPr>
        <w:keepNext/>
        <w:keepLines/>
        <w:spacing w:after="0"/>
        <w:rPr>
          <w:b/>
        </w:rPr>
      </w:pPr>
      <w:r>
        <w:rPr>
          <w:b/>
        </w:rPr>
        <w:t>Table 6</w:t>
      </w:r>
      <w:r w:rsidR="00C06986" w:rsidRPr="00A922D3">
        <w:rPr>
          <w:b/>
        </w:rPr>
        <w:t xml:space="preserve">: </w:t>
      </w:r>
      <w:r w:rsidR="009A3EB4">
        <w:rPr>
          <w:b/>
        </w:rPr>
        <w:t>2nd</w:t>
      </w:r>
      <w:r w:rsidR="00C06986">
        <w:rPr>
          <w:b/>
        </w:rPr>
        <w:t xml:space="preserve"> line nivolumab patients that switched treatment</w:t>
      </w:r>
    </w:p>
    <w:tbl>
      <w:tblPr>
        <w:tblStyle w:val="TableGrid"/>
        <w:tblW w:w="8979" w:type="dxa"/>
        <w:tblLook w:val="04A0" w:firstRow="1" w:lastRow="0" w:firstColumn="1" w:lastColumn="0" w:noHBand="0" w:noVBand="1"/>
        <w:tblCaption w:val="Table 6: 2nd line nivolumab patients that switched treatment"/>
      </w:tblPr>
      <w:tblGrid>
        <w:gridCol w:w="6066"/>
        <w:gridCol w:w="897"/>
        <w:gridCol w:w="1134"/>
        <w:gridCol w:w="882"/>
      </w:tblGrid>
      <w:tr w:rsidR="00C06986" w:rsidRPr="007D4FE7" w:rsidTr="005B5E7B">
        <w:trPr>
          <w:trHeight w:val="300"/>
          <w:tblHeader/>
        </w:trPr>
        <w:tc>
          <w:tcPr>
            <w:tcW w:w="6066" w:type="dxa"/>
            <w:shd w:val="clear" w:color="auto" w:fill="BFBFBF" w:themeFill="background1" w:themeFillShade="BF"/>
            <w:noWrap/>
            <w:hideMark/>
          </w:tcPr>
          <w:p w:rsidR="00C06986" w:rsidRPr="00A335B7" w:rsidRDefault="00C06986" w:rsidP="0067215F">
            <w:pPr>
              <w:keepNext/>
              <w:keepLines/>
              <w:rPr>
                <w:rFonts w:cstheme="minorHAnsi"/>
                <w:b/>
                <w:bCs/>
                <w:sz w:val="20"/>
                <w:szCs w:val="20"/>
              </w:rPr>
            </w:pPr>
            <w:r w:rsidRPr="00A335B7">
              <w:rPr>
                <w:rFonts w:cstheme="minorHAnsi"/>
                <w:b/>
                <w:bCs/>
                <w:sz w:val="20"/>
                <w:szCs w:val="20"/>
              </w:rPr>
              <w:t>Drug  initiation sequence</w:t>
            </w:r>
          </w:p>
        </w:tc>
        <w:tc>
          <w:tcPr>
            <w:tcW w:w="897" w:type="dxa"/>
            <w:shd w:val="clear" w:color="auto" w:fill="BFBFBF" w:themeFill="background1" w:themeFillShade="BF"/>
            <w:noWrap/>
            <w:hideMark/>
          </w:tcPr>
          <w:p w:rsidR="00C06986" w:rsidRPr="00A335B7" w:rsidRDefault="00C06986" w:rsidP="0067215F">
            <w:pPr>
              <w:keepNext/>
              <w:keepLines/>
              <w:jc w:val="center"/>
              <w:rPr>
                <w:rFonts w:cstheme="minorHAnsi"/>
                <w:b/>
                <w:bCs/>
                <w:sz w:val="20"/>
                <w:szCs w:val="20"/>
              </w:rPr>
            </w:pPr>
            <w:r w:rsidRPr="00A335B7">
              <w:rPr>
                <w:rFonts w:cstheme="minorHAnsi"/>
                <w:b/>
                <w:bCs/>
                <w:sz w:val="20"/>
                <w:szCs w:val="20"/>
              </w:rPr>
              <w:t>Patients</w:t>
            </w:r>
          </w:p>
        </w:tc>
        <w:tc>
          <w:tcPr>
            <w:tcW w:w="1134" w:type="dxa"/>
            <w:shd w:val="clear" w:color="auto" w:fill="BFBFBF" w:themeFill="background1" w:themeFillShade="BF"/>
            <w:noWrap/>
            <w:hideMark/>
          </w:tcPr>
          <w:p w:rsidR="00C06986" w:rsidRPr="00A335B7" w:rsidRDefault="00C06986" w:rsidP="0067215F">
            <w:pPr>
              <w:keepNext/>
              <w:keepLines/>
              <w:jc w:val="center"/>
              <w:rPr>
                <w:rFonts w:cstheme="minorHAnsi"/>
                <w:b/>
                <w:bCs/>
                <w:sz w:val="20"/>
                <w:szCs w:val="20"/>
              </w:rPr>
            </w:pPr>
            <w:r w:rsidRPr="00A335B7">
              <w:rPr>
                <w:rFonts w:cstheme="minorHAnsi"/>
                <w:b/>
                <w:bCs/>
                <w:sz w:val="20"/>
                <w:szCs w:val="20"/>
              </w:rPr>
              <w:t>% Patients</w:t>
            </w:r>
          </w:p>
        </w:tc>
        <w:tc>
          <w:tcPr>
            <w:tcW w:w="882" w:type="dxa"/>
            <w:shd w:val="clear" w:color="auto" w:fill="BFBFBF" w:themeFill="background1" w:themeFillShade="BF"/>
            <w:noWrap/>
            <w:hideMark/>
          </w:tcPr>
          <w:p w:rsidR="00C06986" w:rsidRPr="00A335B7" w:rsidRDefault="00C06986" w:rsidP="0067215F">
            <w:pPr>
              <w:keepNext/>
              <w:keepLines/>
              <w:jc w:val="center"/>
              <w:rPr>
                <w:rFonts w:cstheme="minorHAnsi"/>
                <w:b/>
                <w:bCs/>
                <w:sz w:val="20"/>
                <w:szCs w:val="20"/>
              </w:rPr>
            </w:pPr>
            <w:r w:rsidRPr="00A335B7">
              <w:rPr>
                <w:rFonts w:cstheme="minorHAnsi"/>
                <w:b/>
                <w:bCs/>
                <w:sz w:val="20"/>
                <w:szCs w:val="20"/>
              </w:rPr>
              <w:t>Ranking</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cabozantinib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67</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13.1%</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sunitinib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cabozantinib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36</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7.0%</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31</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6.1%</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3</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25</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4.9%</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4</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sunitinib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23</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4.5%</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5</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sunitinib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everolimus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15</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2.9%</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6</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sunitinib -&gt; </w:t>
            </w: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cabozantinib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14</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2.7%</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7</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sunitinib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13</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2.5%</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8</w:t>
            </w:r>
          </w:p>
        </w:tc>
      </w:tr>
      <w:tr w:rsidR="007F3878" w:rsidRPr="00C06986" w:rsidTr="00B466F2">
        <w:trPr>
          <w:trHeight w:val="113"/>
        </w:trPr>
        <w:tc>
          <w:tcPr>
            <w:tcW w:w="6066" w:type="dxa"/>
            <w:noWrap/>
            <w:hideMark/>
          </w:tcPr>
          <w:p w:rsidR="00C06986" w:rsidRPr="00C06986" w:rsidRDefault="009A3EB4" w:rsidP="0067215F">
            <w:pPr>
              <w:keepNext/>
              <w:keepLines/>
              <w:rPr>
                <w:rFonts w:ascii="Calibri" w:eastAsia="Times New Roman" w:hAnsi="Calibri" w:cs="Calibri"/>
                <w:sz w:val="18"/>
                <w:szCs w:val="18"/>
              </w:rPr>
            </w:pPr>
            <w:r>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cabozantinib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13</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2.5%</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9</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sunitinib -&gt; </w:t>
            </w: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10</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2.0%</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10</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sunitinib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cabozantinib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10</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2.0%</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11</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cabozantinib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9</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1.8%</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12</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cabozantinib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8</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1.6%</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13</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sunitinib -&gt; </w:t>
            </w: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8</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1.6%</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14</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everolimus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7</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1.4%</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15</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everolimus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7</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1.4%</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16</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cabozantinib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everolimus</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7</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1.4%</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17</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everolimus</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6</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1.2%</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18</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everolimus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6</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1.2%</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19</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pazopanib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cabozantinib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6</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1.2%</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20</w:t>
            </w:r>
          </w:p>
        </w:tc>
      </w:tr>
      <w:tr w:rsidR="007F3878" w:rsidRPr="00C06986" w:rsidTr="00B466F2">
        <w:trPr>
          <w:trHeight w:val="113"/>
        </w:trPr>
        <w:tc>
          <w:tcPr>
            <w:tcW w:w="6066" w:type="dxa"/>
            <w:noWrap/>
            <w:hideMark/>
          </w:tcPr>
          <w:p w:rsidR="00C06986" w:rsidRPr="00C06986" w:rsidRDefault="002B1FCB" w:rsidP="0067215F">
            <w:pPr>
              <w:keepNext/>
              <w:keepLines/>
              <w:rPr>
                <w:rFonts w:ascii="Calibri" w:eastAsia="Times New Roman" w:hAnsi="Calibri" w:cs="Calibri"/>
                <w:sz w:val="18"/>
                <w:szCs w:val="18"/>
              </w:rPr>
            </w:pPr>
            <w:r>
              <w:rPr>
                <w:rFonts w:ascii="Calibri" w:eastAsia="Times New Roman" w:hAnsi="Calibri" w:cs="Calibri"/>
                <w:sz w:val="18"/>
                <w:szCs w:val="18"/>
              </w:rPr>
              <w:t>1st</w:t>
            </w:r>
            <w:r w:rsidR="00C06986" w:rsidRPr="00C06986">
              <w:rPr>
                <w:rFonts w:ascii="Calibri" w:eastAsia="Times New Roman" w:hAnsi="Calibri" w:cs="Calibri"/>
                <w:sz w:val="18"/>
                <w:szCs w:val="18"/>
              </w:rPr>
              <w:t xml:space="preserve"> line, sunitinib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cabozantinib -&gt; </w:t>
            </w:r>
            <w:r w:rsidR="009A3EB4">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6</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1.2%</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21</w:t>
            </w:r>
          </w:p>
        </w:tc>
      </w:tr>
      <w:tr w:rsidR="007F3878" w:rsidRPr="00C06986" w:rsidTr="00B466F2">
        <w:trPr>
          <w:trHeight w:val="113"/>
        </w:trPr>
        <w:tc>
          <w:tcPr>
            <w:tcW w:w="6066" w:type="dxa"/>
            <w:noWrap/>
            <w:hideMark/>
          </w:tcPr>
          <w:p w:rsidR="00C06986" w:rsidRPr="00C06986" w:rsidRDefault="009A3EB4" w:rsidP="0067215F">
            <w:pPr>
              <w:keepNext/>
              <w:keepLines/>
              <w:rPr>
                <w:rFonts w:ascii="Calibri" w:eastAsia="Times New Roman" w:hAnsi="Calibri" w:cs="Calibri"/>
                <w:sz w:val="18"/>
                <w:szCs w:val="18"/>
              </w:rPr>
            </w:pPr>
            <w:r>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nivolumab -&gt; </w:t>
            </w:r>
            <w:r>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cabozantinib -&gt; </w:t>
            </w:r>
            <w:r>
              <w:rPr>
                <w:rFonts w:ascii="Calibri" w:eastAsia="Times New Roman" w:hAnsi="Calibri" w:cs="Calibri"/>
                <w:sz w:val="18"/>
                <w:szCs w:val="18"/>
              </w:rPr>
              <w:t>2nd</w:t>
            </w:r>
            <w:r w:rsidR="00C06986" w:rsidRPr="00C06986">
              <w:rPr>
                <w:rFonts w:ascii="Calibri" w:eastAsia="Times New Roman" w:hAnsi="Calibri" w:cs="Calibri"/>
                <w:sz w:val="18"/>
                <w:szCs w:val="18"/>
              </w:rPr>
              <w:t xml:space="preserve"> line, axitinib</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6</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1.2%</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22</w:t>
            </w:r>
          </w:p>
        </w:tc>
      </w:tr>
      <w:tr w:rsidR="007F3878" w:rsidRPr="00C06986" w:rsidTr="00B466F2">
        <w:trPr>
          <w:trHeight w:val="113"/>
        </w:trPr>
        <w:tc>
          <w:tcPr>
            <w:tcW w:w="6066" w:type="dxa"/>
            <w:noWrap/>
            <w:hideMark/>
          </w:tcPr>
          <w:p w:rsidR="00C06986" w:rsidRPr="00C06986" w:rsidRDefault="00C06986" w:rsidP="0067215F">
            <w:pPr>
              <w:keepNext/>
              <w:keepLines/>
              <w:rPr>
                <w:rFonts w:ascii="Calibri" w:eastAsia="Times New Roman" w:hAnsi="Calibri" w:cs="Calibri"/>
                <w:sz w:val="18"/>
                <w:szCs w:val="18"/>
              </w:rPr>
            </w:pPr>
            <w:r w:rsidRPr="00C06986">
              <w:rPr>
                <w:rFonts w:ascii="Calibri" w:eastAsia="Times New Roman" w:hAnsi="Calibri" w:cs="Calibri"/>
                <w:sz w:val="18"/>
                <w:szCs w:val="18"/>
              </w:rPr>
              <w:t xml:space="preserve">Other </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179</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35.0%</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p>
        </w:tc>
      </w:tr>
      <w:tr w:rsidR="007F3878" w:rsidRPr="00C06986" w:rsidTr="00B466F2">
        <w:trPr>
          <w:trHeight w:val="113"/>
        </w:trPr>
        <w:tc>
          <w:tcPr>
            <w:tcW w:w="6066" w:type="dxa"/>
            <w:noWrap/>
            <w:hideMark/>
          </w:tcPr>
          <w:p w:rsidR="00C06986" w:rsidRPr="00C06986" w:rsidRDefault="00C06986" w:rsidP="0067215F">
            <w:pPr>
              <w:keepNext/>
              <w:keepLines/>
              <w:rPr>
                <w:rFonts w:ascii="Calibri" w:eastAsia="Times New Roman" w:hAnsi="Calibri" w:cs="Calibri"/>
                <w:sz w:val="18"/>
                <w:szCs w:val="18"/>
              </w:rPr>
            </w:pPr>
            <w:r w:rsidRPr="00C06986">
              <w:rPr>
                <w:rFonts w:ascii="Calibri" w:eastAsia="Times New Roman" w:hAnsi="Calibri" w:cs="Calibri"/>
                <w:sz w:val="18"/>
                <w:szCs w:val="18"/>
              </w:rPr>
              <w:t>Total</w:t>
            </w:r>
          </w:p>
        </w:tc>
        <w:tc>
          <w:tcPr>
            <w:tcW w:w="897"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512</w:t>
            </w:r>
          </w:p>
        </w:tc>
        <w:tc>
          <w:tcPr>
            <w:tcW w:w="1134" w:type="dxa"/>
            <w:noWrap/>
            <w:hideMark/>
          </w:tcPr>
          <w:p w:rsidR="00C06986" w:rsidRPr="00C06986" w:rsidRDefault="00C06986" w:rsidP="0067215F">
            <w:pPr>
              <w:keepNext/>
              <w:keepLines/>
              <w:jc w:val="center"/>
              <w:rPr>
                <w:rFonts w:ascii="Calibri" w:eastAsia="Times New Roman" w:hAnsi="Calibri" w:cs="Calibri"/>
                <w:sz w:val="18"/>
                <w:szCs w:val="18"/>
              </w:rPr>
            </w:pPr>
            <w:r w:rsidRPr="00C06986">
              <w:rPr>
                <w:rFonts w:ascii="Calibri" w:eastAsia="Times New Roman" w:hAnsi="Calibri" w:cs="Calibri"/>
                <w:sz w:val="18"/>
                <w:szCs w:val="18"/>
              </w:rPr>
              <w:t>100%</w:t>
            </w:r>
          </w:p>
        </w:tc>
        <w:tc>
          <w:tcPr>
            <w:tcW w:w="882" w:type="dxa"/>
            <w:noWrap/>
            <w:hideMark/>
          </w:tcPr>
          <w:p w:rsidR="00C06986" w:rsidRPr="00C06986" w:rsidRDefault="00C06986" w:rsidP="0067215F">
            <w:pPr>
              <w:keepNext/>
              <w:keepLines/>
              <w:jc w:val="center"/>
              <w:rPr>
                <w:rFonts w:ascii="Calibri" w:eastAsia="Times New Roman" w:hAnsi="Calibri" w:cs="Calibri"/>
                <w:sz w:val="18"/>
                <w:szCs w:val="18"/>
              </w:rPr>
            </w:pPr>
          </w:p>
        </w:tc>
      </w:tr>
    </w:tbl>
    <w:p w:rsidR="00C06986" w:rsidRPr="006006F3" w:rsidRDefault="00C06986" w:rsidP="007F3878">
      <w:pPr>
        <w:rPr>
          <w:sz w:val="20"/>
          <w:szCs w:val="20"/>
        </w:rPr>
      </w:pPr>
      <w:r w:rsidRPr="006006F3">
        <w:rPr>
          <w:sz w:val="20"/>
          <w:szCs w:val="20"/>
        </w:rPr>
        <w:t>Note: sd = same day initiation as prior drug in sequence</w:t>
      </w:r>
    </w:p>
    <w:p w:rsidR="00C06986" w:rsidRDefault="007F3878">
      <w:pPr>
        <w:spacing w:line="276" w:lineRule="auto"/>
      </w:pPr>
      <w:r>
        <w:t xml:space="preserve">The most common </w:t>
      </w:r>
      <w:r w:rsidR="009A3EB4">
        <w:t>2nd</w:t>
      </w:r>
      <w:r>
        <w:t xml:space="preserve"> line switch is from nivolumab to cabozantinib.</w:t>
      </w:r>
      <w:r w:rsidR="002E5803">
        <w:t xml:space="preserve"> The </w:t>
      </w:r>
      <w:r w:rsidR="009A3EB4">
        <w:t>2nd</w:t>
      </w:r>
      <w:r w:rsidR="002E5803">
        <w:t xml:space="preserve"> most common switch is with axitinib either before or after nivolumab.</w:t>
      </w:r>
    </w:p>
    <w:p w:rsidR="007F3878" w:rsidRDefault="007F3878">
      <w:pPr>
        <w:spacing w:line="276" w:lineRule="auto"/>
      </w:pPr>
      <w:r>
        <w:t>The above analysis was repeated with</w:t>
      </w:r>
      <w:r w:rsidR="00B466F2">
        <w:t xml:space="preserve"> only the requirement that a patient have </w:t>
      </w:r>
      <w:r w:rsidR="009A3EB4">
        <w:t>2nd</w:t>
      </w:r>
      <w:r w:rsidR="00B466F2">
        <w:t xml:space="preserve"> line treatment (i.e. not necessarily </w:t>
      </w:r>
      <w:r w:rsidR="009A3EB4">
        <w:t>2nd</w:t>
      </w:r>
      <w:r>
        <w:t xml:space="preserve"> </w:t>
      </w:r>
      <w:r w:rsidR="00B466F2">
        <w:t xml:space="preserve">line nivolumab treatment). There were 2,885 such patients. Again patients that had been treated with </w:t>
      </w:r>
      <w:r w:rsidR="002B1FCB">
        <w:t>1st</w:t>
      </w:r>
      <w:r w:rsidR="00B466F2">
        <w:t xml:space="preserve"> line ipilimumab (n=125) were excluded leaving 2,760. Of these 685 (24.9%) had more than one </w:t>
      </w:r>
      <w:r w:rsidR="009A3EB4">
        <w:t>2nd</w:t>
      </w:r>
      <w:r w:rsidR="00B466F2">
        <w:t xml:space="preserve"> line treatment. Initiation sequences for the</w:t>
      </w:r>
      <w:r w:rsidR="002223E8">
        <w:t>se patients are shown in Table 7</w:t>
      </w:r>
      <w:r w:rsidR="00B466F2">
        <w:t>.</w:t>
      </w:r>
    </w:p>
    <w:p w:rsidR="00B466F2" w:rsidRDefault="005C512C" w:rsidP="003610AE">
      <w:pPr>
        <w:keepNext/>
        <w:keepLines/>
        <w:spacing w:after="0"/>
        <w:rPr>
          <w:b/>
        </w:rPr>
      </w:pPr>
      <w:r>
        <w:rPr>
          <w:b/>
        </w:rPr>
        <w:t>Table 7</w:t>
      </w:r>
      <w:r w:rsidR="00B466F2" w:rsidRPr="00A922D3">
        <w:rPr>
          <w:b/>
        </w:rPr>
        <w:t xml:space="preserve">: </w:t>
      </w:r>
      <w:r w:rsidR="009A3EB4">
        <w:rPr>
          <w:b/>
        </w:rPr>
        <w:t>2nd</w:t>
      </w:r>
      <w:r w:rsidR="00B466F2">
        <w:rPr>
          <w:b/>
        </w:rPr>
        <w:t xml:space="preserve"> line patients that switched treatment</w:t>
      </w:r>
    </w:p>
    <w:tbl>
      <w:tblPr>
        <w:tblStyle w:val="TableGrid"/>
        <w:tblW w:w="9093" w:type="dxa"/>
        <w:tblLook w:val="04A0" w:firstRow="1" w:lastRow="0" w:firstColumn="1" w:lastColumn="0" w:noHBand="0" w:noVBand="1"/>
        <w:tblCaption w:val="Table 7: 2nd line patients that switched treatment"/>
      </w:tblPr>
      <w:tblGrid>
        <w:gridCol w:w="6180"/>
        <w:gridCol w:w="897"/>
        <w:gridCol w:w="1134"/>
        <w:gridCol w:w="882"/>
      </w:tblGrid>
      <w:tr w:rsidR="00B466F2" w:rsidRPr="007D4FE7" w:rsidTr="005B5E7B">
        <w:trPr>
          <w:trHeight w:val="20"/>
          <w:tblHeader/>
        </w:trPr>
        <w:tc>
          <w:tcPr>
            <w:tcW w:w="6180" w:type="dxa"/>
            <w:shd w:val="clear" w:color="auto" w:fill="BFBFBF" w:themeFill="background1" w:themeFillShade="BF"/>
            <w:noWrap/>
            <w:hideMark/>
          </w:tcPr>
          <w:p w:rsidR="00B466F2" w:rsidRPr="00A335B7" w:rsidRDefault="00B466F2" w:rsidP="003610AE">
            <w:pPr>
              <w:keepNext/>
              <w:keepLines/>
              <w:rPr>
                <w:rFonts w:cstheme="minorHAnsi"/>
                <w:b/>
                <w:bCs/>
                <w:sz w:val="20"/>
                <w:szCs w:val="20"/>
              </w:rPr>
            </w:pPr>
            <w:r w:rsidRPr="00A335B7">
              <w:rPr>
                <w:rFonts w:cstheme="minorHAnsi"/>
                <w:b/>
                <w:bCs/>
                <w:sz w:val="20"/>
                <w:szCs w:val="20"/>
              </w:rPr>
              <w:t>Drug  initiation sequence</w:t>
            </w:r>
          </w:p>
        </w:tc>
        <w:tc>
          <w:tcPr>
            <w:tcW w:w="897" w:type="dxa"/>
            <w:shd w:val="clear" w:color="auto" w:fill="BFBFBF" w:themeFill="background1" w:themeFillShade="BF"/>
            <w:noWrap/>
            <w:hideMark/>
          </w:tcPr>
          <w:p w:rsidR="00B466F2" w:rsidRPr="00A335B7" w:rsidRDefault="00B466F2" w:rsidP="003610AE">
            <w:pPr>
              <w:keepNext/>
              <w:keepLines/>
              <w:jc w:val="center"/>
              <w:rPr>
                <w:rFonts w:cstheme="minorHAnsi"/>
                <w:b/>
                <w:bCs/>
                <w:sz w:val="20"/>
                <w:szCs w:val="20"/>
              </w:rPr>
            </w:pPr>
            <w:r w:rsidRPr="00A335B7">
              <w:rPr>
                <w:rFonts w:cstheme="minorHAnsi"/>
                <w:b/>
                <w:bCs/>
                <w:sz w:val="20"/>
                <w:szCs w:val="20"/>
              </w:rPr>
              <w:t>Patients</w:t>
            </w:r>
          </w:p>
        </w:tc>
        <w:tc>
          <w:tcPr>
            <w:tcW w:w="1134" w:type="dxa"/>
            <w:shd w:val="clear" w:color="auto" w:fill="BFBFBF" w:themeFill="background1" w:themeFillShade="BF"/>
            <w:noWrap/>
            <w:hideMark/>
          </w:tcPr>
          <w:p w:rsidR="00B466F2" w:rsidRPr="00A335B7" w:rsidRDefault="00B466F2" w:rsidP="003610AE">
            <w:pPr>
              <w:keepNext/>
              <w:keepLines/>
              <w:jc w:val="center"/>
              <w:rPr>
                <w:rFonts w:cstheme="minorHAnsi"/>
                <w:b/>
                <w:bCs/>
                <w:sz w:val="20"/>
                <w:szCs w:val="20"/>
              </w:rPr>
            </w:pPr>
            <w:r w:rsidRPr="00A335B7">
              <w:rPr>
                <w:rFonts w:cstheme="minorHAnsi"/>
                <w:b/>
                <w:bCs/>
                <w:sz w:val="20"/>
                <w:szCs w:val="20"/>
              </w:rPr>
              <w:t>% Patients</w:t>
            </w:r>
          </w:p>
        </w:tc>
        <w:tc>
          <w:tcPr>
            <w:tcW w:w="882" w:type="dxa"/>
            <w:shd w:val="clear" w:color="auto" w:fill="BFBFBF" w:themeFill="background1" w:themeFillShade="BF"/>
            <w:noWrap/>
            <w:hideMark/>
          </w:tcPr>
          <w:p w:rsidR="00B466F2" w:rsidRPr="00A335B7" w:rsidRDefault="00B466F2" w:rsidP="003610AE">
            <w:pPr>
              <w:keepNext/>
              <w:keepLines/>
              <w:jc w:val="center"/>
              <w:rPr>
                <w:rFonts w:cstheme="minorHAnsi"/>
                <w:b/>
                <w:bCs/>
                <w:sz w:val="20"/>
                <w:szCs w:val="20"/>
              </w:rPr>
            </w:pPr>
            <w:r w:rsidRPr="00A335B7">
              <w:rPr>
                <w:rFonts w:cstheme="minorHAnsi"/>
                <w:b/>
                <w:bCs/>
                <w:sz w:val="20"/>
                <w:szCs w:val="20"/>
              </w:rPr>
              <w:t>Ranking</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nivolumab -&gt; </w:t>
            </w:r>
            <w:r w:rsidR="009A3EB4">
              <w:rPr>
                <w:rFonts w:cstheme="minorHAnsi"/>
                <w:sz w:val="18"/>
                <w:szCs w:val="18"/>
              </w:rPr>
              <w:t>2nd</w:t>
            </w:r>
            <w:r w:rsidR="00B466F2" w:rsidRPr="00B466F2">
              <w:rPr>
                <w:rFonts w:cstheme="minorHAnsi"/>
                <w:sz w:val="18"/>
                <w:szCs w:val="18"/>
              </w:rPr>
              <w:t xml:space="preserve"> line, cabozantinib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67</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9.8%</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sidR="009A3EB4">
              <w:rPr>
                <w:rFonts w:cstheme="minorHAnsi"/>
                <w:sz w:val="18"/>
                <w:szCs w:val="18"/>
              </w:rPr>
              <w:t>2nd</w:t>
            </w:r>
            <w:r w:rsidR="00B466F2" w:rsidRPr="00B466F2">
              <w:rPr>
                <w:rFonts w:cstheme="minorHAnsi"/>
                <w:sz w:val="18"/>
                <w:szCs w:val="18"/>
              </w:rPr>
              <w:t xml:space="preserve"> line, nivolumab -&gt; </w:t>
            </w:r>
            <w:r w:rsidR="009A3EB4">
              <w:rPr>
                <w:rFonts w:cstheme="minorHAnsi"/>
                <w:sz w:val="18"/>
                <w:szCs w:val="18"/>
              </w:rPr>
              <w:t>2nd</w:t>
            </w:r>
            <w:r w:rsidR="00B466F2" w:rsidRPr="00B466F2">
              <w:rPr>
                <w:rFonts w:cstheme="minorHAnsi"/>
                <w:sz w:val="18"/>
                <w:szCs w:val="18"/>
              </w:rPr>
              <w:t xml:space="preserve"> line, cabozantinib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36</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5.3%</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axitinib -&gt; </w:t>
            </w:r>
            <w:r w:rsidR="009A3EB4">
              <w:rPr>
                <w:rFonts w:cstheme="minorHAnsi"/>
                <w:sz w:val="18"/>
                <w:szCs w:val="18"/>
              </w:rPr>
              <w:t>2nd</w:t>
            </w:r>
            <w:r w:rsidR="00B466F2" w:rsidRPr="00B466F2">
              <w:rPr>
                <w:rFonts w:cstheme="minorHAnsi"/>
                <w:sz w:val="18"/>
                <w:szCs w:val="18"/>
              </w:rPr>
              <w:t xml:space="preserve"> line, nivolumab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31</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4.5%</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3</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nivolumab -&gt; </w:t>
            </w:r>
            <w:r w:rsidR="009A3EB4">
              <w:rPr>
                <w:rFonts w:cstheme="minorHAnsi"/>
                <w:sz w:val="18"/>
                <w:szCs w:val="18"/>
              </w:rPr>
              <w:t>2nd</w:t>
            </w:r>
            <w:r w:rsidR="00B466F2" w:rsidRPr="00B466F2">
              <w:rPr>
                <w:rFonts w:cstheme="minorHAnsi"/>
                <w:sz w:val="18"/>
                <w:szCs w:val="18"/>
              </w:rPr>
              <w:t xml:space="preserve"> line, axitinib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25</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3.6%</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4</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sidR="009A3EB4">
              <w:rPr>
                <w:rFonts w:cstheme="minorHAnsi"/>
                <w:sz w:val="18"/>
                <w:szCs w:val="18"/>
              </w:rPr>
              <w:t>2nd</w:t>
            </w:r>
            <w:r w:rsidR="00B466F2" w:rsidRPr="00B466F2">
              <w:rPr>
                <w:rFonts w:cstheme="minorHAnsi"/>
                <w:sz w:val="18"/>
                <w:szCs w:val="18"/>
              </w:rPr>
              <w:t xml:space="preserve"> line, axitinib -&gt; </w:t>
            </w:r>
            <w:r w:rsidR="009A3EB4">
              <w:rPr>
                <w:rFonts w:cstheme="minorHAnsi"/>
                <w:sz w:val="18"/>
                <w:szCs w:val="18"/>
              </w:rPr>
              <w:t>2nd</w:t>
            </w:r>
            <w:r w:rsidR="00B466F2" w:rsidRPr="00B466F2">
              <w:rPr>
                <w:rFonts w:cstheme="minorHAnsi"/>
                <w:sz w:val="18"/>
                <w:szCs w:val="18"/>
              </w:rPr>
              <w:t xml:space="preserve"> line, nivolumab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23</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3.4%</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5</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everolimus -&gt; </w:t>
            </w:r>
            <w:r w:rsidR="009A3EB4">
              <w:rPr>
                <w:rFonts w:cstheme="minorHAnsi"/>
                <w:sz w:val="18"/>
                <w:szCs w:val="18"/>
              </w:rPr>
              <w:t>2nd</w:t>
            </w:r>
            <w:r w:rsidR="00B466F2" w:rsidRPr="00B466F2">
              <w:rPr>
                <w:rFonts w:cstheme="minorHAnsi"/>
                <w:sz w:val="18"/>
                <w:szCs w:val="18"/>
              </w:rPr>
              <w:t xml:space="preserve"> line, axitinib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23</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3.4%</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6</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sidR="009A3EB4">
              <w:rPr>
                <w:rFonts w:cstheme="minorHAnsi"/>
                <w:sz w:val="18"/>
                <w:szCs w:val="18"/>
              </w:rPr>
              <w:t>2nd</w:t>
            </w:r>
            <w:r w:rsidR="00B466F2" w:rsidRPr="00B466F2">
              <w:rPr>
                <w:rFonts w:cstheme="minorHAnsi"/>
                <w:sz w:val="18"/>
                <w:szCs w:val="18"/>
              </w:rPr>
              <w:t xml:space="preserve"> line, everolimus -&gt; </w:t>
            </w:r>
            <w:r w:rsidR="009A3EB4">
              <w:rPr>
                <w:rFonts w:cstheme="minorHAnsi"/>
                <w:sz w:val="18"/>
                <w:szCs w:val="18"/>
              </w:rPr>
              <w:t>2nd</w:t>
            </w:r>
            <w:r w:rsidR="00B466F2" w:rsidRPr="00B466F2">
              <w:rPr>
                <w:rFonts w:cstheme="minorHAnsi"/>
                <w:sz w:val="18"/>
                <w:szCs w:val="18"/>
              </w:rPr>
              <w:t xml:space="preserve"> line, axitinib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17</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2.5%</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7</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sidR="009A3EB4">
              <w:rPr>
                <w:rFonts w:cstheme="minorHAnsi"/>
                <w:sz w:val="18"/>
                <w:szCs w:val="18"/>
              </w:rPr>
              <w:t>2nd</w:t>
            </w:r>
            <w:r w:rsidR="00B466F2" w:rsidRPr="00B466F2">
              <w:rPr>
                <w:rFonts w:cstheme="minorHAnsi"/>
                <w:sz w:val="18"/>
                <w:szCs w:val="18"/>
              </w:rPr>
              <w:t xml:space="preserve"> line, axitinib -&gt; </w:t>
            </w:r>
            <w:r w:rsidR="009A3EB4">
              <w:rPr>
                <w:rFonts w:cstheme="minorHAnsi"/>
                <w:sz w:val="18"/>
                <w:szCs w:val="18"/>
              </w:rPr>
              <w:t>2nd</w:t>
            </w:r>
            <w:r w:rsidR="00B466F2" w:rsidRPr="00B466F2">
              <w:rPr>
                <w:rFonts w:cstheme="minorHAnsi"/>
                <w:sz w:val="18"/>
                <w:szCs w:val="18"/>
              </w:rPr>
              <w:t xml:space="preserve"> line, everolimus</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15</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2.2%</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8</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sidR="009A3EB4">
              <w:rPr>
                <w:rFonts w:cstheme="minorHAnsi"/>
                <w:sz w:val="18"/>
                <w:szCs w:val="18"/>
              </w:rPr>
              <w:t>2nd</w:t>
            </w:r>
            <w:r w:rsidR="00B466F2" w:rsidRPr="00B466F2">
              <w:rPr>
                <w:rFonts w:cstheme="minorHAnsi"/>
                <w:sz w:val="18"/>
                <w:szCs w:val="18"/>
              </w:rPr>
              <w:t xml:space="preserve"> line, everolimus -&gt; </w:t>
            </w:r>
            <w:r w:rsidR="009A3EB4">
              <w:rPr>
                <w:rFonts w:cstheme="minorHAnsi"/>
                <w:sz w:val="18"/>
                <w:szCs w:val="18"/>
              </w:rPr>
              <w:t>2nd</w:t>
            </w:r>
            <w:r w:rsidR="00B466F2" w:rsidRPr="00B466F2">
              <w:rPr>
                <w:rFonts w:cstheme="minorHAnsi"/>
                <w:sz w:val="18"/>
                <w:szCs w:val="18"/>
              </w:rPr>
              <w:t xml:space="preserve"> line, nivolumab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15</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2.2%</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9</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nivolumab -&gt; </w:t>
            </w:r>
            <w:r w:rsidR="009A3EB4">
              <w:rPr>
                <w:rFonts w:cstheme="minorHAnsi"/>
                <w:sz w:val="18"/>
                <w:szCs w:val="18"/>
              </w:rPr>
              <w:t>2nd</w:t>
            </w:r>
            <w:r w:rsidR="00B466F2" w:rsidRPr="00B466F2">
              <w:rPr>
                <w:rFonts w:cstheme="minorHAnsi"/>
                <w:sz w:val="18"/>
                <w:szCs w:val="18"/>
              </w:rPr>
              <w:t xml:space="preserve"> line, cabozantinib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14</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2.0%</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10</w:t>
            </w:r>
          </w:p>
        </w:tc>
      </w:tr>
      <w:tr w:rsidR="00B466F2" w:rsidRPr="007D4FE7" w:rsidTr="001C444E">
        <w:trPr>
          <w:trHeight w:val="20"/>
        </w:trPr>
        <w:tc>
          <w:tcPr>
            <w:tcW w:w="6180" w:type="dxa"/>
            <w:noWrap/>
            <w:vAlign w:val="bottom"/>
          </w:tcPr>
          <w:p w:rsidR="00B466F2" w:rsidRPr="00B466F2" w:rsidRDefault="009A3EB4" w:rsidP="003610AE">
            <w:pPr>
              <w:keepNext/>
              <w:keepLines/>
              <w:rPr>
                <w:rFonts w:cstheme="minorHAnsi"/>
                <w:sz w:val="18"/>
                <w:szCs w:val="18"/>
              </w:rPr>
            </w:pPr>
            <w:r>
              <w:rPr>
                <w:rFonts w:cstheme="minorHAnsi"/>
                <w:sz w:val="18"/>
                <w:szCs w:val="18"/>
              </w:rPr>
              <w:t>2nd</w:t>
            </w:r>
            <w:r w:rsidR="00B466F2" w:rsidRPr="00B466F2">
              <w:rPr>
                <w:rFonts w:cstheme="minorHAnsi"/>
                <w:sz w:val="18"/>
                <w:szCs w:val="18"/>
              </w:rPr>
              <w:t xml:space="preserve"> line, nivolumab -&gt; </w:t>
            </w:r>
            <w:r>
              <w:rPr>
                <w:rFonts w:cstheme="minorHAnsi"/>
                <w:sz w:val="18"/>
                <w:szCs w:val="18"/>
              </w:rPr>
              <w:t>2nd</w:t>
            </w:r>
            <w:r w:rsidR="00B466F2" w:rsidRPr="00B466F2">
              <w:rPr>
                <w:rFonts w:cstheme="minorHAnsi"/>
                <w:sz w:val="18"/>
                <w:szCs w:val="18"/>
              </w:rPr>
              <w:t xml:space="preserve"> line, cabozantinib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13</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1.9%</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11</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axitinib -&gt; </w:t>
            </w:r>
            <w:r w:rsidR="009A3EB4">
              <w:rPr>
                <w:rFonts w:cstheme="minorHAnsi"/>
                <w:sz w:val="18"/>
                <w:szCs w:val="18"/>
              </w:rPr>
              <w:t>2nd</w:t>
            </w:r>
            <w:r w:rsidR="00B466F2" w:rsidRPr="00B466F2">
              <w:rPr>
                <w:rFonts w:cstheme="minorHAnsi"/>
                <w:sz w:val="18"/>
                <w:szCs w:val="18"/>
              </w:rPr>
              <w:t xml:space="preserve"> line, everolimus</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13</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1.9%</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12</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sidR="009A3EB4">
              <w:rPr>
                <w:rFonts w:cstheme="minorHAnsi"/>
                <w:sz w:val="18"/>
                <w:szCs w:val="18"/>
              </w:rPr>
              <w:t>2nd</w:t>
            </w:r>
            <w:r w:rsidR="00B466F2" w:rsidRPr="00B466F2">
              <w:rPr>
                <w:rFonts w:cstheme="minorHAnsi"/>
                <w:sz w:val="18"/>
                <w:szCs w:val="18"/>
              </w:rPr>
              <w:t xml:space="preserve"> line, nivolumab -&gt; </w:t>
            </w:r>
            <w:r w:rsidR="009A3EB4">
              <w:rPr>
                <w:rFonts w:cstheme="minorHAnsi"/>
                <w:sz w:val="18"/>
                <w:szCs w:val="18"/>
              </w:rPr>
              <w:t>2nd</w:t>
            </w:r>
            <w:r w:rsidR="00B466F2" w:rsidRPr="00B466F2">
              <w:rPr>
                <w:rFonts w:cstheme="minorHAnsi"/>
                <w:sz w:val="18"/>
                <w:szCs w:val="18"/>
              </w:rPr>
              <w:t xml:space="preserve"> line, axitinib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13</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1.9%</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13</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everolimus -&gt; </w:t>
            </w:r>
            <w:r w:rsidR="009A3EB4">
              <w:rPr>
                <w:rFonts w:cstheme="minorHAnsi"/>
                <w:sz w:val="18"/>
                <w:szCs w:val="18"/>
              </w:rPr>
              <w:t>2nd</w:t>
            </w:r>
            <w:r w:rsidR="00B466F2" w:rsidRPr="00B466F2">
              <w:rPr>
                <w:rFonts w:cstheme="minorHAnsi"/>
                <w:sz w:val="18"/>
                <w:szCs w:val="18"/>
              </w:rPr>
              <w:t xml:space="preserve"> line, sorafenib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11</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1.6%</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14</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everolimus -&gt; </w:t>
            </w:r>
            <w:r w:rsidR="009A3EB4">
              <w:rPr>
                <w:rFonts w:cstheme="minorHAnsi"/>
                <w:sz w:val="18"/>
                <w:szCs w:val="18"/>
              </w:rPr>
              <w:t>2nd</w:t>
            </w:r>
            <w:r w:rsidR="00B466F2" w:rsidRPr="00B466F2">
              <w:rPr>
                <w:rFonts w:cstheme="minorHAnsi"/>
                <w:sz w:val="18"/>
                <w:szCs w:val="18"/>
              </w:rPr>
              <w:t xml:space="preserve"> line, axitinib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11</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1.6%</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15</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nivolumab -&gt; </w:t>
            </w:r>
            <w:r w:rsidR="009A3EB4">
              <w:rPr>
                <w:rFonts w:cstheme="minorHAnsi"/>
                <w:sz w:val="18"/>
                <w:szCs w:val="18"/>
              </w:rPr>
              <w:t>2nd</w:t>
            </w:r>
            <w:r w:rsidR="00B466F2" w:rsidRPr="00B466F2">
              <w:rPr>
                <w:rFonts w:cstheme="minorHAnsi"/>
                <w:sz w:val="18"/>
                <w:szCs w:val="18"/>
              </w:rPr>
              <w:t xml:space="preserve"> line, axitinib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10</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1.5%</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16</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sidR="009A3EB4">
              <w:rPr>
                <w:rFonts w:cstheme="minorHAnsi"/>
                <w:sz w:val="18"/>
                <w:szCs w:val="18"/>
              </w:rPr>
              <w:t>2nd</w:t>
            </w:r>
            <w:r w:rsidR="00B466F2" w:rsidRPr="00B466F2">
              <w:rPr>
                <w:rFonts w:cstheme="minorHAnsi"/>
                <w:sz w:val="18"/>
                <w:szCs w:val="18"/>
              </w:rPr>
              <w:t xml:space="preserve"> line, axitinib -&gt; </w:t>
            </w:r>
            <w:r w:rsidR="009A3EB4">
              <w:rPr>
                <w:rFonts w:cstheme="minorHAnsi"/>
                <w:sz w:val="18"/>
                <w:szCs w:val="18"/>
              </w:rPr>
              <w:t>2nd</w:t>
            </w:r>
            <w:r w:rsidR="00B466F2" w:rsidRPr="00B466F2">
              <w:rPr>
                <w:rFonts w:cstheme="minorHAnsi"/>
                <w:sz w:val="18"/>
                <w:szCs w:val="18"/>
              </w:rPr>
              <w:t xml:space="preserve"> line, nivolumab -&gt; </w:t>
            </w:r>
            <w:r w:rsidR="009A3EB4">
              <w:rPr>
                <w:rFonts w:cstheme="minorHAnsi"/>
                <w:sz w:val="18"/>
                <w:szCs w:val="18"/>
              </w:rPr>
              <w:t>2nd</w:t>
            </w:r>
            <w:r w:rsidR="00B466F2" w:rsidRPr="00B466F2">
              <w:rPr>
                <w:rFonts w:cstheme="minorHAnsi"/>
                <w:sz w:val="18"/>
                <w:szCs w:val="18"/>
              </w:rPr>
              <w:t xml:space="preserve"> line, cabozantinib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10</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1.5%</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17</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axitinib -&gt; </w:t>
            </w:r>
            <w:r w:rsidR="009A3EB4">
              <w:rPr>
                <w:rFonts w:cstheme="minorHAnsi"/>
                <w:sz w:val="18"/>
                <w:szCs w:val="18"/>
              </w:rPr>
              <w:t>2nd</w:t>
            </w:r>
            <w:r w:rsidR="00B466F2" w:rsidRPr="00B466F2">
              <w:rPr>
                <w:rFonts w:cstheme="minorHAnsi"/>
                <w:sz w:val="18"/>
                <w:szCs w:val="18"/>
              </w:rPr>
              <w:t xml:space="preserve"> line, cabozantinib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9</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1.3%</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18</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nivolumab -&gt; </w:t>
            </w:r>
            <w:r w:rsidR="009A3EB4">
              <w:rPr>
                <w:rFonts w:cstheme="minorHAnsi"/>
                <w:sz w:val="18"/>
                <w:szCs w:val="18"/>
              </w:rPr>
              <w:t>2nd</w:t>
            </w:r>
            <w:r w:rsidR="00B466F2" w:rsidRPr="00B466F2">
              <w:rPr>
                <w:rFonts w:cstheme="minorHAnsi"/>
                <w:sz w:val="18"/>
                <w:szCs w:val="18"/>
              </w:rPr>
              <w:t xml:space="preserve"> line, axitinib -&gt; </w:t>
            </w:r>
            <w:r w:rsidR="009A3EB4">
              <w:rPr>
                <w:rFonts w:cstheme="minorHAnsi"/>
                <w:sz w:val="18"/>
                <w:szCs w:val="18"/>
              </w:rPr>
              <w:t>2nd</w:t>
            </w:r>
            <w:r w:rsidR="00B466F2" w:rsidRPr="00B466F2">
              <w:rPr>
                <w:rFonts w:cstheme="minorHAnsi"/>
                <w:sz w:val="18"/>
                <w:szCs w:val="18"/>
              </w:rPr>
              <w:t xml:space="preserve"> line, cabozantinib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9</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1.3%</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19</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axitinib -&gt; </w:t>
            </w:r>
            <w:r w:rsidR="009A3EB4">
              <w:rPr>
                <w:rFonts w:cstheme="minorHAnsi"/>
                <w:sz w:val="18"/>
                <w:szCs w:val="18"/>
              </w:rPr>
              <w:t>2nd</w:t>
            </w:r>
            <w:r w:rsidR="00B466F2" w:rsidRPr="00B466F2">
              <w:rPr>
                <w:rFonts w:cstheme="minorHAnsi"/>
                <w:sz w:val="18"/>
                <w:szCs w:val="18"/>
              </w:rPr>
              <w:t xml:space="preserve"> line, nivolumab -&gt; </w:t>
            </w:r>
            <w:r w:rsidR="009A3EB4">
              <w:rPr>
                <w:rFonts w:cstheme="minorHAnsi"/>
                <w:sz w:val="18"/>
                <w:szCs w:val="18"/>
              </w:rPr>
              <w:t>2nd</w:t>
            </w:r>
            <w:r w:rsidR="00B466F2" w:rsidRPr="00B466F2">
              <w:rPr>
                <w:rFonts w:cstheme="minorHAnsi"/>
                <w:sz w:val="18"/>
                <w:szCs w:val="18"/>
              </w:rPr>
              <w:t xml:space="preserve"> line, cabozantinib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8</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1.2%</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20</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axitinib -&gt; </w:t>
            </w:r>
            <w:r w:rsidR="009A3EB4">
              <w:rPr>
                <w:rFonts w:cstheme="minorHAnsi"/>
                <w:sz w:val="18"/>
                <w:szCs w:val="18"/>
              </w:rPr>
              <w:t>2nd</w:t>
            </w:r>
            <w:r w:rsidR="00B466F2" w:rsidRPr="00B466F2">
              <w:rPr>
                <w:rFonts w:cstheme="minorHAnsi"/>
                <w:sz w:val="18"/>
                <w:szCs w:val="18"/>
              </w:rPr>
              <w:t xml:space="preserve"> line, nivolumab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8</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1.2%</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21</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axitinib -&gt; </w:t>
            </w:r>
            <w:r w:rsidR="009A3EB4">
              <w:rPr>
                <w:rFonts w:cstheme="minorHAnsi"/>
                <w:sz w:val="18"/>
                <w:szCs w:val="18"/>
              </w:rPr>
              <w:t>2nd</w:t>
            </w:r>
            <w:r w:rsidR="00B466F2" w:rsidRPr="00B466F2">
              <w:rPr>
                <w:rFonts w:cstheme="minorHAnsi"/>
                <w:sz w:val="18"/>
                <w:szCs w:val="18"/>
              </w:rPr>
              <w:t xml:space="preserve"> line, everolimus -&gt; </w:t>
            </w:r>
            <w:r w:rsidR="009A3EB4">
              <w:rPr>
                <w:rFonts w:cstheme="minorHAnsi"/>
                <w:sz w:val="18"/>
                <w:szCs w:val="18"/>
              </w:rPr>
              <w:t>2nd</w:t>
            </w:r>
            <w:r w:rsidR="00B466F2" w:rsidRPr="00B466F2">
              <w:rPr>
                <w:rFonts w:cstheme="minorHAnsi"/>
                <w:sz w:val="18"/>
                <w:szCs w:val="18"/>
              </w:rPr>
              <w:t xml:space="preserve"> line, nivolumab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7</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1.0%</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22</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everolimus -&gt; </w:t>
            </w:r>
            <w:r w:rsidR="009A3EB4">
              <w:rPr>
                <w:rFonts w:cstheme="minorHAnsi"/>
                <w:sz w:val="18"/>
                <w:szCs w:val="18"/>
              </w:rPr>
              <w:t>2nd</w:t>
            </w:r>
            <w:r w:rsidR="00B466F2" w:rsidRPr="00B466F2">
              <w:rPr>
                <w:rFonts w:cstheme="minorHAnsi"/>
                <w:sz w:val="18"/>
                <w:szCs w:val="18"/>
              </w:rPr>
              <w:t xml:space="preserve"> line, nivolumab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7</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1.0%</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23</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nivolumab -&gt; </w:t>
            </w:r>
            <w:r w:rsidR="009A3EB4">
              <w:rPr>
                <w:rFonts w:cstheme="minorHAnsi"/>
                <w:sz w:val="18"/>
                <w:szCs w:val="18"/>
              </w:rPr>
              <w:t>2nd</w:t>
            </w:r>
            <w:r w:rsidR="00B466F2" w:rsidRPr="00B466F2">
              <w:rPr>
                <w:rFonts w:cstheme="minorHAnsi"/>
                <w:sz w:val="18"/>
                <w:szCs w:val="18"/>
              </w:rPr>
              <w:t xml:space="preserve"> line, cabozantinib -&gt; </w:t>
            </w:r>
            <w:r w:rsidR="009A3EB4">
              <w:rPr>
                <w:rFonts w:cstheme="minorHAnsi"/>
                <w:sz w:val="18"/>
                <w:szCs w:val="18"/>
              </w:rPr>
              <w:t>2nd</w:t>
            </w:r>
            <w:r w:rsidR="00B466F2" w:rsidRPr="00B466F2">
              <w:rPr>
                <w:rFonts w:cstheme="minorHAnsi"/>
                <w:sz w:val="18"/>
                <w:szCs w:val="18"/>
              </w:rPr>
              <w:t xml:space="preserve"> line, everolimus</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7</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1.0%</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24</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everolimus -&gt; </w:t>
            </w:r>
            <w:r w:rsidR="009A3EB4">
              <w:rPr>
                <w:rFonts w:cstheme="minorHAnsi"/>
                <w:sz w:val="18"/>
                <w:szCs w:val="18"/>
              </w:rPr>
              <w:t>2nd</w:t>
            </w:r>
            <w:r w:rsidR="00B466F2" w:rsidRPr="00B466F2">
              <w:rPr>
                <w:rFonts w:cstheme="minorHAnsi"/>
                <w:sz w:val="18"/>
                <w:szCs w:val="18"/>
              </w:rPr>
              <w:t xml:space="preserve"> line, axitinib -&gt; </w:t>
            </w:r>
            <w:r w:rsidR="009A3EB4">
              <w:rPr>
                <w:rFonts w:cstheme="minorHAnsi"/>
                <w:sz w:val="18"/>
                <w:szCs w:val="18"/>
              </w:rPr>
              <w:t>2nd</w:t>
            </w:r>
            <w:r w:rsidR="00B466F2" w:rsidRPr="00B466F2">
              <w:rPr>
                <w:rFonts w:cstheme="minorHAnsi"/>
                <w:sz w:val="18"/>
                <w:szCs w:val="18"/>
              </w:rPr>
              <w:t xml:space="preserve"> line, nivolumab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6</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0.9%</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25</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cabozantinib -&gt; </w:t>
            </w:r>
            <w:r w:rsidR="009A3EB4">
              <w:rPr>
                <w:rFonts w:cstheme="minorHAnsi"/>
                <w:sz w:val="18"/>
                <w:szCs w:val="18"/>
              </w:rPr>
              <w:t>2nd</w:t>
            </w:r>
            <w:r w:rsidR="00B466F2" w:rsidRPr="00B466F2">
              <w:rPr>
                <w:rFonts w:cstheme="minorHAnsi"/>
                <w:sz w:val="18"/>
                <w:szCs w:val="18"/>
              </w:rPr>
              <w:t xml:space="preserve"> line, nivolumab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6</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0.9%</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26</w:t>
            </w:r>
          </w:p>
        </w:tc>
      </w:tr>
      <w:tr w:rsidR="00B466F2" w:rsidRPr="007D4FE7" w:rsidTr="001C444E">
        <w:trPr>
          <w:trHeight w:val="20"/>
        </w:trPr>
        <w:tc>
          <w:tcPr>
            <w:tcW w:w="6180" w:type="dxa"/>
            <w:noWrap/>
            <w:vAlign w:val="bottom"/>
          </w:tcPr>
          <w:p w:rsidR="00B466F2" w:rsidRPr="00B466F2" w:rsidRDefault="009A3EB4" w:rsidP="003610AE">
            <w:pPr>
              <w:keepNext/>
              <w:keepLines/>
              <w:rPr>
                <w:rFonts w:cstheme="minorHAnsi"/>
                <w:sz w:val="18"/>
                <w:szCs w:val="18"/>
              </w:rPr>
            </w:pPr>
            <w:r>
              <w:rPr>
                <w:rFonts w:cstheme="minorHAnsi"/>
                <w:sz w:val="18"/>
                <w:szCs w:val="18"/>
              </w:rPr>
              <w:t>2nd</w:t>
            </w:r>
            <w:r w:rsidR="00B466F2" w:rsidRPr="00B466F2">
              <w:rPr>
                <w:rFonts w:cstheme="minorHAnsi"/>
                <w:sz w:val="18"/>
                <w:szCs w:val="18"/>
              </w:rPr>
              <w:t xml:space="preserve"> line, nivolumab -&gt; </w:t>
            </w:r>
            <w:r>
              <w:rPr>
                <w:rFonts w:cstheme="minorHAnsi"/>
                <w:sz w:val="18"/>
                <w:szCs w:val="18"/>
              </w:rPr>
              <w:t>2nd</w:t>
            </w:r>
            <w:r w:rsidR="00B466F2" w:rsidRPr="00B466F2">
              <w:rPr>
                <w:rFonts w:cstheme="minorHAnsi"/>
                <w:sz w:val="18"/>
                <w:szCs w:val="18"/>
              </w:rPr>
              <w:t xml:space="preserve"> line, cabozantinib -&gt; </w:t>
            </w:r>
            <w:r>
              <w:rPr>
                <w:rFonts w:cstheme="minorHAnsi"/>
                <w:sz w:val="18"/>
                <w:szCs w:val="18"/>
              </w:rPr>
              <w:t>2nd</w:t>
            </w:r>
            <w:r w:rsidR="00B466F2" w:rsidRPr="00B466F2">
              <w:rPr>
                <w:rFonts w:cstheme="minorHAnsi"/>
                <w:sz w:val="18"/>
                <w:szCs w:val="18"/>
              </w:rPr>
              <w:t xml:space="preserve"> line, axitinib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6</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0.9%</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27</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sidR="009A3EB4">
              <w:rPr>
                <w:rFonts w:cstheme="minorHAnsi"/>
                <w:sz w:val="18"/>
                <w:szCs w:val="18"/>
              </w:rPr>
              <w:t>2nd</w:t>
            </w:r>
            <w:r w:rsidR="00B466F2" w:rsidRPr="00B466F2">
              <w:rPr>
                <w:rFonts w:cstheme="minorHAnsi"/>
                <w:sz w:val="18"/>
                <w:szCs w:val="18"/>
              </w:rPr>
              <w:t xml:space="preserve"> line, nivolumab -&gt; </w:t>
            </w:r>
            <w:r w:rsidR="009A3EB4">
              <w:rPr>
                <w:rFonts w:cstheme="minorHAnsi"/>
                <w:sz w:val="18"/>
                <w:szCs w:val="18"/>
              </w:rPr>
              <w:t>2nd</w:t>
            </w:r>
            <w:r w:rsidR="00B466F2" w:rsidRPr="00B466F2">
              <w:rPr>
                <w:rFonts w:cstheme="minorHAnsi"/>
                <w:sz w:val="18"/>
                <w:szCs w:val="18"/>
              </w:rPr>
              <w:t xml:space="preserve"> line, everolimus</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6</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0.9%</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28</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sidR="009A3EB4">
              <w:rPr>
                <w:rFonts w:cstheme="minorHAnsi"/>
                <w:sz w:val="18"/>
                <w:szCs w:val="18"/>
              </w:rPr>
              <w:t>2nd</w:t>
            </w:r>
            <w:r w:rsidR="00B466F2" w:rsidRPr="00B466F2">
              <w:rPr>
                <w:rFonts w:cstheme="minorHAnsi"/>
                <w:sz w:val="18"/>
                <w:szCs w:val="18"/>
              </w:rPr>
              <w:t xml:space="preserve"> line, everolimus -&gt; </w:t>
            </w:r>
            <w:r w:rsidR="009A3EB4">
              <w:rPr>
                <w:rFonts w:cstheme="minorHAnsi"/>
                <w:sz w:val="18"/>
                <w:szCs w:val="18"/>
              </w:rPr>
              <w:t>2nd</w:t>
            </w:r>
            <w:r w:rsidR="00B466F2" w:rsidRPr="00B466F2">
              <w:rPr>
                <w:rFonts w:cstheme="minorHAnsi"/>
                <w:sz w:val="18"/>
                <w:szCs w:val="18"/>
              </w:rPr>
              <w:t xml:space="preserve"> line, sorafenib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6</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0.9%</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29</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pazopanib -&gt; </w:t>
            </w:r>
            <w:r>
              <w:rPr>
                <w:rFonts w:cstheme="minorHAnsi"/>
                <w:sz w:val="18"/>
                <w:szCs w:val="18"/>
              </w:rPr>
              <w:t>1st</w:t>
            </w:r>
            <w:r w:rsidR="00B466F2" w:rsidRPr="00B466F2">
              <w:rPr>
                <w:rFonts w:cstheme="minorHAnsi"/>
                <w:sz w:val="18"/>
                <w:szCs w:val="18"/>
              </w:rPr>
              <w:t xml:space="preserve"> line, sunitinib -&gt; </w:t>
            </w:r>
            <w:r w:rsidR="009A3EB4">
              <w:rPr>
                <w:rFonts w:cstheme="minorHAnsi"/>
                <w:sz w:val="18"/>
                <w:szCs w:val="18"/>
              </w:rPr>
              <w:t>2nd</w:t>
            </w:r>
            <w:r w:rsidR="00B466F2" w:rsidRPr="00B466F2">
              <w:rPr>
                <w:rFonts w:cstheme="minorHAnsi"/>
                <w:sz w:val="18"/>
                <w:szCs w:val="18"/>
              </w:rPr>
              <w:t xml:space="preserve"> line, everolimus -&gt; </w:t>
            </w:r>
            <w:r w:rsidR="009A3EB4">
              <w:rPr>
                <w:rFonts w:cstheme="minorHAnsi"/>
                <w:sz w:val="18"/>
                <w:szCs w:val="18"/>
              </w:rPr>
              <w:t>2nd</w:t>
            </w:r>
            <w:r w:rsidR="00B466F2" w:rsidRPr="00B466F2">
              <w:rPr>
                <w:rFonts w:cstheme="minorHAnsi"/>
                <w:sz w:val="18"/>
                <w:szCs w:val="18"/>
              </w:rPr>
              <w:t xml:space="preserve"> line, axitinib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6</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0.9%</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30</w:t>
            </w:r>
          </w:p>
        </w:tc>
      </w:tr>
      <w:tr w:rsidR="00B466F2" w:rsidRPr="007D4FE7" w:rsidTr="001C444E">
        <w:trPr>
          <w:trHeight w:val="20"/>
        </w:trPr>
        <w:tc>
          <w:tcPr>
            <w:tcW w:w="6180" w:type="dxa"/>
            <w:noWrap/>
            <w:vAlign w:val="bottom"/>
          </w:tcPr>
          <w:p w:rsidR="00B466F2" w:rsidRPr="00B466F2" w:rsidRDefault="002B1FCB" w:rsidP="003610AE">
            <w:pPr>
              <w:keepNext/>
              <w:keepLines/>
              <w:rPr>
                <w:rFonts w:cstheme="minorHAnsi"/>
                <w:sz w:val="18"/>
                <w:szCs w:val="18"/>
              </w:rPr>
            </w:pPr>
            <w:r>
              <w:rPr>
                <w:rFonts w:cstheme="minorHAnsi"/>
                <w:sz w:val="18"/>
                <w:szCs w:val="18"/>
              </w:rPr>
              <w:t>1st</w:t>
            </w:r>
            <w:r w:rsidR="00B466F2" w:rsidRPr="00B466F2">
              <w:rPr>
                <w:rFonts w:cstheme="minorHAnsi"/>
                <w:sz w:val="18"/>
                <w:szCs w:val="18"/>
              </w:rPr>
              <w:t xml:space="preserve"> line, sunitinib -&gt; </w:t>
            </w:r>
            <w:r w:rsidR="009A3EB4">
              <w:rPr>
                <w:rFonts w:cstheme="minorHAnsi"/>
                <w:sz w:val="18"/>
                <w:szCs w:val="18"/>
              </w:rPr>
              <w:t>2nd</w:t>
            </w:r>
            <w:r w:rsidR="00B466F2" w:rsidRPr="00B466F2">
              <w:rPr>
                <w:rFonts w:cstheme="minorHAnsi"/>
                <w:sz w:val="18"/>
                <w:szCs w:val="18"/>
              </w:rPr>
              <w:t xml:space="preserve"> line, cabozantinib -&gt; </w:t>
            </w:r>
            <w:r w:rsidR="009A3EB4">
              <w:rPr>
                <w:rFonts w:cstheme="minorHAnsi"/>
                <w:sz w:val="18"/>
                <w:szCs w:val="18"/>
              </w:rPr>
              <w:t>2nd</w:t>
            </w:r>
            <w:r w:rsidR="00B466F2" w:rsidRPr="00B466F2">
              <w:rPr>
                <w:rFonts w:cstheme="minorHAnsi"/>
                <w:sz w:val="18"/>
                <w:szCs w:val="18"/>
              </w:rPr>
              <w:t xml:space="preserve"> line, nivolumab</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6</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0.9%</w:t>
            </w:r>
          </w:p>
        </w:tc>
        <w:tc>
          <w:tcPr>
            <w:tcW w:w="882"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31</w:t>
            </w:r>
          </w:p>
        </w:tc>
      </w:tr>
      <w:tr w:rsidR="00B466F2" w:rsidRPr="007D4FE7" w:rsidTr="001C444E">
        <w:trPr>
          <w:trHeight w:val="20"/>
        </w:trPr>
        <w:tc>
          <w:tcPr>
            <w:tcW w:w="6180" w:type="dxa"/>
            <w:noWrap/>
            <w:vAlign w:val="bottom"/>
          </w:tcPr>
          <w:p w:rsidR="00B466F2" w:rsidRPr="00B466F2" w:rsidRDefault="00B466F2" w:rsidP="003610AE">
            <w:pPr>
              <w:keepNext/>
              <w:keepLines/>
              <w:rPr>
                <w:rFonts w:cstheme="minorHAnsi"/>
                <w:sz w:val="18"/>
                <w:szCs w:val="18"/>
              </w:rPr>
            </w:pPr>
            <w:r w:rsidRPr="00B466F2">
              <w:rPr>
                <w:rFonts w:cstheme="minorHAnsi"/>
                <w:sz w:val="18"/>
                <w:szCs w:val="18"/>
              </w:rPr>
              <w:t xml:space="preserve">Other </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241</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35.2%</w:t>
            </w:r>
          </w:p>
        </w:tc>
        <w:tc>
          <w:tcPr>
            <w:tcW w:w="882" w:type="dxa"/>
            <w:noWrap/>
            <w:vAlign w:val="bottom"/>
          </w:tcPr>
          <w:p w:rsidR="00B466F2" w:rsidRPr="00B466F2" w:rsidRDefault="00B466F2" w:rsidP="003610AE">
            <w:pPr>
              <w:keepNext/>
              <w:keepLines/>
              <w:jc w:val="center"/>
              <w:rPr>
                <w:rFonts w:cstheme="minorHAnsi"/>
                <w:sz w:val="18"/>
                <w:szCs w:val="18"/>
              </w:rPr>
            </w:pPr>
          </w:p>
        </w:tc>
      </w:tr>
      <w:tr w:rsidR="00B466F2" w:rsidRPr="007D4FE7" w:rsidTr="001C444E">
        <w:trPr>
          <w:trHeight w:val="20"/>
        </w:trPr>
        <w:tc>
          <w:tcPr>
            <w:tcW w:w="6180" w:type="dxa"/>
            <w:noWrap/>
            <w:vAlign w:val="bottom"/>
          </w:tcPr>
          <w:p w:rsidR="00B466F2" w:rsidRPr="00B466F2" w:rsidRDefault="00B466F2" w:rsidP="003610AE">
            <w:pPr>
              <w:keepNext/>
              <w:keepLines/>
              <w:rPr>
                <w:rFonts w:cstheme="minorHAnsi"/>
                <w:sz w:val="18"/>
                <w:szCs w:val="18"/>
              </w:rPr>
            </w:pPr>
            <w:r w:rsidRPr="00B466F2">
              <w:rPr>
                <w:rFonts w:cstheme="minorHAnsi"/>
                <w:sz w:val="18"/>
                <w:szCs w:val="18"/>
              </w:rPr>
              <w:t>Total</w:t>
            </w:r>
          </w:p>
        </w:tc>
        <w:tc>
          <w:tcPr>
            <w:tcW w:w="897"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685</w:t>
            </w:r>
          </w:p>
        </w:tc>
        <w:tc>
          <w:tcPr>
            <w:tcW w:w="1134" w:type="dxa"/>
            <w:noWrap/>
            <w:vAlign w:val="bottom"/>
          </w:tcPr>
          <w:p w:rsidR="00B466F2" w:rsidRPr="00B466F2" w:rsidRDefault="00B466F2" w:rsidP="003610AE">
            <w:pPr>
              <w:keepNext/>
              <w:keepLines/>
              <w:jc w:val="center"/>
              <w:rPr>
                <w:rFonts w:cstheme="minorHAnsi"/>
                <w:sz w:val="18"/>
                <w:szCs w:val="18"/>
              </w:rPr>
            </w:pPr>
            <w:r w:rsidRPr="00B466F2">
              <w:rPr>
                <w:rFonts w:cstheme="minorHAnsi"/>
                <w:sz w:val="18"/>
                <w:szCs w:val="18"/>
              </w:rPr>
              <w:t>100%</w:t>
            </w:r>
          </w:p>
        </w:tc>
        <w:tc>
          <w:tcPr>
            <w:tcW w:w="882" w:type="dxa"/>
            <w:noWrap/>
            <w:vAlign w:val="bottom"/>
          </w:tcPr>
          <w:p w:rsidR="00B466F2" w:rsidRPr="00B466F2" w:rsidRDefault="00B466F2" w:rsidP="003610AE">
            <w:pPr>
              <w:keepNext/>
              <w:keepLines/>
              <w:jc w:val="center"/>
              <w:rPr>
                <w:rFonts w:cstheme="minorHAnsi"/>
                <w:sz w:val="18"/>
                <w:szCs w:val="18"/>
              </w:rPr>
            </w:pPr>
          </w:p>
        </w:tc>
      </w:tr>
    </w:tbl>
    <w:p w:rsidR="00B466F2" w:rsidRPr="006006F3" w:rsidRDefault="00B466F2" w:rsidP="003610AE">
      <w:pPr>
        <w:keepNext/>
        <w:keepLines/>
        <w:rPr>
          <w:sz w:val="20"/>
          <w:szCs w:val="20"/>
        </w:rPr>
      </w:pPr>
      <w:r w:rsidRPr="006006F3">
        <w:rPr>
          <w:sz w:val="20"/>
          <w:szCs w:val="20"/>
        </w:rPr>
        <w:t>Note: sd = same day initiation as prior drug in sequence</w:t>
      </w:r>
    </w:p>
    <w:p w:rsidR="005C512C" w:rsidRDefault="00B466F2" w:rsidP="005C512C">
      <w:pPr>
        <w:spacing w:line="276" w:lineRule="auto"/>
      </w:pPr>
      <w:r>
        <w:t xml:space="preserve">The </w:t>
      </w:r>
      <w:r w:rsidR="00A87222">
        <w:t>first</w:t>
      </w:r>
      <w:r>
        <w:t xml:space="preserve"> 5 most </w:t>
      </w:r>
      <w:r w:rsidR="003610AE">
        <w:t xml:space="preserve">common sequences include </w:t>
      </w:r>
      <w:r w:rsidR="009A3EB4">
        <w:t>2nd</w:t>
      </w:r>
      <w:r w:rsidR="003610AE">
        <w:t xml:space="preserve"> line nivolumab</w:t>
      </w:r>
      <w:r w:rsidR="002E5803">
        <w:t xml:space="preserve"> and are the same as in Table </w:t>
      </w:r>
      <w:r w:rsidR="0067215F">
        <w:t>6</w:t>
      </w:r>
      <w:r w:rsidR="003610AE">
        <w:t>. The most common switch</w:t>
      </w:r>
      <w:r w:rsidR="002E5803">
        <w:t>es</w:t>
      </w:r>
      <w:r w:rsidR="003610AE">
        <w:t xml:space="preserve"> not involving nivolumab are from everolimus to axitini</w:t>
      </w:r>
      <w:r w:rsidR="002E5803">
        <w:t>b or</w:t>
      </w:r>
      <w:r w:rsidR="003610AE">
        <w:t xml:space="preserve"> vice versa.</w:t>
      </w:r>
    </w:p>
    <w:p w:rsidR="00DA4B99" w:rsidRPr="005C512C" w:rsidRDefault="00DA4B99" w:rsidP="005C512C">
      <w:pPr>
        <w:spacing w:line="276" w:lineRule="auto"/>
        <w:rPr>
          <w:b/>
          <w:i/>
        </w:rPr>
      </w:pPr>
      <w:r w:rsidRPr="005C512C">
        <w:rPr>
          <w:b/>
          <w:i/>
        </w:rPr>
        <w:t>Length of treatment</w:t>
      </w:r>
    </w:p>
    <w:p w:rsidR="00DA4B99" w:rsidRDefault="00DA4B99">
      <w:pPr>
        <w:spacing w:line="276" w:lineRule="auto"/>
      </w:pPr>
      <w:r>
        <w:t>The length of t</w:t>
      </w:r>
      <w:r w:rsidR="002223E8">
        <w:t>reatment analyse</w:t>
      </w:r>
      <w:r>
        <w:t>s relie</w:t>
      </w:r>
      <w:r w:rsidR="007A5BC3">
        <w:t>s</w:t>
      </w:r>
      <w:r>
        <w:t xml:space="preserve"> on an analysis of number of days between prescriptions</w:t>
      </w:r>
      <w:r w:rsidR="00BB1560">
        <w:t xml:space="preserve"> (see </w:t>
      </w:r>
      <w:r w:rsidR="00D34B02">
        <w:t>Methods for details)</w:t>
      </w:r>
      <w:r>
        <w:t>.</w:t>
      </w:r>
      <w:r w:rsidR="001C444E">
        <w:t xml:space="preserve"> This analysis </w:t>
      </w:r>
      <w:r w:rsidR="00661DE8">
        <w:t xml:space="preserve">has </w:t>
      </w:r>
      <w:r w:rsidR="001C444E">
        <w:t xml:space="preserve">not considered length of treatment for </w:t>
      </w:r>
      <w:r w:rsidR="002B1FCB">
        <w:t>1st</w:t>
      </w:r>
      <w:r w:rsidR="001C444E">
        <w:t xml:space="preserve"> line nivolumab + ipilimumab as these are not the focus of the report and there are insufficient longitudinal data as this treatment was only listed in March 2019.</w:t>
      </w:r>
      <w:r w:rsidR="00D34B02">
        <w:t xml:space="preserve"> Thus </w:t>
      </w:r>
      <w:r w:rsidR="002B1FCB">
        <w:t>1st</w:t>
      </w:r>
      <w:r w:rsidR="00D34B02">
        <w:t xml:space="preserve"> line nivolumab + ipilimumab prescrip</w:t>
      </w:r>
      <w:r w:rsidR="003B0ACE">
        <w:t>tions are excluded from Figure 6</w:t>
      </w:r>
      <w:r w:rsidR="00D34B02">
        <w:t xml:space="preserve"> and the following length of treatment analyses.</w:t>
      </w:r>
    </w:p>
    <w:p w:rsidR="006B3C44" w:rsidRPr="00B41961" w:rsidRDefault="001C444E" w:rsidP="006B3C44">
      <w:pPr>
        <w:spacing w:line="276" w:lineRule="auto"/>
      </w:pPr>
      <w:r>
        <w:rPr>
          <w:noProof/>
        </w:rPr>
        <w:drawing>
          <wp:inline distT="0" distB="0" distL="0" distR="0" wp14:anchorId="71065C25" wp14:editId="1FC5A814">
            <wp:extent cx="5687695" cy="3710940"/>
            <wp:effectExtent l="0" t="0" r="8255" b="3810"/>
            <wp:docPr id="3" name="Chart 3" title="Figure 6: Days to re-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B3C44" w:rsidRPr="00243DBC">
        <w:rPr>
          <w:b/>
          <w:lang w:val="en-US"/>
        </w:rPr>
        <w:t xml:space="preserve">Figure </w:t>
      </w:r>
      <w:r w:rsidR="003B0ACE">
        <w:rPr>
          <w:b/>
          <w:lang w:val="en-US"/>
        </w:rPr>
        <w:t>6</w:t>
      </w:r>
      <w:r w:rsidR="006B3C44" w:rsidRPr="00243DBC">
        <w:rPr>
          <w:b/>
          <w:lang w:val="en-US"/>
        </w:rPr>
        <w:t xml:space="preserve">: </w:t>
      </w:r>
      <w:r w:rsidR="007F31A5">
        <w:rPr>
          <w:b/>
          <w:lang w:val="en-US"/>
        </w:rPr>
        <w:t>Days</w:t>
      </w:r>
      <w:r w:rsidR="006B3C44">
        <w:rPr>
          <w:b/>
          <w:lang w:val="en-US"/>
        </w:rPr>
        <w:t xml:space="preserve"> to re-supply</w:t>
      </w:r>
      <w:r w:rsidR="006B3C44">
        <w:rPr>
          <w:b/>
          <w:lang w:val="en-US"/>
        </w:rPr>
        <w:br/>
      </w:r>
      <w:r w:rsidR="006B3C44" w:rsidRPr="006B3C44">
        <w:rPr>
          <w:sz w:val="20"/>
          <w:szCs w:val="20"/>
          <w:lang w:val="en-US"/>
        </w:rPr>
        <w:t xml:space="preserve">Note: Time to re-supply for prescriptions towards the end of the data period were excluded to </w:t>
      </w:r>
      <w:r w:rsidR="006B3C44">
        <w:rPr>
          <w:sz w:val="20"/>
          <w:szCs w:val="20"/>
          <w:lang w:val="en-US"/>
        </w:rPr>
        <w:t>avoid biasing the distribution towards shorter times</w:t>
      </w:r>
      <w:r w:rsidR="006B3C44" w:rsidRPr="006B3C44">
        <w:rPr>
          <w:sz w:val="20"/>
          <w:szCs w:val="20"/>
          <w:lang w:val="en-US"/>
        </w:rPr>
        <w:t>.</w:t>
      </w:r>
    </w:p>
    <w:p w:rsidR="008764D8" w:rsidRDefault="002B1FCB" w:rsidP="008764D8">
      <w:pPr>
        <w:spacing w:line="276" w:lineRule="auto"/>
      </w:pPr>
      <w:r>
        <w:t>1st</w:t>
      </w:r>
      <w:r w:rsidR="006B3C44" w:rsidRPr="006B3C44">
        <w:t xml:space="preserve"> line </w:t>
      </w:r>
      <w:r w:rsidR="006B3C44">
        <w:t>nivolumab prescriptions are most commonly resupplied after 14 days (median=14</w:t>
      </w:r>
      <w:r w:rsidR="00CB493F">
        <w:t xml:space="preserve"> </w:t>
      </w:r>
      <w:r w:rsidR="006B3C44">
        <w:t xml:space="preserve">days). This </w:t>
      </w:r>
      <w:r w:rsidR="001B56A0">
        <w:t>is because</w:t>
      </w:r>
      <w:r w:rsidR="006B3C44">
        <w:t xml:space="preserve"> </w:t>
      </w:r>
      <w:r w:rsidR="0027167A">
        <w:t>it</w:t>
      </w:r>
      <w:r w:rsidR="006B3C44">
        <w:t xml:space="preserve"> is</w:t>
      </w:r>
      <w:r w:rsidR="0027167A">
        <w:t xml:space="preserve"> </w:t>
      </w:r>
      <w:r w:rsidR="00085801">
        <w:t xml:space="preserve">generally </w:t>
      </w:r>
      <w:r w:rsidR="0027167A">
        <w:t xml:space="preserve">administered </w:t>
      </w:r>
      <w:r w:rsidR="001B56A0">
        <w:t xml:space="preserve">every 2 weeks </w:t>
      </w:r>
      <w:r w:rsidR="0027167A">
        <w:t xml:space="preserve">via infusion and is part of the Efficient Funding of Chemotherapy </w:t>
      </w:r>
      <w:r w:rsidR="00CB493F">
        <w:t xml:space="preserve">(EFC) S100 Schedule </w:t>
      </w:r>
      <w:r w:rsidR="001B56A0">
        <w:t>where every infusion is a separate prescription.</w:t>
      </w:r>
      <w:r w:rsidR="00CB493F">
        <w:t xml:space="preserve"> </w:t>
      </w:r>
    </w:p>
    <w:p w:rsidR="008764D8" w:rsidRDefault="002B1FCB" w:rsidP="008764D8">
      <w:pPr>
        <w:spacing w:line="276" w:lineRule="auto"/>
      </w:pPr>
      <w:r>
        <w:t>1st</w:t>
      </w:r>
      <w:r w:rsidR="00CB493F" w:rsidRPr="006B3C44">
        <w:t xml:space="preserve"> line </w:t>
      </w:r>
      <w:r w:rsidR="00CB493F">
        <w:t>pazopanib prescriptions are most commonly resupplied after 28 days (median=32 days).</w:t>
      </w:r>
      <w:r w:rsidR="008764D8">
        <w:t xml:space="preserve"> </w:t>
      </w:r>
      <w:r w:rsidR="00CB493F">
        <w:t>Pazopanib is supplied in pack</w:t>
      </w:r>
      <w:r w:rsidR="008764D8">
        <w:t>s</w:t>
      </w:r>
      <w:r w:rsidR="00CB493F">
        <w:t xml:space="preserve"> of </w:t>
      </w:r>
      <w:r w:rsidR="008764D8">
        <w:t>30, 60 or 90 tablets (strengths 200 &amp; 400mg). The recommended dose for the treatment of RCC is 800 mg orally once daily</w:t>
      </w:r>
      <w:r w:rsidR="00D34B02">
        <w:rPr>
          <w:rStyle w:val="FootnoteReference"/>
        </w:rPr>
        <w:footnoteReference w:id="11"/>
      </w:r>
      <w:r w:rsidR="008764D8">
        <w:t>.</w:t>
      </w:r>
    </w:p>
    <w:p w:rsidR="006B3C44" w:rsidRDefault="002B1FCB" w:rsidP="008764D8">
      <w:pPr>
        <w:spacing w:line="276" w:lineRule="auto"/>
      </w:pPr>
      <w:r>
        <w:t>1st</w:t>
      </w:r>
      <w:r w:rsidR="008764D8" w:rsidRPr="006B3C44">
        <w:t xml:space="preserve"> line </w:t>
      </w:r>
      <w:r w:rsidR="008764D8">
        <w:t>sunitinib prescriptions are most commonly resupplied after 42 days (median=42 days). Sunitinib is supplied a pack of 28 capsules (strengths 50, 37.5, 25 &amp; 50mg).</w:t>
      </w:r>
      <w:r w:rsidR="008764D8" w:rsidRPr="008764D8">
        <w:t xml:space="preserve"> </w:t>
      </w:r>
      <w:r w:rsidR="008764D8">
        <w:t>The recommended dose is 50 mg taken orally once daily for 4 consecutive weeks followed by a 2 week rest period (Schedule 4/2) to comprise a complete cycle of 6 weeks</w:t>
      </w:r>
      <w:r w:rsidR="008764D8">
        <w:rPr>
          <w:rStyle w:val="FootnoteReference"/>
        </w:rPr>
        <w:footnoteReference w:id="12"/>
      </w:r>
      <w:r w:rsidR="008764D8">
        <w:t>.</w:t>
      </w:r>
    </w:p>
    <w:p w:rsidR="007F31A5" w:rsidRPr="007F31A5" w:rsidRDefault="007F31A5" w:rsidP="007F31A5">
      <w:pPr>
        <w:keepNext/>
        <w:keepLines/>
        <w:spacing w:after="0" w:line="276" w:lineRule="auto"/>
        <w:rPr>
          <w:b/>
        </w:rPr>
      </w:pPr>
      <w:r w:rsidRPr="007F31A5">
        <w:rPr>
          <w:b/>
        </w:rPr>
        <w:t>Ta</w:t>
      </w:r>
      <w:r w:rsidR="005C512C">
        <w:rPr>
          <w:b/>
        </w:rPr>
        <w:t>ble 8</w:t>
      </w:r>
      <w:r w:rsidRPr="007F31A5">
        <w:rPr>
          <w:b/>
        </w:rPr>
        <w:t>: Days to re-supply summary</w:t>
      </w:r>
    </w:p>
    <w:tbl>
      <w:tblPr>
        <w:tblStyle w:val="TableGrid"/>
        <w:tblW w:w="0" w:type="auto"/>
        <w:tblLook w:val="04A0" w:firstRow="1" w:lastRow="0" w:firstColumn="1" w:lastColumn="0" w:noHBand="0" w:noVBand="1"/>
        <w:tblCaption w:val="Table 8: Days to re-supply summary"/>
      </w:tblPr>
      <w:tblGrid>
        <w:gridCol w:w="2180"/>
        <w:gridCol w:w="960"/>
        <w:gridCol w:w="3943"/>
      </w:tblGrid>
      <w:tr w:rsidR="009654F9" w:rsidRPr="00B1788D" w:rsidTr="005B5E7B">
        <w:trPr>
          <w:trHeight w:val="300"/>
          <w:tblHeader/>
        </w:trPr>
        <w:tc>
          <w:tcPr>
            <w:tcW w:w="2180" w:type="dxa"/>
            <w:shd w:val="clear" w:color="auto" w:fill="BFBFBF" w:themeFill="background1" w:themeFillShade="BF"/>
            <w:noWrap/>
          </w:tcPr>
          <w:p w:rsidR="009654F9" w:rsidRPr="00B1788D" w:rsidRDefault="009654F9" w:rsidP="007F31A5">
            <w:pPr>
              <w:keepNext/>
              <w:keepLines/>
              <w:spacing w:line="276" w:lineRule="auto"/>
              <w:rPr>
                <w:b/>
                <w:sz w:val="20"/>
                <w:szCs w:val="20"/>
              </w:rPr>
            </w:pPr>
          </w:p>
        </w:tc>
        <w:tc>
          <w:tcPr>
            <w:tcW w:w="4903" w:type="dxa"/>
            <w:gridSpan w:val="2"/>
            <w:shd w:val="clear" w:color="auto" w:fill="BFBFBF" w:themeFill="background1" w:themeFillShade="BF"/>
            <w:noWrap/>
          </w:tcPr>
          <w:p w:rsidR="009654F9" w:rsidRPr="00B1788D" w:rsidRDefault="009654F9" w:rsidP="007F31A5">
            <w:pPr>
              <w:keepNext/>
              <w:keepLines/>
              <w:spacing w:line="276" w:lineRule="auto"/>
              <w:jc w:val="center"/>
              <w:rPr>
                <w:b/>
                <w:sz w:val="20"/>
                <w:szCs w:val="20"/>
              </w:rPr>
            </w:pPr>
            <w:r w:rsidRPr="00B1788D">
              <w:rPr>
                <w:b/>
                <w:sz w:val="20"/>
                <w:szCs w:val="20"/>
              </w:rPr>
              <w:t>Days to re-supply</w:t>
            </w:r>
          </w:p>
        </w:tc>
      </w:tr>
      <w:tr w:rsidR="009654F9" w:rsidRPr="00B1788D" w:rsidTr="00B1788D">
        <w:trPr>
          <w:trHeight w:val="300"/>
        </w:trPr>
        <w:tc>
          <w:tcPr>
            <w:tcW w:w="2180" w:type="dxa"/>
            <w:shd w:val="clear" w:color="auto" w:fill="BFBFBF" w:themeFill="background1" w:themeFillShade="BF"/>
            <w:noWrap/>
            <w:hideMark/>
          </w:tcPr>
          <w:p w:rsidR="009654F9" w:rsidRPr="00B1788D" w:rsidRDefault="009654F9" w:rsidP="007F31A5">
            <w:pPr>
              <w:keepNext/>
              <w:keepLines/>
              <w:spacing w:line="276" w:lineRule="auto"/>
              <w:rPr>
                <w:b/>
                <w:sz w:val="20"/>
                <w:szCs w:val="20"/>
              </w:rPr>
            </w:pPr>
            <w:r w:rsidRPr="00B1788D">
              <w:rPr>
                <w:b/>
                <w:sz w:val="20"/>
                <w:szCs w:val="20"/>
              </w:rPr>
              <w:t>Treatment</w:t>
            </w:r>
          </w:p>
        </w:tc>
        <w:tc>
          <w:tcPr>
            <w:tcW w:w="960" w:type="dxa"/>
            <w:shd w:val="clear" w:color="auto" w:fill="BFBFBF" w:themeFill="background1" w:themeFillShade="BF"/>
            <w:noWrap/>
            <w:hideMark/>
          </w:tcPr>
          <w:p w:rsidR="009654F9" w:rsidRPr="00B1788D" w:rsidRDefault="009654F9" w:rsidP="007F31A5">
            <w:pPr>
              <w:keepNext/>
              <w:keepLines/>
              <w:spacing w:line="276" w:lineRule="auto"/>
              <w:rPr>
                <w:b/>
                <w:sz w:val="20"/>
                <w:szCs w:val="20"/>
              </w:rPr>
            </w:pPr>
            <w:r w:rsidRPr="00B1788D">
              <w:rPr>
                <w:b/>
                <w:sz w:val="20"/>
                <w:szCs w:val="20"/>
              </w:rPr>
              <w:t>Mode</w:t>
            </w:r>
          </w:p>
        </w:tc>
        <w:tc>
          <w:tcPr>
            <w:tcW w:w="3943" w:type="dxa"/>
            <w:shd w:val="clear" w:color="auto" w:fill="BFBFBF" w:themeFill="background1" w:themeFillShade="BF"/>
            <w:noWrap/>
            <w:hideMark/>
          </w:tcPr>
          <w:p w:rsidR="009654F9" w:rsidRPr="00B1788D" w:rsidRDefault="009654F9" w:rsidP="007F31A5">
            <w:pPr>
              <w:keepNext/>
              <w:keepLines/>
              <w:spacing w:line="276" w:lineRule="auto"/>
              <w:rPr>
                <w:b/>
                <w:sz w:val="20"/>
                <w:szCs w:val="20"/>
              </w:rPr>
            </w:pPr>
            <w:r w:rsidRPr="00B1788D">
              <w:rPr>
                <w:b/>
                <w:sz w:val="20"/>
                <w:szCs w:val="20"/>
              </w:rPr>
              <w:t>Median = Standard Coverage Days (SCD)</w:t>
            </w:r>
          </w:p>
        </w:tc>
      </w:tr>
      <w:tr w:rsidR="009654F9" w:rsidRPr="009654F9" w:rsidTr="00B1788D">
        <w:trPr>
          <w:trHeight w:val="300"/>
        </w:trPr>
        <w:tc>
          <w:tcPr>
            <w:tcW w:w="2180" w:type="dxa"/>
            <w:noWrap/>
            <w:hideMark/>
          </w:tcPr>
          <w:p w:rsidR="009654F9" w:rsidRPr="009654F9" w:rsidRDefault="002B1FCB" w:rsidP="007F31A5">
            <w:pPr>
              <w:keepNext/>
              <w:keepLines/>
              <w:spacing w:line="276" w:lineRule="auto"/>
              <w:rPr>
                <w:sz w:val="20"/>
                <w:szCs w:val="20"/>
              </w:rPr>
            </w:pPr>
            <w:r>
              <w:rPr>
                <w:sz w:val="20"/>
                <w:szCs w:val="20"/>
              </w:rPr>
              <w:t>1st</w:t>
            </w:r>
            <w:r w:rsidR="009654F9" w:rsidRPr="009654F9">
              <w:rPr>
                <w:sz w:val="20"/>
                <w:szCs w:val="20"/>
              </w:rPr>
              <w:t xml:space="preserve"> line, sunitinib</w:t>
            </w:r>
          </w:p>
        </w:tc>
        <w:tc>
          <w:tcPr>
            <w:tcW w:w="960" w:type="dxa"/>
            <w:noWrap/>
            <w:hideMark/>
          </w:tcPr>
          <w:p w:rsidR="009654F9" w:rsidRPr="009654F9" w:rsidRDefault="009654F9" w:rsidP="007F31A5">
            <w:pPr>
              <w:keepNext/>
              <w:keepLines/>
              <w:spacing w:line="276" w:lineRule="auto"/>
              <w:rPr>
                <w:sz w:val="20"/>
                <w:szCs w:val="20"/>
              </w:rPr>
            </w:pPr>
            <w:r w:rsidRPr="009654F9">
              <w:rPr>
                <w:sz w:val="20"/>
                <w:szCs w:val="20"/>
              </w:rPr>
              <w:t>42</w:t>
            </w:r>
          </w:p>
        </w:tc>
        <w:tc>
          <w:tcPr>
            <w:tcW w:w="3943" w:type="dxa"/>
            <w:noWrap/>
            <w:hideMark/>
          </w:tcPr>
          <w:p w:rsidR="009654F9" w:rsidRPr="009654F9" w:rsidRDefault="009654F9" w:rsidP="007F31A5">
            <w:pPr>
              <w:keepNext/>
              <w:keepLines/>
              <w:spacing w:line="276" w:lineRule="auto"/>
              <w:rPr>
                <w:sz w:val="20"/>
                <w:szCs w:val="20"/>
              </w:rPr>
            </w:pPr>
            <w:r w:rsidRPr="009654F9">
              <w:rPr>
                <w:sz w:val="20"/>
                <w:szCs w:val="20"/>
              </w:rPr>
              <w:t>42</w:t>
            </w:r>
          </w:p>
        </w:tc>
      </w:tr>
      <w:tr w:rsidR="009654F9" w:rsidRPr="009654F9" w:rsidTr="00B1788D">
        <w:trPr>
          <w:trHeight w:val="300"/>
        </w:trPr>
        <w:tc>
          <w:tcPr>
            <w:tcW w:w="2180" w:type="dxa"/>
            <w:noWrap/>
            <w:hideMark/>
          </w:tcPr>
          <w:p w:rsidR="009654F9" w:rsidRPr="009654F9" w:rsidRDefault="002B1FCB" w:rsidP="007F31A5">
            <w:pPr>
              <w:keepNext/>
              <w:keepLines/>
              <w:spacing w:line="276" w:lineRule="auto"/>
              <w:rPr>
                <w:sz w:val="20"/>
                <w:szCs w:val="20"/>
              </w:rPr>
            </w:pPr>
            <w:r>
              <w:rPr>
                <w:sz w:val="20"/>
                <w:szCs w:val="20"/>
              </w:rPr>
              <w:t>1st</w:t>
            </w:r>
            <w:r w:rsidR="009654F9" w:rsidRPr="009654F9">
              <w:rPr>
                <w:sz w:val="20"/>
                <w:szCs w:val="20"/>
              </w:rPr>
              <w:t xml:space="preserve"> line, pazopanib</w:t>
            </w:r>
          </w:p>
        </w:tc>
        <w:tc>
          <w:tcPr>
            <w:tcW w:w="960" w:type="dxa"/>
            <w:noWrap/>
            <w:hideMark/>
          </w:tcPr>
          <w:p w:rsidR="009654F9" w:rsidRPr="009654F9" w:rsidRDefault="009654F9" w:rsidP="007F31A5">
            <w:pPr>
              <w:keepNext/>
              <w:keepLines/>
              <w:spacing w:line="276" w:lineRule="auto"/>
              <w:rPr>
                <w:sz w:val="20"/>
                <w:szCs w:val="20"/>
              </w:rPr>
            </w:pPr>
            <w:r w:rsidRPr="009654F9">
              <w:rPr>
                <w:sz w:val="20"/>
                <w:szCs w:val="20"/>
              </w:rPr>
              <w:t>28</w:t>
            </w:r>
          </w:p>
        </w:tc>
        <w:tc>
          <w:tcPr>
            <w:tcW w:w="3943" w:type="dxa"/>
            <w:noWrap/>
            <w:hideMark/>
          </w:tcPr>
          <w:p w:rsidR="009654F9" w:rsidRPr="009654F9" w:rsidRDefault="009654F9" w:rsidP="007F31A5">
            <w:pPr>
              <w:keepNext/>
              <w:keepLines/>
              <w:spacing w:line="276" w:lineRule="auto"/>
              <w:rPr>
                <w:sz w:val="20"/>
                <w:szCs w:val="20"/>
              </w:rPr>
            </w:pPr>
            <w:r w:rsidRPr="009654F9">
              <w:rPr>
                <w:sz w:val="20"/>
                <w:szCs w:val="20"/>
              </w:rPr>
              <w:t>32</w:t>
            </w:r>
          </w:p>
        </w:tc>
      </w:tr>
      <w:tr w:rsidR="009654F9" w:rsidRPr="009654F9" w:rsidTr="00B1788D">
        <w:trPr>
          <w:trHeight w:val="300"/>
        </w:trPr>
        <w:tc>
          <w:tcPr>
            <w:tcW w:w="2180" w:type="dxa"/>
            <w:noWrap/>
            <w:hideMark/>
          </w:tcPr>
          <w:p w:rsidR="009654F9" w:rsidRPr="009654F9" w:rsidRDefault="009A3EB4" w:rsidP="007F31A5">
            <w:pPr>
              <w:keepNext/>
              <w:keepLines/>
              <w:spacing w:line="276" w:lineRule="auto"/>
              <w:rPr>
                <w:sz w:val="20"/>
                <w:szCs w:val="20"/>
              </w:rPr>
            </w:pPr>
            <w:r>
              <w:rPr>
                <w:sz w:val="20"/>
                <w:szCs w:val="20"/>
              </w:rPr>
              <w:t>2nd</w:t>
            </w:r>
            <w:r w:rsidR="009654F9" w:rsidRPr="009654F9">
              <w:rPr>
                <w:sz w:val="20"/>
                <w:szCs w:val="20"/>
              </w:rPr>
              <w:t xml:space="preserve"> line, nivolumab</w:t>
            </w:r>
          </w:p>
        </w:tc>
        <w:tc>
          <w:tcPr>
            <w:tcW w:w="960" w:type="dxa"/>
            <w:noWrap/>
            <w:hideMark/>
          </w:tcPr>
          <w:p w:rsidR="009654F9" w:rsidRPr="009654F9" w:rsidRDefault="009654F9" w:rsidP="007F31A5">
            <w:pPr>
              <w:keepNext/>
              <w:keepLines/>
              <w:spacing w:line="276" w:lineRule="auto"/>
              <w:rPr>
                <w:sz w:val="20"/>
                <w:szCs w:val="20"/>
              </w:rPr>
            </w:pPr>
            <w:r w:rsidRPr="009654F9">
              <w:rPr>
                <w:sz w:val="20"/>
                <w:szCs w:val="20"/>
              </w:rPr>
              <w:t>14</w:t>
            </w:r>
          </w:p>
        </w:tc>
        <w:tc>
          <w:tcPr>
            <w:tcW w:w="3943" w:type="dxa"/>
            <w:noWrap/>
            <w:hideMark/>
          </w:tcPr>
          <w:p w:rsidR="009654F9" w:rsidRPr="009654F9" w:rsidRDefault="009654F9" w:rsidP="007F31A5">
            <w:pPr>
              <w:keepNext/>
              <w:keepLines/>
              <w:spacing w:line="276" w:lineRule="auto"/>
              <w:rPr>
                <w:sz w:val="20"/>
                <w:szCs w:val="20"/>
              </w:rPr>
            </w:pPr>
            <w:r w:rsidRPr="009654F9">
              <w:rPr>
                <w:sz w:val="20"/>
                <w:szCs w:val="20"/>
              </w:rPr>
              <w:t>14</w:t>
            </w:r>
          </w:p>
        </w:tc>
      </w:tr>
      <w:tr w:rsidR="009654F9" w:rsidRPr="009654F9" w:rsidTr="00B1788D">
        <w:trPr>
          <w:trHeight w:val="300"/>
        </w:trPr>
        <w:tc>
          <w:tcPr>
            <w:tcW w:w="2180" w:type="dxa"/>
            <w:noWrap/>
            <w:hideMark/>
          </w:tcPr>
          <w:p w:rsidR="009654F9" w:rsidRPr="009654F9" w:rsidRDefault="009A3EB4" w:rsidP="007F31A5">
            <w:pPr>
              <w:keepNext/>
              <w:keepLines/>
              <w:spacing w:line="276" w:lineRule="auto"/>
              <w:rPr>
                <w:sz w:val="20"/>
                <w:szCs w:val="20"/>
              </w:rPr>
            </w:pPr>
            <w:r>
              <w:rPr>
                <w:sz w:val="20"/>
                <w:szCs w:val="20"/>
              </w:rPr>
              <w:t>2nd</w:t>
            </w:r>
            <w:r w:rsidR="009654F9" w:rsidRPr="009654F9">
              <w:rPr>
                <w:sz w:val="20"/>
                <w:szCs w:val="20"/>
              </w:rPr>
              <w:t xml:space="preserve"> line, axitinib</w:t>
            </w:r>
          </w:p>
        </w:tc>
        <w:tc>
          <w:tcPr>
            <w:tcW w:w="960" w:type="dxa"/>
            <w:noWrap/>
            <w:hideMark/>
          </w:tcPr>
          <w:p w:rsidR="009654F9" w:rsidRPr="009654F9" w:rsidRDefault="009654F9" w:rsidP="007F31A5">
            <w:pPr>
              <w:keepNext/>
              <w:keepLines/>
              <w:spacing w:line="276" w:lineRule="auto"/>
              <w:rPr>
                <w:sz w:val="20"/>
                <w:szCs w:val="20"/>
              </w:rPr>
            </w:pPr>
            <w:r w:rsidRPr="009654F9">
              <w:rPr>
                <w:sz w:val="20"/>
                <w:szCs w:val="20"/>
              </w:rPr>
              <w:t>28</w:t>
            </w:r>
          </w:p>
        </w:tc>
        <w:tc>
          <w:tcPr>
            <w:tcW w:w="3943" w:type="dxa"/>
            <w:noWrap/>
            <w:hideMark/>
          </w:tcPr>
          <w:p w:rsidR="009654F9" w:rsidRPr="009654F9" w:rsidRDefault="009654F9" w:rsidP="007F31A5">
            <w:pPr>
              <w:keepNext/>
              <w:keepLines/>
              <w:spacing w:line="276" w:lineRule="auto"/>
              <w:rPr>
                <w:sz w:val="20"/>
                <w:szCs w:val="20"/>
              </w:rPr>
            </w:pPr>
            <w:r w:rsidRPr="009654F9">
              <w:rPr>
                <w:sz w:val="20"/>
                <w:szCs w:val="20"/>
              </w:rPr>
              <w:t>27</w:t>
            </w:r>
          </w:p>
        </w:tc>
      </w:tr>
      <w:tr w:rsidR="009654F9" w:rsidRPr="009654F9" w:rsidTr="00B1788D">
        <w:trPr>
          <w:trHeight w:val="300"/>
        </w:trPr>
        <w:tc>
          <w:tcPr>
            <w:tcW w:w="2180" w:type="dxa"/>
            <w:noWrap/>
            <w:hideMark/>
          </w:tcPr>
          <w:p w:rsidR="009654F9" w:rsidRPr="009654F9" w:rsidRDefault="009A3EB4" w:rsidP="007F31A5">
            <w:pPr>
              <w:keepNext/>
              <w:keepLines/>
              <w:spacing w:line="276" w:lineRule="auto"/>
              <w:rPr>
                <w:sz w:val="20"/>
                <w:szCs w:val="20"/>
              </w:rPr>
            </w:pPr>
            <w:r>
              <w:rPr>
                <w:sz w:val="20"/>
                <w:szCs w:val="20"/>
              </w:rPr>
              <w:t>2nd</w:t>
            </w:r>
            <w:r w:rsidR="009654F9" w:rsidRPr="009654F9">
              <w:rPr>
                <w:sz w:val="20"/>
                <w:szCs w:val="20"/>
              </w:rPr>
              <w:t xml:space="preserve"> line, everolimus</w:t>
            </w:r>
          </w:p>
        </w:tc>
        <w:tc>
          <w:tcPr>
            <w:tcW w:w="960" w:type="dxa"/>
            <w:noWrap/>
            <w:hideMark/>
          </w:tcPr>
          <w:p w:rsidR="009654F9" w:rsidRPr="009654F9" w:rsidRDefault="009654F9" w:rsidP="007F31A5">
            <w:pPr>
              <w:keepNext/>
              <w:keepLines/>
              <w:spacing w:line="276" w:lineRule="auto"/>
              <w:rPr>
                <w:sz w:val="20"/>
                <w:szCs w:val="20"/>
              </w:rPr>
            </w:pPr>
            <w:r w:rsidRPr="009654F9">
              <w:rPr>
                <w:sz w:val="20"/>
                <w:szCs w:val="20"/>
              </w:rPr>
              <w:t>28</w:t>
            </w:r>
          </w:p>
        </w:tc>
        <w:tc>
          <w:tcPr>
            <w:tcW w:w="3943" w:type="dxa"/>
            <w:noWrap/>
            <w:hideMark/>
          </w:tcPr>
          <w:p w:rsidR="009654F9" w:rsidRPr="009654F9" w:rsidRDefault="009654F9" w:rsidP="007F31A5">
            <w:pPr>
              <w:keepNext/>
              <w:keepLines/>
              <w:spacing w:line="276" w:lineRule="auto"/>
              <w:rPr>
                <w:sz w:val="20"/>
                <w:szCs w:val="20"/>
              </w:rPr>
            </w:pPr>
            <w:r w:rsidRPr="009654F9">
              <w:rPr>
                <w:sz w:val="20"/>
                <w:szCs w:val="20"/>
              </w:rPr>
              <w:t>29</w:t>
            </w:r>
          </w:p>
        </w:tc>
      </w:tr>
      <w:tr w:rsidR="009654F9" w:rsidRPr="009654F9" w:rsidTr="00B1788D">
        <w:trPr>
          <w:trHeight w:val="300"/>
        </w:trPr>
        <w:tc>
          <w:tcPr>
            <w:tcW w:w="2180" w:type="dxa"/>
            <w:noWrap/>
            <w:hideMark/>
          </w:tcPr>
          <w:p w:rsidR="009654F9" w:rsidRPr="009654F9" w:rsidRDefault="009A3EB4" w:rsidP="007F31A5">
            <w:pPr>
              <w:keepNext/>
              <w:keepLines/>
              <w:spacing w:line="276" w:lineRule="auto"/>
              <w:rPr>
                <w:sz w:val="20"/>
                <w:szCs w:val="20"/>
              </w:rPr>
            </w:pPr>
            <w:r>
              <w:rPr>
                <w:sz w:val="20"/>
                <w:szCs w:val="20"/>
              </w:rPr>
              <w:t>2nd</w:t>
            </w:r>
            <w:r w:rsidR="009654F9" w:rsidRPr="009654F9">
              <w:rPr>
                <w:sz w:val="20"/>
                <w:szCs w:val="20"/>
              </w:rPr>
              <w:t xml:space="preserve"> line, cabozantinib</w:t>
            </w:r>
          </w:p>
        </w:tc>
        <w:tc>
          <w:tcPr>
            <w:tcW w:w="960" w:type="dxa"/>
            <w:noWrap/>
            <w:hideMark/>
          </w:tcPr>
          <w:p w:rsidR="009654F9" w:rsidRPr="009654F9" w:rsidRDefault="009654F9" w:rsidP="007F31A5">
            <w:pPr>
              <w:keepNext/>
              <w:keepLines/>
              <w:spacing w:line="276" w:lineRule="auto"/>
              <w:rPr>
                <w:sz w:val="20"/>
                <w:szCs w:val="20"/>
              </w:rPr>
            </w:pPr>
            <w:r w:rsidRPr="009654F9">
              <w:rPr>
                <w:sz w:val="20"/>
                <w:szCs w:val="20"/>
              </w:rPr>
              <w:t>28</w:t>
            </w:r>
          </w:p>
        </w:tc>
        <w:tc>
          <w:tcPr>
            <w:tcW w:w="3943" w:type="dxa"/>
            <w:noWrap/>
            <w:hideMark/>
          </w:tcPr>
          <w:p w:rsidR="009654F9" w:rsidRPr="009654F9" w:rsidRDefault="009654F9" w:rsidP="007F31A5">
            <w:pPr>
              <w:keepNext/>
              <w:keepLines/>
              <w:spacing w:line="276" w:lineRule="auto"/>
              <w:rPr>
                <w:sz w:val="20"/>
                <w:szCs w:val="20"/>
              </w:rPr>
            </w:pPr>
            <w:r w:rsidRPr="009654F9">
              <w:rPr>
                <w:sz w:val="20"/>
                <w:szCs w:val="20"/>
              </w:rPr>
              <w:t>29</w:t>
            </w:r>
          </w:p>
        </w:tc>
      </w:tr>
      <w:tr w:rsidR="009654F9" w:rsidRPr="009654F9" w:rsidTr="00B1788D">
        <w:trPr>
          <w:trHeight w:val="300"/>
        </w:trPr>
        <w:tc>
          <w:tcPr>
            <w:tcW w:w="2180" w:type="dxa"/>
            <w:noWrap/>
            <w:hideMark/>
          </w:tcPr>
          <w:p w:rsidR="009654F9" w:rsidRPr="009654F9" w:rsidRDefault="009A3EB4" w:rsidP="007F31A5">
            <w:pPr>
              <w:keepNext/>
              <w:keepLines/>
              <w:spacing w:line="276" w:lineRule="auto"/>
              <w:rPr>
                <w:sz w:val="20"/>
                <w:szCs w:val="20"/>
              </w:rPr>
            </w:pPr>
            <w:r>
              <w:rPr>
                <w:sz w:val="20"/>
                <w:szCs w:val="20"/>
              </w:rPr>
              <w:t>2nd</w:t>
            </w:r>
            <w:r w:rsidR="009654F9" w:rsidRPr="009654F9">
              <w:rPr>
                <w:sz w:val="20"/>
                <w:szCs w:val="20"/>
              </w:rPr>
              <w:t xml:space="preserve"> line, sorafenib</w:t>
            </w:r>
          </w:p>
        </w:tc>
        <w:tc>
          <w:tcPr>
            <w:tcW w:w="960" w:type="dxa"/>
            <w:noWrap/>
            <w:hideMark/>
          </w:tcPr>
          <w:p w:rsidR="009654F9" w:rsidRPr="009654F9" w:rsidRDefault="009654F9" w:rsidP="007F31A5">
            <w:pPr>
              <w:keepNext/>
              <w:keepLines/>
              <w:spacing w:line="276" w:lineRule="auto"/>
              <w:rPr>
                <w:sz w:val="20"/>
                <w:szCs w:val="20"/>
              </w:rPr>
            </w:pPr>
            <w:r w:rsidRPr="009654F9">
              <w:rPr>
                <w:sz w:val="20"/>
                <w:szCs w:val="20"/>
              </w:rPr>
              <w:t>28</w:t>
            </w:r>
          </w:p>
        </w:tc>
        <w:tc>
          <w:tcPr>
            <w:tcW w:w="3943" w:type="dxa"/>
            <w:noWrap/>
            <w:hideMark/>
          </w:tcPr>
          <w:p w:rsidR="009654F9" w:rsidRPr="009654F9" w:rsidRDefault="009654F9" w:rsidP="007F31A5">
            <w:pPr>
              <w:keepNext/>
              <w:keepLines/>
              <w:spacing w:line="276" w:lineRule="auto"/>
              <w:rPr>
                <w:sz w:val="20"/>
                <w:szCs w:val="20"/>
              </w:rPr>
            </w:pPr>
            <w:r w:rsidRPr="009654F9">
              <w:rPr>
                <w:sz w:val="20"/>
                <w:szCs w:val="20"/>
              </w:rPr>
              <w:t>33</w:t>
            </w:r>
          </w:p>
        </w:tc>
      </w:tr>
    </w:tbl>
    <w:p w:rsidR="006B3C44" w:rsidRDefault="006B3C44" w:rsidP="007F31A5">
      <w:pPr>
        <w:rPr>
          <w:u w:val="single"/>
        </w:rPr>
      </w:pPr>
    </w:p>
    <w:p w:rsidR="007F31A5" w:rsidRPr="007F31A5" w:rsidRDefault="005C512C" w:rsidP="007F31A5">
      <w:r>
        <w:t>The values of SCD in the Table 8</w:t>
      </w:r>
      <w:r w:rsidR="007F31A5">
        <w:t xml:space="preserve"> are used in the following length of treatment analyses to determine when breaks in treatment occur (see Methods section for details).</w:t>
      </w:r>
    </w:p>
    <w:p w:rsidR="001E48A9" w:rsidRDefault="001E48A9">
      <w:pPr>
        <w:spacing w:line="276" w:lineRule="auto"/>
        <w:rPr>
          <w:b/>
          <w:i/>
          <w:szCs w:val="28"/>
        </w:rPr>
      </w:pPr>
      <w:r>
        <w:br w:type="page"/>
      </w:r>
    </w:p>
    <w:p w:rsidR="000E5F91" w:rsidRDefault="009A3EB4" w:rsidP="00977311">
      <w:pPr>
        <w:pStyle w:val="Heading3"/>
      </w:pPr>
      <w:r>
        <w:t>2nd</w:t>
      </w:r>
      <w:r w:rsidR="000E5F91">
        <w:t xml:space="preserve"> line Nivolumab length of treatment</w:t>
      </w:r>
    </w:p>
    <w:p w:rsidR="000137F6" w:rsidRDefault="00AF68E2" w:rsidP="007F31A5">
      <w:r>
        <w:rPr>
          <w:rFonts w:ascii="Arial" w:hAnsi="Arial" w:cs="Arial"/>
          <w:noProof/>
          <w:color w:val="000000"/>
          <w:sz w:val="20"/>
          <w:szCs w:val="20"/>
        </w:rPr>
        <w:drawing>
          <wp:inline distT="0" distB="0" distL="0" distR="0" wp14:anchorId="327350C3" wp14:editId="71B11607">
            <wp:extent cx="5687695" cy="4268439"/>
            <wp:effectExtent l="0" t="0" r="8255" b="0"/>
            <wp:docPr id="5" name="Picture 5" descr="img0.png" title="Figure 7: Length of 2nd line nivolumab trea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7695" cy="4268439"/>
                    </a:xfrm>
                    <a:prstGeom prst="rect">
                      <a:avLst/>
                    </a:prstGeom>
                    <a:noFill/>
                    <a:ln>
                      <a:noFill/>
                    </a:ln>
                  </pic:spPr>
                </pic:pic>
              </a:graphicData>
            </a:graphic>
          </wp:inline>
        </w:drawing>
      </w:r>
      <w:r w:rsidR="002611F4" w:rsidRPr="00243DBC">
        <w:rPr>
          <w:b/>
          <w:lang w:val="en-US"/>
        </w:rPr>
        <w:t xml:space="preserve">Figure </w:t>
      </w:r>
      <w:r w:rsidR="003B0ACE">
        <w:rPr>
          <w:b/>
          <w:lang w:val="en-US"/>
        </w:rPr>
        <w:t>7</w:t>
      </w:r>
      <w:r w:rsidR="002611F4" w:rsidRPr="00243DBC">
        <w:rPr>
          <w:b/>
          <w:lang w:val="en-US"/>
        </w:rPr>
        <w:t xml:space="preserve">: </w:t>
      </w:r>
      <w:r w:rsidR="002611F4">
        <w:rPr>
          <w:b/>
          <w:lang w:val="en-US"/>
        </w:rPr>
        <w:t xml:space="preserve">Length of </w:t>
      </w:r>
      <w:r w:rsidR="009A3EB4">
        <w:rPr>
          <w:b/>
          <w:lang w:val="en-US"/>
        </w:rPr>
        <w:t>2nd</w:t>
      </w:r>
      <w:r w:rsidR="002611F4">
        <w:rPr>
          <w:b/>
          <w:lang w:val="en-US"/>
        </w:rPr>
        <w:t xml:space="preserve"> line nivolumab treatment </w:t>
      </w:r>
    </w:p>
    <w:p w:rsidR="000E5F91" w:rsidRDefault="002611F4" w:rsidP="000137F6">
      <w:r>
        <w:t>The small difference between including and excluding breaks in treatment indicates that breaks in treatment are not common. The median and mean</w:t>
      </w:r>
      <w:r w:rsidR="003B0ACE">
        <w:t xml:space="preserve"> time on treatment from Figure 7</w:t>
      </w:r>
      <w:r>
        <w:t xml:space="preserve"> is shown in Table </w:t>
      </w:r>
      <w:r w:rsidR="00031D27">
        <w:t>9</w:t>
      </w:r>
    </w:p>
    <w:p w:rsidR="002611F4" w:rsidRDefault="00031D27" w:rsidP="002611F4">
      <w:pPr>
        <w:keepNext/>
        <w:keepLines/>
        <w:spacing w:after="0" w:line="276" w:lineRule="auto"/>
        <w:rPr>
          <w:b/>
        </w:rPr>
      </w:pPr>
      <w:r>
        <w:rPr>
          <w:b/>
        </w:rPr>
        <w:t>Table 9</w:t>
      </w:r>
      <w:r w:rsidR="002611F4">
        <w:rPr>
          <w:b/>
        </w:rPr>
        <w:t xml:space="preserve">: Median and mean length of </w:t>
      </w:r>
      <w:r w:rsidR="009A3EB4">
        <w:rPr>
          <w:b/>
          <w:lang w:val="en-US"/>
        </w:rPr>
        <w:t>2nd</w:t>
      </w:r>
      <w:r w:rsidR="002611F4">
        <w:rPr>
          <w:b/>
          <w:lang w:val="en-US"/>
        </w:rPr>
        <w:t xml:space="preserve"> line nivolumab </w:t>
      </w:r>
      <w:r w:rsidR="002611F4">
        <w:rPr>
          <w:b/>
        </w:rPr>
        <w:t>treatment</w:t>
      </w:r>
    </w:p>
    <w:tbl>
      <w:tblPr>
        <w:tblStyle w:val="TableGrid"/>
        <w:tblW w:w="0" w:type="auto"/>
        <w:tblLook w:val="04A0" w:firstRow="1" w:lastRow="0" w:firstColumn="1" w:lastColumn="0" w:noHBand="0" w:noVBand="1"/>
        <w:tblCaption w:val="Table 9: Median and mean length of 2nd line nivolumab treatment"/>
      </w:tblPr>
      <w:tblGrid>
        <w:gridCol w:w="3147"/>
        <w:gridCol w:w="1983"/>
        <w:gridCol w:w="1982"/>
      </w:tblGrid>
      <w:tr w:rsidR="0073649C" w:rsidTr="005B5E7B">
        <w:trPr>
          <w:tblHeader/>
        </w:trPr>
        <w:tc>
          <w:tcPr>
            <w:tcW w:w="3147" w:type="dxa"/>
            <w:shd w:val="clear" w:color="auto" w:fill="BFBFBF" w:themeFill="background1" w:themeFillShade="BF"/>
          </w:tcPr>
          <w:p w:rsidR="0073649C" w:rsidRPr="00B1788D" w:rsidRDefault="0073649C" w:rsidP="00923A01">
            <w:pPr>
              <w:jc w:val="center"/>
              <w:rPr>
                <w:b/>
                <w:sz w:val="20"/>
                <w:szCs w:val="20"/>
              </w:rPr>
            </w:pPr>
          </w:p>
        </w:tc>
        <w:tc>
          <w:tcPr>
            <w:tcW w:w="1983" w:type="dxa"/>
            <w:shd w:val="clear" w:color="auto" w:fill="BFBFBF" w:themeFill="background1" w:themeFillShade="BF"/>
          </w:tcPr>
          <w:p w:rsidR="0073649C" w:rsidRPr="00B1788D" w:rsidRDefault="0073649C" w:rsidP="00923A01">
            <w:pPr>
              <w:jc w:val="center"/>
              <w:rPr>
                <w:b/>
                <w:sz w:val="20"/>
                <w:szCs w:val="20"/>
              </w:rPr>
            </w:pPr>
            <w:r w:rsidRPr="00B1788D">
              <w:rPr>
                <w:b/>
                <w:sz w:val="20"/>
                <w:szCs w:val="20"/>
              </w:rPr>
              <w:t>Median</w:t>
            </w:r>
          </w:p>
        </w:tc>
        <w:tc>
          <w:tcPr>
            <w:tcW w:w="1982" w:type="dxa"/>
            <w:shd w:val="clear" w:color="auto" w:fill="BFBFBF" w:themeFill="background1" w:themeFillShade="BF"/>
          </w:tcPr>
          <w:p w:rsidR="0073649C" w:rsidRPr="00B1788D" w:rsidRDefault="0073649C" w:rsidP="00923A01">
            <w:pPr>
              <w:jc w:val="center"/>
              <w:rPr>
                <w:b/>
                <w:sz w:val="20"/>
                <w:szCs w:val="20"/>
              </w:rPr>
            </w:pPr>
            <w:r w:rsidRPr="00B1788D">
              <w:rPr>
                <w:b/>
                <w:sz w:val="20"/>
                <w:szCs w:val="20"/>
              </w:rPr>
              <w:t>Mean</w:t>
            </w:r>
          </w:p>
        </w:tc>
      </w:tr>
      <w:tr w:rsidR="0073649C" w:rsidTr="00923A01">
        <w:tc>
          <w:tcPr>
            <w:tcW w:w="3147" w:type="dxa"/>
          </w:tcPr>
          <w:p w:rsidR="0073649C" w:rsidRPr="00B1788D" w:rsidRDefault="0073649C" w:rsidP="00923A01">
            <w:pPr>
              <w:jc w:val="center"/>
              <w:rPr>
                <w:sz w:val="20"/>
                <w:szCs w:val="20"/>
              </w:rPr>
            </w:pPr>
            <w:r w:rsidRPr="00B1788D">
              <w:rPr>
                <w:sz w:val="20"/>
                <w:szCs w:val="20"/>
              </w:rPr>
              <w:t>Total length of treatment (excluding breaks)</w:t>
            </w:r>
          </w:p>
        </w:tc>
        <w:tc>
          <w:tcPr>
            <w:tcW w:w="1983" w:type="dxa"/>
          </w:tcPr>
          <w:p w:rsidR="0073649C" w:rsidRPr="00B1788D" w:rsidRDefault="0073649C" w:rsidP="00923A01">
            <w:pPr>
              <w:jc w:val="center"/>
              <w:rPr>
                <w:sz w:val="20"/>
                <w:szCs w:val="20"/>
              </w:rPr>
            </w:pPr>
            <w:r w:rsidRPr="00B1788D">
              <w:rPr>
                <w:sz w:val="20"/>
                <w:szCs w:val="20"/>
              </w:rPr>
              <w:t>0.39 years</w:t>
            </w:r>
          </w:p>
          <w:p w:rsidR="0073649C" w:rsidRPr="00B1788D" w:rsidRDefault="0073649C" w:rsidP="00923A01">
            <w:pPr>
              <w:jc w:val="center"/>
              <w:rPr>
                <w:sz w:val="20"/>
                <w:szCs w:val="20"/>
              </w:rPr>
            </w:pPr>
            <w:r w:rsidRPr="00B1788D">
              <w:rPr>
                <w:sz w:val="20"/>
                <w:szCs w:val="20"/>
              </w:rPr>
              <w:t>4.6 months</w:t>
            </w:r>
          </w:p>
        </w:tc>
        <w:tc>
          <w:tcPr>
            <w:tcW w:w="1982" w:type="dxa"/>
          </w:tcPr>
          <w:p w:rsidR="0073649C" w:rsidRPr="00B1788D" w:rsidRDefault="0073649C" w:rsidP="00923A01">
            <w:pPr>
              <w:jc w:val="center"/>
              <w:rPr>
                <w:sz w:val="20"/>
                <w:szCs w:val="20"/>
              </w:rPr>
            </w:pPr>
            <w:r w:rsidRPr="00B1788D">
              <w:rPr>
                <w:sz w:val="20"/>
                <w:szCs w:val="20"/>
              </w:rPr>
              <w:t>0.73 years</w:t>
            </w:r>
          </w:p>
          <w:p w:rsidR="0073649C" w:rsidRPr="00B1788D" w:rsidRDefault="0073649C" w:rsidP="00923A01">
            <w:pPr>
              <w:jc w:val="center"/>
              <w:rPr>
                <w:sz w:val="20"/>
                <w:szCs w:val="20"/>
              </w:rPr>
            </w:pPr>
            <w:r w:rsidRPr="00B1788D">
              <w:rPr>
                <w:sz w:val="20"/>
                <w:szCs w:val="20"/>
              </w:rPr>
              <w:t>8.7 months</w:t>
            </w:r>
          </w:p>
        </w:tc>
      </w:tr>
      <w:tr w:rsidR="0073649C" w:rsidTr="00923A01">
        <w:tc>
          <w:tcPr>
            <w:tcW w:w="3147" w:type="dxa"/>
          </w:tcPr>
          <w:p w:rsidR="0073649C" w:rsidRPr="00B1788D" w:rsidRDefault="0073649C" w:rsidP="00923A01">
            <w:pPr>
              <w:jc w:val="center"/>
              <w:rPr>
                <w:sz w:val="20"/>
                <w:szCs w:val="20"/>
              </w:rPr>
            </w:pPr>
            <w:r w:rsidRPr="00B1788D">
              <w:rPr>
                <w:sz w:val="20"/>
                <w:szCs w:val="20"/>
              </w:rPr>
              <w:t>Total length of treatment (including breaks)</w:t>
            </w:r>
          </w:p>
        </w:tc>
        <w:tc>
          <w:tcPr>
            <w:tcW w:w="1983" w:type="dxa"/>
          </w:tcPr>
          <w:p w:rsidR="0073649C" w:rsidRPr="00B1788D" w:rsidRDefault="0073649C" w:rsidP="00923A01">
            <w:pPr>
              <w:jc w:val="center"/>
              <w:rPr>
                <w:sz w:val="20"/>
                <w:szCs w:val="20"/>
              </w:rPr>
            </w:pPr>
            <w:r w:rsidRPr="00B1788D">
              <w:rPr>
                <w:sz w:val="20"/>
                <w:szCs w:val="20"/>
              </w:rPr>
              <w:t>0.42 years</w:t>
            </w:r>
          </w:p>
          <w:p w:rsidR="007F70DD" w:rsidRPr="00B1788D" w:rsidRDefault="0073649C" w:rsidP="007F70DD">
            <w:pPr>
              <w:jc w:val="center"/>
              <w:rPr>
                <w:sz w:val="20"/>
                <w:szCs w:val="20"/>
              </w:rPr>
            </w:pPr>
            <w:r w:rsidRPr="00B1788D">
              <w:rPr>
                <w:sz w:val="20"/>
                <w:szCs w:val="20"/>
              </w:rPr>
              <w:t>5.0 months</w:t>
            </w:r>
          </w:p>
        </w:tc>
        <w:tc>
          <w:tcPr>
            <w:tcW w:w="1982" w:type="dxa"/>
          </w:tcPr>
          <w:p w:rsidR="0073649C" w:rsidRPr="00B1788D" w:rsidRDefault="0073649C" w:rsidP="00923A01">
            <w:pPr>
              <w:jc w:val="center"/>
              <w:rPr>
                <w:sz w:val="20"/>
                <w:szCs w:val="20"/>
              </w:rPr>
            </w:pPr>
            <w:r w:rsidRPr="00B1788D">
              <w:rPr>
                <w:sz w:val="20"/>
                <w:szCs w:val="20"/>
              </w:rPr>
              <w:t>0.76 years</w:t>
            </w:r>
          </w:p>
          <w:p w:rsidR="0073649C" w:rsidRPr="00B1788D" w:rsidRDefault="0073649C" w:rsidP="00923A01">
            <w:pPr>
              <w:jc w:val="center"/>
              <w:rPr>
                <w:sz w:val="20"/>
                <w:szCs w:val="20"/>
              </w:rPr>
            </w:pPr>
            <w:r w:rsidRPr="00B1788D">
              <w:rPr>
                <w:sz w:val="20"/>
                <w:szCs w:val="20"/>
              </w:rPr>
              <w:t>9.1 months</w:t>
            </w:r>
          </w:p>
        </w:tc>
      </w:tr>
    </w:tbl>
    <w:p w:rsidR="002611F4" w:rsidRDefault="002611F4" w:rsidP="007F31A5"/>
    <w:p w:rsidR="00AF68E2" w:rsidRDefault="000116E0" w:rsidP="000116E0">
      <w:pPr>
        <w:pStyle w:val="NoSpacing"/>
        <w:spacing w:line="276" w:lineRule="auto"/>
      </w:pPr>
      <w:r>
        <w:t>The mean values of 9.1 months is consistent with t</w:t>
      </w:r>
      <w:r w:rsidRPr="004401DC">
        <w:t xml:space="preserve">he </w:t>
      </w:r>
      <w:r>
        <w:t xml:space="preserve">predicted </w:t>
      </w:r>
      <w:r w:rsidR="009E5B71">
        <w:t>mean of 20.7</w:t>
      </w:r>
      <w:r w:rsidRPr="004401DC">
        <w:t xml:space="preserve"> infusions which co</w:t>
      </w:r>
      <w:r w:rsidR="001E1BE5">
        <w:t>rresponds to 9.5</w:t>
      </w:r>
      <w:r w:rsidRPr="004401DC">
        <w:t xml:space="preserve"> months.</w:t>
      </w:r>
      <w:r>
        <w:t xml:space="preserve"> </w:t>
      </w:r>
      <w:r w:rsidR="001E1BE5">
        <w:t xml:space="preserve">The median of 5.0 months is also consistent with the median of 5.54 months reported in the pivot trial. </w:t>
      </w:r>
      <w:r w:rsidR="00AF68E2">
        <w:t xml:space="preserve">The large difference between the median and the mean implies that a proportion of people stay on this treatment for a long time. </w:t>
      </w:r>
      <w:r w:rsidR="00FC51F3">
        <w:t xml:space="preserve">In can be seen from Figure </w:t>
      </w:r>
      <w:r w:rsidR="003225C9">
        <w:t>7</w:t>
      </w:r>
      <w:r w:rsidR="00FC51F3">
        <w:t xml:space="preserve"> that a</w:t>
      </w:r>
      <w:r w:rsidR="002611F4">
        <w:t>pproximate</w:t>
      </w:r>
      <w:r w:rsidR="00661DE8">
        <w:t>ly</w:t>
      </w:r>
      <w:r w:rsidR="002611F4">
        <w:t xml:space="preserve"> 1</w:t>
      </w:r>
      <w:r w:rsidR="00090DBA">
        <w:t>5</w:t>
      </w:r>
      <w:r w:rsidR="002611F4">
        <w:t>% of patients are predicted to</w:t>
      </w:r>
      <w:r w:rsidR="00090DBA">
        <w:t xml:space="preserve"> be still on treatment after 2</w:t>
      </w:r>
      <w:r w:rsidR="002611F4">
        <w:t xml:space="preserve"> years.</w:t>
      </w:r>
    </w:p>
    <w:p w:rsidR="001E48A9" w:rsidRDefault="001E48A9">
      <w:pPr>
        <w:spacing w:line="276" w:lineRule="auto"/>
        <w:rPr>
          <w:b/>
          <w:i/>
          <w:szCs w:val="28"/>
        </w:rPr>
      </w:pPr>
      <w:r>
        <w:br w:type="page"/>
      </w:r>
    </w:p>
    <w:p w:rsidR="00977311" w:rsidRDefault="005A212B" w:rsidP="006F1CAE">
      <w:pPr>
        <w:pStyle w:val="Heading3"/>
        <w:keepNext/>
        <w:keepLines/>
      </w:pPr>
      <w:r>
        <w:t xml:space="preserve">Length of treatment for </w:t>
      </w:r>
      <w:r w:rsidR="00756F93">
        <w:t>first</w:t>
      </w:r>
      <w:r>
        <w:t xml:space="preserve"> line drugs.</w:t>
      </w:r>
    </w:p>
    <w:p w:rsidR="00696996" w:rsidRPr="00085801" w:rsidRDefault="00696996" w:rsidP="00085801">
      <w:pPr>
        <w:pStyle w:val="Heading3"/>
        <w:keepNext/>
        <w:keepLines/>
        <w:rPr>
          <w:i w:val="0"/>
        </w:rPr>
      </w:pPr>
      <w:r>
        <w:rPr>
          <w:rFonts w:ascii="Arial" w:hAnsi="Arial" w:cs="Arial"/>
          <w:noProof/>
          <w:color w:val="000000"/>
          <w:sz w:val="20"/>
          <w:szCs w:val="20"/>
        </w:rPr>
        <w:drawing>
          <wp:inline distT="0" distB="0" distL="0" distR="0" wp14:anchorId="01D97696" wp14:editId="778E0A99">
            <wp:extent cx="5687695" cy="4265771"/>
            <wp:effectExtent l="0" t="0" r="8255" b="1905"/>
            <wp:docPr id="8" name="Picture 8" descr="img0.png" title="Figure 8: Length of treatment (including breaks) with first line 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r w:rsidR="006D7F26">
        <w:rPr>
          <w:i w:val="0"/>
          <w:lang w:val="en-US"/>
        </w:rPr>
        <w:t>Figure 8</w:t>
      </w:r>
      <w:r w:rsidRPr="00085801">
        <w:rPr>
          <w:i w:val="0"/>
          <w:lang w:val="en-US"/>
        </w:rPr>
        <w:t xml:space="preserve">: Length of treatment </w:t>
      </w:r>
      <w:r w:rsidR="006F1CAE" w:rsidRPr="00085801">
        <w:rPr>
          <w:i w:val="0"/>
          <w:lang w:val="en-US"/>
        </w:rPr>
        <w:t xml:space="preserve">(including breaks) </w:t>
      </w:r>
      <w:r w:rsidRPr="00085801">
        <w:rPr>
          <w:i w:val="0"/>
          <w:lang w:val="en-US"/>
        </w:rPr>
        <w:t xml:space="preserve">with </w:t>
      </w:r>
      <w:r w:rsidR="00C530B7">
        <w:rPr>
          <w:i w:val="0"/>
          <w:lang w:val="en-US"/>
        </w:rPr>
        <w:t>first</w:t>
      </w:r>
      <w:r w:rsidRPr="00085801">
        <w:rPr>
          <w:i w:val="0"/>
          <w:lang w:val="en-US"/>
        </w:rPr>
        <w:t xml:space="preserve"> line drugs</w:t>
      </w:r>
    </w:p>
    <w:p w:rsidR="00696996" w:rsidRDefault="00696996" w:rsidP="00696996">
      <w:pPr>
        <w:spacing w:after="0"/>
      </w:pPr>
      <w:r>
        <w:t>Summary statistics from</w:t>
      </w:r>
      <w:r w:rsidR="003B0ACE">
        <w:t xml:space="preserve"> Figure </w:t>
      </w:r>
      <w:r w:rsidR="006D7F26">
        <w:t>8</w:t>
      </w:r>
      <w:r w:rsidR="00031D27">
        <w:t xml:space="preserve"> are shown in Table 1</w:t>
      </w:r>
      <w:r w:rsidR="006D7F26">
        <w:t>0</w:t>
      </w:r>
      <w:r w:rsidR="00DC18D5">
        <w:t>.</w:t>
      </w:r>
    </w:p>
    <w:p w:rsidR="00696996" w:rsidRDefault="00696996" w:rsidP="00696996">
      <w:pPr>
        <w:spacing w:after="0"/>
      </w:pPr>
    </w:p>
    <w:p w:rsidR="00696996" w:rsidRPr="002611F4" w:rsidRDefault="00031D27" w:rsidP="00D00762">
      <w:pPr>
        <w:keepNext/>
        <w:keepLines/>
        <w:spacing w:after="0" w:line="276" w:lineRule="auto"/>
        <w:rPr>
          <w:b/>
        </w:rPr>
      </w:pPr>
      <w:r>
        <w:rPr>
          <w:b/>
        </w:rPr>
        <w:t>Table 1</w:t>
      </w:r>
      <w:r w:rsidR="006D7F26">
        <w:rPr>
          <w:b/>
        </w:rPr>
        <w:t>0</w:t>
      </w:r>
      <w:r w:rsidR="00696996">
        <w:rPr>
          <w:b/>
        </w:rPr>
        <w:t xml:space="preserve">: Median and mean length of treatment </w:t>
      </w:r>
      <w:r w:rsidR="006F1CAE">
        <w:rPr>
          <w:b/>
        </w:rPr>
        <w:t>(including breaks)</w:t>
      </w:r>
      <w:r w:rsidR="00696996">
        <w:rPr>
          <w:b/>
        </w:rPr>
        <w:t xml:space="preserve"> </w:t>
      </w:r>
    </w:p>
    <w:tbl>
      <w:tblPr>
        <w:tblStyle w:val="TableGrid"/>
        <w:tblW w:w="0" w:type="auto"/>
        <w:tblLook w:val="04A0" w:firstRow="1" w:lastRow="0" w:firstColumn="1" w:lastColumn="0" w:noHBand="0" w:noVBand="1"/>
        <w:tblCaption w:val="Table 10: Median and mean length of treatment (including breaks"/>
      </w:tblPr>
      <w:tblGrid>
        <w:gridCol w:w="3147"/>
        <w:gridCol w:w="1983"/>
        <w:gridCol w:w="1982"/>
      </w:tblGrid>
      <w:tr w:rsidR="00696996" w:rsidTr="005B5E7B">
        <w:trPr>
          <w:tblHeader/>
        </w:trPr>
        <w:tc>
          <w:tcPr>
            <w:tcW w:w="3147" w:type="dxa"/>
            <w:shd w:val="clear" w:color="auto" w:fill="BFBFBF" w:themeFill="background1" w:themeFillShade="BF"/>
          </w:tcPr>
          <w:p w:rsidR="00696996" w:rsidRPr="00B1788D" w:rsidRDefault="00696996" w:rsidP="00D00762">
            <w:pPr>
              <w:keepNext/>
              <w:keepLines/>
              <w:jc w:val="center"/>
              <w:rPr>
                <w:b/>
                <w:sz w:val="20"/>
                <w:szCs w:val="20"/>
              </w:rPr>
            </w:pPr>
          </w:p>
        </w:tc>
        <w:tc>
          <w:tcPr>
            <w:tcW w:w="1983" w:type="dxa"/>
            <w:shd w:val="clear" w:color="auto" w:fill="BFBFBF" w:themeFill="background1" w:themeFillShade="BF"/>
          </w:tcPr>
          <w:p w:rsidR="00696996" w:rsidRPr="00B1788D" w:rsidRDefault="00696996" w:rsidP="00D00762">
            <w:pPr>
              <w:keepNext/>
              <w:keepLines/>
              <w:jc w:val="center"/>
              <w:rPr>
                <w:b/>
                <w:sz w:val="20"/>
                <w:szCs w:val="20"/>
              </w:rPr>
            </w:pPr>
            <w:r w:rsidRPr="00B1788D">
              <w:rPr>
                <w:b/>
                <w:sz w:val="20"/>
                <w:szCs w:val="20"/>
              </w:rPr>
              <w:t>Median</w:t>
            </w:r>
          </w:p>
        </w:tc>
        <w:tc>
          <w:tcPr>
            <w:tcW w:w="1982" w:type="dxa"/>
            <w:shd w:val="clear" w:color="auto" w:fill="BFBFBF" w:themeFill="background1" w:themeFillShade="BF"/>
          </w:tcPr>
          <w:p w:rsidR="00696996" w:rsidRPr="00B1788D" w:rsidRDefault="00696996" w:rsidP="00D00762">
            <w:pPr>
              <w:keepNext/>
              <w:keepLines/>
              <w:jc w:val="center"/>
              <w:rPr>
                <w:b/>
                <w:sz w:val="20"/>
                <w:szCs w:val="20"/>
              </w:rPr>
            </w:pPr>
            <w:r w:rsidRPr="00B1788D">
              <w:rPr>
                <w:b/>
                <w:sz w:val="20"/>
                <w:szCs w:val="20"/>
              </w:rPr>
              <w:t>Mean</w:t>
            </w:r>
          </w:p>
        </w:tc>
      </w:tr>
      <w:tr w:rsidR="00696996" w:rsidTr="006F1CAE">
        <w:tc>
          <w:tcPr>
            <w:tcW w:w="3147" w:type="dxa"/>
          </w:tcPr>
          <w:p w:rsidR="00696996" w:rsidRPr="00B1788D" w:rsidRDefault="002B1FCB" w:rsidP="00D00762">
            <w:pPr>
              <w:keepNext/>
              <w:keepLines/>
              <w:jc w:val="center"/>
              <w:rPr>
                <w:sz w:val="20"/>
                <w:szCs w:val="20"/>
              </w:rPr>
            </w:pPr>
            <w:r w:rsidRPr="00B1788D">
              <w:rPr>
                <w:sz w:val="20"/>
                <w:szCs w:val="20"/>
              </w:rPr>
              <w:t>1st</w:t>
            </w:r>
            <w:r w:rsidR="00696996" w:rsidRPr="00B1788D">
              <w:rPr>
                <w:sz w:val="20"/>
                <w:szCs w:val="20"/>
              </w:rPr>
              <w:t xml:space="preserve"> line pazopanib</w:t>
            </w:r>
          </w:p>
        </w:tc>
        <w:tc>
          <w:tcPr>
            <w:tcW w:w="1983" w:type="dxa"/>
          </w:tcPr>
          <w:p w:rsidR="00696996" w:rsidRPr="00B1788D" w:rsidRDefault="00F6400B" w:rsidP="00D00762">
            <w:pPr>
              <w:keepNext/>
              <w:keepLines/>
              <w:jc w:val="center"/>
              <w:rPr>
                <w:sz w:val="20"/>
                <w:szCs w:val="20"/>
              </w:rPr>
            </w:pPr>
            <w:r w:rsidRPr="00B1788D">
              <w:rPr>
                <w:sz w:val="20"/>
                <w:szCs w:val="20"/>
              </w:rPr>
              <w:t>0.41</w:t>
            </w:r>
            <w:r w:rsidR="00696996" w:rsidRPr="00B1788D">
              <w:rPr>
                <w:sz w:val="20"/>
                <w:szCs w:val="20"/>
              </w:rPr>
              <w:t xml:space="preserve"> years</w:t>
            </w:r>
          </w:p>
          <w:p w:rsidR="00696996" w:rsidRPr="00B1788D" w:rsidRDefault="00F6400B" w:rsidP="00D00762">
            <w:pPr>
              <w:keepNext/>
              <w:keepLines/>
              <w:jc w:val="center"/>
              <w:rPr>
                <w:sz w:val="20"/>
                <w:szCs w:val="20"/>
              </w:rPr>
            </w:pPr>
            <w:r w:rsidRPr="00B1788D">
              <w:rPr>
                <w:sz w:val="20"/>
                <w:szCs w:val="20"/>
              </w:rPr>
              <w:t>4.9</w:t>
            </w:r>
            <w:r w:rsidR="00696996" w:rsidRPr="00B1788D">
              <w:rPr>
                <w:sz w:val="20"/>
                <w:szCs w:val="20"/>
              </w:rPr>
              <w:t xml:space="preserve"> months</w:t>
            </w:r>
          </w:p>
        </w:tc>
        <w:tc>
          <w:tcPr>
            <w:tcW w:w="1982" w:type="dxa"/>
          </w:tcPr>
          <w:p w:rsidR="00696996" w:rsidRPr="00B1788D" w:rsidRDefault="00F6400B" w:rsidP="00D00762">
            <w:pPr>
              <w:keepNext/>
              <w:keepLines/>
              <w:jc w:val="center"/>
              <w:rPr>
                <w:sz w:val="20"/>
                <w:szCs w:val="20"/>
              </w:rPr>
            </w:pPr>
            <w:r w:rsidRPr="00B1788D">
              <w:rPr>
                <w:sz w:val="20"/>
                <w:szCs w:val="20"/>
              </w:rPr>
              <w:t>0.94</w:t>
            </w:r>
            <w:r w:rsidR="00696996" w:rsidRPr="00B1788D">
              <w:rPr>
                <w:sz w:val="20"/>
                <w:szCs w:val="20"/>
              </w:rPr>
              <w:t xml:space="preserve"> years</w:t>
            </w:r>
          </w:p>
          <w:p w:rsidR="00696996" w:rsidRPr="00B1788D" w:rsidRDefault="00F6400B" w:rsidP="00D00762">
            <w:pPr>
              <w:keepNext/>
              <w:keepLines/>
              <w:jc w:val="center"/>
              <w:rPr>
                <w:sz w:val="20"/>
                <w:szCs w:val="20"/>
              </w:rPr>
            </w:pPr>
            <w:r w:rsidRPr="00B1788D">
              <w:rPr>
                <w:sz w:val="20"/>
                <w:szCs w:val="20"/>
              </w:rPr>
              <w:t>11.3</w:t>
            </w:r>
            <w:r w:rsidR="00696996" w:rsidRPr="00B1788D">
              <w:rPr>
                <w:sz w:val="20"/>
                <w:szCs w:val="20"/>
              </w:rPr>
              <w:t xml:space="preserve"> months</w:t>
            </w:r>
          </w:p>
        </w:tc>
      </w:tr>
      <w:tr w:rsidR="00696996" w:rsidTr="006F1CAE">
        <w:trPr>
          <w:trHeight w:val="274"/>
        </w:trPr>
        <w:tc>
          <w:tcPr>
            <w:tcW w:w="3147" w:type="dxa"/>
          </w:tcPr>
          <w:p w:rsidR="00696996" w:rsidRPr="00B1788D" w:rsidRDefault="002B1FCB" w:rsidP="00D00762">
            <w:pPr>
              <w:keepNext/>
              <w:keepLines/>
              <w:jc w:val="center"/>
              <w:rPr>
                <w:sz w:val="20"/>
                <w:szCs w:val="20"/>
              </w:rPr>
            </w:pPr>
            <w:r w:rsidRPr="00B1788D">
              <w:rPr>
                <w:sz w:val="20"/>
                <w:szCs w:val="20"/>
              </w:rPr>
              <w:t>1st</w:t>
            </w:r>
            <w:r w:rsidR="00696996" w:rsidRPr="00B1788D">
              <w:rPr>
                <w:sz w:val="20"/>
                <w:szCs w:val="20"/>
              </w:rPr>
              <w:t xml:space="preserve"> line sunitinib</w:t>
            </w:r>
          </w:p>
        </w:tc>
        <w:tc>
          <w:tcPr>
            <w:tcW w:w="1983" w:type="dxa"/>
          </w:tcPr>
          <w:p w:rsidR="00696996" w:rsidRPr="00B1788D" w:rsidRDefault="00F6400B" w:rsidP="00D00762">
            <w:pPr>
              <w:keepNext/>
              <w:keepLines/>
              <w:jc w:val="center"/>
              <w:rPr>
                <w:sz w:val="20"/>
                <w:szCs w:val="20"/>
              </w:rPr>
            </w:pPr>
            <w:r w:rsidRPr="00B1788D">
              <w:rPr>
                <w:sz w:val="20"/>
                <w:szCs w:val="20"/>
              </w:rPr>
              <w:t>0.53</w:t>
            </w:r>
            <w:r w:rsidR="00696996" w:rsidRPr="00B1788D">
              <w:rPr>
                <w:sz w:val="20"/>
                <w:szCs w:val="20"/>
              </w:rPr>
              <w:t xml:space="preserve"> years</w:t>
            </w:r>
          </w:p>
          <w:p w:rsidR="00696996" w:rsidRPr="00B1788D" w:rsidRDefault="00F6400B" w:rsidP="00D00762">
            <w:pPr>
              <w:keepNext/>
              <w:keepLines/>
              <w:jc w:val="center"/>
              <w:rPr>
                <w:sz w:val="20"/>
                <w:szCs w:val="20"/>
              </w:rPr>
            </w:pPr>
            <w:r w:rsidRPr="00B1788D">
              <w:rPr>
                <w:sz w:val="20"/>
                <w:szCs w:val="20"/>
              </w:rPr>
              <w:t>6.4</w:t>
            </w:r>
            <w:r w:rsidR="00696996" w:rsidRPr="00B1788D">
              <w:rPr>
                <w:sz w:val="20"/>
                <w:szCs w:val="20"/>
              </w:rPr>
              <w:t xml:space="preserve"> months</w:t>
            </w:r>
          </w:p>
        </w:tc>
        <w:tc>
          <w:tcPr>
            <w:tcW w:w="1982" w:type="dxa"/>
          </w:tcPr>
          <w:p w:rsidR="00696996" w:rsidRPr="00B1788D" w:rsidRDefault="00F6400B" w:rsidP="00D00762">
            <w:pPr>
              <w:keepNext/>
              <w:keepLines/>
              <w:jc w:val="center"/>
              <w:rPr>
                <w:sz w:val="20"/>
                <w:szCs w:val="20"/>
              </w:rPr>
            </w:pPr>
            <w:r w:rsidRPr="00B1788D">
              <w:rPr>
                <w:sz w:val="20"/>
                <w:szCs w:val="20"/>
              </w:rPr>
              <w:t>1.19</w:t>
            </w:r>
            <w:r w:rsidR="00696996" w:rsidRPr="00B1788D">
              <w:rPr>
                <w:sz w:val="20"/>
                <w:szCs w:val="20"/>
              </w:rPr>
              <w:t xml:space="preserve"> years</w:t>
            </w:r>
          </w:p>
          <w:p w:rsidR="00696996" w:rsidRPr="00B1788D" w:rsidRDefault="00F6400B" w:rsidP="00D00762">
            <w:pPr>
              <w:keepNext/>
              <w:keepLines/>
              <w:jc w:val="center"/>
              <w:rPr>
                <w:sz w:val="20"/>
                <w:szCs w:val="20"/>
              </w:rPr>
            </w:pPr>
            <w:r w:rsidRPr="00B1788D">
              <w:rPr>
                <w:sz w:val="20"/>
                <w:szCs w:val="20"/>
              </w:rPr>
              <w:t>14.3</w:t>
            </w:r>
            <w:r w:rsidR="00696996" w:rsidRPr="00B1788D">
              <w:rPr>
                <w:sz w:val="20"/>
                <w:szCs w:val="20"/>
              </w:rPr>
              <w:t xml:space="preserve"> months</w:t>
            </w:r>
          </w:p>
        </w:tc>
      </w:tr>
    </w:tbl>
    <w:p w:rsidR="00696996" w:rsidRDefault="00696996" w:rsidP="00696996">
      <w:pPr>
        <w:spacing w:after="0"/>
      </w:pPr>
    </w:p>
    <w:p w:rsidR="004A3559" w:rsidRDefault="004A3559" w:rsidP="00696996">
      <w:pPr>
        <w:spacing w:after="0"/>
      </w:pPr>
      <w:r>
        <w:t>The</w:t>
      </w:r>
      <w:r w:rsidR="00524E53">
        <w:t xml:space="preserve"> median length of treatment with </w:t>
      </w:r>
      <w:r w:rsidR="0094245B">
        <w:t xml:space="preserve">sunitinib is slightly more than </w:t>
      </w:r>
      <w:r w:rsidR="00524E53">
        <w:t>paz</w:t>
      </w:r>
      <w:r w:rsidR="0094245B">
        <w:t xml:space="preserve">opanib. The mean length of treatment is more than double the median for both medicines, due to there being some very long term </w:t>
      </w:r>
      <w:r w:rsidR="00CF0AE7">
        <w:t>patients.</w:t>
      </w:r>
      <w:r>
        <w:t xml:space="preserve"> </w:t>
      </w:r>
    </w:p>
    <w:p w:rsidR="00696996" w:rsidRPr="00696996" w:rsidRDefault="00696996" w:rsidP="004A3559">
      <w:pPr>
        <w:spacing w:after="0"/>
      </w:pPr>
    </w:p>
    <w:p w:rsidR="004A3559" w:rsidRPr="004A3559" w:rsidRDefault="004A3559" w:rsidP="004A3559">
      <w:pPr>
        <w:spacing w:after="0"/>
      </w:pPr>
      <w:r>
        <w:t xml:space="preserve">The </w:t>
      </w:r>
      <w:r w:rsidR="009A3EB4">
        <w:t>2nd</w:t>
      </w:r>
      <w:r w:rsidR="00524E53">
        <w:t xml:space="preserve"> line </w:t>
      </w:r>
      <w:r>
        <w:t xml:space="preserve">nivolumab </w:t>
      </w:r>
      <w:r w:rsidRPr="004A3559">
        <w:t xml:space="preserve">estimates were sensitive to the projected </w:t>
      </w:r>
      <w:r w:rsidR="002B1FCB">
        <w:t>1st</w:t>
      </w:r>
      <w:r w:rsidRPr="004A3559">
        <w:t xml:space="preserve"> line population and assumptions around the proportion failing TKIs. </w:t>
      </w:r>
      <w:r w:rsidR="0094245B">
        <w:t xml:space="preserve">The March 2017 estimates assumed that 85% of patients that initiate a </w:t>
      </w:r>
      <w:r w:rsidR="002B1FCB">
        <w:t>1st</w:t>
      </w:r>
      <w:r w:rsidR="0094245B">
        <w:t xml:space="preserve"> line TKI in a year will seek </w:t>
      </w:r>
      <w:r w:rsidR="009A3EB4">
        <w:t>2nd</w:t>
      </w:r>
      <w:r w:rsidR="0094245B">
        <w:t xml:space="preserve"> line treatment in the same year. Of these it is assumed 90% will be treated with nivolumab. </w:t>
      </w:r>
      <w:r w:rsidR="00CF0AE7">
        <w:t xml:space="preserve">The results from figure </w:t>
      </w:r>
      <w:r w:rsidR="003B0ACE">
        <w:t>9</w:t>
      </w:r>
      <w:r w:rsidR="00CF0AE7">
        <w:t xml:space="preserve"> are that after 1 year, 73% and 67%of patients have ceased treatment with pazopanib and sunitinib respectively. Thus the proportion failing </w:t>
      </w:r>
      <w:r w:rsidR="002B1FCB">
        <w:t>1st</w:t>
      </w:r>
      <w:r w:rsidR="00CF0AE7">
        <w:t xml:space="preserve"> line TKI therapy was lower than expected in the estimates.</w:t>
      </w:r>
    </w:p>
    <w:p w:rsidR="000E01E9" w:rsidRPr="000E01E9" w:rsidRDefault="000E01E9" w:rsidP="000E01E9">
      <w:pPr>
        <w:pStyle w:val="Heading3"/>
      </w:pPr>
      <w:r w:rsidRPr="000E01E9">
        <w:t>Adjusting Length of Treatment using date of death</w:t>
      </w:r>
    </w:p>
    <w:p w:rsidR="00117DE2" w:rsidRDefault="00117DE2" w:rsidP="00117DE2">
      <w:pPr>
        <w:rPr>
          <w:rFonts w:ascii="Calibri" w:eastAsia="MS Mincho" w:hAnsi="Calibri" w:cs="Times New Roman"/>
        </w:rPr>
      </w:pPr>
      <w:r>
        <w:rPr>
          <w:rFonts w:ascii="Calibri" w:eastAsia="MS Mincho" w:hAnsi="Calibri" w:cs="Times New Roman"/>
        </w:rPr>
        <w:t>Date of death data was sourced from Services Australia for all patients that had been treated with nivolumab. These data were used to adjust the estimated length of nivol</w:t>
      </w:r>
      <w:r w:rsidR="006C7D3A">
        <w:rPr>
          <w:rFonts w:ascii="Calibri" w:eastAsia="MS Mincho" w:hAnsi="Calibri" w:cs="Times New Roman"/>
        </w:rPr>
        <w:t>umab treatment shown in Figure 7</w:t>
      </w:r>
      <w:r>
        <w:rPr>
          <w:rFonts w:ascii="Calibri" w:eastAsia="MS Mincho" w:hAnsi="Calibri" w:cs="Times New Roman"/>
        </w:rPr>
        <w:t xml:space="preserve">. That is, if the coverage end date based on prescriptions was greater than the date of death, then the coverage end date was changed to the date of death, otherwise it remained unchanged. This effectively meant that the </w:t>
      </w:r>
      <w:r w:rsidR="00B644B7">
        <w:rPr>
          <w:rFonts w:ascii="Calibri" w:eastAsia="MS Mincho" w:hAnsi="Calibri" w:cs="Times New Roman"/>
        </w:rPr>
        <w:t>time</w:t>
      </w:r>
      <w:r>
        <w:rPr>
          <w:rFonts w:ascii="Calibri" w:eastAsia="MS Mincho" w:hAnsi="Calibri" w:cs="Times New Roman"/>
        </w:rPr>
        <w:t xml:space="preserve"> o</w:t>
      </w:r>
      <w:r w:rsidR="00B644B7">
        <w:rPr>
          <w:rFonts w:ascii="Calibri" w:eastAsia="MS Mincho" w:hAnsi="Calibri" w:cs="Times New Roman"/>
        </w:rPr>
        <w:t>n</w:t>
      </w:r>
      <w:r>
        <w:rPr>
          <w:rFonts w:ascii="Calibri" w:eastAsia="MS Mincho" w:hAnsi="Calibri" w:cs="Times New Roman"/>
        </w:rPr>
        <w:t xml:space="preserve"> treatment would be slightly shorter for patients who had died and </w:t>
      </w:r>
      <w:r w:rsidR="00F64C7D">
        <w:rPr>
          <w:rFonts w:ascii="Calibri" w:eastAsia="MS Mincho" w:hAnsi="Calibri" w:cs="Times New Roman"/>
        </w:rPr>
        <w:t>whose</w:t>
      </w:r>
      <w:r>
        <w:rPr>
          <w:rFonts w:ascii="Calibri" w:eastAsia="MS Mincho" w:hAnsi="Calibri" w:cs="Times New Roman"/>
        </w:rPr>
        <w:t xml:space="preserve"> date of death was within </w:t>
      </w:r>
      <w:r w:rsidR="009F5614">
        <w:rPr>
          <w:rFonts w:ascii="Calibri" w:eastAsia="MS Mincho" w:hAnsi="Calibri" w:cs="Times New Roman"/>
        </w:rPr>
        <w:t xml:space="preserve">one SCD </w:t>
      </w:r>
      <w:r w:rsidR="00F64C7D">
        <w:rPr>
          <w:rFonts w:ascii="Calibri" w:eastAsia="MS Mincho" w:hAnsi="Calibri" w:cs="Times New Roman"/>
        </w:rPr>
        <w:t xml:space="preserve">after </w:t>
      </w:r>
      <w:r w:rsidR="009F5614">
        <w:rPr>
          <w:rFonts w:ascii="Calibri" w:eastAsia="MS Mincho" w:hAnsi="Calibri" w:cs="Times New Roman"/>
        </w:rPr>
        <w:t>their last prescription</w:t>
      </w:r>
      <w:r w:rsidR="0047084E">
        <w:rPr>
          <w:rFonts w:ascii="Calibri" w:eastAsia="MS Mincho" w:hAnsi="Calibri" w:cs="Times New Roman"/>
        </w:rPr>
        <w:t>.</w:t>
      </w:r>
    </w:p>
    <w:p w:rsidR="00272105" w:rsidRDefault="00F64C7D" w:rsidP="00117DE2">
      <w:pPr>
        <w:rPr>
          <w:rFonts w:ascii="Calibri" w:eastAsia="MS Mincho" w:hAnsi="Calibri" w:cs="Times New Roman"/>
        </w:rPr>
      </w:pPr>
      <w:r>
        <w:rPr>
          <w:rFonts w:ascii="Calibri" w:eastAsia="MS Mincho" w:hAnsi="Calibri" w:cs="Times New Roman"/>
        </w:rPr>
        <w:t xml:space="preserve">During this analysis it was found that </w:t>
      </w:r>
      <w:r w:rsidR="009F5614">
        <w:rPr>
          <w:rFonts w:ascii="Calibri" w:eastAsia="MS Mincho" w:hAnsi="Calibri" w:cs="Times New Roman"/>
        </w:rPr>
        <w:t>of the 1,382 patients</w:t>
      </w:r>
      <w:r w:rsidR="00347DCA">
        <w:rPr>
          <w:rFonts w:ascii="Calibri" w:eastAsia="MS Mincho" w:hAnsi="Calibri" w:cs="Times New Roman"/>
        </w:rPr>
        <w:t xml:space="preserve"> </w:t>
      </w:r>
      <w:r w:rsidR="00B60540">
        <w:rPr>
          <w:rFonts w:ascii="Calibri" w:eastAsia="MS Mincho" w:hAnsi="Calibri" w:cs="Times New Roman"/>
        </w:rPr>
        <w:t xml:space="preserve">that had </w:t>
      </w:r>
      <w:r w:rsidR="009A3EB4">
        <w:rPr>
          <w:rFonts w:ascii="Calibri" w:eastAsia="MS Mincho" w:hAnsi="Calibri" w:cs="Times New Roman"/>
        </w:rPr>
        <w:t>2nd</w:t>
      </w:r>
      <w:r w:rsidR="00B60540">
        <w:rPr>
          <w:rFonts w:ascii="Calibri" w:eastAsia="MS Mincho" w:hAnsi="Calibri" w:cs="Times New Roman"/>
        </w:rPr>
        <w:t xml:space="preserve"> line nivolumab treatment </w:t>
      </w:r>
      <w:r w:rsidR="006C7D3A">
        <w:rPr>
          <w:rFonts w:ascii="Calibri" w:eastAsia="MS Mincho" w:hAnsi="Calibri" w:cs="Times New Roman"/>
        </w:rPr>
        <w:t>(see Figure 7</w:t>
      </w:r>
      <w:r w:rsidR="00347DCA">
        <w:rPr>
          <w:rFonts w:ascii="Calibri" w:eastAsia="MS Mincho" w:hAnsi="Calibri" w:cs="Times New Roman"/>
        </w:rPr>
        <w:t>)</w:t>
      </w:r>
      <w:r w:rsidR="009F5614">
        <w:rPr>
          <w:rFonts w:ascii="Calibri" w:eastAsia="MS Mincho" w:hAnsi="Calibri" w:cs="Times New Roman"/>
        </w:rPr>
        <w:t>,</w:t>
      </w:r>
      <w:r w:rsidR="00B60540">
        <w:rPr>
          <w:rFonts w:ascii="Calibri" w:eastAsia="MS Mincho" w:hAnsi="Calibri" w:cs="Times New Roman"/>
        </w:rPr>
        <w:t xml:space="preserve"> 6 patients had an anomalous date of death and were removed from the analysis leaving 1,376. An anomalous date of death was defined as one which was more than one SCD prior to the supply date </w:t>
      </w:r>
      <w:r w:rsidR="00031D27">
        <w:rPr>
          <w:rFonts w:ascii="Calibri" w:eastAsia="MS Mincho" w:hAnsi="Calibri" w:cs="Times New Roman"/>
        </w:rPr>
        <w:t>of</w:t>
      </w:r>
      <w:r w:rsidR="00B60540">
        <w:rPr>
          <w:rFonts w:ascii="Calibri" w:eastAsia="MS Mincho" w:hAnsi="Calibri" w:cs="Times New Roman"/>
        </w:rPr>
        <w:t xml:space="preserve"> a patient’s final prescription. If the date of death was less than one SCD prior to a patient’s final prescription, it was considered plausible. In this case the final script was considered anomalous and removed from the analysis.</w:t>
      </w:r>
      <w:r w:rsidR="00272105">
        <w:rPr>
          <w:rFonts w:ascii="Calibri" w:eastAsia="MS Mincho" w:hAnsi="Calibri" w:cs="Times New Roman"/>
        </w:rPr>
        <w:t xml:space="preserve"> </w:t>
      </w:r>
    </w:p>
    <w:p w:rsidR="002A1D03" w:rsidRDefault="00272105" w:rsidP="00117DE2">
      <w:pPr>
        <w:rPr>
          <w:rFonts w:ascii="Calibri" w:eastAsia="MS Mincho" w:hAnsi="Calibri" w:cs="Times New Roman"/>
        </w:rPr>
      </w:pPr>
      <w:r>
        <w:rPr>
          <w:rFonts w:ascii="Calibri" w:eastAsia="MS Mincho" w:hAnsi="Calibri" w:cs="Times New Roman"/>
        </w:rPr>
        <w:t>In addition the censoring scheme used for the Kaplan Meier analysis was modified base on the date of death. If a patient was deemed to have died no treatment then they were censored (i.e. deemed to be continuing treatment). The definition of “Died on Treatment” was than the patient died within one SCD after the supply of their last nivolumab prescription.</w:t>
      </w:r>
      <w:r w:rsidR="00B644B7">
        <w:rPr>
          <w:rFonts w:ascii="Calibri" w:eastAsia="MS Mincho" w:hAnsi="Calibri" w:cs="Times New Roman"/>
        </w:rPr>
        <w:t xml:space="preserve"> </w:t>
      </w:r>
      <w:r w:rsidR="002A1D03">
        <w:rPr>
          <w:rFonts w:ascii="Calibri" w:eastAsia="MS Mincho" w:hAnsi="Calibri" w:cs="Times New Roman"/>
        </w:rPr>
        <w:t>Table 1</w:t>
      </w:r>
      <w:r w:rsidR="006D7F26">
        <w:rPr>
          <w:rFonts w:ascii="Calibri" w:eastAsia="MS Mincho" w:hAnsi="Calibri" w:cs="Times New Roman"/>
        </w:rPr>
        <w:t>1</w:t>
      </w:r>
      <w:r w:rsidR="002A1D03">
        <w:rPr>
          <w:rFonts w:ascii="Calibri" w:eastAsia="MS Mincho" w:hAnsi="Calibri" w:cs="Times New Roman"/>
        </w:rPr>
        <w:t xml:space="preserve"> shows the status</w:t>
      </w:r>
      <w:r>
        <w:rPr>
          <w:rFonts w:ascii="Calibri" w:eastAsia="MS Mincho" w:hAnsi="Calibri" w:cs="Times New Roman"/>
        </w:rPr>
        <w:t xml:space="preserve"> and censoring</w:t>
      </w:r>
      <w:r w:rsidR="002A1D03">
        <w:rPr>
          <w:rFonts w:ascii="Calibri" w:eastAsia="MS Mincho" w:hAnsi="Calibri" w:cs="Times New Roman"/>
        </w:rPr>
        <w:t xml:space="preserve"> of the </w:t>
      </w:r>
      <w:r w:rsidR="00FA47C8">
        <w:rPr>
          <w:rFonts w:ascii="Calibri" w:eastAsia="MS Mincho" w:hAnsi="Calibri" w:cs="Times New Roman"/>
        </w:rPr>
        <w:t>patients</w:t>
      </w:r>
      <w:r w:rsidR="00B644B7">
        <w:rPr>
          <w:rFonts w:ascii="Calibri" w:eastAsia="MS Mincho" w:hAnsi="Calibri" w:cs="Times New Roman"/>
        </w:rPr>
        <w:t xml:space="preserve"> in the analysis</w:t>
      </w:r>
      <w:r w:rsidR="002A1D03">
        <w:rPr>
          <w:rFonts w:ascii="Calibri" w:eastAsia="MS Mincho" w:hAnsi="Calibri" w:cs="Times New Roman"/>
        </w:rPr>
        <w:t>.</w:t>
      </w:r>
    </w:p>
    <w:p w:rsidR="00272105" w:rsidRPr="00272105" w:rsidRDefault="006D7F26" w:rsidP="00272105">
      <w:pPr>
        <w:keepNext/>
        <w:keepLines/>
        <w:spacing w:after="0"/>
        <w:rPr>
          <w:rFonts w:ascii="Calibri" w:eastAsia="MS Mincho" w:hAnsi="Calibri" w:cs="Times New Roman"/>
          <w:b/>
        </w:rPr>
      </w:pPr>
      <w:r>
        <w:rPr>
          <w:rFonts w:ascii="Calibri" w:eastAsia="MS Mincho" w:hAnsi="Calibri" w:cs="Times New Roman"/>
          <w:b/>
        </w:rPr>
        <w:t>Table 11</w:t>
      </w:r>
      <w:r w:rsidR="00272105" w:rsidRPr="00272105">
        <w:rPr>
          <w:rFonts w:ascii="Calibri" w:eastAsia="MS Mincho" w:hAnsi="Calibri" w:cs="Times New Roman"/>
          <w:b/>
        </w:rPr>
        <w:t>: Patient status and censoring</w:t>
      </w:r>
    </w:p>
    <w:tbl>
      <w:tblPr>
        <w:tblW w:w="9088" w:type="dxa"/>
        <w:tblInd w:w="-5" w:type="dxa"/>
        <w:tblLook w:val="04A0" w:firstRow="1" w:lastRow="0" w:firstColumn="1" w:lastColumn="0" w:noHBand="0" w:noVBand="1"/>
      </w:tblPr>
      <w:tblGrid>
        <w:gridCol w:w="3628"/>
        <w:gridCol w:w="1318"/>
        <w:gridCol w:w="1701"/>
        <w:gridCol w:w="1341"/>
        <w:gridCol w:w="1100"/>
      </w:tblGrid>
      <w:tr w:rsidR="00613A3B" w:rsidRPr="00272105" w:rsidTr="00B1788D">
        <w:trPr>
          <w:trHeight w:val="300"/>
        </w:trPr>
        <w:tc>
          <w:tcPr>
            <w:tcW w:w="3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72105" w:rsidRPr="00272105" w:rsidRDefault="00272105" w:rsidP="00272105">
            <w:pPr>
              <w:keepNext/>
              <w:keepLines/>
              <w:spacing w:after="0"/>
              <w:rPr>
                <w:rFonts w:ascii="Calibri" w:eastAsia="Times New Roman" w:hAnsi="Calibri" w:cs="Calibri"/>
                <w:b/>
                <w:sz w:val="20"/>
                <w:szCs w:val="20"/>
              </w:rPr>
            </w:pPr>
            <w:r w:rsidRPr="00272105">
              <w:rPr>
                <w:rFonts w:ascii="Calibri" w:eastAsia="Times New Roman" w:hAnsi="Calibri" w:cs="Calibri"/>
                <w:b/>
                <w:sz w:val="20"/>
                <w:szCs w:val="20"/>
              </w:rPr>
              <w:t>Patient status</w:t>
            </w:r>
          </w:p>
        </w:tc>
        <w:tc>
          <w:tcPr>
            <w:tcW w:w="1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72105" w:rsidRPr="00272105" w:rsidRDefault="00272105" w:rsidP="00272105">
            <w:pPr>
              <w:keepNext/>
              <w:keepLines/>
              <w:spacing w:after="0"/>
              <w:jc w:val="center"/>
              <w:rPr>
                <w:rFonts w:ascii="Calibri" w:eastAsia="Times New Roman" w:hAnsi="Calibri" w:cs="Calibri"/>
                <w:b/>
                <w:sz w:val="20"/>
                <w:szCs w:val="20"/>
              </w:rPr>
            </w:pPr>
            <w:r w:rsidRPr="004F7FED">
              <w:rPr>
                <w:rFonts w:ascii="Calibri" w:eastAsia="Times New Roman" w:hAnsi="Calibri" w:cs="Calibri"/>
                <w:b/>
                <w:sz w:val="20"/>
                <w:szCs w:val="20"/>
              </w:rPr>
              <w:t>Original c</w:t>
            </w:r>
            <w:r w:rsidRPr="00272105">
              <w:rPr>
                <w:rFonts w:ascii="Calibri" w:eastAsia="Times New Roman" w:hAnsi="Calibri" w:cs="Calibri"/>
                <w:b/>
                <w:sz w:val="20"/>
                <w:szCs w:val="20"/>
              </w:rPr>
              <w:t>ensoring</w:t>
            </w:r>
            <w:r w:rsidRPr="004F7FED">
              <w:rPr>
                <w:rFonts w:ascii="Calibri" w:eastAsia="Times New Roman" w:hAnsi="Calibri" w:cs="Calibri"/>
                <w:b/>
                <w:sz w:val="20"/>
                <w:szCs w:val="20"/>
              </w:rPr>
              <w:t>*</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72105" w:rsidRPr="00272105" w:rsidRDefault="00272105" w:rsidP="00272105">
            <w:pPr>
              <w:keepNext/>
              <w:keepLines/>
              <w:spacing w:after="0"/>
              <w:jc w:val="center"/>
              <w:rPr>
                <w:rFonts w:ascii="Calibri" w:eastAsia="Times New Roman" w:hAnsi="Calibri" w:cs="Calibri"/>
                <w:b/>
                <w:sz w:val="20"/>
                <w:szCs w:val="20"/>
              </w:rPr>
            </w:pPr>
            <w:r w:rsidRPr="00272105">
              <w:rPr>
                <w:rFonts w:ascii="Calibri" w:eastAsia="Times New Roman" w:hAnsi="Calibri" w:cs="Calibri"/>
                <w:b/>
                <w:sz w:val="20"/>
                <w:szCs w:val="20"/>
              </w:rPr>
              <w:t>DoD adjusted censoring</w:t>
            </w:r>
            <w:r w:rsidRPr="004F7FED">
              <w:rPr>
                <w:rFonts w:ascii="Calibri" w:eastAsia="Times New Roman" w:hAnsi="Calibri" w:cs="Calibri"/>
                <w:b/>
                <w:sz w:val="20"/>
                <w:szCs w:val="20"/>
              </w:rPr>
              <w:t>*</w:t>
            </w:r>
          </w:p>
        </w:tc>
        <w:tc>
          <w:tcPr>
            <w:tcW w:w="134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72105" w:rsidRPr="00272105" w:rsidRDefault="00272105" w:rsidP="00272105">
            <w:pPr>
              <w:keepNext/>
              <w:keepLines/>
              <w:spacing w:after="0"/>
              <w:jc w:val="center"/>
              <w:rPr>
                <w:rFonts w:ascii="Calibri" w:eastAsia="Times New Roman" w:hAnsi="Calibri" w:cs="Calibri"/>
                <w:b/>
                <w:sz w:val="20"/>
                <w:szCs w:val="20"/>
              </w:rPr>
            </w:pPr>
            <w:r w:rsidRPr="00272105">
              <w:rPr>
                <w:rFonts w:ascii="Calibri" w:eastAsia="Times New Roman" w:hAnsi="Calibri" w:cs="Calibri"/>
                <w:b/>
                <w:sz w:val="20"/>
                <w:szCs w:val="20"/>
              </w:rPr>
              <w:t>Patients</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72105" w:rsidRPr="00272105" w:rsidRDefault="00272105" w:rsidP="00272105">
            <w:pPr>
              <w:keepNext/>
              <w:keepLines/>
              <w:spacing w:after="0"/>
              <w:jc w:val="center"/>
              <w:rPr>
                <w:rFonts w:ascii="Calibri" w:eastAsia="Times New Roman" w:hAnsi="Calibri" w:cs="Calibri"/>
                <w:b/>
                <w:sz w:val="20"/>
                <w:szCs w:val="20"/>
              </w:rPr>
            </w:pPr>
            <w:r w:rsidRPr="00272105">
              <w:rPr>
                <w:rFonts w:ascii="Calibri" w:eastAsia="Times New Roman" w:hAnsi="Calibri" w:cs="Calibri"/>
                <w:b/>
                <w:sz w:val="20"/>
                <w:szCs w:val="20"/>
              </w:rPr>
              <w:t>% Patients</w:t>
            </w:r>
          </w:p>
        </w:tc>
      </w:tr>
      <w:tr w:rsidR="002E6563" w:rsidRPr="00272105" w:rsidTr="00613A3B">
        <w:trPr>
          <w:trHeight w:val="300"/>
        </w:trPr>
        <w:tc>
          <w:tcPr>
            <w:tcW w:w="3628" w:type="dxa"/>
            <w:tcBorders>
              <w:top w:val="nil"/>
              <w:left w:val="single" w:sz="4" w:space="0" w:color="auto"/>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rPr>
                <w:rFonts w:ascii="Calibri" w:eastAsia="Times New Roman" w:hAnsi="Calibri" w:cs="Calibri"/>
                <w:sz w:val="20"/>
                <w:szCs w:val="20"/>
              </w:rPr>
            </w:pPr>
            <w:r w:rsidRPr="00272105">
              <w:rPr>
                <w:rFonts w:ascii="Calibri" w:eastAsia="Times New Roman" w:hAnsi="Calibri" w:cs="Calibri"/>
                <w:sz w:val="20"/>
                <w:szCs w:val="20"/>
              </w:rPr>
              <w:t>Alive not on treatment</w:t>
            </w:r>
          </w:p>
        </w:tc>
        <w:tc>
          <w:tcPr>
            <w:tcW w:w="1318"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sidRPr="00272105">
              <w:rPr>
                <w:rFonts w:ascii="Calibri" w:eastAsia="Times New Roman" w:hAnsi="Calibri" w:cs="Calibri"/>
                <w:sz w:val="20"/>
                <w:szCs w:val="20"/>
              </w:rPr>
              <w:t>0</w:t>
            </w:r>
          </w:p>
        </w:tc>
        <w:tc>
          <w:tcPr>
            <w:tcW w:w="170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sidRPr="00272105">
              <w:rPr>
                <w:rFonts w:ascii="Calibri" w:eastAsia="Times New Roman" w:hAnsi="Calibri" w:cs="Calibri"/>
                <w:sz w:val="20"/>
                <w:szCs w:val="20"/>
              </w:rPr>
              <w:t>0</w:t>
            </w:r>
          </w:p>
        </w:tc>
        <w:tc>
          <w:tcPr>
            <w:tcW w:w="134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409</w:t>
            </w:r>
          </w:p>
        </w:tc>
        <w:tc>
          <w:tcPr>
            <w:tcW w:w="1100"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29.7</w:t>
            </w:r>
          </w:p>
        </w:tc>
      </w:tr>
      <w:tr w:rsidR="002E6563" w:rsidRPr="00272105" w:rsidTr="00613A3B">
        <w:trPr>
          <w:trHeight w:val="300"/>
        </w:trPr>
        <w:tc>
          <w:tcPr>
            <w:tcW w:w="3628" w:type="dxa"/>
            <w:tcBorders>
              <w:top w:val="nil"/>
              <w:left w:val="single" w:sz="4" w:space="0" w:color="auto"/>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rPr>
                <w:rFonts w:ascii="Calibri" w:eastAsia="Times New Roman" w:hAnsi="Calibri" w:cs="Calibri"/>
                <w:sz w:val="20"/>
                <w:szCs w:val="20"/>
              </w:rPr>
            </w:pPr>
            <w:r w:rsidRPr="00272105">
              <w:rPr>
                <w:rFonts w:ascii="Calibri" w:eastAsia="Times New Roman" w:hAnsi="Calibri" w:cs="Calibri"/>
                <w:sz w:val="20"/>
                <w:szCs w:val="20"/>
              </w:rPr>
              <w:t>Alive on treatment</w:t>
            </w:r>
          </w:p>
        </w:tc>
        <w:tc>
          <w:tcPr>
            <w:tcW w:w="1318"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sidRPr="00272105">
              <w:rPr>
                <w:rFonts w:ascii="Calibri" w:eastAsia="Times New Roman" w:hAnsi="Calibri" w:cs="Calibri"/>
                <w:sz w:val="20"/>
                <w:szCs w:val="20"/>
              </w:rPr>
              <w:t>1</w:t>
            </w:r>
          </w:p>
        </w:tc>
        <w:tc>
          <w:tcPr>
            <w:tcW w:w="170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sidRPr="00272105">
              <w:rPr>
                <w:rFonts w:ascii="Calibri" w:eastAsia="Times New Roman" w:hAnsi="Calibri" w:cs="Calibri"/>
                <w:sz w:val="20"/>
                <w:szCs w:val="20"/>
              </w:rPr>
              <w:t>1</w:t>
            </w:r>
          </w:p>
        </w:tc>
        <w:tc>
          <w:tcPr>
            <w:tcW w:w="134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388</w:t>
            </w:r>
          </w:p>
        </w:tc>
        <w:tc>
          <w:tcPr>
            <w:tcW w:w="1100"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28.2</w:t>
            </w:r>
          </w:p>
        </w:tc>
      </w:tr>
      <w:tr w:rsidR="002E6563" w:rsidRPr="00272105" w:rsidTr="00613A3B">
        <w:trPr>
          <w:trHeight w:val="300"/>
        </w:trPr>
        <w:tc>
          <w:tcPr>
            <w:tcW w:w="3628" w:type="dxa"/>
            <w:tcBorders>
              <w:top w:val="nil"/>
              <w:left w:val="single" w:sz="4" w:space="0" w:color="auto"/>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rPr>
                <w:rFonts w:ascii="Calibri" w:eastAsia="Times New Roman" w:hAnsi="Calibri" w:cs="Calibri"/>
                <w:sz w:val="20"/>
                <w:szCs w:val="20"/>
              </w:rPr>
            </w:pPr>
            <w:r w:rsidRPr="00272105">
              <w:rPr>
                <w:rFonts w:ascii="Calibri" w:eastAsia="Times New Roman" w:hAnsi="Calibri" w:cs="Calibri"/>
                <w:sz w:val="20"/>
                <w:szCs w:val="20"/>
              </w:rPr>
              <w:t>Died on treatment</w:t>
            </w:r>
          </w:p>
        </w:tc>
        <w:tc>
          <w:tcPr>
            <w:tcW w:w="1318"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sidRPr="00272105">
              <w:rPr>
                <w:rFonts w:ascii="Calibri" w:eastAsia="Times New Roman" w:hAnsi="Calibri" w:cs="Calibri"/>
                <w:sz w:val="20"/>
                <w:szCs w:val="20"/>
              </w:rPr>
              <w:t>0</w:t>
            </w:r>
          </w:p>
        </w:tc>
        <w:tc>
          <w:tcPr>
            <w:tcW w:w="170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sidRPr="00272105">
              <w:rPr>
                <w:rFonts w:ascii="Calibri" w:eastAsia="Times New Roman" w:hAnsi="Calibri" w:cs="Calibri"/>
                <w:sz w:val="20"/>
                <w:szCs w:val="20"/>
              </w:rPr>
              <w:t>1</w:t>
            </w:r>
          </w:p>
        </w:tc>
        <w:tc>
          <w:tcPr>
            <w:tcW w:w="134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98</w:t>
            </w:r>
          </w:p>
        </w:tc>
        <w:tc>
          <w:tcPr>
            <w:tcW w:w="1100"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7.1</w:t>
            </w:r>
          </w:p>
        </w:tc>
      </w:tr>
      <w:tr w:rsidR="002E6563" w:rsidRPr="00272105" w:rsidTr="00613A3B">
        <w:trPr>
          <w:trHeight w:val="300"/>
        </w:trPr>
        <w:tc>
          <w:tcPr>
            <w:tcW w:w="3628" w:type="dxa"/>
            <w:tcBorders>
              <w:top w:val="nil"/>
              <w:left w:val="single" w:sz="4" w:space="0" w:color="auto"/>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rPr>
                <w:rFonts w:ascii="Calibri" w:eastAsia="Times New Roman" w:hAnsi="Calibri" w:cs="Calibri"/>
                <w:sz w:val="20"/>
                <w:szCs w:val="20"/>
              </w:rPr>
            </w:pPr>
            <w:r w:rsidRPr="00272105">
              <w:rPr>
                <w:rFonts w:ascii="Calibri" w:eastAsia="Times New Roman" w:hAnsi="Calibri" w:cs="Calibri"/>
                <w:sz w:val="20"/>
                <w:szCs w:val="20"/>
              </w:rPr>
              <w:t>Died, but did not die on treatment</w:t>
            </w:r>
          </w:p>
        </w:tc>
        <w:tc>
          <w:tcPr>
            <w:tcW w:w="1318"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sidRPr="00272105">
              <w:rPr>
                <w:rFonts w:ascii="Calibri" w:eastAsia="Times New Roman" w:hAnsi="Calibri" w:cs="Calibri"/>
                <w:sz w:val="20"/>
                <w:szCs w:val="20"/>
              </w:rPr>
              <w:t>0</w:t>
            </w:r>
          </w:p>
        </w:tc>
        <w:tc>
          <w:tcPr>
            <w:tcW w:w="170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sidRPr="00272105">
              <w:rPr>
                <w:rFonts w:ascii="Calibri" w:eastAsia="Times New Roman" w:hAnsi="Calibri" w:cs="Calibri"/>
                <w:sz w:val="20"/>
                <w:szCs w:val="20"/>
              </w:rPr>
              <w:t>0</w:t>
            </w:r>
          </w:p>
        </w:tc>
        <w:tc>
          <w:tcPr>
            <w:tcW w:w="134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478</w:t>
            </w:r>
          </w:p>
        </w:tc>
        <w:tc>
          <w:tcPr>
            <w:tcW w:w="1100"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34.7</w:t>
            </w:r>
          </w:p>
        </w:tc>
      </w:tr>
      <w:tr w:rsidR="002E6563" w:rsidRPr="00272105" w:rsidTr="00613A3B">
        <w:trPr>
          <w:trHeight w:val="300"/>
        </w:trPr>
        <w:tc>
          <w:tcPr>
            <w:tcW w:w="3628" w:type="dxa"/>
            <w:tcBorders>
              <w:top w:val="nil"/>
              <w:left w:val="single" w:sz="4" w:space="0" w:color="auto"/>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rPr>
                <w:rFonts w:ascii="Calibri" w:eastAsia="Times New Roman" w:hAnsi="Calibri" w:cs="Calibri"/>
                <w:sz w:val="20"/>
                <w:szCs w:val="20"/>
              </w:rPr>
            </w:pPr>
            <w:r w:rsidRPr="00272105">
              <w:rPr>
                <w:rFonts w:ascii="Calibri" w:eastAsia="Times New Roman" w:hAnsi="Calibri" w:cs="Calibri"/>
                <w:sz w:val="20"/>
                <w:szCs w:val="20"/>
              </w:rPr>
              <w:t>Died, but did not die on treatment</w:t>
            </w:r>
            <w:r w:rsidRPr="004F7FED">
              <w:rPr>
                <w:rFonts w:ascii="Calibri" w:eastAsia="Times New Roman" w:hAnsi="Calibri" w:cs="Calibri"/>
                <w:sz w:val="20"/>
                <w:szCs w:val="20"/>
              </w:rPr>
              <w:t xml:space="preserve"> **</w:t>
            </w:r>
          </w:p>
        </w:tc>
        <w:tc>
          <w:tcPr>
            <w:tcW w:w="1318"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sidRPr="00272105">
              <w:rPr>
                <w:rFonts w:ascii="Calibri" w:eastAsia="Times New Roman" w:hAnsi="Calibri" w:cs="Calibri"/>
                <w:sz w:val="20"/>
                <w:szCs w:val="20"/>
              </w:rPr>
              <w:t>1</w:t>
            </w:r>
          </w:p>
        </w:tc>
        <w:tc>
          <w:tcPr>
            <w:tcW w:w="170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sidRPr="00272105">
              <w:rPr>
                <w:rFonts w:ascii="Calibri" w:eastAsia="Times New Roman" w:hAnsi="Calibri" w:cs="Calibri"/>
                <w:sz w:val="20"/>
                <w:szCs w:val="20"/>
              </w:rPr>
              <w:t>1</w:t>
            </w:r>
          </w:p>
        </w:tc>
        <w:tc>
          <w:tcPr>
            <w:tcW w:w="134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3</w:t>
            </w:r>
          </w:p>
        </w:tc>
        <w:tc>
          <w:tcPr>
            <w:tcW w:w="1100"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0.2</w:t>
            </w:r>
          </w:p>
        </w:tc>
      </w:tr>
      <w:tr w:rsidR="002E6563" w:rsidRPr="00272105" w:rsidTr="00613A3B">
        <w:trPr>
          <w:trHeight w:val="300"/>
        </w:trPr>
        <w:tc>
          <w:tcPr>
            <w:tcW w:w="3628" w:type="dxa"/>
            <w:tcBorders>
              <w:top w:val="nil"/>
              <w:left w:val="single" w:sz="4" w:space="0" w:color="auto"/>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rPr>
                <w:rFonts w:ascii="Calibri" w:eastAsia="Times New Roman" w:hAnsi="Calibri" w:cs="Calibri"/>
                <w:sz w:val="20"/>
                <w:szCs w:val="20"/>
              </w:rPr>
            </w:pPr>
            <w:r w:rsidRPr="00272105">
              <w:rPr>
                <w:rFonts w:ascii="Calibri" w:eastAsia="Times New Roman" w:hAnsi="Calibri" w:cs="Calibri"/>
                <w:sz w:val="20"/>
                <w:szCs w:val="20"/>
              </w:rPr>
              <w:t>Total</w:t>
            </w:r>
          </w:p>
        </w:tc>
        <w:tc>
          <w:tcPr>
            <w:tcW w:w="1318"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p>
        </w:tc>
        <w:tc>
          <w:tcPr>
            <w:tcW w:w="1341"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1376</w:t>
            </w:r>
          </w:p>
        </w:tc>
        <w:tc>
          <w:tcPr>
            <w:tcW w:w="1100" w:type="dxa"/>
            <w:tcBorders>
              <w:top w:val="nil"/>
              <w:left w:val="nil"/>
              <w:bottom w:val="single" w:sz="4" w:space="0" w:color="auto"/>
              <w:right w:val="single" w:sz="4" w:space="0" w:color="auto"/>
            </w:tcBorders>
            <w:shd w:val="clear" w:color="auto" w:fill="auto"/>
            <w:noWrap/>
            <w:vAlign w:val="bottom"/>
            <w:hideMark/>
          </w:tcPr>
          <w:p w:rsidR="002E6563" w:rsidRPr="00272105" w:rsidRDefault="002E6563" w:rsidP="002E6563">
            <w:pPr>
              <w:keepNext/>
              <w:keepLines/>
              <w:spacing w:after="0"/>
              <w:jc w:val="center"/>
              <w:rPr>
                <w:rFonts w:ascii="Calibri" w:eastAsia="Times New Roman" w:hAnsi="Calibri" w:cs="Calibri"/>
                <w:sz w:val="20"/>
                <w:szCs w:val="20"/>
              </w:rPr>
            </w:pPr>
            <w:r>
              <w:rPr>
                <w:rFonts w:ascii="Calibri" w:hAnsi="Calibri" w:cs="Calibri"/>
                <w:sz w:val="22"/>
                <w:szCs w:val="22"/>
              </w:rPr>
              <w:t>100.0</w:t>
            </w:r>
          </w:p>
        </w:tc>
      </w:tr>
    </w:tbl>
    <w:p w:rsidR="00613A3B" w:rsidRPr="00613A3B" w:rsidRDefault="00272105" w:rsidP="00272105">
      <w:pPr>
        <w:keepNext/>
        <w:keepLines/>
        <w:rPr>
          <w:rFonts w:ascii="Calibri" w:eastAsia="Times New Roman" w:hAnsi="Calibri" w:cs="Calibri"/>
          <w:sz w:val="22"/>
          <w:szCs w:val="22"/>
        </w:rPr>
      </w:pPr>
      <w:r w:rsidRPr="00272105">
        <w:rPr>
          <w:rFonts w:ascii="Calibri" w:eastAsia="Times New Roman" w:hAnsi="Calibri" w:cs="Calibri"/>
          <w:sz w:val="22"/>
          <w:szCs w:val="22"/>
        </w:rPr>
        <w:t>* 1 = Yes, 0 = No</w:t>
      </w:r>
      <w:r w:rsidR="00613A3B">
        <w:rPr>
          <w:rFonts w:ascii="Calibri" w:eastAsia="Times New Roman" w:hAnsi="Calibri" w:cs="Calibri"/>
          <w:sz w:val="22"/>
          <w:szCs w:val="22"/>
        </w:rPr>
        <w:br/>
        <w:t>** These patients died close to the end of the data period so were originally deemed to be continuing treatment.</w:t>
      </w:r>
    </w:p>
    <w:p w:rsidR="009730AE" w:rsidRDefault="009730AE" w:rsidP="009730AE">
      <w:pPr>
        <w:pStyle w:val="NoSpacing"/>
        <w:spacing w:line="276" w:lineRule="auto"/>
        <w:rPr>
          <w:rFonts w:eastAsiaTheme="majorEastAsia" w:cstheme="majorBidi"/>
          <w:bCs/>
          <w:szCs w:val="26"/>
        </w:rPr>
      </w:pPr>
      <w:r>
        <w:rPr>
          <w:rFonts w:eastAsiaTheme="majorEastAsia" w:cstheme="majorBidi"/>
          <w:bCs/>
          <w:szCs w:val="26"/>
        </w:rPr>
        <w:t>Table 1</w:t>
      </w:r>
      <w:r w:rsidR="006D7F26">
        <w:rPr>
          <w:rFonts w:eastAsiaTheme="majorEastAsia" w:cstheme="majorBidi"/>
          <w:bCs/>
          <w:szCs w:val="26"/>
        </w:rPr>
        <w:t>1</w:t>
      </w:r>
      <w:r>
        <w:rPr>
          <w:rFonts w:eastAsiaTheme="majorEastAsia" w:cstheme="majorBidi"/>
          <w:bCs/>
          <w:szCs w:val="26"/>
        </w:rPr>
        <w:t xml:space="preserve"> shows that </w:t>
      </w:r>
      <w:r w:rsidR="000F0AF7">
        <w:rPr>
          <w:rFonts w:eastAsiaTheme="majorEastAsia" w:cstheme="majorBidi"/>
          <w:bCs/>
          <w:szCs w:val="26"/>
        </w:rPr>
        <w:t>that 42.0</w:t>
      </w:r>
      <w:r>
        <w:rPr>
          <w:rFonts w:eastAsiaTheme="majorEastAsia" w:cstheme="majorBidi"/>
          <w:bCs/>
          <w:szCs w:val="26"/>
        </w:rPr>
        <w:t>% (7.1</w:t>
      </w:r>
      <w:r w:rsidR="000F0AF7">
        <w:rPr>
          <w:rFonts w:eastAsiaTheme="majorEastAsia" w:cstheme="majorBidi"/>
          <w:bCs/>
          <w:szCs w:val="26"/>
        </w:rPr>
        <w:t>%</w:t>
      </w:r>
      <w:r>
        <w:rPr>
          <w:rFonts w:eastAsiaTheme="majorEastAsia" w:cstheme="majorBidi"/>
          <w:bCs/>
          <w:szCs w:val="26"/>
        </w:rPr>
        <w:t>+34.7</w:t>
      </w:r>
      <w:r w:rsidR="000F0AF7">
        <w:rPr>
          <w:rFonts w:eastAsiaTheme="majorEastAsia" w:cstheme="majorBidi"/>
          <w:bCs/>
          <w:szCs w:val="26"/>
        </w:rPr>
        <w:t>%</w:t>
      </w:r>
      <w:r>
        <w:rPr>
          <w:rFonts w:eastAsiaTheme="majorEastAsia" w:cstheme="majorBidi"/>
          <w:bCs/>
          <w:szCs w:val="26"/>
        </w:rPr>
        <w:t>+0.2</w:t>
      </w:r>
      <w:r w:rsidR="000F0AF7">
        <w:rPr>
          <w:rFonts w:eastAsiaTheme="majorEastAsia" w:cstheme="majorBidi"/>
          <w:bCs/>
          <w:szCs w:val="26"/>
        </w:rPr>
        <w:t>%</w:t>
      </w:r>
      <w:r>
        <w:rPr>
          <w:rFonts w:eastAsiaTheme="majorEastAsia" w:cstheme="majorBidi"/>
          <w:bCs/>
          <w:szCs w:val="26"/>
        </w:rPr>
        <w:t>)</w:t>
      </w:r>
      <w:r w:rsidR="000F0AF7">
        <w:rPr>
          <w:rFonts w:eastAsiaTheme="majorEastAsia" w:cstheme="majorBidi"/>
          <w:bCs/>
          <w:szCs w:val="26"/>
        </w:rPr>
        <w:t xml:space="preserve"> </w:t>
      </w:r>
      <w:r>
        <w:rPr>
          <w:rFonts w:eastAsiaTheme="majorEastAsia" w:cstheme="majorBidi"/>
          <w:bCs/>
          <w:szCs w:val="26"/>
        </w:rPr>
        <w:t xml:space="preserve">of patients that had </w:t>
      </w:r>
      <w:r w:rsidR="009A3EB4">
        <w:rPr>
          <w:rFonts w:eastAsiaTheme="majorEastAsia" w:cstheme="majorBidi"/>
          <w:bCs/>
          <w:szCs w:val="26"/>
        </w:rPr>
        <w:t>2nd</w:t>
      </w:r>
      <w:r>
        <w:rPr>
          <w:rFonts w:eastAsiaTheme="majorEastAsia" w:cstheme="majorBidi"/>
          <w:bCs/>
          <w:szCs w:val="26"/>
        </w:rPr>
        <w:t xml:space="preserve"> line nivolumab treatment had died by the end of the analysis period (31/12/2019).  71.8% </w:t>
      </w:r>
      <w:r w:rsidR="000F0AF7">
        <w:rPr>
          <w:rFonts w:eastAsiaTheme="majorEastAsia" w:cstheme="majorBidi"/>
          <w:bCs/>
          <w:szCs w:val="26"/>
        </w:rPr>
        <w:t xml:space="preserve">(100% – 28.2%) </w:t>
      </w:r>
      <w:r>
        <w:rPr>
          <w:rFonts w:eastAsiaTheme="majorEastAsia" w:cstheme="majorBidi"/>
          <w:bCs/>
          <w:szCs w:val="26"/>
        </w:rPr>
        <w:t xml:space="preserve">of patients were deemed to have stopped treatment by the end of the analysis period, of these 9.9% had died on treatment, 48.6% had stopped treatment before death and 41.4% had stopped treatment and were still alive. </w:t>
      </w:r>
    </w:p>
    <w:p w:rsidR="006C7D3A" w:rsidRDefault="006C7D3A" w:rsidP="00117DE2">
      <w:pPr>
        <w:rPr>
          <w:rFonts w:ascii="Calibri" w:eastAsia="MS Mincho" w:hAnsi="Calibri" w:cs="Times New Roman"/>
        </w:rPr>
      </w:pPr>
    </w:p>
    <w:p w:rsidR="00B644B7" w:rsidRDefault="00B644B7" w:rsidP="00117DE2">
      <w:pPr>
        <w:rPr>
          <w:rFonts w:ascii="Calibri" w:eastAsia="MS Mincho" w:hAnsi="Calibri" w:cs="Times New Roman"/>
        </w:rPr>
      </w:pPr>
      <w:r>
        <w:rPr>
          <w:rFonts w:ascii="Calibri" w:eastAsia="MS Mincho" w:hAnsi="Calibri" w:cs="Times New Roman"/>
        </w:rPr>
        <w:t>Table 1</w:t>
      </w:r>
      <w:r w:rsidR="006D7F26">
        <w:rPr>
          <w:rFonts w:ascii="Calibri" w:eastAsia="MS Mincho" w:hAnsi="Calibri" w:cs="Times New Roman"/>
        </w:rPr>
        <w:t>2</w:t>
      </w:r>
      <w:r>
        <w:rPr>
          <w:rFonts w:ascii="Calibri" w:eastAsia="MS Mincho" w:hAnsi="Calibri" w:cs="Times New Roman"/>
        </w:rPr>
        <w:t xml:space="preserve"> show a comparison of the original KM length of treatment (i.e. only using prescriptions) with the KM length of treatment;</w:t>
      </w:r>
    </w:p>
    <w:p w:rsidR="00272105" w:rsidRDefault="00B644B7" w:rsidP="00B644B7">
      <w:pPr>
        <w:pStyle w:val="ListParagraph"/>
        <w:numPr>
          <w:ilvl w:val="0"/>
          <w:numId w:val="26"/>
        </w:numPr>
        <w:rPr>
          <w:rFonts w:ascii="Calibri" w:eastAsia="MS Mincho" w:hAnsi="Calibri" w:cs="Times New Roman"/>
        </w:rPr>
      </w:pPr>
      <w:r>
        <w:rPr>
          <w:rFonts w:ascii="Calibri" w:eastAsia="MS Mincho" w:hAnsi="Calibri" w:cs="Times New Roman"/>
        </w:rPr>
        <w:t xml:space="preserve">using the </w:t>
      </w:r>
      <w:r w:rsidRPr="00B644B7">
        <w:rPr>
          <w:rFonts w:ascii="Calibri" w:eastAsia="MS Mincho" w:hAnsi="Calibri" w:cs="Times New Roman"/>
        </w:rPr>
        <w:t xml:space="preserve">adjusted </w:t>
      </w:r>
      <w:r>
        <w:rPr>
          <w:rFonts w:ascii="Calibri" w:eastAsia="MS Mincho" w:hAnsi="Calibri" w:cs="Times New Roman"/>
        </w:rPr>
        <w:t xml:space="preserve">time on treatment and the original censoring; and </w:t>
      </w:r>
    </w:p>
    <w:p w:rsidR="00B644B7" w:rsidRDefault="00C15425" w:rsidP="00B644B7">
      <w:pPr>
        <w:pStyle w:val="ListParagraph"/>
        <w:numPr>
          <w:ilvl w:val="0"/>
          <w:numId w:val="26"/>
        </w:numPr>
        <w:rPr>
          <w:rFonts w:ascii="Calibri" w:eastAsia="MS Mincho" w:hAnsi="Calibri" w:cs="Times New Roman"/>
        </w:rPr>
      </w:pPr>
      <w:r>
        <w:rPr>
          <w:rFonts w:ascii="Calibri" w:eastAsia="MS Mincho" w:hAnsi="Calibri" w:cs="Times New Roman"/>
        </w:rPr>
        <w:t>u</w:t>
      </w:r>
      <w:r w:rsidR="00B644B7">
        <w:rPr>
          <w:rFonts w:ascii="Calibri" w:eastAsia="MS Mincho" w:hAnsi="Calibri" w:cs="Times New Roman"/>
        </w:rPr>
        <w:t xml:space="preserve">sing the </w:t>
      </w:r>
      <w:r w:rsidR="00B644B7" w:rsidRPr="00B644B7">
        <w:rPr>
          <w:rFonts w:ascii="Calibri" w:eastAsia="MS Mincho" w:hAnsi="Calibri" w:cs="Times New Roman"/>
        </w:rPr>
        <w:t xml:space="preserve">adjusted </w:t>
      </w:r>
      <w:r w:rsidR="00B644B7">
        <w:rPr>
          <w:rFonts w:ascii="Calibri" w:eastAsia="MS Mincho" w:hAnsi="Calibri" w:cs="Times New Roman"/>
        </w:rPr>
        <w:t>time on treatment and the DoD adjusted censoring</w:t>
      </w:r>
    </w:p>
    <w:p w:rsidR="00493635" w:rsidRPr="00493635" w:rsidRDefault="00493635" w:rsidP="00493635">
      <w:pPr>
        <w:keepNext/>
        <w:keepLines/>
        <w:spacing w:after="0"/>
        <w:rPr>
          <w:rFonts w:ascii="Calibri" w:eastAsia="MS Mincho" w:hAnsi="Calibri" w:cs="Times New Roman"/>
        </w:rPr>
      </w:pPr>
      <w:r w:rsidRPr="00493635">
        <w:rPr>
          <w:rFonts w:ascii="Calibri" w:eastAsia="MS Mincho" w:hAnsi="Calibri" w:cs="Times New Roman"/>
          <w:b/>
        </w:rPr>
        <w:t>Table 1</w:t>
      </w:r>
      <w:r w:rsidR="006D7F26">
        <w:rPr>
          <w:rFonts w:ascii="Calibri" w:eastAsia="MS Mincho" w:hAnsi="Calibri" w:cs="Times New Roman"/>
          <w:b/>
        </w:rPr>
        <w:t>2</w:t>
      </w:r>
      <w:r w:rsidRPr="00493635">
        <w:rPr>
          <w:rFonts w:ascii="Calibri" w:eastAsia="MS Mincho" w:hAnsi="Calibri" w:cs="Times New Roman"/>
          <w:b/>
        </w:rPr>
        <w:t xml:space="preserve">: </w:t>
      </w:r>
      <w:r>
        <w:rPr>
          <w:rFonts w:ascii="Calibri" w:eastAsia="MS Mincho" w:hAnsi="Calibri" w:cs="Times New Roman"/>
          <w:b/>
        </w:rPr>
        <w:t>Estimated t</w:t>
      </w:r>
      <w:r w:rsidRPr="00B644B7">
        <w:rPr>
          <w:rFonts w:ascii="Calibri" w:eastAsia="Times New Roman" w:hAnsi="Calibri" w:cs="Calibri"/>
          <w:b/>
          <w:bCs/>
          <w:color w:val="000000"/>
        </w:rPr>
        <w:t>otal length of treatment (including breaks)</w:t>
      </w:r>
      <w:r>
        <w:rPr>
          <w:rFonts w:ascii="Calibri" w:eastAsia="Times New Roman" w:hAnsi="Calibri" w:cs="Calibri"/>
          <w:b/>
          <w:bCs/>
          <w:color w:val="000000"/>
        </w:rPr>
        <w:t xml:space="preserve"> with </w:t>
      </w:r>
      <w:r w:rsidR="009A3EB4">
        <w:rPr>
          <w:rFonts w:ascii="Calibri" w:eastAsia="Times New Roman" w:hAnsi="Calibri" w:cs="Calibri"/>
          <w:b/>
          <w:bCs/>
          <w:color w:val="000000"/>
        </w:rPr>
        <w:t>2nd</w:t>
      </w:r>
      <w:r>
        <w:rPr>
          <w:rFonts w:ascii="Calibri" w:eastAsia="Times New Roman" w:hAnsi="Calibri" w:cs="Calibri"/>
          <w:b/>
          <w:bCs/>
          <w:color w:val="000000"/>
        </w:rPr>
        <w:t xml:space="preserve"> line nivolumab</w:t>
      </w:r>
    </w:p>
    <w:tbl>
      <w:tblPr>
        <w:tblW w:w="9297" w:type="dxa"/>
        <w:tblInd w:w="-10" w:type="dxa"/>
        <w:tblLook w:val="04A0" w:firstRow="1" w:lastRow="0" w:firstColumn="1" w:lastColumn="0" w:noHBand="0" w:noVBand="1"/>
      </w:tblPr>
      <w:tblGrid>
        <w:gridCol w:w="3175"/>
        <w:gridCol w:w="3628"/>
        <w:gridCol w:w="1247"/>
        <w:gridCol w:w="1247"/>
      </w:tblGrid>
      <w:tr w:rsidR="003D7A96" w:rsidRPr="004F7FED" w:rsidTr="00B1788D">
        <w:trPr>
          <w:trHeight w:val="300"/>
        </w:trPr>
        <w:tc>
          <w:tcPr>
            <w:tcW w:w="31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644B7" w:rsidRPr="00B644B7" w:rsidRDefault="00B644B7" w:rsidP="00B644B7">
            <w:pPr>
              <w:spacing w:after="0"/>
              <w:rPr>
                <w:rFonts w:ascii="Calibri" w:eastAsia="Times New Roman" w:hAnsi="Calibri" w:cs="Calibri"/>
                <w:b/>
                <w:bCs/>
                <w:color w:val="000000"/>
                <w:sz w:val="20"/>
                <w:szCs w:val="20"/>
              </w:rPr>
            </w:pPr>
            <w:r w:rsidRPr="00B644B7">
              <w:rPr>
                <w:rFonts w:ascii="Calibri" w:eastAsia="Times New Roman" w:hAnsi="Calibri" w:cs="Calibri"/>
                <w:b/>
                <w:bCs/>
                <w:color w:val="000000"/>
                <w:sz w:val="20"/>
                <w:szCs w:val="20"/>
              </w:rPr>
              <w:t>Description</w:t>
            </w:r>
          </w:p>
        </w:tc>
        <w:tc>
          <w:tcPr>
            <w:tcW w:w="362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644B7" w:rsidRPr="00B644B7" w:rsidRDefault="00B644B7" w:rsidP="00B644B7">
            <w:pPr>
              <w:spacing w:after="0"/>
              <w:rPr>
                <w:rFonts w:ascii="Calibri" w:eastAsia="Times New Roman" w:hAnsi="Calibri" w:cs="Calibri"/>
                <w:b/>
                <w:bCs/>
                <w:color w:val="000000"/>
                <w:sz w:val="20"/>
                <w:szCs w:val="20"/>
              </w:rPr>
            </w:pPr>
            <w:r w:rsidRPr="00B644B7">
              <w:rPr>
                <w:rFonts w:ascii="Calibri" w:eastAsia="Times New Roman" w:hAnsi="Calibri" w:cs="Calibri"/>
                <w:b/>
                <w:bCs/>
                <w:color w:val="000000"/>
                <w:sz w:val="20"/>
                <w:szCs w:val="20"/>
              </w:rPr>
              <w:t>Censoring scheme</w:t>
            </w:r>
          </w:p>
        </w:tc>
        <w:tc>
          <w:tcPr>
            <w:tcW w:w="124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15425" w:rsidRPr="004F7FED" w:rsidRDefault="00B644B7" w:rsidP="00B644B7">
            <w:pPr>
              <w:spacing w:after="0"/>
              <w:jc w:val="center"/>
              <w:rPr>
                <w:rFonts w:ascii="Calibri" w:eastAsia="Times New Roman" w:hAnsi="Calibri" w:cs="Calibri"/>
                <w:b/>
                <w:bCs/>
                <w:color w:val="000000"/>
                <w:sz w:val="20"/>
                <w:szCs w:val="20"/>
              </w:rPr>
            </w:pPr>
            <w:r w:rsidRPr="00B644B7">
              <w:rPr>
                <w:rFonts w:ascii="Calibri" w:eastAsia="Times New Roman" w:hAnsi="Calibri" w:cs="Calibri"/>
                <w:b/>
                <w:bCs/>
                <w:color w:val="000000"/>
                <w:sz w:val="20"/>
                <w:szCs w:val="20"/>
              </w:rPr>
              <w:t>Median</w:t>
            </w:r>
          </w:p>
          <w:p w:rsidR="00B644B7" w:rsidRPr="00B644B7" w:rsidRDefault="00C15425" w:rsidP="00B644B7">
            <w:pPr>
              <w:spacing w:after="0"/>
              <w:jc w:val="center"/>
              <w:rPr>
                <w:rFonts w:ascii="Calibri" w:eastAsia="Times New Roman" w:hAnsi="Calibri" w:cs="Calibri"/>
                <w:b/>
                <w:bCs/>
                <w:color w:val="000000"/>
                <w:sz w:val="20"/>
                <w:szCs w:val="20"/>
              </w:rPr>
            </w:pPr>
            <w:r w:rsidRPr="004F7FED">
              <w:rPr>
                <w:rFonts w:ascii="Calibri" w:eastAsia="Times New Roman" w:hAnsi="Calibri" w:cs="Calibri"/>
                <w:b/>
                <w:bCs/>
                <w:color w:val="000000"/>
                <w:sz w:val="20"/>
                <w:szCs w:val="20"/>
              </w:rPr>
              <w:t>(Days)</w:t>
            </w:r>
            <w:r w:rsidR="00B644B7" w:rsidRPr="00B644B7">
              <w:rPr>
                <w:rFonts w:ascii="Calibri" w:eastAsia="Times New Roman" w:hAnsi="Calibri" w:cs="Calibri"/>
                <w:b/>
                <w:bCs/>
                <w:color w:val="000000"/>
                <w:sz w:val="20"/>
                <w:szCs w:val="20"/>
              </w:rPr>
              <w:t xml:space="preserve"> </w:t>
            </w:r>
          </w:p>
        </w:tc>
        <w:tc>
          <w:tcPr>
            <w:tcW w:w="124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644B7" w:rsidRPr="004F7FED" w:rsidRDefault="00B644B7" w:rsidP="00B644B7">
            <w:pPr>
              <w:spacing w:after="0"/>
              <w:jc w:val="center"/>
              <w:rPr>
                <w:rFonts w:ascii="Calibri" w:eastAsia="Times New Roman" w:hAnsi="Calibri" w:cs="Calibri"/>
                <w:b/>
                <w:bCs/>
                <w:color w:val="000000"/>
                <w:sz w:val="20"/>
                <w:szCs w:val="20"/>
              </w:rPr>
            </w:pPr>
            <w:r w:rsidRPr="00B644B7">
              <w:rPr>
                <w:rFonts w:ascii="Calibri" w:eastAsia="Times New Roman" w:hAnsi="Calibri" w:cs="Calibri"/>
                <w:b/>
                <w:bCs/>
                <w:color w:val="000000"/>
                <w:sz w:val="20"/>
                <w:szCs w:val="20"/>
              </w:rPr>
              <w:t>Mean</w:t>
            </w:r>
          </w:p>
          <w:p w:rsidR="00C15425" w:rsidRPr="00B644B7" w:rsidRDefault="00C15425" w:rsidP="00C15425">
            <w:pPr>
              <w:spacing w:after="0"/>
              <w:jc w:val="center"/>
              <w:rPr>
                <w:rFonts w:ascii="Calibri" w:eastAsia="Times New Roman" w:hAnsi="Calibri" w:cs="Calibri"/>
                <w:b/>
                <w:bCs/>
                <w:color w:val="000000"/>
                <w:sz w:val="20"/>
                <w:szCs w:val="20"/>
              </w:rPr>
            </w:pPr>
            <w:r w:rsidRPr="004F7FED">
              <w:rPr>
                <w:rFonts w:ascii="Calibri" w:eastAsia="Times New Roman" w:hAnsi="Calibri" w:cs="Calibri"/>
                <w:b/>
                <w:bCs/>
                <w:color w:val="000000"/>
                <w:sz w:val="20"/>
                <w:szCs w:val="20"/>
              </w:rPr>
              <w:t>(Days)</w:t>
            </w:r>
          </w:p>
        </w:tc>
      </w:tr>
      <w:tr w:rsidR="003D7A96" w:rsidRPr="004F7FED" w:rsidTr="003C348A">
        <w:trPr>
          <w:trHeight w:val="622"/>
        </w:trPr>
        <w:tc>
          <w:tcPr>
            <w:tcW w:w="3175" w:type="dxa"/>
            <w:tcBorders>
              <w:top w:val="nil"/>
              <w:left w:val="single" w:sz="4" w:space="0" w:color="auto"/>
              <w:bottom w:val="single" w:sz="4" w:space="0" w:color="auto"/>
              <w:right w:val="single" w:sz="4" w:space="0" w:color="auto"/>
            </w:tcBorders>
            <w:shd w:val="clear" w:color="auto" w:fill="auto"/>
            <w:vAlign w:val="bottom"/>
            <w:hideMark/>
          </w:tcPr>
          <w:p w:rsidR="00B644B7" w:rsidRPr="00B644B7" w:rsidRDefault="00B644B7" w:rsidP="004F7FED">
            <w:pPr>
              <w:spacing w:after="0"/>
              <w:rPr>
                <w:rFonts w:ascii="Calibri" w:eastAsia="Times New Roman" w:hAnsi="Calibri" w:cs="Calibri"/>
                <w:color w:val="000000"/>
                <w:sz w:val="20"/>
                <w:szCs w:val="20"/>
              </w:rPr>
            </w:pPr>
            <w:r w:rsidRPr="00B644B7">
              <w:rPr>
                <w:rFonts w:ascii="Calibri" w:eastAsia="Times New Roman" w:hAnsi="Calibri" w:cs="Calibri"/>
                <w:color w:val="000000"/>
                <w:sz w:val="20"/>
                <w:szCs w:val="20"/>
              </w:rPr>
              <w:t>Estimate</w:t>
            </w:r>
            <w:r w:rsidR="00493635" w:rsidRPr="004F7FED">
              <w:rPr>
                <w:rFonts w:ascii="Calibri" w:eastAsia="Times New Roman" w:hAnsi="Calibri" w:cs="Calibri"/>
                <w:color w:val="000000"/>
                <w:sz w:val="20"/>
                <w:szCs w:val="20"/>
              </w:rPr>
              <w:t>d</w:t>
            </w:r>
            <w:r w:rsidRPr="00B644B7">
              <w:rPr>
                <w:rFonts w:ascii="Calibri" w:eastAsia="Times New Roman" w:hAnsi="Calibri" w:cs="Calibri"/>
                <w:color w:val="000000"/>
                <w:sz w:val="20"/>
                <w:szCs w:val="20"/>
              </w:rPr>
              <w:t xml:space="preserve"> length of treatment (LoT) without use of DoD</w:t>
            </w:r>
          </w:p>
        </w:tc>
        <w:tc>
          <w:tcPr>
            <w:tcW w:w="3628" w:type="dxa"/>
            <w:tcBorders>
              <w:top w:val="nil"/>
              <w:left w:val="nil"/>
              <w:bottom w:val="single" w:sz="4" w:space="0" w:color="auto"/>
              <w:right w:val="single" w:sz="4" w:space="0" w:color="auto"/>
            </w:tcBorders>
            <w:shd w:val="clear" w:color="auto" w:fill="auto"/>
            <w:vAlign w:val="bottom"/>
            <w:hideMark/>
          </w:tcPr>
          <w:p w:rsidR="00B644B7" w:rsidRPr="00B644B7" w:rsidRDefault="00B644B7" w:rsidP="004F7FED">
            <w:pPr>
              <w:spacing w:after="0"/>
              <w:rPr>
                <w:rFonts w:ascii="Calibri" w:eastAsia="Times New Roman" w:hAnsi="Calibri" w:cs="Calibri"/>
                <w:color w:val="000000"/>
                <w:sz w:val="20"/>
                <w:szCs w:val="20"/>
              </w:rPr>
            </w:pPr>
            <w:r w:rsidRPr="004F7FED">
              <w:rPr>
                <w:rFonts w:ascii="Calibri" w:eastAsia="Times New Roman" w:hAnsi="Calibri" w:cs="Calibri"/>
                <w:color w:val="000000"/>
                <w:sz w:val="20"/>
                <w:szCs w:val="20"/>
              </w:rPr>
              <w:t xml:space="preserve">Original: </w:t>
            </w:r>
            <w:r w:rsidRPr="00B644B7">
              <w:rPr>
                <w:rFonts w:ascii="Calibri" w:eastAsia="Times New Roman" w:hAnsi="Calibri" w:cs="Calibri"/>
                <w:color w:val="000000"/>
                <w:sz w:val="20"/>
                <w:szCs w:val="20"/>
              </w:rPr>
              <w:t>Only censored if still on treatment at the end of the period</w:t>
            </w:r>
          </w:p>
        </w:tc>
        <w:tc>
          <w:tcPr>
            <w:tcW w:w="1247" w:type="dxa"/>
            <w:tcBorders>
              <w:top w:val="nil"/>
              <w:left w:val="nil"/>
              <w:bottom w:val="single" w:sz="4" w:space="0" w:color="auto"/>
              <w:right w:val="single" w:sz="4" w:space="0" w:color="auto"/>
            </w:tcBorders>
            <w:shd w:val="clear" w:color="auto" w:fill="auto"/>
            <w:noWrap/>
            <w:vAlign w:val="bottom"/>
            <w:hideMark/>
          </w:tcPr>
          <w:p w:rsidR="00B644B7" w:rsidRDefault="003C348A" w:rsidP="004F7FED">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154</w:t>
            </w:r>
            <w:r w:rsidR="004F7FED" w:rsidRPr="004F7FED">
              <w:rPr>
                <w:rFonts w:ascii="Calibri" w:eastAsia="Times New Roman" w:hAnsi="Calibri" w:cs="Calibri"/>
                <w:color w:val="000000"/>
                <w:sz w:val="20"/>
                <w:szCs w:val="20"/>
              </w:rPr>
              <w:t xml:space="preserve"> </w:t>
            </w:r>
            <w:r w:rsidR="004F7FED">
              <w:rPr>
                <w:rFonts w:ascii="Calibri" w:eastAsia="Times New Roman" w:hAnsi="Calibri" w:cs="Calibri"/>
                <w:color w:val="000000"/>
                <w:sz w:val="20"/>
                <w:szCs w:val="20"/>
              </w:rPr>
              <w:t>d</w:t>
            </w:r>
            <w:r w:rsidR="004F7FED" w:rsidRPr="004F7FED">
              <w:rPr>
                <w:rFonts w:ascii="Calibri" w:eastAsia="Times New Roman" w:hAnsi="Calibri" w:cs="Calibri"/>
                <w:color w:val="000000"/>
                <w:sz w:val="20"/>
                <w:szCs w:val="20"/>
              </w:rPr>
              <w:t>ays</w:t>
            </w:r>
          </w:p>
          <w:p w:rsidR="004F7FED" w:rsidRPr="00B644B7" w:rsidRDefault="003C348A" w:rsidP="004F7FED">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5.06</w:t>
            </w:r>
            <w:r w:rsidR="004F7FED">
              <w:rPr>
                <w:rFonts w:ascii="Calibri" w:eastAsia="Times New Roman" w:hAnsi="Calibri" w:cs="Calibri"/>
                <w:color w:val="000000"/>
                <w:sz w:val="20"/>
                <w:szCs w:val="20"/>
              </w:rPr>
              <w:t xml:space="preserve"> m</w:t>
            </w:r>
            <w:r>
              <w:rPr>
                <w:rFonts w:ascii="Calibri" w:eastAsia="Times New Roman" w:hAnsi="Calibri" w:cs="Calibri"/>
                <w:color w:val="000000"/>
                <w:sz w:val="20"/>
                <w:szCs w:val="20"/>
              </w:rPr>
              <w:t>o</w:t>
            </w:r>
            <w:r w:rsidR="004F7FED">
              <w:rPr>
                <w:rFonts w:ascii="Calibri" w:eastAsia="Times New Roman" w:hAnsi="Calibri" w:cs="Calibri"/>
                <w:color w:val="000000"/>
                <w:sz w:val="20"/>
                <w:szCs w:val="20"/>
              </w:rPr>
              <w:t>nths</w:t>
            </w:r>
          </w:p>
        </w:tc>
        <w:tc>
          <w:tcPr>
            <w:tcW w:w="1247" w:type="dxa"/>
            <w:tcBorders>
              <w:top w:val="nil"/>
              <w:left w:val="nil"/>
              <w:bottom w:val="single" w:sz="4" w:space="0" w:color="auto"/>
              <w:right w:val="single" w:sz="4" w:space="0" w:color="auto"/>
            </w:tcBorders>
            <w:shd w:val="clear" w:color="auto" w:fill="auto"/>
            <w:noWrap/>
            <w:vAlign w:val="bottom"/>
            <w:hideMark/>
          </w:tcPr>
          <w:p w:rsidR="00B644B7" w:rsidRDefault="003C348A" w:rsidP="004F7FED">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27</w:t>
            </w:r>
            <w:r w:rsidR="00B644B7" w:rsidRPr="00B644B7">
              <w:rPr>
                <w:rFonts w:ascii="Calibri" w:eastAsia="Times New Roman" w:hAnsi="Calibri" w:cs="Calibri"/>
                <w:color w:val="000000"/>
                <w:sz w:val="20"/>
                <w:szCs w:val="20"/>
              </w:rPr>
              <w:t>7</w:t>
            </w:r>
            <w:r w:rsidR="004F7FED">
              <w:rPr>
                <w:rFonts w:ascii="Calibri" w:eastAsia="Times New Roman" w:hAnsi="Calibri" w:cs="Calibri"/>
                <w:color w:val="000000"/>
                <w:sz w:val="20"/>
                <w:szCs w:val="20"/>
              </w:rPr>
              <w:t xml:space="preserve"> days</w:t>
            </w:r>
          </w:p>
          <w:p w:rsidR="004F7FED" w:rsidRPr="00B644B7" w:rsidRDefault="004F7FED" w:rsidP="003C348A">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9.</w:t>
            </w:r>
            <w:r w:rsidR="003C348A">
              <w:rPr>
                <w:rFonts w:ascii="Calibri" w:eastAsia="Times New Roman" w:hAnsi="Calibri" w:cs="Calibri"/>
                <w:color w:val="000000"/>
                <w:sz w:val="20"/>
                <w:szCs w:val="20"/>
              </w:rPr>
              <w:t>09</w:t>
            </w:r>
            <w:r>
              <w:rPr>
                <w:rFonts w:ascii="Calibri" w:eastAsia="Times New Roman" w:hAnsi="Calibri" w:cs="Calibri"/>
                <w:color w:val="000000"/>
                <w:sz w:val="20"/>
                <w:szCs w:val="20"/>
              </w:rPr>
              <w:t xml:space="preserve"> months</w:t>
            </w:r>
          </w:p>
        </w:tc>
      </w:tr>
      <w:tr w:rsidR="003D7A96" w:rsidRPr="004F7FED" w:rsidTr="003C348A">
        <w:trPr>
          <w:trHeight w:val="820"/>
        </w:trPr>
        <w:tc>
          <w:tcPr>
            <w:tcW w:w="3175" w:type="dxa"/>
            <w:tcBorders>
              <w:top w:val="nil"/>
              <w:left w:val="single" w:sz="4" w:space="0" w:color="auto"/>
              <w:bottom w:val="single" w:sz="4" w:space="0" w:color="auto"/>
              <w:right w:val="single" w:sz="4" w:space="0" w:color="auto"/>
            </w:tcBorders>
            <w:shd w:val="clear" w:color="auto" w:fill="auto"/>
            <w:vAlign w:val="bottom"/>
            <w:hideMark/>
          </w:tcPr>
          <w:p w:rsidR="00B644B7" w:rsidRPr="00B644B7" w:rsidRDefault="00B644B7" w:rsidP="004F7FED">
            <w:pPr>
              <w:spacing w:after="0"/>
              <w:rPr>
                <w:rFonts w:ascii="Calibri" w:eastAsia="Times New Roman" w:hAnsi="Calibri" w:cs="Calibri"/>
                <w:color w:val="000000"/>
                <w:sz w:val="20"/>
                <w:szCs w:val="20"/>
              </w:rPr>
            </w:pPr>
            <w:r w:rsidRPr="00B644B7">
              <w:rPr>
                <w:rFonts w:ascii="Calibri" w:eastAsia="Times New Roman" w:hAnsi="Calibri" w:cs="Calibri"/>
                <w:color w:val="000000"/>
                <w:sz w:val="20"/>
                <w:szCs w:val="20"/>
              </w:rPr>
              <w:t>Estimate</w:t>
            </w:r>
            <w:r w:rsidR="00493635" w:rsidRPr="004F7FED">
              <w:rPr>
                <w:rFonts w:ascii="Calibri" w:eastAsia="Times New Roman" w:hAnsi="Calibri" w:cs="Calibri"/>
                <w:color w:val="000000"/>
                <w:sz w:val="20"/>
                <w:szCs w:val="20"/>
              </w:rPr>
              <w:t>d</w:t>
            </w:r>
            <w:r w:rsidRPr="00B644B7">
              <w:rPr>
                <w:rFonts w:ascii="Calibri" w:eastAsia="Times New Roman" w:hAnsi="Calibri" w:cs="Calibri"/>
                <w:color w:val="000000"/>
                <w:sz w:val="20"/>
                <w:szCs w:val="20"/>
              </w:rPr>
              <w:t xml:space="preserve"> length of treatment (LoT) using DoD and assuming cessation of treatment can be from any cause, including death</w:t>
            </w:r>
          </w:p>
        </w:tc>
        <w:tc>
          <w:tcPr>
            <w:tcW w:w="3628" w:type="dxa"/>
            <w:tcBorders>
              <w:top w:val="nil"/>
              <w:left w:val="nil"/>
              <w:bottom w:val="single" w:sz="4" w:space="0" w:color="auto"/>
              <w:right w:val="single" w:sz="4" w:space="0" w:color="auto"/>
            </w:tcBorders>
            <w:shd w:val="clear" w:color="auto" w:fill="auto"/>
            <w:vAlign w:val="bottom"/>
            <w:hideMark/>
          </w:tcPr>
          <w:p w:rsidR="00B644B7" w:rsidRPr="00B644B7" w:rsidRDefault="00B644B7" w:rsidP="004F7FED">
            <w:pPr>
              <w:spacing w:after="0"/>
              <w:rPr>
                <w:rFonts w:ascii="Calibri" w:eastAsia="Times New Roman" w:hAnsi="Calibri" w:cs="Calibri"/>
                <w:color w:val="000000"/>
                <w:sz w:val="20"/>
                <w:szCs w:val="20"/>
              </w:rPr>
            </w:pPr>
            <w:r w:rsidRPr="004F7FED">
              <w:rPr>
                <w:rFonts w:ascii="Calibri" w:eastAsia="Times New Roman" w:hAnsi="Calibri" w:cs="Calibri"/>
                <w:color w:val="000000"/>
                <w:sz w:val="20"/>
                <w:szCs w:val="20"/>
              </w:rPr>
              <w:t xml:space="preserve">Original: </w:t>
            </w:r>
            <w:r w:rsidRPr="00B644B7">
              <w:rPr>
                <w:rFonts w:ascii="Calibri" w:eastAsia="Times New Roman" w:hAnsi="Calibri" w:cs="Calibri"/>
                <w:color w:val="000000"/>
                <w:sz w:val="20"/>
                <w:szCs w:val="20"/>
              </w:rPr>
              <w:t>Only censored if still on treatment at the end of the period</w:t>
            </w:r>
          </w:p>
        </w:tc>
        <w:tc>
          <w:tcPr>
            <w:tcW w:w="1247" w:type="dxa"/>
            <w:tcBorders>
              <w:top w:val="nil"/>
              <w:left w:val="nil"/>
              <w:bottom w:val="single" w:sz="4" w:space="0" w:color="auto"/>
              <w:right w:val="single" w:sz="4" w:space="0" w:color="auto"/>
            </w:tcBorders>
            <w:shd w:val="clear" w:color="auto" w:fill="auto"/>
            <w:noWrap/>
            <w:vAlign w:val="bottom"/>
            <w:hideMark/>
          </w:tcPr>
          <w:p w:rsidR="00B644B7" w:rsidRDefault="003C348A" w:rsidP="004D67BA">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153 days</w:t>
            </w:r>
          </w:p>
          <w:p w:rsidR="003C348A" w:rsidRPr="00B644B7" w:rsidRDefault="003C348A" w:rsidP="004D67BA">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5.02 months</w:t>
            </w:r>
          </w:p>
        </w:tc>
        <w:tc>
          <w:tcPr>
            <w:tcW w:w="1247" w:type="dxa"/>
            <w:tcBorders>
              <w:top w:val="nil"/>
              <w:left w:val="nil"/>
              <w:bottom w:val="single" w:sz="4" w:space="0" w:color="auto"/>
              <w:right w:val="single" w:sz="4" w:space="0" w:color="auto"/>
            </w:tcBorders>
            <w:shd w:val="clear" w:color="auto" w:fill="auto"/>
            <w:noWrap/>
            <w:vAlign w:val="bottom"/>
            <w:hideMark/>
          </w:tcPr>
          <w:p w:rsidR="00B644B7" w:rsidRDefault="004D67BA" w:rsidP="004D67BA">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276</w:t>
            </w:r>
            <w:r w:rsidR="003C348A">
              <w:rPr>
                <w:rFonts w:ascii="Calibri" w:eastAsia="Times New Roman" w:hAnsi="Calibri" w:cs="Calibri"/>
                <w:color w:val="000000"/>
                <w:sz w:val="20"/>
                <w:szCs w:val="20"/>
              </w:rPr>
              <w:t xml:space="preserve"> days</w:t>
            </w:r>
          </w:p>
          <w:p w:rsidR="003C348A" w:rsidRPr="00B644B7" w:rsidRDefault="003C348A" w:rsidP="004D67BA">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9.05 months</w:t>
            </w:r>
          </w:p>
        </w:tc>
      </w:tr>
      <w:tr w:rsidR="003D7A96" w:rsidRPr="004F7FED" w:rsidTr="003C348A">
        <w:trPr>
          <w:trHeight w:val="672"/>
        </w:trPr>
        <w:tc>
          <w:tcPr>
            <w:tcW w:w="3175" w:type="dxa"/>
            <w:tcBorders>
              <w:top w:val="nil"/>
              <w:left w:val="single" w:sz="4" w:space="0" w:color="auto"/>
              <w:bottom w:val="single" w:sz="4" w:space="0" w:color="auto"/>
              <w:right w:val="single" w:sz="4" w:space="0" w:color="auto"/>
            </w:tcBorders>
            <w:shd w:val="clear" w:color="auto" w:fill="auto"/>
            <w:vAlign w:val="bottom"/>
            <w:hideMark/>
          </w:tcPr>
          <w:p w:rsidR="00B644B7" w:rsidRPr="00B644B7" w:rsidRDefault="00B644B7" w:rsidP="004F7FED">
            <w:pPr>
              <w:spacing w:after="0"/>
              <w:rPr>
                <w:rFonts w:ascii="Calibri" w:eastAsia="Times New Roman" w:hAnsi="Calibri" w:cs="Calibri"/>
                <w:color w:val="000000"/>
                <w:sz w:val="20"/>
                <w:szCs w:val="20"/>
              </w:rPr>
            </w:pPr>
            <w:r w:rsidRPr="00B644B7">
              <w:rPr>
                <w:rFonts w:ascii="Calibri" w:eastAsia="Times New Roman" w:hAnsi="Calibri" w:cs="Calibri"/>
                <w:color w:val="000000"/>
                <w:sz w:val="20"/>
                <w:szCs w:val="20"/>
              </w:rPr>
              <w:t>Estimate</w:t>
            </w:r>
            <w:r w:rsidR="00493635" w:rsidRPr="004F7FED">
              <w:rPr>
                <w:rFonts w:ascii="Calibri" w:eastAsia="Times New Roman" w:hAnsi="Calibri" w:cs="Calibri"/>
                <w:color w:val="000000"/>
                <w:sz w:val="20"/>
                <w:szCs w:val="20"/>
              </w:rPr>
              <w:t>d</w:t>
            </w:r>
            <w:r w:rsidRPr="00B644B7">
              <w:rPr>
                <w:rFonts w:ascii="Calibri" w:eastAsia="Times New Roman" w:hAnsi="Calibri" w:cs="Calibri"/>
                <w:color w:val="000000"/>
                <w:sz w:val="20"/>
                <w:szCs w:val="20"/>
              </w:rPr>
              <w:t xml:space="preserve"> length of treatment (LoT) in an "immortal world". That is, death is not cessation of treatment</w:t>
            </w:r>
          </w:p>
        </w:tc>
        <w:tc>
          <w:tcPr>
            <w:tcW w:w="3628" w:type="dxa"/>
            <w:tcBorders>
              <w:top w:val="nil"/>
              <w:left w:val="nil"/>
              <w:bottom w:val="single" w:sz="4" w:space="0" w:color="auto"/>
              <w:right w:val="single" w:sz="4" w:space="0" w:color="auto"/>
            </w:tcBorders>
            <w:shd w:val="clear" w:color="auto" w:fill="auto"/>
            <w:vAlign w:val="bottom"/>
            <w:hideMark/>
          </w:tcPr>
          <w:p w:rsidR="00B644B7" w:rsidRPr="00B644B7" w:rsidRDefault="00B644B7" w:rsidP="004F7FED">
            <w:pPr>
              <w:spacing w:after="0"/>
              <w:rPr>
                <w:rFonts w:ascii="Calibri" w:eastAsia="Times New Roman" w:hAnsi="Calibri" w:cs="Calibri"/>
                <w:color w:val="000000"/>
                <w:sz w:val="20"/>
                <w:szCs w:val="20"/>
              </w:rPr>
            </w:pPr>
            <w:r w:rsidRPr="004F7FED">
              <w:rPr>
                <w:rFonts w:ascii="Calibri" w:eastAsia="Times New Roman" w:hAnsi="Calibri" w:cs="Calibri"/>
                <w:color w:val="000000"/>
                <w:sz w:val="20"/>
                <w:szCs w:val="20"/>
              </w:rPr>
              <w:t xml:space="preserve">DoD adjusted: </w:t>
            </w:r>
            <w:r w:rsidRPr="00B644B7">
              <w:rPr>
                <w:rFonts w:ascii="Calibri" w:eastAsia="Times New Roman" w:hAnsi="Calibri" w:cs="Calibri"/>
                <w:color w:val="000000"/>
                <w:sz w:val="20"/>
                <w:szCs w:val="20"/>
              </w:rPr>
              <w:t>Censored if a patients dies on treatment (DoD &lt; last supply + SCD) or still on treatment at the end of the period</w:t>
            </w:r>
          </w:p>
        </w:tc>
        <w:tc>
          <w:tcPr>
            <w:tcW w:w="1247" w:type="dxa"/>
            <w:tcBorders>
              <w:top w:val="nil"/>
              <w:left w:val="nil"/>
              <w:bottom w:val="single" w:sz="4" w:space="0" w:color="auto"/>
              <w:right w:val="single" w:sz="4" w:space="0" w:color="auto"/>
            </w:tcBorders>
            <w:shd w:val="clear" w:color="auto" w:fill="auto"/>
            <w:noWrap/>
            <w:vAlign w:val="bottom"/>
            <w:hideMark/>
          </w:tcPr>
          <w:p w:rsidR="00B644B7" w:rsidRDefault="00B644B7" w:rsidP="004F7FED">
            <w:pPr>
              <w:spacing w:after="0"/>
              <w:jc w:val="center"/>
              <w:rPr>
                <w:rFonts w:ascii="Calibri" w:eastAsia="Times New Roman" w:hAnsi="Calibri" w:cs="Calibri"/>
                <w:color w:val="000000"/>
                <w:sz w:val="20"/>
                <w:szCs w:val="20"/>
              </w:rPr>
            </w:pPr>
            <w:r w:rsidRPr="00B644B7">
              <w:rPr>
                <w:rFonts w:ascii="Calibri" w:eastAsia="Times New Roman" w:hAnsi="Calibri" w:cs="Calibri"/>
                <w:color w:val="000000"/>
                <w:sz w:val="20"/>
                <w:szCs w:val="20"/>
              </w:rPr>
              <w:t>170.0</w:t>
            </w:r>
            <w:r w:rsidR="003C348A">
              <w:rPr>
                <w:rFonts w:ascii="Calibri" w:eastAsia="Times New Roman" w:hAnsi="Calibri" w:cs="Calibri"/>
                <w:color w:val="000000"/>
                <w:sz w:val="20"/>
                <w:szCs w:val="20"/>
              </w:rPr>
              <w:t xml:space="preserve"> days</w:t>
            </w:r>
          </w:p>
          <w:p w:rsidR="003C348A" w:rsidRPr="00B644B7" w:rsidRDefault="003C348A" w:rsidP="004F7FED">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5.59 months</w:t>
            </w:r>
          </w:p>
        </w:tc>
        <w:tc>
          <w:tcPr>
            <w:tcW w:w="1247" w:type="dxa"/>
            <w:tcBorders>
              <w:top w:val="nil"/>
              <w:left w:val="nil"/>
              <w:bottom w:val="single" w:sz="4" w:space="0" w:color="auto"/>
              <w:right w:val="single" w:sz="4" w:space="0" w:color="auto"/>
            </w:tcBorders>
            <w:shd w:val="clear" w:color="auto" w:fill="auto"/>
            <w:noWrap/>
            <w:vAlign w:val="bottom"/>
            <w:hideMark/>
          </w:tcPr>
          <w:p w:rsidR="00B644B7" w:rsidRDefault="002E6563" w:rsidP="003C348A">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300</w:t>
            </w:r>
            <w:r w:rsidR="003C348A">
              <w:rPr>
                <w:rFonts w:ascii="Calibri" w:eastAsia="Times New Roman" w:hAnsi="Calibri" w:cs="Calibri"/>
                <w:color w:val="000000"/>
                <w:sz w:val="20"/>
                <w:szCs w:val="20"/>
              </w:rPr>
              <w:t xml:space="preserve"> days</w:t>
            </w:r>
          </w:p>
          <w:p w:rsidR="003C348A" w:rsidRPr="00B644B7" w:rsidRDefault="003C348A" w:rsidP="002E6563">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9.8</w:t>
            </w:r>
            <w:r w:rsidR="002E6563">
              <w:rPr>
                <w:rFonts w:ascii="Calibri" w:eastAsia="Times New Roman" w:hAnsi="Calibri" w:cs="Calibri"/>
                <w:color w:val="000000"/>
                <w:sz w:val="20"/>
                <w:szCs w:val="20"/>
              </w:rPr>
              <w:t>6</w:t>
            </w:r>
            <w:r>
              <w:rPr>
                <w:rFonts w:ascii="Calibri" w:eastAsia="Times New Roman" w:hAnsi="Calibri" w:cs="Calibri"/>
                <w:color w:val="000000"/>
                <w:sz w:val="20"/>
                <w:szCs w:val="20"/>
              </w:rPr>
              <w:t xml:space="preserve"> months</w:t>
            </w:r>
          </w:p>
        </w:tc>
      </w:tr>
    </w:tbl>
    <w:p w:rsidR="00B644B7" w:rsidRPr="004F7FED" w:rsidRDefault="00B644B7" w:rsidP="00117DE2">
      <w:pPr>
        <w:rPr>
          <w:rFonts w:ascii="Calibri" w:eastAsia="MS Mincho" w:hAnsi="Calibri" w:cs="Times New Roman"/>
          <w:sz w:val="20"/>
          <w:szCs w:val="20"/>
        </w:rPr>
      </w:pPr>
    </w:p>
    <w:p w:rsidR="00B644B7" w:rsidRDefault="00493635" w:rsidP="00117DE2">
      <w:pPr>
        <w:rPr>
          <w:rFonts w:ascii="Calibri" w:eastAsia="MS Mincho" w:hAnsi="Calibri" w:cs="Times New Roman"/>
        </w:rPr>
      </w:pPr>
      <w:r>
        <w:rPr>
          <w:rFonts w:ascii="Calibri" w:eastAsia="MS Mincho" w:hAnsi="Calibri" w:cs="Times New Roman"/>
        </w:rPr>
        <w:t>Table 1</w:t>
      </w:r>
      <w:r w:rsidR="006D7F26">
        <w:rPr>
          <w:rFonts w:ascii="Calibri" w:eastAsia="MS Mincho" w:hAnsi="Calibri" w:cs="Times New Roman"/>
        </w:rPr>
        <w:t>2</w:t>
      </w:r>
      <w:r>
        <w:rPr>
          <w:rFonts w:ascii="Calibri" w:eastAsia="MS Mincho" w:hAnsi="Calibri" w:cs="Times New Roman"/>
        </w:rPr>
        <w:t xml:space="preserve"> shows that the main effect of adjusting for date of death c</w:t>
      </w:r>
      <w:r w:rsidR="00613A3B">
        <w:rPr>
          <w:rFonts w:ascii="Calibri" w:eastAsia="MS Mincho" w:hAnsi="Calibri" w:cs="Times New Roman"/>
        </w:rPr>
        <w:t>a</w:t>
      </w:r>
      <w:r>
        <w:rPr>
          <w:rFonts w:ascii="Calibri" w:eastAsia="MS Mincho" w:hAnsi="Calibri" w:cs="Times New Roman"/>
        </w:rPr>
        <w:t>me from changing the censoring scheme. There was a slight reduction in length of treatment when the DoD was used to only adjust the time on treatment. However when the censoring scheme was changed to censor patients who died on treatment then the median and mean length of trea</w:t>
      </w:r>
      <w:r w:rsidR="002E6563">
        <w:rPr>
          <w:rFonts w:ascii="Calibri" w:eastAsia="MS Mincho" w:hAnsi="Calibri" w:cs="Times New Roman"/>
        </w:rPr>
        <w:t>tment increased by 11.2% and 8.7</w:t>
      </w:r>
      <w:r>
        <w:rPr>
          <w:rFonts w:ascii="Calibri" w:eastAsia="MS Mincho" w:hAnsi="Calibri" w:cs="Times New Roman"/>
        </w:rPr>
        <w:t>% respectively.</w:t>
      </w:r>
    </w:p>
    <w:p w:rsidR="003C348A" w:rsidRDefault="003C348A" w:rsidP="00117DE2">
      <w:pPr>
        <w:rPr>
          <w:rFonts w:ascii="Calibri" w:eastAsia="MS Mincho" w:hAnsi="Calibri" w:cs="Times New Roman"/>
        </w:rPr>
      </w:pPr>
      <w:r>
        <w:rPr>
          <w:rFonts w:ascii="Calibri" w:eastAsia="MS Mincho" w:hAnsi="Calibri" w:cs="Times New Roman"/>
        </w:rPr>
        <w:t xml:space="preserve">The predicted median and mean length of treatment was </w:t>
      </w:r>
      <w:r w:rsidR="001348C4">
        <w:rPr>
          <w:noProof/>
          <w:color w:val="000000"/>
          <w:highlight w:val="black"/>
        </w:rPr>
        <w:t>'''''''''</w:t>
      </w:r>
      <w:r>
        <w:rPr>
          <w:rFonts w:ascii="Calibri" w:eastAsia="MS Mincho" w:hAnsi="Calibri" w:cs="Times New Roman"/>
        </w:rPr>
        <w:t xml:space="preserve"> and </w:t>
      </w:r>
      <w:r w:rsidR="001348C4">
        <w:rPr>
          <w:noProof/>
          <w:color w:val="000000"/>
          <w:highlight w:val="black"/>
        </w:rPr>
        <w:t>''''''''</w:t>
      </w:r>
      <w:r>
        <w:rPr>
          <w:rFonts w:ascii="Calibri" w:eastAsia="MS Mincho" w:hAnsi="Calibri" w:cs="Times New Roman"/>
        </w:rPr>
        <w:t xml:space="preserve"> months respectively (see predicted vs actual section). However it is unclear which censoring scheme was used in the trial to calculate </w:t>
      </w:r>
      <w:r w:rsidR="00E703EF">
        <w:rPr>
          <w:rFonts w:ascii="Calibri" w:eastAsia="MS Mincho" w:hAnsi="Calibri" w:cs="Times New Roman"/>
        </w:rPr>
        <w:t xml:space="preserve">these numbers, so it is unclear which numbers </w:t>
      </w:r>
      <w:r w:rsidR="005E5211">
        <w:rPr>
          <w:rFonts w:ascii="Calibri" w:eastAsia="MS Mincho" w:hAnsi="Calibri" w:cs="Times New Roman"/>
        </w:rPr>
        <w:t xml:space="preserve">in </w:t>
      </w:r>
      <w:r w:rsidR="00E703EF">
        <w:rPr>
          <w:rFonts w:ascii="Calibri" w:eastAsia="MS Mincho" w:hAnsi="Calibri" w:cs="Times New Roman"/>
        </w:rPr>
        <w:t xml:space="preserve">Table 13 </w:t>
      </w:r>
      <w:r w:rsidR="005E5211">
        <w:rPr>
          <w:rFonts w:ascii="Calibri" w:eastAsia="MS Mincho" w:hAnsi="Calibri" w:cs="Times New Roman"/>
        </w:rPr>
        <w:t>should be compared to the predicted values.</w:t>
      </w:r>
    </w:p>
    <w:p w:rsidR="006B3C44" w:rsidRPr="00F47599" w:rsidRDefault="000E5F91" w:rsidP="004F2A00">
      <w:pPr>
        <w:pStyle w:val="Heading3"/>
      </w:pPr>
      <w:r w:rsidRPr="00F47599">
        <w:t xml:space="preserve">Time from last </w:t>
      </w:r>
      <w:r w:rsidR="009A3EB4">
        <w:t>2nd</w:t>
      </w:r>
      <w:r w:rsidRPr="00F47599">
        <w:t xml:space="preserve"> line Nivolumab treatment to death</w:t>
      </w:r>
    </w:p>
    <w:p w:rsidR="004F2A00" w:rsidRPr="00F47599" w:rsidRDefault="000E5F91" w:rsidP="00F47599">
      <w:pPr>
        <w:spacing w:after="0"/>
      </w:pPr>
      <w:r w:rsidRPr="00F47599">
        <w:t xml:space="preserve">The March 2017 PBAC minutes on nivolumab noted that 46% of patients in the clinical trial were treated with nivolumab beyond </w:t>
      </w:r>
      <w:r w:rsidR="00682BCC" w:rsidRPr="00F47599">
        <w:t xml:space="preserve">RECIST defined </w:t>
      </w:r>
      <w:r w:rsidRPr="00F47599">
        <w:t xml:space="preserve">progression. </w:t>
      </w:r>
      <w:r w:rsidR="004F2A00" w:rsidRPr="00F47599">
        <w:t xml:space="preserve">The </w:t>
      </w:r>
      <w:r w:rsidR="009A3EB4">
        <w:t>2nd</w:t>
      </w:r>
      <w:r w:rsidR="004F2A00" w:rsidRPr="00F47599">
        <w:t xml:space="preserve"> line nivolumab PBS restriction for continuing treatment contains the clinical criterion;</w:t>
      </w:r>
    </w:p>
    <w:p w:rsidR="004F2A00" w:rsidRPr="00F47599" w:rsidRDefault="004F2A00" w:rsidP="00F64C7D">
      <w:pPr>
        <w:pStyle w:val="ListParagraph"/>
        <w:numPr>
          <w:ilvl w:val="0"/>
          <w:numId w:val="25"/>
        </w:numPr>
      </w:pPr>
      <w:r w:rsidRPr="00F47599">
        <w:t>Patient must not have developed disease progression while being treated with this drug for this condition.</w:t>
      </w:r>
    </w:p>
    <w:p w:rsidR="004F2A00" w:rsidRPr="00F47599" w:rsidRDefault="004F2A00" w:rsidP="00F64C7D">
      <w:r w:rsidRPr="00F47599">
        <w:t xml:space="preserve">This analysis looks at the distribution of time from </w:t>
      </w:r>
      <w:r w:rsidR="0073649C">
        <w:t xml:space="preserve">the </w:t>
      </w:r>
      <w:r w:rsidRPr="00F47599">
        <w:t xml:space="preserve">last </w:t>
      </w:r>
      <w:r w:rsidR="009A3EB4">
        <w:t>2nd</w:t>
      </w:r>
      <w:r w:rsidRPr="00F47599">
        <w:t xml:space="preserve"> line nivolumab </w:t>
      </w:r>
      <w:r w:rsidR="0073649C">
        <w:t>supply</w:t>
      </w:r>
      <w:r w:rsidRPr="00F47599">
        <w:t xml:space="preserve"> to death to estimate i</w:t>
      </w:r>
      <w:r w:rsidR="006C7D3A">
        <w:t>f treatment beyond progression wa</w:t>
      </w:r>
      <w:r w:rsidRPr="00F47599">
        <w:t xml:space="preserve">s occurring with PBS nivolumab. This analysis only includes patients that have a date of death and for whom </w:t>
      </w:r>
      <w:r w:rsidR="009A3EB4">
        <w:t>2nd</w:t>
      </w:r>
      <w:r w:rsidRPr="00F47599">
        <w:t xml:space="preserve"> line nivolumab was their last RCC medicine.</w:t>
      </w:r>
      <w:r w:rsidR="00F47599">
        <w:t xml:space="preserve"> As noted in the previous section, o</w:t>
      </w:r>
      <w:r w:rsidR="00F47599">
        <w:rPr>
          <w:rFonts w:ascii="Calibri" w:eastAsia="MS Mincho" w:hAnsi="Calibri" w:cs="Times New Roman"/>
        </w:rPr>
        <w:t xml:space="preserve">f the 1,376 </w:t>
      </w:r>
      <w:r w:rsidR="009A3EB4">
        <w:rPr>
          <w:rFonts w:ascii="Calibri" w:eastAsia="MS Mincho" w:hAnsi="Calibri" w:cs="Times New Roman"/>
        </w:rPr>
        <w:t>2nd</w:t>
      </w:r>
      <w:r w:rsidR="00F47599">
        <w:rPr>
          <w:rFonts w:ascii="Calibri" w:eastAsia="MS Mincho" w:hAnsi="Calibri" w:cs="Times New Roman"/>
        </w:rPr>
        <w:t xml:space="preserve"> line nivolumab patients, 579 (42%) had died on or before 31 December 2019. Of these patients 402 had </w:t>
      </w:r>
      <w:r w:rsidR="009A3EB4">
        <w:t>2nd</w:t>
      </w:r>
      <w:r w:rsidR="00F47599" w:rsidRPr="00F47599">
        <w:t xml:space="preserve"> line nivolumab was their last RCC medicine</w:t>
      </w:r>
      <w:r w:rsidR="00F47599">
        <w:t>. The time from the supply of their last nivolumab prescription to their date of death is shown</w:t>
      </w:r>
      <w:r w:rsidR="006D7F26">
        <w:t xml:space="preserve"> in Figure 9</w:t>
      </w:r>
      <w:r w:rsidR="00F47599">
        <w:t>.</w:t>
      </w:r>
    </w:p>
    <w:p w:rsidR="00F47599" w:rsidRPr="00D427C6" w:rsidRDefault="00F47599" w:rsidP="00F64C7D">
      <w:pPr>
        <w:rPr>
          <w:b/>
          <w:highlight w:val="yellow"/>
        </w:rPr>
      </w:pPr>
      <w:r>
        <w:rPr>
          <w:noProof/>
        </w:rPr>
        <w:drawing>
          <wp:inline distT="0" distB="0" distL="0" distR="0" wp14:anchorId="5989F1E0" wp14:editId="30FB06DE">
            <wp:extent cx="5687695" cy="3710940"/>
            <wp:effectExtent l="0" t="0" r="8255" b="3810"/>
            <wp:docPr id="17" name="Chart 17" title="Figure 9: Time from last 2nd line Nivolumab treatment to dea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D7F26">
        <w:rPr>
          <w:b/>
        </w:rPr>
        <w:t>Figure 9</w:t>
      </w:r>
      <w:r w:rsidR="00CF20F1" w:rsidRPr="00D427C6">
        <w:rPr>
          <w:b/>
        </w:rPr>
        <w:t xml:space="preserve">: Time from last </w:t>
      </w:r>
      <w:r w:rsidR="009A3EB4">
        <w:rPr>
          <w:b/>
        </w:rPr>
        <w:t>2nd</w:t>
      </w:r>
      <w:r w:rsidR="00CF20F1" w:rsidRPr="00D427C6">
        <w:rPr>
          <w:b/>
        </w:rPr>
        <w:t xml:space="preserve"> line Nivolumab treatment to death</w:t>
      </w:r>
    </w:p>
    <w:p w:rsidR="00F47599" w:rsidRDefault="00F47599" w:rsidP="00F64C7D">
      <w:r w:rsidRPr="00F47599">
        <w:t>F</w:t>
      </w:r>
      <w:r w:rsidR="006D7F26">
        <w:t>igure 9</w:t>
      </w:r>
      <w:r w:rsidRPr="00F47599">
        <w:t xml:space="preserve"> shows that the majority of patients (55%) have their last nivolumab prescription within the last 3 fortnights before death. </w:t>
      </w:r>
      <w:r w:rsidR="00F64C7D">
        <w:t>This may indicate that some patients were treated beyond disease progression.</w:t>
      </w:r>
    </w:p>
    <w:p w:rsidR="004A3559" w:rsidRPr="00F47599" w:rsidRDefault="005A212B" w:rsidP="006C7D3A">
      <w:pPr>
        <w:pStyle w:val="Heading3"/>
        <w:keepNext/>
        <w:keepLines/>
      </w:pPr>
      <w:r w:rsidRPr="00F47599">
        <w:t xml:space="preserve">Overall survival from start of </w:t>
      </w:r>
      <w:r w:rsidR="009A3EB4">
        <w:t>2nd</w:t>
      </w:r>
      <w:r w:rsidRPr="00F47599">
        <w:t xml:space="preserve"> line nivolumab treatment</w:t>
      </w:r>
    </w:p>
    <w:p w:rsidR="00CF20F1" w:rsidRDefault="00EF084E" w:rsidP="006C7D3A">
      <w:pPr>
        <w:pStyle w:val="Heading3"/>
        <w:keepNext/>
        <w:keepLines/>
        <w:rPr>
          <w:b w:val="0"/>
          <w:i w:val="0"/>
        </w:rPr>
      </w:pPr>
      <w:r>
        <w:rPr>
          <w:b w:val="0"/>
          <w:i w:val="0"/>
        </w:rPr>
        <w:t xml:space="preserve">The DoD data enabled the analysis of overall survival of patients from the start of </w:t>
      </w:r>
      <w:r w:rsidR="009A3EB4">
        <w:rPr>
          <w:b w:val="0"/>
          <w:i w:val="0"/>
        </w:rPr>
        <w:t>2nd</w:t>
      </w:r>
      <w:r w:rsidRPr="00EF084E">
        <w:rPr>
          <w:b w:val="0"/>
          <w:i w:val="0"/>
        </w:rPr>
        <w:t xml:space="preserve"> line nivolumab treatment</w:t>
      </w:r>
      <w:r>
        <w:rPr>
          <w:b w:val="0"/>
          <w:i w:val="0"/>
        </w:rPr>
        <w:t>. This analysis was done in a similar way to the l</w:t>
      </w:r>
      <w:r w:rsidRPr="00EF084E">
        <w:rPr>
          <w:b w:val="0"/>
          <w:i w:val="0"/>
        </w:rPr>
        <w:t>ength of treatment (including breaks)</w:t>
      </w:r>
      <w:r>
        <w:rPr>
          <w:b w:val="0"/>
          <w:i w:val="0"/>
        </w:rPr>
        <w:t xml:space="preserve"> analysis. For the patients still alive </w:t>
      </w:r>
      <w:r w:rsidR="008B4741">
        <w:rPr>
          <w:b w:val="0"/>
          <w:i w:val="0"/>
        </w:rPr>
        <w:t xml:space="preserve">before the 31 December 2019 </w:t>
      </w:r>
      <w:r>
        <w:rPr>
          <w:b w:val="0"/>
          <w:i w:val="0"/>
        </w:rPr>
        <w:t>the survival time is the same as the l</w:t>
      </w:r>
      <w:r w:rsidRPr="00EF084E">
        <w:rPr>
          <w:b w:val="0"/>
          <w:i w:val="0"/>
        </w:rPr>
        <w:t>ength of treatment (including breaks)</w:t>
      </w:r>
      <w:r>
        <w:rPr>
          <w:b w:val="0"/>
          <w:i w:val="0"/>
        </w:rPr>
        <w:t xml:space="preserve"> and patients are classified as censored</w:t>
      </w:r>
      <w:r w:rsidR="00AA246A">
        <w:rPr>
          <w:b w:val="0"/>
          <w:i w:val="0"/>
        </w:rPr>
        <w:t xml:space="preserve"> for the Kaplan Meier analysis</w:t>
      </w:r>
      <w:r>
        <w:rPr>
          <w:b w:val="0"/>
          <w:i w:val="0"/>
        </w:rPr>
        <w:t xml:space="preserve">. For patients with a date of death, the overall survival time is from initiation of </w:t>
      </w:r>
      <w:r w:rsidR="009A3EB4">
        <w:rPr>
          <w:b w:val="0"/>
          <w:i w:val="0"/>
        </w:rPr>
        <w:t>2nd</w:t>
      </w:r>
      <w:r>
        <w:rPr>
          <w:b w:val="0"/>
          <w:i w:val="0"/>
        </w:rPr>
        <w:t xml:space="preserve"> line nivolumab to death</w:t>
      </w:r>
      <w:r w:rsidR="00D427C6">
        <w:rPr>
          <w:b w:val="0"/>
          <w:i w:val="0"/>
        </w:rPr>
        <w:t xml:space="preserve"> and the patients are </w:t>
      </w:r>
      <w:r w:rsidR="00AA246A">
        <w:rPr>
          <w:b w:val="0"/>
          <w:i w:val="0"/>
        </w:rPr>
        <w:t>classified as</w:t>
      </w:r>
      <w:r w:rsidR="008B4741">
        <w:rPr>
          <w:b w:val="0"/>
          <w:i w:val="0"/>
        </w:rPr>
        <w:t xml:space="preserve"> </w:t>
      </w:r>
      <w:r w:rsidR="00D427C6">
        <w:rPr>
          <w:b w:val="0"/>
          <w:i w:val="0"/>
        </w:rPr>
        <w:t>not censored. This analysis includes those patients that went on to have subsequent treatments.</w:t>
      </w:r>
    </w:p>
    <w:p w:rsidR="00D427C6" w:rsidRPr="00D427C6" w:rsidRDefault="00D427C6" w:rsidP="00D427C6">
      <w:pPr>
        <w:rPr>
          <w:b/>
        </w:rPr>
      </w:pPr>
      <w:r>
        <w:rPr>
          <w:rFonts w:ascii="Arial" w:hAnsi="Arial" w:cs="Arial"/>
          <w:noProof/>
          <w:color w:val="000000"/>
          <w:sz w:val="20"/>
          <w:szCs w:val="20"/>
        </w:rPr>
        <w:drawing>
          <wp:inline distT="0" distB="0" distL="0" distR="0" wp14:anchorId="59FF8F54" wp14:editId="29F2FF27">
            <wp:extent cx="5687695" cy="4265771"/>
            <wp:effectExtent l="0" t="0" r="8255" b="1905"/>
            <wp:docPr id="19" name="Picture 19" descr="img0.png" title="Figure 10: Overall Survival from start of 2nd line nivolumab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r w:rsidR="006D7F26">
        <w:rPr>
          <w:b/>
        </w:rPr>
        <w:t>Figure 10</w:t>
      </w:r>
      <w:r w:rsidRPr="00D427C6">
        <w:rPr>
          <w:b/>
        </w:rPr>
        <w:t xml:space="preserve">: Overall Survival from start of </w:t>
      </w:r>
      <w:r w:rsidR="009A3EB4">
        <w:rPr>
          <w:b/>
        </w:rPr>
        <w:t>2nd</w:t>
      </w:r>
      <w:r w:rsidRPr="00D427C6">
        <w:rPr>
          <w:b/>
        </w:rPr>
        <w:t xml:space="preserve"> line nivolumab treatment</w:t>
      </w:r>
    </w:p>
    <w:p w:rsidR="00F55735" w:rsidRPr="00D926F0" w:rsidRDefault="003B0ACE" w:rsidP="005E5211">
      <w:pPr>
        <w:pStyle w:val="Heading3"/>
      </w:pPr>
      <w:r>
        <w:rPr>
          <w:b w:val="0"/>
          <w:i w:val="0"/>
        </w:rPr>
        <w:t>In Figure 1</w:t>
      </w:r>
      <w:r w:rsidR="006D7F26">
        <w:rPr>
          <w:b w:val="0"/>
          <w:i w:val="0"/>
        </w:rPr>
        <w:t>0</w:t>
      </w:r>
      <w:r w:rsidR="00D427C6">
        <w:rPr>
          <w:b w:val="0"/>
          <w:i w:val="0"/>
        </w:rPr>
        <w:t xml:space="preserve"> the median overall survival is </w:t>
      </w:r>
      <w:r w:rsidR="00F91F61">
        <w:rPr>
          <w:b w:val="0"/>
          <w:i w:val="0"/>
        </w:rPr>
        <w:t>1.69 years (20.3 months) and the mean is 1.47 years (17.6 months).</w:t>
      </w:r>
      <w:r w:rsidR="00D926F0">
        <w:rPr>
          <w:b w:val="0"/>
          <w:i w:val="0"/>
        </w:rPr>
        <w:t xml:space="preserve"> In the nivolumab submission to </w:t>
      </w:r>
      <w:r w:rsidR="00E55FC5">
        <w:rPr>
          <w:b w:val="0"/>
          <w:i w:val="0"/>
        </w:rPr>
        <w:t xml:space="preserve">the </w:t>
      </w:r>
      <w:r w:rsidR="00D926F0">
        <w:rPr>
          <w:b w:val="0"/>
          <w:i w:val="0"/>
        </w:rPr>
        <w:t>March 2017 PBAC the overall survival for nivolumab from the pivotal study (CA209025, 11</w:t>
      </w:r>
      <w:r w:rsidR="00D926F0" w:rsidRPr="00D926F0">
        <w:rPr>
          <w:b w:val="0"/>
          <w:i w:val="0"/>
          <w:vertAlign w:val="superscript"/>
        </w:rPr>
        <w:t>th</w:t>
      </w:r>
      <w:r w:rsidR="00D926F0">
        <w:rPr>
          <w:b w:val="0"/>
          <w:i w:val="0"/>
        </w:rPr>
        <w:t xml:space="preserve"> May 2016 cut-of</w:t>
      </w:r>
      <w:r w:rsidR="000116E0">
        <w:rPr>
          <w:b w:val="0"/>
          <w:i w:val="0"/>
        </w:rPr>
        <w:t xml:space="preserve">f) was a median of 26.0 months. </w:t>
      </w:r>
    </w:p>
    <w:p w:rsidR="00AA246A" w:rsidRDefault="00AA246A">
      <w:pPr>
        <w:spacing w:line="276" w:lineRule="auto"/>
        <w:rPr>
          <w:b/>
          <w:i/>
        </w:rPr>
      </w:pPr>
      <w:r>
        <w:rPr>
          <w:b/>
          <w:i/>
        </w:rPr>
        <w:br w:type="page"/>
      </w:r>
    </w:p>
    <w:p w:rsidR="004A3559" w:rsidRDefault="004A3559" w:rsidP="00085801">
      <w:pPr>
        <w:keepNext/>
        <w:keepLines/>
        <w:spacing w:after="0"/>
        <w:rPr>
          <w:b/>
          <w:i/>
        </w:rPr>
      </w:pPr>
      <w:r w:rsidRPr="004A3559">
        <w:rPr>
          <w:b/>
          <w:i/>
        </w:rPr>
        <w:t>Dos</w:t>
      </w:r>
      <w:r w:rsidR="00085801">
        <w:rPr>
          <w:b/>
          <w:i/>
        </w:rPr>
        <w:t>e</w:t>
      </w:r>
      <w:r w:rsidRPr="004A3559">
        <w:rPr>
          <w:b/>
          <w:i/>
        </w:rPr>
        <w:t xml:space="preserve"> distribution of </w:t>
      </w:r>
      <w:r w:rsidR="009A3EB4">
        <w:rPr>
          <w:b/>
          <w:i/>
        </w:rPr>
        <w:t>2nd</w:t>
      </w:r>
      <w:r w:rsidR="006F1CAE">
        <w:rPr>
          <w:b/>
          <w:i/>
        </w:rPr>
        <w:t xml:space="preserve"> line </w:t>
      </w:r>
      <w:r w:rsidRPr="004A3559">
        <w:rPr>
          <w:b/>
          <w:i/>
        </w:rPr>
        <w:t xml:space="preserve">nivolumab </w:t>
      </w:r>
      <w:r w:rsidR="006F1CAE">
        <w:rPr>
          <w:b/>
          <w:i/>
        </w:rPr>
        <w:t>infusions</w:t>
      </w:r>
    </w:p>
    <w:p w:rsidR="004C40CC" w:rsidRPr="004A3559" w:rsidRDefault="004C40CC" w:rsidP="00085801">
      <w:pPr>
        <w:keepNext/>
        <w:keepLines/>
        <w:spacing w:after="0"/>
        <w:rPr>
          <w:b/>
          <w:i/>
        </w:rPr>
      </w:pPr>
    </w:p>
    <w:p w:rsidR="00F91F61" w:rsidRDefault="00754A63" w:rsidP="00754A63">
      <w:r>
        <w:t>T</w:t>
      </w:r>
      <w:r w:rsidR="00F91F61">
        <w:t xml:space="preserve">he </w:t>
      </w:r>
      <w:r>
        <w:t xml:space="preserve">nivolumab </w:t>
      </w:r>
      <w:r w:rsidR="0073649C">
        <w:t xml:space="preserve">restriction </w:t>
      </w:r>
      <w:r w:rsidR="002D6311">
        <w:t xml:space="preserve">was </w:t>
      </w:r>
      <w:r>
        <w:t xml:space="preserve">extended </w:t>
      </w:r>
      <w:r w:rsidR="0073649C">
        <w:t xml:space="preserve">on 1 September 2019 to allow </w:t>
      </w:r>
      <w:r w:rsidR="002D6311">
        <w:t xml:space="preserve">a </w:t>
      </w:r>
      <w:r>
        <w:t xml:space="preserve">flat 240 mg every two weeks dosing, or </w:t>
      </w:r>
      <w:r w:rsidR="002D6311">
        <w:t xml:space="preserve">a </w:t>
      </w:r>
      <w:r>
        <w:t>flat 480 mg every four weeks dosing. T</w:t>
      </w:r>
      <w:r w:rsidR="0073649C">
        <w:t>he results below are presented for the periods pre and post this change.</w:t>
      </w:r>
    </w:p>
    <w:p w:rsidR="00F91F61" w:rsidRDefault="00F91F61" w:rsidP="00085801">
      <w:pPr>
        <w:keepNext/>
        <w:keepLines/>
        <w:spacing w:after="0"/>
      </w:pPr>
    </w:p>
    <w:p w:rsidR="00754A63" w:rsidRDefault="00754A63" w:rsidP="00085801">
      <w:pPr>
        <w:keepNext/>
        <w:keepLines/>
        <w:spacing w:after="0"/>
      </w:pPr>
      <w:r>
        <w:rPr>
          <w:noProof/>
        </w:rPr>
        <w:drawing>
          <wp:inline distT="0" distB="0" distL="0" distR="0" wp14:anchorId="107FFD4A" wp14:editId="07FE545F">
            <wp:extent cx="5687695" cy="3703320"/>
            <wp:effectExtent l="0" t="0" r="8255" b="11430"/>
            <wp:docPr id="20" name="Chart 20" title="Figure 11: Dose distribution of 2nd line nivolumab infusions pre &amp; post restriction chan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5801" w:rsidRPr="00483B38" w:rsidRDefault="006D7F26" w:rsidP="00085801">
      <w:pPr>
        <w:spacing w:after="0"/>
        <w:rPr>
          <w:sz w:val="20"/>
          <w:szCs w:val="20"/>
        </w:rPr>
      </w:pPr>
      <w:r>
        <w:rPr>
          <w:b/>
          <w:lang w:val="en-US"/>
        </w:rPr>
        <w:t>Figure 11</w:t>
      </w:r>
      <w:r w:rsidR="00085801" w:rsidRPr="00085801">
        <w:rPr>
          <w:b/>
          <w:lang w:val="en-US"/>
        </w:rPr>
        <w:t xml:space="preserve">: </w:t>
      </w:r>
      <w:r w:rsidR="00085801" w:rsidRPr="00085801">
        <w:rPr>
          <w:b/>
        </w:rPr>
        <w:t xml:space="preserve">Dose distribution of </w:t>
      </w:r>
      <w:r w:rsidR="009A3EB4">
        <w:rPr>
          <w:b/>
        </w:rPr>
        <w:t>2nd</w:t>
      </w:r>
      <w:r w:rsidR="00085801" w:rsidRPr="00085801">
        <w:rPr>
          <w:b/>
        </w:rPr>
        <w:t xml:space="preserve"> line nivolumab infusions</w:t>
      </w:r>
      <w:r w:rsidR="00754A63">
        <w:rPr>
          <w:b/>
        </w:rPr>
        <w:t xml:space="preserve"> pre &amp; post restriction change</w:t>
      </w:r>
      <w:r w:rsidR="00085801">
        <w:rPr>
          <w:b/>
        </w:rPr>
        <w:br/>
      </w:r>
      <w:r w:rsidR="00085801" w:rsidRPr="00483B38">
        <w:rPr>
          <w:sz w:val="20"/>
          <w:szCs w:val="20"/>
        </w:rPr>
        <w:t>Note: each infusion is supplied on a separate prescription</w:t>
      </w:r>
    </w:p>
    <w:p w:rsidR="00085801" w:rsidRDefault="00085801" w:rsidP="004A3559">
      <w:pPr>
        <w:spacing w:after="0"/>
      </w:pPr>
    </w:p>
    <w:p w:rsidR="00D5773B" w:rsidRPr="00085801" w:rsidRDefault="003B0ACE" w:rsidP="00AA246A">
      <w:pPr>
        <w:spacing w:after="0"/>
      </w:pPr>
      <w:r>
        <w:t>Figure 1</w:t>
      </w:r>
      <w:r w:rsidR="006D7F26">
        <w:t>1</w:t>
      </w:r>
      <w:r w:rsidR="00085801">
        <w:t xml:space="preserve"> shows that the</w:t>
      </w:r>
      <w:r w:rsidR="00483B38">
        <w:t xml:space="preserve">re </w:t>
      </w:r>
      <w:r w:rsidR="00C526A6">
        <w:t xml:space="preserve">was a shift in the dose distribution after the restriction </w:t>
      </w:r>
      <w:r w:rsidR="00AA246A">
        <w:t xml:space="preserve">change </w:t>
      </w:r>
      <w:r w:rsidR="00C526A6">
        <w:t>to 240 mg and 480 mg flat dosing.</w:t>
      </w:r>
      <w:r w:rsidR="00AA246A">
        <w:t xml:space="preserve"> </w:t>
      </w:r>
      <w:r w:rsidR="00D5773B">
        <w:t xml:space="preserve">The median doses </w:t>
      </w:r>
      <w:r w:rsidR="004C40CC">
        <w:t xml:space="preserve">pre and post 1 September 2019 are both </w:t>
      </w:r>
      <w:r w:rsidR="00227272">
        <w:t>240 mg.</w:t>
      </w:r>
      <w:r w:rsidR="004C40CC">
        <w:t xml:space="preserve"> The mean doses pre and post 1 September 2019 are 245 mg and 300 mg respectively. </w:t>
      </w:r>
      <w:r w:rsidR="00D5773B">
        <w:t>The estimates assume</w:t>
      </w:r>
      <w:r w:rsidR="00227272">
        <w:t>d</w:t>
      </w:r>
      <w:r w:rsidR="00D5773B">
        <w:t xml:space="preserve"> a mean dose of 240 mg.</w:t>
      </w:r>
      <w:r w:rsidR="00AA246A">
        <w:t xml:space="preserve"> The mean dose post 1 September 2019 has risen because of the availability of the flat 480mg dosing every four weeks.</w:t>
      </w:r>
    </w:p>
    <w:p w:rsidR="00AA246A" w:rsidRDefault="00AA246A">
      <w:pPr>
        <w:spacing w:line="276" w:lineRule="auto"/>
        <w:rPr>
          <w:rFonts w:eastAsiaTheme="majorEastAsia" w:cstheme="majorBidi"/>
          <w:b/>
          <w:bCs/>
          <w:sz w:val="32"/>
          <w:szCs w:val="32"/>
        </w:rPr>
      </w:pPr>
      <w:r>
        <w:br w:type="page"/>
      </w:r>
    </w:p>
    <w:p w:rsidR="00591512" w:rsidRDefault="00AB3733" w:rsidP="00F73113">
      <w:pPr>
        <w:pStyle w:val="Heading1"/>
      </w:pPr>
      <w:r>
        <w:t>D</w:t>
      </w:r>
      <w:r w:rsidR="007346C7" w:rsidRPr="005E22C2">
        <w:t>iscussion</w:t>
      </w:r>
    </w:p>
    <w:p w:rsidR="004401DC" w:rsidRPr="004401DC" w:rsidRDefault="00A572EF" w:rsidP="004401DC">
      <w:pPr>
        <w:pStyle w:val="NoSpacing"/>
        <w:numPr>
          <w:ilvl w:val="0"/>
          <w:numId w:val="30"/>
        </w:numPr>
        <w:spacing w:line="276" w:lineRule="auto"/>
        <w:ind w:left="360"/>
        <w:rPr>
          <w:rFonts w:eastAsiaTheme="majorEastAsia" w:cstheme="majorBidi"/>
          <w:bCs/>
          <w:szCs w:val="26"/>
        </w:rPr>
      </w:pPr>
      <w:r>
        <w:rPr>
          <w:rFonts w:eastAsiaTheme="majorEastAsia" w:cstheme="majorBidi"/>
          <w:bCs/>
          <w:szCs w:val="26"/>
        </w:rPr>
        <w:t>Second</w:t>
      </w:r>
      <w:r w:rsidR="004401DC" w:rsidRPr="004401DC">
        <w:rPr>
          <w:rFonts w:eastAsiaTheme="majorEastAsia" w:cstheme="majorBidi"/>
          <w:bCs/>
          <w:szCs w:val="26"/>
        </w:rPr>
        <w:t xml:space="preserve"> line nivolumab is the most common PBS treatment for RCC. </w:t>
      </w:r>
      <w:r w:rsidR="000F3049">
        <w:rPr>
          <w:rFonts w:eastAsiaTheme="majorEastAsia" w:cstheme="majorBidi"/>
          <w:bCs/>
          <w:szCs w:val="26"/>
        </w:rPr>
        <w:t>In</w:t>
      </w:r>
      <w:r w:rsidR="004401DC" w:rsidRPr="004401DC">
        <w:rPr>
          <w:rFonts w:eastAsiaTheme="majorEastAsia" w:cstheme="majorBidi"/>
          <w:bCs/>
          <w:szCs w:val="26"/>
        </w:rPr>
        <w:t xml:space="preserve"> 2019 Q4 there </w:t>
      </w:r>
      <w:r w:rsidR="000F3049">
        <w:rPr>
          <w:rFonts w:eastAsiaTheme="majorEastAsia" w:cstheme="majorBidi"/>
          <w:bCs/>
          <w:szCs w:val="26"/>
        </w:rPr>
        <w:t>were</w:t>
      </w:r>
      <w:r w:rsidR="004401DC" w:rsidRPr="004401DC">
        <w:rPr>
          <w:rFonts w:eastAsiaTheme="majorEastAsia" w:cstheme="majorBidi"/>
          <w:bCs/>
          <w:szCs w:val="26"/>
        </w:rPr>
        <w:t xml:space="preserve"> 1,493 patients receiving PBS treatment for RCC, of these 463 </w:t>
      </w:r>
      <w:r w:rsidR="00F13418">
        <w:rPr>
          <w:rFonts w:eastAsiaTheme="majorEastAsia" w:cstheme="majorBidi"/>
          <w:bCs/>
          <w:szCs w:val="26"/>
        </w:rPr>
        <w:t xml:space="preserve">received </w:t>
      </w:r>
      <w:r w:rsidR="009A3EB4">
        <w:rPr>
          <w:rFonts w:eastAsiaTheme="majorEastAsia" w:cstheme="majorBidi"/>
          <w:bCs/>
          <w:szCs w:val="26"/>
        </w:rPr>
        <w:t>2nd</w:t>
      </w:r>
      <w:r w:rsidR="004401DC" w:rsidRPr="004401DC">
        <w:rPr>
          <w:rFonts w:eastAsiaTheme="majorEastAsia" w:cstheme="majorBidi"/>
          <w:bCs/>
          <w:szCs w:val="26"/>
        </w:rPr>
        <w:t xml:space="preserve"> line nivolumab.</w:t>
      </w:r>
    </w:p>
    <w:p w:rsidR="004401DC" w:rsidRPr="004401DC" w:rsidRDefault="004401DC" w:rsidP="004401DC">
      <w:pPr>
        <w:pStyle w:val="NoSpacing"/>
        <w:numPr>
          <w:ilvl w:val="0"/>
          <w:numId w:val="30"/>
        </w:numPr>
        <w:spacing w:line="276" w:lineRule="auto"/>
        <w:ind w:left="360"/>
        <w:rPr>
          <w:rFonts w:eastAsiaTheme="majorEastAsia" w:cstheme="majorBidi"/>
          <w:bCs/>
          <w:szCs w:val="26"/>
        </w:rPr>
      </w:pPr>
      <w:r w:rsidRPr="004401DC">
        <w:rPr>
          <w:rFonts w:eastAsiaTheme="majorEastAsia" w:cstheme="majorBidi"/>
          <w:bCs/>
          <w:szCs w:val="26"/>
        </w:rPr>
        <w:t>In both Year 1 and 2 after listing there was approximately 50% more patients than predicted. However there were less prescriptions than predicted because the prescriptions per patient were approximately half that predicted.</w:t>
      </w:r>
    </w:p>
    <w:p w:rsidR="004401DC" w:rsidRPr="004401DC" w:rsidRDefault="004401DC" w:rsidP="004401DC">
      <w:pPr>
        <w:pStyle w:val="NoSpacing"/>
        <w:numPr>
          <w:ilvl w:val="0"/>
          <w:numId w:val="30"/>
        </w:numPr>
        <w:spacing w:line="276" w:lineRule="auto"/>
        <w:ind w:left="360"/>
        <w:rPr>
          <w:rFonts w:eastAsiaTheme="majorEastAsia" w:cstheme="majorBidi"/>
          <w:bCs/>
          <w:szCs w:val="26"/>
        </w:rPr>
      </w:pPr>
      <w:r w:rsidRPr="004401DC">
        <w:rPr>
          <w:rFonts w:eastAsiaTheme="majorEastAsia" w:cstheme="majorBidi"/>
          <w:bCs/>
          <w:szCs w:val="26"/>
        </w:rPr>
        <w:t xml:space="preserve">18.4% of patients appear to have not used a TKI before initiation of </w:t>
      </w:r>
      <w:r w:rsidR="009A3EB4">
        <w:rPr>
          <w:rFonts w:eastAsiaTheme="majorEastAsia" w:cstheme="majorBidi"/>
          <w:bCs/>
          <w:szCs w:val="26"/>
        </w:rPr>
        <w:t>2nd</w:t>
      </w:r>
      <w:r w:rsidRPr="004401DC">
        <w:rPr>
          <w:rFonts w:eastAsiaTheme="majorEastAsia" w:cstheme="majorBidi"/>
          <w:bCs/>
          <w:szCs w:val="26"/>
        </w:rPr>
        <w:t xml:space="preserve"> line nivolumab. This is outside the PBS restriction which requires a patient to fail prior TKI treatment.</w:t>
      </w:r>
    </w:p>
    <w:p w:rsidR="004401DC" w:rsidRPr="004401DC" w:rsidRDefault="004401DC" w:rsidP="004401DC">
      <w:pPr>
        <w:pStyle w:val="NoSpacing"/>
        <w:numPr>
          <w:ilvl w:val="0"/>
          <w:numId w:val="30"/>
        </w:numPr>
        <w:spacing w:line="276" w:lineRule="auto"/>
        <w:ind w:left="360"/>
        <w:rPr>
          <w:rFonts w:eastAsiaTheme="majorEastAsia" w:cstheme="majorBidi"/>
          <w:bCs/>
          <w:szCs w:val="26"/>
        </w:rPr>
      </w:pPr>
      <w:r>
        <w:rPr>
          <w:rFonts w:eastAsiaTheme="majorEastAsia" w:cstheme="majorBidi"/>
          <w:bCs/>
          <w:szCs w:val="26"/>
        </w:rPr>
        <w:t xml:space="preserve">The most common treatment switch for patients who had </w:t>
      </w:r>
      <w:r w:rsidR="009A3EB4">
        <w:rPr>
          <w:rFonts w:eastAsiaTheme="majorEastAsia" w:cstheme="majorBidi"/>
          <w:bCs/>
          <w:szCs w:val="26"/>
        </w:rPr>
        <w:t>2nd</w:t>
      </w:r>
      <w:r>
        <w:rPr>
          <w:rFonts w:eastAsiaTheme="majorEastAsia" w:cstheme="majorBidi"/>
          <w:bCs/>
          <w:szCs w:val="26"/>
        </w:rPr>
        <w:t xml:space="preserve"> line RCC treatment is from nivolumab to cabozantinib.</w:t>
      </w:r>
    </w:p>
    <w:p w:rsidR="005E5211" w:rsidRDefault="004401DC" w:rsidP="004401DC">
      <w:pPr>
        <w:pStyle w:val="NoSpacing"/>
        <w:numPr>
          <w:ilvl w:val="0"/>
          <w:numId w:val="30"/>
        </w:numPr>
        <w:spacing w:line="276" w:lineRule="auto"/>
        <w:ind w:left="360"/>
        <w:rPr>
          <w:rFonts w:eastAsiaTheme="majorEastAsia" w:cstheme="majorBidi"/>
          <w:bCs/>
          <w:szCs w:val="26"/>
        </w:rPr>
      </w:pPr>
      <w:r>
        <w:rPr>
          <w:rFonts w:eastAsiaTheme="majorEastAsia" w:cstheme="majorBidi"/>
          <w:bCs/>
          <w:szCs w:val="26"/>
        </w:rPr>
        <w:t>The median and mean length of treatment (including breaks</w:t>
      </w:r>
      <w:r w:rsidR="005E5211">
        <w:rPr>
          <w:rFonts w:eastAsiaTheme="majorEastAsia" w:cstheme="majorBidi"/>
          <w:bCs/>
          <w:szCs w:val="26"/>
        </w:rPr>
        <w:t xml:space="preserve"> and DoD adjust</w:t>
      </w:r>
      <w:r w:rsidR="000F3049">
        <w:rPr>
          <w:rFonts w:eastAsiaTheme="majorEastAsia" w:cstheme="majorBidi"/>
          <w:bCs/>
          <w:szCs w:val="26"/>
        </w:rPr>
        <w:t>ment</w:t>
      </w:r>
      <w:r>
        <w:rPr>
          <w:rFonts w:eastAsiaTheme="majorEastAsia" w:cstheme="majorBidi"/>
          <w:bCs/>
          <w:szCs w:val="26"/>
        </w:rPr>
        <w:t xml:space="preserve">) with </w:t>
      </w:r>
      <w:r w:rsidR="009A3EB4">
        <w:rPr>
          <w:rFonts w:eastAsiaTheme="majorEastAsia" w:cstheme="majorBidi"/>
          <w:bCs/>
          <w:szCs w:val="26"/>
        </w:rPr>
        <w:t>2nd</w:t>
      </w:r>
      <w:r>
        <w:rPr>
          <w:rFonts w:eastAsiaTheme="majorEastAsia" w:cstheme="majorBidi"/>
          <w:bCs/>
          <w:szCs w:val="26"/>
        </w:rPr>
        <w:t xml:space="preserve"> line nivolumab was 5.</w:t>
      </w:r>
      <w:r w:rsidR="005E5211">
        <w:rPr>
          <w:rFonts w:eastAsiaTheme="majorEastAsia" w:cstheme="majorBidi"/>
          <w:bCs/>
          <w:szCs w:val="26"/>
        </w:rPr>
        <w:t>6 and 9.9</w:t>
      </w:r>
      <w:r>
        <w:rPr>
          <w:rFonts w:eastAsiaTheme="majorEastAsia" w:cstheme="majorBidi"/>
          <w:bCs/>
          <w:szCs w:val="26"/>
        </w:rPr>
        <w:t xml:space="preserve"> months respectively. </w:t>
      </w:r>
      <w:r w:rsidR="000F3049">
        <w:t>This</w:t>
      </w:r>
      <w:r w:rsidR="005E5211">
        <w:t xml:space="preserve"> is consistent with predicted mean and median of </w:t>
      </w:r>
      <w:r w:rsidR="001348C4">
        <w:rPr>
          <w:noProof/>
          <w:color w:val="000000"/>
          <w:highlight w:val="black"/>
        </w:rPr>
        <w:t>''''''''</w:t>
      </w:r>
      <w:r w:rsidR="005E5211">
        <w:rPr>
          <w:rFonts w:eastAsiaTheme="majorEastAsia" w:cstheme="majorBidi"/>
          <w:bCs/>
          <w:szCs w:val="26"/>
        </w:rPr>
        <w:t xml:space="preserve"> and </w:t>
      </w:r>
      <w:r w:rsidR="001348C4">
        <w:rPr>
          <w:noProof/>
          <w:color w:val="000000"/>
          <w:highlight w:val="black"/>
        </w:rPr>
        <w:t>''''''''</w:t>
      </w:r>
      <w:r w:rsidR="005E5211">
        <w:rPr>
          <w:rFonts w:eastAsiaTheme="majorEastAsia" w:cstheme="majorBidi"/>
          <w:bCs/>
          <w:szCs w:val="26"/>
        </w:rPr>
        <w:t xml:space="preserve"> months respectively.</w:t>
      </w:r>
    </w:p>
    <w:p w:rsidR="000F3049" w:rsidRDefault="000F3049" w:rsidP="004401DC">
      <w:pPr>
        <w:pStyle w:val="NoSpacing"/>
        <w:numPr>
          <w:ilvl w:val="0"/>
          <w:numId w:val="30"/>
        </w:numPr>
        <w:spacing w:line="276" w:lineRule="auto"/>
        <w:ind w:left="360"/>
        <w:rPr>
          <w:rFonts w:eastAsiaTheme="majorEastAsia" w:cstheme="majorBidi"/>
          <w:bCs/>
          <w:szCs w:val="26"/>
        </w:rPr>
      </w:pPr>
      <w:r>
        <w:rPr>
          <w:rFonts w:eastAsiaTheme="majorEastAsia" w:cstheme="majorBidi"/>
          <w:bCs/>
          <w:szCs w:val="26"/>
        </w:rPr>
        <w:t>T</w:t>
      </w:r>
      <w:r w:rsidR="000F0AF7">
        <w:rPr>
          <w:rFonts w:eastAsiaTheme="majorEastAsia" w:cstheme="majorBidi"/>
          <w:bCs/>
          <w:szCs w:val="26"/>
        </w:rPr>
        <w:t>he DoD data revealed that 42</w:t>
      </w:r>
      <w:r w:rsidR="00BD3BAA">
        <w:rPr>
          <w:rFonts w:eastAsiaTheme="majorEastAsia" w:cstheme="majorBidi"/>
          <w:bCs/>
          <w:szCs w:val="26"/>
        </w:rPr>
        <w:t>.0</w:t>
      </w:r>
      <w:r>
        <w:rPr>
          <w:rFonts w:eastAsiaTheme="majorEastAsia" w:cstheme="majorBidi"/>
          <w:bCs/>
          <w:szCs w:val="26"/>
        </w:rPr>
        <w:t xml:space="preserve">% of patients that had </w:t>
      </w:r>
      <w:r w:rsidR="009A3EB4">
        <w:rPr>
          <w:rFonts w:eastAsiaTheme="majorEastAsia" w:cstheme="majorBidi"/>
          <w:bCs/>
          <w:szCs w:val="26"/>
        </w:rPr>
        <w:t>2nd</w:t>
      </w:r>
      <w:r>
        <w:rPr>
          <w:rFonts w:eastAsiaTheme="majorEastAsia" w:cstheme="majorBidi"/>
          <w:bCs/>
          <w:szCs w:val="26"/>
        </w:rPr>
        <w:t xml:space="preserve"> line nivolumab treatment had died by the end of the analysis period (31/12/2019). </w:t>
      </w:r>
      <w:r w:rsidR="00F13418">
        <w:rPr>
          <w:rFonts w:eastAsiaTheme="majorEastAsia" w:cstheme="majorBidi"/>
          <w:bCs/>
          <w:szCs w:val="26"/>
        </w:rPr>
        <w:t xml:space="preserve"> 71.8% </w:t>
      </w:r>
      <w:r>
        <w:rPr>
          <w:rFonts w:eastAsiaTheme="majorEastAsia" w:cstheme="majorBidi"/>
          <w:bCs/>
          <w:szCs w:val="26"/>
        </w:rPr>
        <w:t xml:space="preserve">of patients were </w:t>
      </w:r>
      <w:r w:rsidR="00F13418">
        <w:rPr>
          <w:rFonts w:eastAsiaTheme="majorEastAsia" w:cstheme="majorBidi"/>
          <w:bCs/>
          <w:szCs w:val="26"/>
        </w:rPr>
        <w:t xml:space="preserve">deemed to have stopped treatment by the end of the analysis period, of these 9.9% had died on treatment, 48.6% had stopped treatment before death and 41.4% had stopped treatment and were still alive. </w:t>
      </w:r>
    </w:p>
    <w:p w:rsidR="004401DC" w:rsidRDefault="004401DC" w:rsidP="004401DC">
      <w:pPr>
        <w:pStyle w:val="NoSpacing"/>
        <w:numPr>
          <w:ilvl w:val="0"/>
          <w:numId w:val="30"/>
        </w:numPr>
        <w:spacing w:line="276" w:lineRule="auto"/>
        <w:ind w:left="360"/>
        <w:rPr>
          <w:rFonts w:eastAsiaTheme="majorEastAsia" w:cstheme="majorBidi"/>
          <w:bCs/>
          <w:szCs w:val="26"/>
        </w:rPr>
      </w:pPr>
      <w:r>
        <w:rPr>
          <w:rFonts w:eastAsiaTheme="majorEastAsia" w:cstheme="majorBidi"/>
          <w:bCs/>
          <w:szCs w:val="26"/>
        </w:rPr>
        <w:t>T</w:t>
      </w:r>
      <w:r w:rsidRPr="00D00762">
        <w:rPr>
          <w:rFonts w:eastAsiaTheme="majorEastAsia" w:cstheme="majorBidi"/>
          <w:bCs/>
          <w:szCs w:val="26"/>
        </w:rPr>
        <w:t xml:space="preserve">he majority of patients </w:t>
      </w:r>
      <w:r w:rsidR="000F3049">
        <w:rPr>
          <w:rFonts w:eastAsiaTheme="majorEastAsia" w:cstheme="majorBidi"/>
          <w:bCs/>
          <w:szCs w:val="26"/>
        </w:rPr>
        <w:t xml:space="preserve">(55%) </w:t>
      </w:r>
      <w:r>
        <w:rPr>
          <w:rFonts w:eastAsiaTheme="majorEastAsia" w:cstheme="majorBidi"/>
          <w:bCs/>
          <w:szCs w:val="26"/>
        </w:rPr>
        <w:t xml:space="preserve">that have died </w:t>
      </w:r>
      <w:r w:rsidRPr="00D00762">
        <w:rPr>
          <w:rFonts w:eastAsiaTheme="majorEastAsia" w:cstheme="majorBidi"/>
          <w:bCs/>
          <w:szCs w:val="26"/>
        </w:rPr>
        <w:t>ha</w:t>
      </w:r>
      <w:r w:rsidR="000F3049">
        <w:rPr>
          <w:rFonts w:eastAsiaTheme="majorEastAsia" w:cstheme="majorBidi"/>
          <w:bCs/>
          <w:szCs w:val="26"/>
        </w:rPr>
        <w:t>d</w:t>
      </w:r>
      <w:r w:rsidRPr="00D00762">
        <w:rPr>
          <w:rFonts w:eastAsiaTheme="majorEastAsia" w:cstheme="majorBidi"/>
          <w:bCs/>
          <w:szCs w:val="26"/>
        </w:rPr>
        <w:t xml:space="preserve"> their last nivolumab prescription within the last 3 fortnights </w:t>
      </w:r>
      <w:r>
        <w:rPr>
          <w:rFonts w:eastAsiaTheme="majorEastAsia" w:cstheme="majorBidi"/>
          <w:bCs/>
          <w:szCs w:val="26"/>
        </w:rPr>
        <w:t xml:space="preserve">(infusions are generally fortnightly) </w:t>
      </w:r>
      <w:r w:rsidRPr="00D00762">
        <w:rPr>
          <w:rFonts w:eastAsiaTheme="majorEastAsia" w:cstheme="majorBidi"/>
          <w:bCs/>
          <w:szCs w:val="26"/>
        </w:rPr>
        <w:t>before death. This may indicate that some patients were treated beyond disea</w:t>
      </w:r>
      <w:r>
        <w:rPr>
          <w:rFonts w:eastAsiaTheme="majorEastAsia" w:cstheme="majorBidi"/>
          <w:bCs/>
          <w:szCs w:val="26"/>
        </w:rPr>
        <w:t>se progression, which is outside the PBS restriction.</w:t>
      </w:r>
    </w:p>
    <w:p w:rsidR="004401DC" w:rsidRPr="004401DC" w:rsidRDefault="004401DC" w:rsidP="004401DC">
      <w:pPr>
        <w:pStyle w:val="NoSpacing"/>
        <w:numPr>
          <w:ilvl w:val="0"/>
          <w:numId w:val="30"/>
        </w:numPr>
        <w:spacing w:line="276" w:lineRule="auto"/>
        <w:ind w:left="360"/>
        <w:rPr>
          <w:rFonts w:eastAsiaTheme="majorEastAsia" w:cstheme="majorBidi"/>
          <w:bCs/>
          <w:szCs w:val="26"/>
        </w:rPr>
      </w:pPr>
      <w:r>
        <w:t>The median o</w:t>
      </w:r>
      <w:r w:rsidRPr="004401DC">
        <w:t xml:space="preserve">verall </w:t>
      </w:r>
      <w:r>
        <w:t>s</w:t>
      </w:r>
      <w:r w:rsidRPr="004401DC">
        <w:t xml:space="preserve">urvival from </w:t>
      </w:r>
      <w:r>
        <w:t xml:space="preserve">the </w:t>
      </w:r>
      <w:r w:rsidRPr="004401DC">
        <w:t xml:space="preserve">start of </w:t>
      </w:r>
      <w:r w:rsidR="009A3EB4">
        <w:t>2nd</w:t>
      </w:r>
      <w:r w:rsidRPr="004401DC">
        <w:t xml:space="preserve"> line nivolumab treatment</w:t>
      </w:r>
      <w:r>
        <w:t xml:space="preserve"> wa</w:t>
      </w:r>
      <w:r w:rsidRPr="004401DC">
        <w:t>s 1.69 years (</w:t>
      </w:r>
      <w:r>
        <w:t>20.3 months) and the mean wa</w:t>
      </w:r>
      <w:r w:rsidRPr="004401DC">
        <w:t>s 1.47 years (17.6 months).</w:t>
      </w:r>
    </w:p>
    <w:p w:rsidR="005654A9" w:rsidRDefault="005654A9" w:rsidP="005654A9">
      <w:pPr>
        <w:pStyle w:val="Heading1"/>
      </w:pPr>
      <w:r>
        <w:t>DUSC Consideration</w:t>
      </w:r>
    </w:p>
    <w:p w:rsidR="00F240D4" w:rsidRPr="00F240D4" w:rsidRDefault="00F240D4" w:rsidP="00F240D4">
      <w:pPr>
        <w:tabs>
          <w:tab w:val="left" w:pos="993"/>
        </w:tabs>
        <w:autoSpaceDE w:val="0"/>
        <w:autoSpaceDN w:val="0"/>
        <w:adjustRightInd w:val="0"/>
        <w:spacing w:after="160" w:line="256" w:lineRule="auto"/>
        <w:rPr>
          <w:rFonts w:eastAsia="Calibri"/>
        </w:rPr>
      </w:pPr>
      <w:r w:rsidRPr="00F240D4">
        <w:rPr>
          <w:rFonts w:eastAsia="Calibri"/>
        </w:rPr>
        <w:t>DUSC considered tha</w:t>
      </w:r>
      <w:r>
        <w:rPr>
          <w:rFonts w:eastAsia="Calibri"/>
        </w:rPr>
        <w:t>t:</w:t>
      </w:r>
    </w:p>
    <w:p w:rsidR="00F240D4" w:rsidRPr="00F240D4" w:rsidRDefault="00F240D4" w:rsidP="00F240D4">
      <w:pPr>
        <w:numPr>
          <w:ilvl w:val="0"/>
          <w:numId w:val="32"/>
        </w:numPr>
        <w:tabs>
          <w:tab w:val="num" w:pos="720"/>
          <w:tab w:val="left" w:pos="993"/>
        </w:tabs>
        <w:autoSpaceDE w:val="0"/>
        <w:autoSpaceDN w:val="0"/>
        <w:adjustRightInd w:val="0"/>
        <w:spacing w:after="160" w:line="256" w:lineRule="auto"/>
        <w:rPr>
          <w:rFonts w:eastAsia="Calibri"/>
        </w:rPr>
      </w:pPr>
      <w:r w:rsidRPr="00F240D4">
        <w:rPr>
          <w:rFonts w:eastAsia="Calibri"/>
          <w:iCs/>
        </w:rPr>
        <w:t>Prevalent patients treated for RCC rose approximately three fold between 2009 and 2019; incident patients almost doubled.</w:t>
      </w:r>
    </w:p>
    <w:p w:rsidR="00F240D4" w:rsidRPr="00F240D4" w:rsidRDefault="00F240D4" w:rsidP="00F240D4">
      <w:pPr>
        <w:numPr>
          <w:ilvl w:val="0"/>
          <w:numId w:val="32"/>
        </w:numPr>
        <w:tabs>
          <w:tab w:val="num" w:pos="720"/>
          <w:tab w:val="left" w:pos="993"/>
        </w:tabs>
        <w:autoSpaceDE w:val="0"/>
        <w:autoSpaceDN w:val="0"/>
        <w:adjustRightInd w:val="0"/>
        <w:spacing w:after="160" w:line="256" w:lineRule="auto"/>
        <w:rPr>
          <w:rFonts w:eastAsia="Calibri"/>
        </w:rPr>
      </w:pPr>
      <w:r w:rsidRPr="00F240D4">
        <w:rPr>
          <w:rFonts w:eastAsia="Calibri"/>
          <w:iCs/>
        </w:rPr>
        <w:t>The introduction of nivolumab increased the second line RCC market substantially.</w:t>
      </w:r>
    </w:p>
    <w:p w:rsidR="00F240D4" w:rsidRPr="00F240D4" w:rsidRDefault="00F240D4" w:rsidP="00F240D4">
      <w:pPr>
        <w:numPr>
          <w:ilvl w:val="0"/>
          <w:numId w:val="32"/>
        </w:numPr>
        <w:tabs>
          <w:tab w:val="num" w:pos="720"/>
          <w:tab w:val="left" w:pos="993"/>
        </w:tabs>
        <w:autoSpaceDE w:val="0"/>
        <w:autoSpaceDN w:val="0"/>
        <w:adjustRightInd w:val="0"/>
        <w:spacing w:after="160" w:line="256" w:lineRule="auto"/>
        <w:rPr>
          <w:rFonts w:eastAsia="Calibri"/>
        </w:rPr>
      </w:pPr>
      <w:r w:rsidRPr="00F240D4">
        <w:rPr>
          <w:rFonts w:eastAsia="Calibri"/>
          <w:iCs/>
        </w:rPr>
        <w:t xml:space="preserve">The patient numbers were 50% greater than predicted.  However, this is likely due to multiple lines of second line therapy, which were not accounted for in the estimates. 40% of patients had at least two second line therapies. Switching in later lines of therapy explains the greater number of patients treated compared to the estimates predicted from a simple market share. </w:t>
      </w:r>
    </w:p>
    <w:p w:rsidR="00F240D4" w:rsidRPr="00F240D4" w:rsidRDefault="00F240D4" w:rsidP="00F240D4">
      <w:pPr>
        <w:numPr>
          <w:ilvl w:val="0"/>
          <w:numId w:val="32"/>
        </w:numPr>
        <w:tabs>
          <w:tab w:val="num" w:pos="720"/>
          <w:tab w:val="left" w:pos="993"/>
        </w:tabs>
        <w:autoSpaceDE w:val="0"/>
        <w:autoSpaceDN w:val="0"/>
        <w:adjustRightInd w:val="0"/>
        <w:spacing w:after="160" w:line="256" w:lineRule="auto"/>
        <w:rPr>
          <w:rFonts w:eastAsia="Calibri"/>
        </w:rPr>
      </w:pPr>
      <w:r w:rsidRPr="00F240D4">
        <w:rPr>
          <w:rFonts w:eastAsia="Calibri"/>
          <w:iCs/>
        </w:rPr>
        <w:t xml:space="preserve">It is unclear if the restrictions were intended to enable multiple lines of “second line” therapy or if this could be considered beyond restriction. The impact of increasing lines of therapy on the cost-effectiveness is also unclear. </w:t>
      </w:r>
    </w:p>
    <w:p w:rsidR="00F240D4" w:rsidRPr="00F240D4" w:rsidRDefault="00F240D4" w:rsidP="00F240D4">
      <w:pPr>
        <w:numPr>
          <w:ilvl w:val="0"/>
          <w:numId w:val="32"/>
        </w:numPr>
        <w:tabs>
          <w:tab w:val="num" w:pos="720"/>
          <w:tab w:val="left" w:pos="993"/>
        </w:tabs>
        <w:autoSpaceDE w:val="0"/>
        <w:autoSpaceDN w:val="0"/>
        <w:adjustRightInd w:val="0"/>
        <w:spacing w:after="160" w:line="256" w:lineRule="auto"/>
        <w:rPr>
          <w:rFonts w:eastAsia="Calibri"/>
        </w:rPr>
      </w:pPr>
      <w:r w:rsidRPr="00F240D4">
        <w:rPr>
          <w:rFonts w:eastAsia="Calibri"/>
          <w:iCs/>
        </w:rPr>
        <w:t xml:space="preserve">Prescriptions per patient in each of the first two years after listing were less than predicted. However, the treatment duration analyses show that actual durations were consistent with the estimated duration based on the trial, which indicates that prescriptions are likely to represent predictions in subsequent years (the lower use in years 1 and 2 represents median use.  It fails to represent mean use (the factor on which estimates were made) due to the immaturity of the data to each a prevalent mean use. </w:t>
      </w:r>
    </w:p>
    <w:p w:rsidR="00F240D4" w:rsidRPr="00F240D4" w:rsidRDefault="00F240D4" w:rsidP="00F240D4">
      <w:pPr>
        <w:numPr>
          <w:ilvl w:val="0"/>
          <w:numId w:val="32"/>
        </w:numPr>
        <w:tabs>
          <w:tab w:val="num" w:pos="720"/>
          <w:tab w:val="left" w:pos="993"/>
        </w:tabs>
        <w:autoSpaceDE w:val="0"/>
        <w:autoSpaceDN w:val="0"/>
        <w:adjustRightInd w:val="0"/>
        <w:spacing w:after="160" w:line="256" w:lineRule="auto"/>
        <w:rPr>
          <w:rFonts w:eastAsia="Calibri"/>
        </w:rPr>
      </w:pPr>
      <w:r w:rsidRPr="00F240D4">
        <w:rPr>
          <w:rFonts w:eastAsia="Calibri"/>
          <w:iCs/>
        </w:rPr>
        <w:t>Only 7% of nivolumab users died while on therapy, however half of these patients used nivolumab therapy within six weeks of dying, suggesting use beyond progression.  The sponsor noted in their Pre-Sub-Committee response that use beyond progression was allowed in the pivotal trial. However, use beyond progression is outside the PBS restriction. DUSC noted that a standard measure of “dying on treatment” was the supply of a prescription within 30 days of death.</w:t>
      </w:r>
    </w:p>
    <w:p w:rsidR="00F240D4" w:rsidRPr="00F240D4" w:rsidRDefault="00F240D4" w:rsidP="00F240D4">
      <w:pPr>
        <w:numPr>
          <w:ilvl w:val="0"/>
          <w:numId w:val="32"/>
        </w:numPr>
        <w:tabs>
          <w:tab w:val="num" w:pos="720"/>
          <w:tab w:val="left" w:pos="993"/>
        </w:tabs>
        <w:autoSpaceDE w:val="0"/>
        <w:autoSpaceDN w:val="0"/>
        <w:adjustRightInd w:val="0"/>
        <w:spacing w:after="160" w:line="256" w:lineRule="auto"/>
        <w:rPr>
          <w:rFonts w:eastAsia="Calibri"/>
        </w:rPr>
      </w:pPr>
      <w:r w:rsidRPr="00F240D4">
        <w:rPr>
          <w:rFonts w:eastAsia="Calibri"/>
          <w:iCs/>
        </w:rPr>
        <w:t>Up to 18% of use appears to be outside of restriction, with use in persons with no prior dispensing history of a tyrosine kinase inhibitor. It is unknown if some of these people received tyrosine kinase inhibitors within trials or privately.</w:t>
      </w:r>
    </w:p>
    <w:p w:rsidR="005654A9" w:rsidRDefault="005654A9" w:rsidP="005654A9">
      <w:pPr>
        <w:pStyle w:val="Heading1"/>
      </w:pPr>
      <w:r>
        <w:t>DUSC Actions</w:t>
      </w:r>
    </w:p>
    <w:p w:rsidR="005654A9" w:rsidRPr="006855E4" w:rsidRDefault="005654A9" w:rsidP="005654A9">
      <w:r w:rsidRPr="006855E4">
        <w:t xml:space="preserve">DUSC requested that the report be provided to the PBAC for consideration. </w:t>
      </w:r>
    </w:p>
    <w:p w:rsidR="005654A9" w:rsidRDefault="005654A9" w:rsidP="005654A9">
      <w:pPr>
        <w:pStyle w:val="Heading1"/>
      </w:pPr>
      <w:r>
        <w:t>Context for A</w:t>
      </w:r>
      <w:r w:rsidRPr="0092516A">
        <w:t>nalysis</w:t>
      </w:r>
    </w:p>
    <w:p w:rsidR="005654A9" w:rsidRDefault="005654A9" w:rsidP="005654A9">
      <w:r>
        <w:t>The DUSC is a Sub Committee of the Pharmaceutical Benefits Advisory Committee (PBAC). The DUSC assesses estimates on projected usage and financial cost of medicines.</w:t>
      </w:r>
    </w:p>
    <w:p w:rsidR="005654A9" w:rsidRDefault="005654A9" w:rsidP="005654A9">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5654A9" w:rsidRDefault="005654A9" w:rsidP="005654A9">
      <w:pPr>
        <w:ind w:right="-115"/>
      </w:pPr>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5654A9" w:rsidRDefault="005654A9" w:rsidP="005654A9">
      <w:pPr>
        <w:ind w:right="-257"/>
      </w:pPr>
      <w:r>
        <w:t>The utilisation analysis report was provided to the pharmaceutical sponsors of each drug and comments on the report were provided to DUSC prior to its consideration of the analysis.</w:t>
      </w:r>
    </w:p>
    <w:p w:rsidR="005654A9" w:rsidRDefault="005654A9" w:rsidP="005654A9">
      <w:pPr>
        <w:pStyle w:val="Heading1"/>
      </w:pPr>
      <w:r>
        <w:t>Sponsor</w:t>
      </w:r>
      <w:r w:rsidRPr="0092516A">
        <w:t>s</w:t>
      </w:r>
      <w:r>
        <w:t>’</w:t>
      </w:r>
      <w:r w:rsidRPr="0092516A">
        <w:t xml:space="preserve"> </w:t>
      </w:r>
      <w:r>
        <w:t>C</w:t>
      </w:r>
      <w:r w:rsidRPr="0092516A">
        <w:t>omments</w:t>
      </w:r>
    </w:p>
    <w:p w:rsidR="005654A9" w:rsidRDefault="005654A9" w:rsidP="005654A9">
      <w:pPr>
        <w:rPr>
          <w:rFonts w:ascii="Calibri" w:hAnsi="Calibri"/>
          <w:szCs w:val="22"/>
        </w:rPr>
      </w:pPr>
      <w:r w:rsidRPr="0079263B">
        <w:rPr>
          <w:rFonts w:ascii="Calibri" w:hAnsi="Calibri"/>
          <w:szCs w:val="22"/>
        </w:rPr>
        <w:t>Bristol-Myers Squibb Australia Pty Ltd</w:t>
      </w:r>
      <w:r>
        <w:rPr>
          <w:rFonts w:ascii="Calibri" w:hAnsi="Calibri"/>
          <w:szCs w:val="22"/>
        </w:rPr>
        <w:t>:</w:t>
      </w:r>
      <w:r w:rsidR="00401EB4">
        <w:rPr>
          <w:rFonts w:ascii="Calibri" w:hAnsi="Calibri"/>
          <w:szCs w:val="22"/>
        </w:rPr>
        <w:t xml:space="preserve"> </w:t>
      </w:r>
      <w:r w:rsidR="00401EB4" w:rsidRPr="00401EB4">
        <w:rPr>
          <w:rFonts w:ascii="Calibri" w:hAnsi="Calibri"/>
          <w:szCs w:val="22"/>
        </w:rPr>
        <w:t>The sponsor has no comment</w:t>
      </w:r>
      <w:r w:rsidR="00401EB4">
        <w:rPr>
          <w:rFonts w:ascii="Calibri" w:hAnsi="Calibri"/>
          <w:szCs w:val="22"/>
        </w:rPr>
        <w:t>.</w:t>
      </w:r>
    </w:p>
    <w:p w:rsidR="005654A9" w:rsidRDefault="005654A9" w:rsidP="005654A9">
      <w:pPr>
        <w:pStyle w:val="Heading1"/>
      </w:pPr>
      <w:r w:rsidRPr="00A4020E">
        <w:t>Disclaimer</w:t>
      </w:r>
    </w:p>
    <w:p w:rsidR="005654A9" w:rsidRDefault="005654A9" w:rsidP="005654A9">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5654A9" w:rsidRDefault="005654A9" w:rsidP="005654A9">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5654A9" w:rsidRDefault="005654A9" w:rsidP="005654A9">
      <w:r>
        <w:t xml:space="preserve">To the extent provided by law, DoH makes no warranties or representations as to accuracy or completeness of information contained in this report. </w:t>
      </w:r>
    </w:p>
    <w:p w:rsidR="005654A9" w:rsidRDefault="005654A9" w:rsidP="005654A9">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EA4881" w:rsidRDefault="00EA4881">
      <w:pPr>
        <w:spacing w:line="276" w:lineRule="auto"/>
        <w:rPr>
          <w:rFonts w:eastAsiaTheme="majorEastAsia" w:cstheme="majorBidi"/>
          <w:b/>
          <w:bCs/>
          <w:sz w:val="32"/>
          <w:szCs w:val="32"/>
        </w:rPr>
      </w:pPr>
      <w:r>
        <w:br w:type="page"/>
      </w:r>
    </w:p>
    <w:p w:rsidR="002C6E0C" w:rsidRDefault="002C6E0C" w:rsidP="00F73113">
      <w:pPr>
        <w:pStyle w:val="Heading1"/>
      </w:pPr>
      <w:r>
        <w:t>Appendi</w:t>
      </w:r>
      <w:r w:rsidR="00EA4881">
        <w:t>x A</w:t>
      </w:r>
    </w:p>
    <w:p w:rsidR="006D7511" w:rsidRPr="006D7511" w:rsidRDefault="006D7511" w:rsidP="006D7511">
      <w:pPr>
        <w:spacing w:after="0"/>
        <w:rPr>
          <w:b/>
          <w:sz w:val="20"/>
        </w:rPr>
      </w:pPr>
      <w:r w:rsidRPr="006D7511">
        <w:rPr>
          <w:b/>
        </w:rPr>
        <w:t>Table A.1: PBS items that have an RCC restriction</w:t>
      </w:r>
      <w:r>
        <w:rPr>
          <w:b/>
        </w:rPr>
        <w:br/>
      </w:r>
      <w:r w:rsidRPr="006D7511">
        <w:rPr>
          <w:sz w:val="20"/>
        </w:rPr>
        <w:t xml:space="preserve">Note: All items are RCC </w:t>
      </w:r>
      <w:r>
        <w:rPr>
          <w:sz w:val="20"/>
        </w:rPr>
        <w:t xml:space="preserve">indication </w:t>
      </w:r>
      <w:r w:rsidRPr="006D7511">
        <w:rPr>
          <w:sz w:val="20"/>
        </w:rPr>
        <w:t>specific except those highlighted in</w:t>
      </w:r>
      <w:r w:rsidRPr="006262C3">
        <w:rPr>
          <w:b/>
          <w:sz w:val="20"/>
        </w:rPr>
        <w:t xml:space="preserve"> </w:t>
      </w:r>
      <w:r w:rsidR="00466F60" w:rsidRPr="006262C3">
        <w:rPr>
          <w:b/>
          <w:sz w:val="20"/>
        </w:rPr>
        <w:t>bold</w:t>
      </w:r>
      <w:r w:rsidR="00A17999">
        <w:rPr>
          <w:b/>
          <w:sz w:val="20"/>
        </w:rPr>
        <w:t xml:space="preserve"> italicised text</w:t>
      </w:r>
      <w:r>
        <w:rPr>
          <w:sz w:val="20"/>
        </w:rPr>
        <w:t xml:space="preserve">. </w:t>
      </w:r>
      <w:r w:rsidRPr="006D7511">
        <w:rPr>
          <w:sz w:val="20"/>
        </w:rPr>
        <w:t>For these items prescriptions were classified for RCC or not, based on the authority approval database restriction code or the Streamlined Authority code.</w:t>
      </w:r>
    </w:p>
    <w:tbl>
      <w:tblPr>
        <w:tblStyle w:val="TableGrid"/>
        <w:tblW w:w="9237" w:type="dxa"/>
        <w:tblLook w:val="04A0" w:firstRow="1" w:lastRow="0" w:firstColumn="1" w:lastColumn="0" w:noHBand="0" w:noVBand="1"/>
        <w:tblCaption w:val="Table A.1: PBS items that have an RCC restriction"/>
      </w:tblPr>
      <w:tblGrid>
        <w:gridCol w:w="1555"/>
        <w:gridCol w:w="964"/>
        <w:gridCol w:w="1318"/>
        <w:gridCol w:w="5400"/>
      </w:tblGrid>
      <w:tr w:rsidR="006D7511" w:rsidRPr="006D7511" w:rsidTr="005B5E7B">
        <w:trPr>
          <w:trHeight w:val="300"/>
          <w:tblHeader/>
        </w:trPr>
        <w:tc>
          <w:tcPr>
            <w:tcW w:w="1555" w:type="dxa"/>
            <w:noWrap/>
            <w:hideMark/>
          </w:tcPr>
          <w:p w:rsidR="006D7511" w:rsidRPr="006D7511" w:rsidRDefault="006D7511">
            <w:pPr>
              <w:rPr>
                <w:rFonts w:cstheme="minorHAnsi"/>
                <w:b/>
                <w:bCs/>
                <w:sz w:val="20"/>
                <w:szCs w:val="20"/>
              </w:rPr>
            </w:pPr>
            <w:r>
              <w:rPr>
                <w:rFonts w:cstheme="minorHAnsi"/>
                <w:b/>
                <w:bCs/>
                <w:sz w:val="20"/>
                <w:szCs w:val="20"/>
              </w:rPr>
              <w:t>Drug</w:t>
            </w:r>
          </w:p>
        </w:tc>
        <w:tc>
          <w:tcPr>
            <w:tcW w:w="964" w:type="dxa"/>
            <w:noWrap/>
            <w:hideMark/>
          </w:tcPr>
          <w:p w:rsidR="006D7511" w:rsidRPr="006D7511" w:rsidRDefault="006D7511">
            <w:pPr>
              <w:rPr>
                <w:rFonts w:cstheme="minorHAnsi"/>
                <w:b/>
                <w:bCs/>
                <w:sz w:val="20"/>
                <w:szCs w:val="20"/>
              </w:rPr>
            </w:pPr>
            <w:r>
              <w:rPr>
                <w:rFonts w:cstheme="minorHAnsi"/>
                <w:b/>
                <w:bCs/>
                <w:sz w:val="20"/>
                <w:szCs w:val="20"/>
              </w:rPr>
              <w:t>L</w:t>
            </w:r>
            <w:r w:rsidRPr="006D7511">
              <w:rPr>
                <w:rFonts w:cstheme="minorHAnsi"/>
                <w:b/>
                <w:bCs/>
                <w:sz w:val="20"/>
                <w:szCs w:val="20"/>
              </w:rPr>
              <w:t>ine</w:t>
            </w:r>
            <w:r>
              <w:rPr>
                <w:rFonts w:cstheme="minorHAnsi"/>
                <w:b/>
                <w:bCs/>
                <w:sz w:val="20"/>
                <w:szCs w:val="20"/>
              </w:rPr>
              <w:t xml:space="preserve"> of therapy</w:t>
            </w:r>
          </w:p>
        </w:tc>
        <w:tc>
          <w:tcPr>
            <w:tcW w:w="1318" w:type="dxa"/>
            <w:noWrap/>
            <w:hideMark/>
          </w:tcPr>
          <w:p w:rsidR="006D7511" w:rsidRPr="006D7511" w:rsidRDefault="006D7511">
            <w:pPr>
              <w:rPr>
                <w:rFonts w:cstheme="minorHAnsi"/>
                <w:b/>
                <w:bCs/>
                <w:sz w:val="20"/>
                <w:szCs w:val="20"/>
              </w:rPr>
            </w:pPr>
            <w:r>
              <w:rPr>
                <w:rFonts w:cstheme="minorHAnsi"/>
                <w:b/>
                <w:bCs/>
                <w:sz w:val="20"/>
                <w:szCs w:val="20"/>
              </w:rPr>
              <w:t>PBS item</w:t>
            </w:r>
          </w:p>
        </w:tc>
        <w:tc>
          <w:tcPr>
            <w:tcW w:w="5400" w:type="dxa"/>
            <w:noWrap/>
            <w:hideMark/>
          </w:tcPr>
          <w:p w:rsidR="006D7511" w:rsidRPr="006D7511" w:rsidRDefault="006D7511">
            <w:pPr>
              <w:rPr>
                <w:rFonts w:cstheme="minorHAnsi"/>
                <w:b/>
                <w:bCs/>
                <w:sz w:val="20"/>
                <w:szCs w:val="20"/>
              </w:rPr>
            </w:pPr>
            <w:r>
              <w:rPr>
                <w:rFonts w:cstheme="minorHAnsi"/>
                <w:b/>
                <w:bCs/>
                <w:sz w:val="20"/>
                <w:szCs w:val="20"/>
              </w:rPr>
              <w:t>Form and strength</w:t>
            </w:r>
          </w:p>
        </w:tc>
      </w:tr>
      <w:tr w:rsidR="006D7511" w:rsidRPr="006D7511" w:rsidTr="006D7511">
        <w:trPr>
          <w:trHeight w:val="300"/>
        </w:trPr>
        <w:tc>
          <w:tcPr>
            <w:tcW w:w="1555" w:type="dxa"/>
            <w:noWrap/>
            <w:hideMark/>
          </w:tcPr>
          <w:p w:rsidR="006D7511" w:rsidRPr="006D7511" w:rsidRDefault="006D7511">
            <w:pPr>
              <w:rPr>
                <w:rFonts w:cstheme="minorHAnsi"/>
                <w:b/>
                <w:bCs/>
                <w:sz w:val="20"/>
                <w:szCs w:val="20"/>
              </w:rPr>
            </w:pPr>
            <w:r w:rsidRPr="006D7511">
              <w:rPr>
                <w:rFonts w:cstheme="minorHAnsi"/>
                <w:b/>
                <w:bCs/>
                <w:sz w:val="20"/>
                <w:szCs w:val="20"/>
              </w:rPr>
              <w:t>AXITINIB</w:t>
            </w:r>
          </w:p>
        </w:tc>
        <w:tc>
          <w:tcPr>
            <w:tcW w:w="964" w:type="dxa"/>
            <w:noWrap/>
            <w:hideMark/>
          </w:tcPr>
          <w:p w:rsidR="006D7511" w:rsidRPr="006D7511" w:rsidRDefault="009A3EB4">
            <w:pPr>
              <w:rPr>
                <w:rFonts w:cstheme="minorHAnsi"/>
                <w:b/>
                <w:bCs/>
                <w:sz w:val="20"/>
                <w:szCs w:val="20"/>
              </w:rPr>
            </w:pPr>
            <w:r>
              <w:rPr>
                <w:rFonts w:cstheme="minorHAnsi"/>
                <w:b/>
                <w:bCs/>
                <w:sz w:val="20"/>
                <w:szCs w:val="20"/>
              </w:rPr>
              <w:t>2nd</w:t>
            </w:r>
            <w:r w:rsidR="006D7511" w:rsidRPr="006D7511">
              <w:rPr>
                <w:rFonts w:cstheme="minorHAnsi"/>
                <w:b/>
                <w:bCs/>
                <w:sz w:val="20"/>
                <w:szCs w:val="20"/>
              </w:rPr>
              <w:t xml:space="preserve"> line</w:t>
            </w:r>
          </w:p>
        </w:tc>
        <w:tc>
          <w:tcPr>
            <w:tcW w:w="1318" w:type="dxa"/>
            <w:noWrap/>
            <w:hideMark/>
          </w:tcPr>
          <w:p w:rsidR="006D7511" w:rsidRPr="006D7511" w:rsidRDefault="006D7511">
            <w:pPr>
              <w:rPr>
                <w:rFonts w:cstheme="minorHAnsi"/>
                <w:sz w:val="20"/>
                <w:szCs w:val="20"/>
              </w:rPr>
            </w:pPr>
            <w:r w:rsidRPr="006D7511">
              <w:rPr>
                <w:rFonts w:cstheme="minorHAnsi"/>
                <w:sz w:val="20"/>
                <w:szCs w:val="20"/>
              </w:rPr>
              <w:t>10539Q</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1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10540R</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5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10556N</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5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10572K</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1 mg</w:t>
            </w:r>
          </w:p>
        </w:tc>
      </w:tr>
      <w:tr w:rsidR="006D7511" w:rsidRPr="006D7511" w:rsidTr="006D7511">
        <w:trPr>
          <w:trHeight w:val="300"/>
        </w:trPr>
        <w:tc>
          <w:tcPr>
            <w:tcW w:w="1555" w:type="dxa"/>
            <w:noWrap/>
            <w:hideMark/>
          </w:tcPr>
          <w:p w:rsidR="006D7511" w:rsidRPr="006D7511" w:rsidRDefault="006D7511">
            <w:pPr>
              <w:rPr>
                <w:rFonts w:cstheme="minorHAnsi"/>
                <w:b/>
                <w:bCs/>
                <w:sz w:val="20"/>
                <w:szCs w:val="20"/>
              </w:rPr>
            </w:pPr>
            <w:r w:rsidRPr="006D7511">
              <w:rPr>
                <w:rFonts w:cstheme="minorHAnsi"/>
                <w:b/>
                <w:bCs/>
                <w:sz w:val="20"/>
                <w:szCs w:val="20"/>
              </w:rPr>
              <w:t>CABOZANTINIB</w:t>
            </w:r>
          </w:p>
        </w:tc>
        <w:tc>
          <w:tcPr>
            <w:tcW w:w="964" w:type="dxa"/>
            <w:noWrap/>
            <w:hideMark/>
          </w:tcPr>
          <w:p w:rsidR="006D7511" w:rsidRPr="006D7511" w:rsidRDefault="009A3EB4">
            <w:pPr>
              <w:rPr>
                <w:rFonts w:cstheme="minorHAnsi"/>
                <w:b/>
                <w:bCs/>
                <w:sz w:val="20"/>
                <w:szCs w:val="20"/>
              </w:rPr>
            </w:pPr>
            <w:r>
              <w:rPr>
                <w:rFonts w:cstheme="minorHAnsi"/>
                <w:b/>
                <w:bCs/>
                <w:sz w:val="20"/>
                <w:szCs w:val="20"/>
              </w:rPr>
              <w:t>2nd</w:t>
            </w:r>
            <w:r w:rsidR="006D7511" w:rsidRPr="006D7511">
              <w:rPr>
                <w:rFonts w:cstheme="minorHAnsi"/>
                <w:b/>
                <w:bCs/>
                <w:sz w:val="20"/>
                <w:szCs w:val="20"/>
              </w:rPr>
              <w:t xml:space="preserve"> line</w:t>
            </w:r>
          </w:p>
        </w:tc>
        <w:tc>
          <w:tcPr>
            <w:tcW w:w="1318" w:type="dxa"/>
            <w:noWrap/>
            <w:hideMark/>
          </w:tcPr>
          <w:p w:rsidR="006D7511" w:rsidRPr="006D7511" w:rsidRDefault="006D7511">
            <w:pPr>
              <w:rPr>
                <w:rFonts w:cstheme="minorHAnsi"/>
                <w:sz w:val="20"/>
                <w:szCs w:val="20"/>
              </w:rPr>
            </w:pPr>
            <w:r w:rsidRPr="006D7511">
              <w:rPr>
                <w:rFonts w:cstheme="minorHAnsi"/>
                <w:sz w:val="20"/>
                <w:szCs w:val="20"/>
              </w:rPr>
              <w:t>11360X</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60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11367G</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60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11368H</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40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11369J</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40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11371L</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20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11374P</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20 mg</w:t>
            </w:r>
          </w:p>
        </w:tc>
      </w:tr>
      <w:tr w:rsidR="006D7511" w:rsidRPr="006D7511" w:rsidTr="006D7511">
        <w:trPr>
          <w:trHeight w:val="300"/>
        </w:trPr>
        <w:tc>
          <w:tcPr>
            <w:tcW w:w="1555" w:type="dxa"/>
            <w:noWrap/>
            <w:hideMark/>
          </w:tcPr>
          <w:p w:rsidR="006D7511" w:rsidRPr="006D7511" w:rsidRDefault="006D7511">
            <w:pPr>
              <w:rPr>
                <w:rFonts w:cstheme="minorHAnsi"/>
                <w:b/>
                <w:bCs/>
                <w:sz w:val="20"/>
                <w:szCs w:val="20"/>
              </w:rPr>
            </w:pPr>
            <w:r w:rsidRPr="006D7511">
              <w:rPr>
                <w:rFonts w:cstheme="minorHAnsi"/>
                <w:b/>
                <w:bCs/>
                <w:sz w:val="20"/>
                <w:szCs w:val="20"/>
              </w:rPr>
              <w:t>EVEROLIMUS</w:t>
            </w:r>
          </w:p>
        </w:tc>
        <w:tc>
          <w:tcPr>
            <w:tcW w:w="964" w:type="dxa"/>
            <w:noWrap/>
            <w:hideMark/>
          </w:tcPr>
          <w:p w:rsidR="006D7511" w:rsidRPr="006D7511" w:rsidRDefault="009A3EB4">
            <w:pPr>
              <w:rPr>
                <w:rFonts w:cstheme="minorHAnsi"/>
                <w:b/>
                <w:bCs/>
                <w:sz w:val="20"/>
                <w:szCs w:val="20"/>
              </w:rPr>
            </w:pPr>
            <w:r>
              <w:rPr>
                <w:rFonts w:cstheme="minorHAnsi"/>
                <w:b/>
                <w:bCs/>
                <w:sz w:val="20"/>
                <w:szCs w:val="20"/>
              </w:rPr>
              <w:t>2nd</w:t>
            </w:r>
            <w:r w:rsidR="006D7511" w:rsidRPr="006D7511">
              <w:rPr>
                <w:rFonts w:cstheme="minorHAnsi"/>
                <w:b/>
                <w:bCs/>
                <w:sz w:val="20"/>
                <w:szCs w:val="20"/>
              </w:rPr>
              <w:t xml:space="preserve"> line</w:t>
            </w:r>
          </w:p>
        </w:tc>
        <w:tc>
          <w:tcPr>
            <w:tcW w:w="1318" w:type="dxa"/>
            <w:noWrap/>
            <w:hideMark/>
          </w:tcPr>
          <w:p w:rsidR="006D7511" w:rsidRPr="006262C3" w:rsidRDefault="006D7511">
            <w:pPr>
              <w:rPr>
                <w:rFonts w:cstheme="minorHAnsi"/>
                <w:b/>
                <w:i/>
                <w:sz w:val="20"/>
                <w:szCs w:val="20"/>
              </w:rPr>
            </w:pPr>
            <w:r w:rsidRPr="006262C3">
              <w:rPr>
                <w:rFonts w:cstheme="minorHAnsi"/>
                <w:b/>
                <w:i/>
                <w:sz w:val="20"/>
                <w:szCs w:val="20"/>
              </w:rPr>
              <w:t>10131F</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5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262C3" w:rsidRDefault="006D7511">
            <w:pPr>
              <w:rPr>
                <w:rFonts w:cstheme="minorHAnsi"/>
                <w:b/>
                <w:i/>
                <w:sz w:val="20"/>
                <w:szCs w:val="20"/>
              </w:rPr>
            </w:pPr>
            <w:r w:rsidRPr="006262C3">
              <w:rPr>
                <w:rFonts w:cstheme="minorHAnsi"/>
                <w:b/>
                <w:i/>
                <w:sz w:val="20"/>
                <w:szCs w:val="20"/>
              </w:rPr>
              <w:t>10132G</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10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262C3" w:rsidRDefault="006D7511">
            <w:pPr>
              <w:rPr>
                <w:rFonts w:cstheme="minorHAnsi"/>
                <w:b/>
                <w:i/>
                <w:sz w:val="20"/>
                <w:szCs w:val="20"/>
              </w:rPr>
            </w:pPr>
            <w:r w:rsidRPr="006262C3">
              <w:rPr>
                <w:rFonts w:cstheme="minorHAnsi"/>
                <w:b/>
                <w:i/>
                <w:sz w:val="20"/>
                <w:szCs w:val="20"/>
              </w:rPr>
              <w:t>10133H</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5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262C3" w:rsidRDefault="006D7511">
            <w:pPr>
              <w:rPr>
                <w:rFonts w:cstheme="minorHAnsi"/>
                <w:b/>
                <w:i/>
                <w:sz w:val="20"/>
                <w:szCs w:val="20"/>
              </w:rPr>
            </w:pPr>
            <w:r w:rsidRPr="006262C3">
              <w:rPr>
                <w:rFonts w:cstheme="minorHAnsi"/>
                <w:b/>
                <w:i/>
                <w:sz w:val="20"/>
                <w:szCs w:val="20"/>
              </w:rPr>
              <w:t>10135K</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10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11257L</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5 mg</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11262R</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10 mg</w:t>
            </w:r>
          </w:p>
        </w:tc>
      </w:tr>
      <w:tr w:rsidR="006D7511" w:rsidRPr="006D7511" w:rsidTr="006D7511">
        <w:trPr>
          <w:trHeight w:val="300"/>
        </w:trPr>
        <w:tc>
          <w:tcPr>
            <w:tcW w:w="1555" w:type="dxa"/>
            <w:noWrap/>
            <w:hideMark/>
          </w:tcPr>
          <w:p w:rsidR="006D7511" w:rsidRPr="006D7511" w:rsidRDefault="006D7511">
            <w:pPr>
              <w:rPr>
                <w:rFonts w:cstheme="minorHAnsi"/>
                <w:b/>
                <w:bCs/>
                <w:sz w:val="20"/>
                <w:szCs w:val="20"/>
              </w:rPr>
            </w:pPr>
            <w:r w:rsidRPr="006D7511">
              <w:rPr>
                <w:rFonts w:cstheme="minorHAnsi"/>
                <w:b/>
                <w:bCs/>
                <w:sz w:val="20"/>
                <w:szCs w:val="20"/>
              </w:rPr>
              <w:t>IPILIMUMAB</w:t>
            </w:r>
          </w:p>
        </w:tc>
        <w:tc>
          <w:tcPr>
            <w:tcW w:w="964" w:type="dxa"/>
            <w:noWrap/>
            <w:hideMark/>
          </w:tcPr>
          <w:p w:rsidR="006D7511" w:rsidRPr="006D7511" w:rsidRDefault="00A52AF9">
            <w:pPr>
              <w:rPr>
                <w:rFonts w:cstheme="minorHAnsi"/>
                <w:b/>
                <w:bCs/>
                <w:sz w:val="20"/>
                <w:szCs w:val="20"/>
              </w:rPr>
            </w:pPr>
            <w:r>
              <w:rPr>
                <w:rFonts w:cstheme="minorHAnsi"/>
                <w:b/>
                <w:bCs/>
                <w:sz w:val="20"/>
                <w:szCs w:val="20"/>
              </w:rPr>
              <w:t>1st</w:t>
            </w:r>
            <w:r w:rsidR="006D7511" w:rsidRPr="006D7511">
              <w:rPr>
                <w:rFonts w:cstheme="minorHAnsi"/>
                <w:b/>
                <w:bCs/>
                <w:sz w:val="20"/>
                <w:szCs w:val="20"/>
              </w:rPr>
              <w:t xml:space="preserve"> line</w:t>
            </w:r>
          </w:p>
        </w:tc>
        <w:tc>
          <w:tcPr>
            <w:tcW w:w="1318" w:type="dxa"/>
            <w:noWrap/>
            <w:hideMark/>
          </w:tcPr>
          <w:p w:rsidR="006D7511" w:rsidRPr="006D7511" w:rsidRDefault="006D7511">
            <w:pPr>
              <w:rPr>
                <w:rFonts w:cstheme="minorHAnsi"/>
                <w:sz w:val="20"/>
                <w:szCs w:val="20"/>
              </w:rPr>
            </w:pPr>
            <w:r w:rsidRPr="006D7511">
              <w:rPr>
                <w:rFonts w:cstheme="minorHAnsi"/>
                <w:sz w:val="20"/>
                <w:szCs w:val="20"/>
              </w:rPr>
              <w:t>11628B</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50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11641Q</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50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11644W</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50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11647B</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50 mg in 10 mL</w:t>
            </w:r>
          </w:p>
        </w:tc>
      </w:tr>
      <w:tr w:rsidR="006D7511" w:rsidRPr="006D7511" w:rsidTr="006D7511">
        <w:trPr>
          <w:trHeight w:val="300"/>
        </w:trPr>
        <w:tc>
          <w:tcPr>
            <w:tcW w:w="1555" w:type="dxa"/>
            <w:noWrap/>
            <w:hideMark/>
          </w:tcPr>
          <w:p w:rsidR="006D7511" w:rsidRPr="006D7511" w:rsidRDefault="006D7511">
            <w:pPr>
              <w:rPr>
                <w:rFonts w:cstheme="minorHAnsi"/>
                <w:b/>
                <w:bCs/>
                <w:sz w:val="20"/>
                <w:szCs w:val="20"/>
              </w:rPr>
            </w:pPr>
            <w:r w:rsidRPr="006D7511">
              <w:rPr>
                <w:rFonts w:cstheme="minorHAnsi"/>
                <w:b/>
                <w:bCs/>
                <w:sz w:val="20"/>
                <w:szCs w:val="20"/>
              </w:rPr>
              <w:t>NIVOLUMAB</w:t>
            </w:r>
          </w:p>
        </w:tc>
        <w:tc>
          <w:tcPr>
            <w:tcW w:w="964" w:type="dxa"/>
            <w:noWrap/>
            <w:hideMark/>
          </w:tcPr>
          <w:p w:rsidR="006D7511" w:rsidRPr="006D7511" w:rsidRDefault="00A52AF9">
            <w:pPr>
              <w:rPr>
                <w:rFonts w:cstheme="minorHAnsi"/>
                <w:b/>
                <w:bCs/>
                <w:sz w:val="20"/>
                <w:szCs w:val="20"/>
              </w:rPr>
            </w:pPr>
            <w:r>
              <w:rPr>
                <w:rFonts w:cstheme="minorHAnsi"/>
                <w:b/>
                <w:bCs/>
                <w:sz w:val="20"/>
                <w:szCs w:val="20"/>
              </w:rPr>
              <w:t>1st</w:t>
            </w:r>
            <w:r w:rsidR="006D7511" w:rsidRPr="006D7511">
              <w:rPr>
                <w:rFonts w:cstheme="minorHAnsi"/>
                <w:b/>
                <w:bCs/>
                <w:sz w:val="20"/>
                <w:szCs w:val="20"/>
              </w:rPr>
              <w:t xml:space="preserve"> line</w:t>
            </w:r>
          </w:p>
        </w:tc>
        <w:tc>
          <w:tcPr>
            <w:tcW w:w="1318" w:type="dxa"/>
            <w:noWrap/>
            <w:hideMark/>
          </w:tcPr>
          <w:p w:rsidR="006D7511" w:rsidRPr="006D7511" w:rsidRDefault="006D7511">
            <w:pPr>
              <w:rPr>
                <w:rFonts w:cstheme="minorHAnsi"/>
                <w:sz w:val="20"/>
                <w:szCs w:val="20"/>
              </w:rPr>
            </w:pPr>
            <w:r w:rsidRPr="006D7511">
              <w:rPr>
                <w:rFonts w:cstheme="minorHAnsi"/>
                <w:sz w:val="20"/>
                <w:szCs w:val="20"/>
              </w:rPr>
              <w:t>11626X</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100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11627Y</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100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11631E</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100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11635J</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100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11636K</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100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11642R</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100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9A3EB4">
            <w:pPr>
              <w:rPr>
                <w:rFonts w:cstheme="minorHAnsi"/>
                <w:b/>
                <w:bCs/>
                <w:sz w:val="20"/>
                <w:szCs w:val="20"/>
              </w:rPr>
            </w:pPr>
            <w:r>
              <w:rPr>
                <w:rFonts w:cstheme="minorHAnsi"/>
                <w:b/>
                <w:bCs/>
                <w:sz w:val="20"/>
                <w:szCs w:val="20"/>
              </w:rPr>
              <w:t>2nd</w:t>
            </w:r>
            <w:r w:rsidR="006D7511" w:rsidRPr="006D7511">
              <w:rPr>
                <w:rFonts w:cstheme="minorHAnsi"/>
                <w:b/>
                <w:bCs/>
                <w:sz w:val="20"/>
                <w:szCs w:val="20"/>
              </w:rPr>
              <w:t xml:space="preserve"> line</w:t>
            </w:r>
          </w:p>
        </w:tc>
        <w:tc>
          <w:tcPr>
            <w:tcW w:w="1318" w:type="dxa"/>
            <w:noWrap/>
            <w:hideMark/>
          </w:tcPr>
          <w:p w:rsidR="006D7511" w:rsidRPr="006D7511" w:rsidRDefault="006D7511">
            <w:pPr>
              <w:rPr>
                <w:rFonts w:cstheme="minorHAnsi"/>
                <w:sz w:val="20"/>
                <w:szCs w:val="20"/>
              </w:rPr>
            </w:pPr>
            <w:r w:rsidRPr="006D7511">
              <w:rPr>
                <w:rFonts w:cstheme="minorHAnsi"/>
                <w:sz w:val="20"/>
                <w:szCs w:val="20"/>
              </w:rPr>
              <w:t>11150W</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100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11157F</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100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11159H</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100 mg in 10 mL</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11160J</w:t>
            </w:r>
          </w:p>
        </w:tc>
        <w:tc>
          <w:tcPr>
            <w:tcW w:w="5400" w:type="dxa"/>
            <w:noWrap/>
            <w:hideMark/>
          </w:tcPr>
          <w:p w:rsidR="006D7511" w:rsidRPr="006D7511" w:rsidRDefault="006D7511">
            <w:pPr>
              <w:rPr>
                <w:rFonts w:cstheme="minorHAnsi"/>
                <w:sz w:val="20"/>
                <w:szCs w:val="20"/>
              </w:rPr>
            </w:pPr>
            <w:r w:rsidRPr="006D7511">
              <w:rPr>
                <w:rFonts w:cstheme="minorHAnsi"/>
                <w:sz w:val="20"/>
                <w:szCs w:val="20"/>
              </w:rPr>
              <w:t>Injection concentrate for I.V. infusion 100 mg in 10 mL</w:t>
            </w:r>
          </w:p>
        </w:tc>
      </w:tr>
      <w:tr w:rsidR="006D7511" w:rsidRPr="006D7511" w:rsidTr="006D7511">
        <w:trPr>
          <w:trHeight w:val="300"/>
        </w:trPr>
        <w:tc>
          <w:tcPr>
            <w:tcW w:w="1555" w:type="dxa"/>
            <w:noWrap/>
            <w:hideMark/>
          </w:tcPr>
          <w:p w:rsidR="006D7511" w:rsidRPr="006D7511" w:rsidRDefault="006D7511">
            <w:pPr>
              <w:rPr>
                <w:rFonts w:cstheme="minorHAnsi"/>
                <w:b/>
                <w:bCs/>
                <w:sz w:val="20"/>
                <w:szCs w:val="20"/>
              </w:rPr>
            </w:pPr>
            <w:r w:rsidRPr="006D7511">
              <w:rPr>
                <w:rFonts w:cstheme="minorHAnsi"/>
                <w:b/>
                <w:bCs/>
                <w:sz w:val="20"/>
                <w:szCs w:val="20"/>
              </w:rPr>
              <w:t>PAZOPANIB</w:t>
            </w:r>
          </w:p>
        </w:tc>
        <w:tc>
          <w:tcPr>
            <w:tcW w:w="964" w:type="dxa"/>
            <w:noWrap/>
            <w:hideMark/>
          </w:tcPr>
          <w:p w:rsidR="006D7511" w:rsidRPr="006D7511" w:rsidRDefault="00A52AF9">
            <w:pPr>
              <w:rPr>
                <w:rFonts w:cstheme="minorHAnsi"/>
                <w:b/>
                <w:bCs/>
                <w:sz w:val="20"/>
                <w:szCs w:val="20"/>
              </w:rPr>
            </w:pPr>
            <w:r>
              <w:rPr>
                <w:rFonts w:cstheme="minorHAnsi"/>
                <w:b/>
                <w:bCs/>
                <w:sz w:val="20"/>
                <w:szCs w:val="20"/>
              </w:rPr>
              <w:t>1st</w:t>
            </w:r>
            <w:r w:rsidR="006D7511" w:rsidRPr="006D7511">
              <w:rPr>
                <w:rFonts w:cstheme="minorHAnsi"/>
                <w:b/>
                <w:bCs/>
                <w:sz w:val="20"/>
                <w:szCs w:val="20"/>
              </w:rPr>
              <w:t xml:space="preserve"> line</w:t>
            </w:r>
          </w:p>
        </w:tc>
        <w:tc>
          <w:tcPr>
            <w:tcW w:w="1318" w:type="dxa"/>
            <w:noWrap/>
            <w:hideMark/>
          </w:tcPr>
          <w:p w:rsidR="006D7511" w:rsidRPr="006D7511" w:rsidRDefault="006D7511">
            <w:pPr>
              <w:rPr>
                <w:rFonts w:cstheme="minorHAnsi"/>
                <w:sz w:val="20"/>
                <w:szCs w:val="20"/>
              </w:rPr>
            </w:pPr>
            <w:r w:rsidRPr="006D7511">
              <w:rPr>
                <w:rFonts w:cstheme="minorHAnsi"/>
                <w:sz w:val="20"/>
                <w:szCs w:val="20"/>
              </w:rPr>
              <w:t>02029T</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200 mg (as hydrochloride)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02030W</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400 mg (as hydrochloride)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02034C</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200 mg (as hydrochloride)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02035D</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400 mg (as hydrochloride)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02201W</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400 mg (as hydrochloride)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02232L</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200 mg (as hydrochloride)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11252F</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200 mg (as hydrochloride)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11261Q</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400 mg (as hydrochloride)</w:t>
            </w:r>
          </w:p>
        </w:tc>
      </w:tr>
      <w:tr w:rsidR="006D7511" w:rsidRPr="006D7511" w:rsidTr="006D7511">
        <w:trPr>
          <w:trHeight w:val="300"/>
        </w:trPr>
        <w:tc>
          <w:tcPr>
            <w:tcW w:w="1555" w:type="dxa"/>
            <w:noWrap/>
            <w:hideMark/>
          </w:tcPr>
          <w:p w:rsidR="006D7511" w:rsidRPr="006D7511" w:rsidRDefault="006D7511">
            <w:pPr>
              <w:rPr>
                <w:rFonts w:cstheme="minorHAnsi"/>
                <w:b/>
                <w:bCs/>
                <w:sz w:val="20"/>
                <w:szCs w:val="20"/>
              </w:rPr>
            </w:pPr>
            <w:r w:rsidRPr="006D7511">
              <w:rPr>
                <w:rFonts w:cstheme="minorHAnsi"/>
                <w:b/>
                <w:bCs/>
                <w:sz w:val="20"/>
                <w:szCs w:val="20"/>
              </w:rPr>
              <w:t>SORAFENIB</w:t>
            </w:r>
          </w:p>
        </w:tc>
        <w:tc>
          <w:tcPr>
            <w:tcW w:w="964" w:type="dxa"/>
            <w:noWrap/>
            <w:hideMark/>
          </w:tcPr>
          <w:p w:rsidR="006D7511" w:rsidRPr="006D7511" w:rsidRDefault="009A3EB4">
            <w:pPr>
              <w:rPr>
                <w:rFonts w:cstheme="minorHAnsi"/>
                <w:b/>
                <w:bCs/>
                <w:sz w:val="20"/>
                <w:szCs w:val="20"/>
              </w:rPr>
            </w:pPr>
            <w:r>
              <w:rPr>
                <w:rFonts w:cstheme="minorHAnsi"/>
                <w:b/>
                <w:bCs/>
                <w:sz w:val="20"/>
                <w:szCs w:val="20"/>
              </w:rPr>
              <w:t>2nd</w:t>
            </w:r>
            <w:r w:rsidR="006D7511" w:rsidRPr="006D7511">
              <w:rPr>
                <w:rFonts w:cstheme="minorHAnsi"/>
                <w:b/>
                <w:bCs/>
                <w:sz w:val="20"/>
                <w:szCs w:val="20"/>
              </w:rPr>
              <w:t xml:space="preserve"> line</w:t>
            </w:r>
          </w:p>
        </w:tc>
        <w:tc>
          <w:tcPr>
            <w:tcW w:w="1318" w:type="dxa"/>
            <w:noWrap/>
            <w:hideMark/>
          </w:tcPr>
          <w:p w:rsidR="006D7511" w:rsidRPr="006D7511" w:rsidRDefault="006D7511">
            <w:pPr>
              <w:rPr>
                <w:rFonts w:cstheme="minorHAnsi"/>
                <w:sz w:val="20"/>
                <w:szCs w:val="20"/>
              </w:rPr>
            </w:pPr>
            <w:r w:rsidRPr="006D7511">
              <w:rPr>
                <w:rFonts w:cstheme="minorHAnsi"/>
                <w:sz w:val="20"/>
                <w:szCs w:val="20"/>
              </w:rPr>
              <w:t>10226F</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200 mg (as tosilate)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10242C</w:t>
            </w:r>
          </w:p>
        </w:tc>
        <w:tc>
          <w:tcPr>
            <w:tcW w:w="5400" w:type="dxa"/>
            <w:noWrap/>
            <w:hideMark/>
          </w:tcPr>
          <w:p w:rsidR="006D7511" w:rsidRPr="006D7511" w:rsidRDefault="006D7511">
            <w:pPr>
              <w:rPr>
                <w:rFonts w:cstheme="minorHAnsi"/>
                <w:sz w:val="20"/>
                <w:szCs w:val="20"/>
              </w:rPr>
            </w:pPr>
            <w:r w:rsidRPr="006D7511">
              <w:rPr>
                <w:rFonts w:cstheme="minorHAnsi"/>
                <w:sz w:val="20"/>
                <w:szCs w:val="20"/>
              </w:rPr>
              <w:t>Tablet 200 mg (as tosilate)</w:t>
            </w:r>
          </w:p>
        </w:tc>
      </w:tr>
      <w:tr w:rsidR="006D7511" w:rsidRPr="006D7511" w:rsidTr="006D7511">
        <w:trPr>
          <w:trHeight w:val="300"/>
        </w:trPr>
        <w:tc>
          <w:tcPr>
            <w:tcW w:w="1555" w:type="dxa"/>
            <w:noWrap/>
            <w:hideMark/>
          </w:tcPr>
          <w:p w:rsidR="006D7511" w:rsidRPr="006D7511" w:rsidRDefault="006D7511">
            <w:pPr>
              <w:rPr>
                <w:rFonts w:cstheme="minorHAnsi"/>
                <w:b/>
                <w:bCs/>
                <w:sz w:val="20"/>
                <w:szCs w:val="20"/>
              </w:rPr>
            </w:pPr>
            <w:r w:rsidRPr="006D7511">
              <w:rPr>
                <w:rFonts w:cstheme="minorHAnsi"/>
                <w:b/>
                <w:bCs/>
                <w:sz w:val="20"/>
                <w:szCs w:val="20"/>
              </w:rPr>
              <w:t>SUNITINIB</w:t>
            </w:r>
          </w:p>
        </w:tc>
        <w:tc>
          <w:tcPr>
            <w:tcW w:w="964" w:type="dxa"/>
            <w:noWrap/>
            <w:hideMark/>
          </w:tcPr>
          <w:p w:rsidR="006D7511" w:rsidRPr="006D7511" w:rsidRDefault="002B1FCB">
            <w:pPr>
              <w:rPr>
                <w:rFonts w:cstheme="minorHAnsi"/>
                <w:b/>
                <w:bCs/>
                <w:sz w:val="20"/>
                <w:szCs w:val="20"/>
              </w:rPr>
            </w:pPr>
            <w:r>
              <w:rPr>
                <w:rFonts w:cstheme="minorHAnsi"/>
                <w:b/>
                <w:bCs/>
                <w:sz w:val="20"/>
                <w:szCs w:val="20"/>
              </w:rPr>
              <w:t>1st</w:t>
            </w:r>
            <w:r w:rsidR="006D7511" w:rsidRPr="006D7511">
              <w:rPr>
                <w:rFonts w:cstheme="minorHAnsi"/>
                <w:b/>
                <w:bCs/>
                <w:sz w:val="20"/>
                <w:szCs w:val="20"/>
              </w:rPr>
              <w:t xml:space="preserve"> line</w:t>
            </w:r>
          </w:p>
        </w:tc>
        <w:tc>
          <w:tcPr>
            <w:tcW w:w="1318" w:type="dxa"/>
            <w:noWrap/>
            <w:hideMark/>
          </w:tcPr>
          <w:p w:rsidR="006D7511" w:rsidRPr="006D7511" w:rsidRDefault="006D7511">
            <w:pPr>
              <w:rPr>
                <w:rFonts w:cstheme="minorHAnsi"/>
                <w:sz w:val="20"/>
                <w:szCs w:val="20"/>
              </w:rPr>
            </w:pPr>
            <w:r w:rsidRPr="006D7511">
              <w:rPr>
                <w:rFonts w:cstheme="minorHAnsi"/>
                <w:sz w:val="20"/>
                <w:szCs w:val="20"/>
              </w:rPr>
              <w:t>09417P</w:t>
            </w:r>
          </w:p>
        </w:tc>
        <w:tc>
          <w:tcPr>
            <w:tcW w:w="5400" w:type="dxa"/>
            <w:noWrap/>
            <w:hideMark/>
          </w:tcPr>
          <w:p w:rsidR="006D7511" w:rsidRPr="006D7511" w:rsidRDefault="006D7511">
            <w:pPr>
              <w:rPr>
                <w:rFonts w:cstheme="minorHAnsi"/>
                <w:sz w:val="20"/>
                <w:szCs w:val="20"/>
              </w:rPr>
            </w:pPr>
            <w:r w:rsidRPr="006D7511">
              <w:rPr>
                <w:rFonts w:cstheme="minorHAnsi"/>
                <w:sz w:val="20"/>
                <w:szCs w:val="20"/>
              </w:rPr>
              <w:t>Capsule 12.5 mg (as malate)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09418Q</w:t>
            </w:r>
          </w:p>
        </w:tc>
        <w:tc>
          <w:tcPr>
            <w:tcW w:w="5400" w:type="dxa"/>
            <w:noWrap/>
            <w:hideMark/>
          </w:tcPr>
          <w:p w:rsidR="006D7511" w:rsidRPr="006D7511" w:rsidRDefault="006D7511">
            <w:pPr>
              <w:rPr>
                <w:rFonts w:cstheme="minorHAnsi"/>
                <w:sz w:val="20"/>
                <w:szCs w:val="20"/>
              </w:rPr>
            </w:pPr>
            <w:r w:rsidRPr="006D7511">
              <w:rPr>
                <w:rFonts w:cstheme="minorHAnsi"/>
                <w:sz w:val="20"/>
                <w:szCs w:val="20"/>
              </w:rPr>
              <w:t>Capsule 25 mg (as malate)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09419R</w:t>
            </w:r>
          </w:p>
        </w:tc>
        <w:tc>
          <w:tcPr>
            <w:tcW w:w="5400" w:type="dxa"/>
            <w:noWrap/>
            <w:hideMark/>
          </w:tcPr>
          <w:p w:rsidR="006D7511" w:rsidRPr="006D7511" w:rsidRDefault="006D7511">
            <w:pPr>
              <w:rPr>
                <w:rFonts w:cstheme="minorHAnsi"/>
                <w:sz w:val="20"/>
                <w:szCs w:val="20"/>
              </w:rPr>
            </w:pPr>
            <w:r w:rsidRPr="006D7511">
              <w:rPr>
                <w:rFonts w:cstheme="minorHAnsi"/>
                <w:sz w:val="20"/>
                <w:szCs w:val="20"/>
              </w:rPr>
              <w:t>Capsule 50 mg (as malate)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09420T</w:t>
            </w:r>
          </w:p>
        </w:tc>
        <w:tc>
          <w:tcPr>
            <w:tcW w:w="5400" w:type="dxa"/>
            <w:noWrap/>
            <w:hideMark/>
          </w:tcPr>
          <w:p w:rsidR="006D7511" w:rsidRPr="006D7511" w:rsidRDefault="006D7511">
            <w:pPr>
              <w:rPr>
                <w:rFonts w:cstheme="minorHAnsi"/>
                <w:sz w:val="20"/>
                <w:szCs w:val="20"/>
              </w:rPr>
            </w:pPr>
            <w:r w:rsidRPr="006D7511">
              <w:rPr>
                <w:rFonts w:cstheme="minorHAnsi"/>
                <w:sz w:val="20"/>
                <w:szCs w:val="20"/>
              </w:rPr>
              <w:t>Capsule 12.5 mg (as malate)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09421W</w:t>
            </w:r>
          </w:p>
        </w:tc>
        <w:tc>
          <w:tcPr>
            <w:tcW w:w="5400" w:type="dxa"/>
            <w:noWrap/>
            <w:hideMark/>
          </w:tcPr>
          <w:p w:rsidR="006D7511" w:rsidRPr="006D7511" w:rsidRDefault="006D7511">
            <w:pPr>
              <w:rPr>
                <w:rFonts w:cstheme="minorHAnsi"/>
                <w:sz w:val="20"/>
                <w:szCs w:val="20"/>
              </w:rPr>
            </w:pPr>
            <w:r w:rsidRPr="006D7511">
              <w:rPr>
                <w:rFonts w:cstheme="minorHAnsi"/>
                <w:sz w:val="20"/>
                <w:szCs w:val="20"/>
              </w:rPr>
              <w:t>Capsule 25 mg (as malate)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09422X</w:t>
            </w:r>
          </w:p>
        </w:tc>
        <w:tc>
          <w:tcPr>
            <w:tcW w:w="5400" w:type="dxa"/>
            <w:noWrap/>
            <w:hideMark/>
          </w:tcPr>
          <w:p w:rsidR="006D7511" w:rsidRPr="006D7511" w:rsidRDefault="006D7511">
            <w:pPr>
              <w:rPr>
                <w:rFonts w:cstheme="minorHAnsi"/>
                <w:sz w:val="20"/>
                <w:szCs w:val="20"/>
              </w:rPr>
            </w:pPr>
            <w:r w:rsidRPr="006D7511">
              <w:rPr>
                <w:rFonts w:cstheme="minorHAnsi"/>
                <w:sz w:val="20"/>
                <w:szCs w:val="20"/>
              </w:rPr>
              <w:t>Capsule 50 mg (as malate)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10459L</w:t>
            </w:r>
          </w:p>
        </w:tc>
        <w:tc>
          <w:tcPr>
            <w:tcW w:w="5400" w:type="dxa"/>
            <w:noWrap/>
            <w:hideMark/>
          </w:tcPr>
          <w:p w:rsidR="006D7511" w:rsidRPr="006D7511" w:rsidRDefault="006D7511">
            <w:pPr>
              <w:rPr>
                <w:rFonts w:cstheme="minorHAnsi"/>
                <w:sz w:val="20"/>
                <w:szCs w:val="20"/>
              </w:rPr>
            </w:pPr>
            <w:r w:rsidRPr="006D7511">
              <w:rPr>
                <w:rFonts w:cstheme="minorHAnsi"/>
                <w:sz w:val="20"/>
                <w:szCs w:val="20"/>
              </w:rPr>
              <w:t>Capsule 37.5 mg (as malate)</w:t>
            </w:r>
          </w:p>
        </w:tc>
      </w:tr>
      <w:tr w:rsidR="006D7511" w:rsidRPr="006D7511" w:rsidTr="006D7511">
        <w:trPr>
          <w:trHeight w:val="300"/>
        </w:trPr>
        <w:tc>
          <w:tcPr>
            <w:tcW w:w="1555" w:type="dxa"/>
            <w:noWrap/>
            <w:hideMark/>
          </w:tcPr>
          <w:p w:rsidR="006D7511" w:rsidRPr="006D7511" w:rsidRDefault="006D7511">
            <w:pPr>
              <w:rPr>
                <w:rFonts w:cstheme="minorHAnsi"/>
                <w:sz w:val="20"/>
                <w:szCs w:val="20"/>
              </w:rPr>
            </w:pPr>
          </w:p>
        </w:tc>
        <w:tc>
          <w:tcPr>
            <w:tcW w:w="964" w:type="dxa"/>
            <w:noWrap/>
            <w:hideMark/>
          </w:tcPr>
          <w:p w:rsidR="006D7511" w:rsidRPr="006D7511" w:rsidRDefault="006D7511">
            <w:pPr>
              <w:rPr>
                <w:rFonts w:cstheme="minorHAnsi"/>
                <w:sz w:val="20"/>
                <w:szCs w:val="20"/>
              </w:rPr>
            </w:pPr>
          </w:p>
        </w:tc>
        <w:tc>
          <w:tcPr>
            <w:tcW w:w="1318" w:type="dxa"/>
            <w:noWrap/>
            <w:hideMark/>
          </w:tcPr>
          <w:p w:rsidR="006D7511" w:rsidRPr="006D7511" w:rsidRDefault="006D7511">
            <w:pPr>
              <w:rPr>
                <w:rFonts w:cstheme="minorHAnsi"/>
                <w:sz w:val="20"/>
                <w:szCs w:val="20"/>
              </w:rPr>
            </w:pPr>
            <w:r w:rsidRPr="006D7511">
              <w:rPr>
                <w:rFonts w:cstheme="minorHAnsi"/>
                <w:sz w:val="20"/>
                <w:szCs w:val="20"/>
              </w:rPr>
              <w:t>10504W</w:t>
            </w:r>
          </w:p>
        </w:tc>
        <w:tc>
          <w:tcPr>
            <w:tcW w:w="5400" w:type="dxa"/>
            <w:noWrap/>
            <w:hideMark/>
          </w:tcPr>
          <w:p w:rsidR="006D7511" w:rsidRPr="006D7511" w:rsidRDefault="006D7511">
            <w:pPr>
              <w:rPr>
                <w:rFonts w:cstheme="minorHAnsi"/>
                <w:sz w:val="20"/>
                <w:szCs w:val="20"/>
              </w:rPr>
            </w:pPr>
            <w:r w:rsidRPr="006D7511">
              <w:rPr>
                <w:rFonts w:cstheme="minorHAnsi"/>
                <w:sz w:val="20"/>
                <w:szCs w:val="20"/>
              </w:rPr>
              <w:t>Capsule 37.5 mg (as malate)</w:t>
            </w:r>
          </w:p>
        </w:tc>
      </w:tr>
    </w:tbl>
    <w:p w:rsidR="00EA4881" w:rsidRDefault="00EA4881" w:rsidP="00EA4881"/>
    <w:p w:rsidR="00227272" w:rsidRDefault="00227272">
      <w:pPr>
        <w:spacing w:line="276" w:lineRule="auto"/>
      </w:pPr>
      <w:r>
        <w:br w:type="page"/>
      </w:r>
    </w:p>
    <w:p w:rsidR="00227272" w:rsidRDefault="00227272" w:rsidP="00227272">
      <w:pPr>
        <w:pStyle w:val="Heading1"/>
      </w:pPr>
      <w:r>
        <w:t xml:space="preserve">Appendix B: </w:t>
      </w:r>
      <w:r w:rsidR="00C83D6C">
        <w:t xml:space="preserve">Comparison of </w:t>
      </w:r>
      <w:r w:rsidR="0007015E">
        <w:t>actual</w:t>
      </w:r>
      <w:r w:rsidR="003E70B8">
        <w:t xml:space="preserve"> </w:t>
      </w:r>
      <w:r>
        <w:t>Date of Death</w:t>
      </w:r>
      <w:r w:rsidR="00C83D6C">
        <w:t xml:space="preserve"> with </w:t>
      </w:r>
      <w:r w:rsidR="0007015E">
        <w:t xml:space="preserve">PBS </w:t>
      </w:r>
      <w:r w:rsidR="00C83D6C">
        <w:t>Proxy</w:t>
      </w:r>
    </w:p>
    <w:p w:rsidR="00264543" w:rsidRPr="00B87CD5" w:rsidRDefault="00264543" w:rsidP="00264543">
      <w:pPr>
        <w:spacing w:before="240"/>
        <w:outlineLvl w:val="1"/>
        <w:rPr>
          <w:rFonts w:ascii="Calibri" w:eastAsia="MS Mincho" w:hAnsi="Calibri" w:cs="Times New Roman"/>
          <w:b/>
          <w:sz w:val="28"/>
        </w:rPr>
      </w:pPr>
      <w:r>
        <w:rPr>
          <w:rFonts w:ascii="Calibri" w:eastAsia="MS Mincho" w:hAnsi="Calibri" w:cs="Times New Roman"/>
          <w:b/>
          <w:sz w:val="28"/>
        </w:rPr>
        <w:t xml:space="preserve">1. Comparison of patient alive / dead status </w:t>
      </w:r>
    </w:p>
    <w:p w:rsidR="00264543" w:rsidRDefault="00264543" w:rsidP="00264543">
      <w:pPr>
        <w:rPr>
          <w:rFonts w:ascii="Calibri" w:eastAsia="MS Mincho" w:hAnsi="Calibri" w:cs="Times New Roman"/>
          <w:szCs w:val="28"/>
        </w:rPr>
      </w:pPr>
      <w:r>
        <w:rPr>
          <w:rFonts w:ascii="Calibri" w:eastAsia="MS Mincho" w:hAnsi="Calibri" w:cs="Times New Roman"/>
        </w:rPr>
        <w:t xml:space="preserve">There were </w:t>
      </w:r>
      <w:r w:rsidR="001E11FB" w:rsidRPr="001E11FB">
        <w:rPr>
          <w:rFonts w:ascii="Calibri" w:eastAsia="MS Mincho" w:hAnsi="Calibri" w:cs="Times New Roman"/>
        </w:rPr>
        <w:t>9</w:t>
      </w:r>
      <w:r w:rsidR="001E11FB">
        <w:rPr>
          <w:rFonts w:ascii="Calibri" w:eastAsia="MS Mincho" w:hAnsi="Calibri" w:cs="Times New Roman"/>
        </w:rPr>
        <w:t>,</w:t>
      </w:r>
      <w:r w:rsidR="001E11FB" w:rsidRPr="001E11FB">
        <w:rPr>
          <w:rFonts w:ascii="Calibri" w:eastAsia="MS Mincho" w:hAnsi="Calibri" w:cs="Times New Roman"/>
        </w:rPr>
        <w:t>190</w:t>
      </w:r>
      <w:r w:rsidR="001E11FB">
        <w:rPr>
          <w:rFonts w:ascii="Calibri" w:eastAsia="MS Mincho" w:hAnsi="Calibri" w:cs="Times New Roman"/>
        </w:rPr>
        <w:t xml:space="preserve"> </w:t>
      </w:r>
      <w:r>
        <w:rPr>
          <w:rFonts w:ascii="Calibri" w:eastAsia="MS Mincho" w:hAnsi="Calibri" w:cs="Times New Roman"/>
        </w:rPr>
        <w:t xml:space="preserve">patients that had received a prescription for </w:t>
      </w:r>
      <w:r w:rsidR="001E11FB">
        <w:rPr>
          <w:rFonts w:ascii="Calibri" w:eastAsia="MS Mincho" w:hAnsi="Calibri" w:cs="Times New Roman"/>
        </w:rPr>
        <w:t>nivolumab</w:t>
      </w:r>
      <w:r>
        <w:rPr>
          <w:rFonts w:ascii="Calibri" w:eastAsia="MS Mincho" w:hAnsi="Calibri" w:cs="Times New Roman"/>
          <w:szCs w:val="28"/>
        </w:rPr>
        <w:t xml:space="preserve"> from </w:t>
      </w:r>
      <w:r w:rsidRPr="00F82E3D">
        <w:rPr>
          <w:rFonts w:ascii="Calibri" w:eastAsia="MS Mincho" w:hAnsi="Calibri" w:cs="Times New Roman"/>
          <w:szCs w:val="28"/>
        </w:rPr>
        <w:t>1 May 20</w:t>
      </w:r>
      <w:r w:rsidR="001E11FB">
        <w:rPr>
          <w:rFonts w:ascii="Calibri" w:eastAsia="MS Mincho" w:hAnsi="Calibri" w:cs="Times New Roman"/>
          <w:szCs w:val="28"/>
        </w:rPr>
        <w:t>16</w:t>
      </w:r>
      <w:r>
        <w:rPr>
          <w:rFonts w:ascii="Calibri" w:eastAsia="MS Mincho" w:hAnsi="Calibri" w:cs="Times New Roman"/>
          <w:szCs w:val="28"/>
        </w:rPr>
        <w:t xml:space="preserve"> (</w:t>
      </w:r>
      <w:r w:rsidR="006D7745">
        <w:rPr>
          <w:rFonts w:ascii="Calibri" w:eastAsia="MS Mincho" w:hAnsi="Calibri" w:cs="Times New Roman"/>
          <w:szCs w:val="28"/>
        </w:rPr>
        <w:t>first</w:t>
      </w:r>
      <w:r w:rsidRPr="00F82E3D">
        <w:rPr>
          <w:rFonts w:ascii="Calibri" w:eastAsia="MS Mincho" w:hAnsi="Calibri" w:cs="Times New Roman"/>
          <w:szCs w:val="28"/>
        </w:rPr>
        <w:t xml:space="preserve"> listing for </w:t>
      </w:r>
      <w:r w:rsidR="001E11FB">
        <w:rPr>
          <w:rFonts w:ascii="Calibri" w:eastAsia="MS Mincho" w:hAnsi="Calibri" w:cs="Times New Roman"/>
          <w:szCs w:val="28"/>
        </w:rPr>
        <w:t>nivolumab</w:t>
      </w:r>
      <w:r>
        <w:rPr>
          <w:rFonts w:ascii="Calibri" w:eastAsia="MS Mincho" w:hAnsi="Calibri" w:cs="Times New Roman"/>
          <w:szCs w:val="28"/>
        </w:rPr>
        <w:t xml:space="preserve">) to </w:t>
      </w:r>
      <w:r w:rsidR="001E11FB">
        <w:rPr>
          <w:rFonts w:ascii="Calibri" w:eastAsia="MS Mincho" w:hAnsi="Calibri" w:cs="Times New Roman"/>
          <w:szCs w:val="28"/>
        </w:rPr>
        <w:t>3</w:t>
      </w:r>
      <w:r>
        <w:rPr>
          <w:rFonts w:ascii="Calibri" w:eastAsia="MS Mincho" w:hAnsi="Calibri" w:cs="Times New Roman"/>
          <w:szCs w:val="28"/>
        </w:rPr>
        <w:t xml:space="preserve">1 </w:t>
      </w:r>
      <w:r w:rsidR="001E11FB">
        <w:rPr>
          <w:rFonts w:ascii="Calibri" w:eastAsia="MS Mincho" w:hAnsi="Calibri" w:cs="Times New Roman"/>
          <w:szCs w:val="28"/>
        </w:rPr>
        <w:t xml:space="preserve">December </w:t>
      </w:r>
      <w:r>
        <w:rPr>
          <w:rFonts w:ascii="Calibri" w:eastAsia="MS Mincho" w:hAnsi="Calibri" w:cs="Times New Roman"/>
          <w:szCs w:val="28"/>
        </w:rPr>
        <w:t>201</w:t>
      </w:r>
      <w:r w:rsidR="001E11FB">
        <w:rPr>
          <w:rFonts w:ascii="Calibri" w:eastAsia="MS Mincho" w:hAnsi="Calibri" w:cs="Times New Roman"/>
          <w:szCs w:val="28"/>
        </w:rPr>
        <w:t>9</w:t>
      </w:r>
      <w:r>
        <w:rPr>
          <w:rFonts w:ascii="Calibri" w:eastAsia="MS Mincho" w:hAnsi="Calibri" w:cs="Times New Roman"/>
          <w:szCs w:val="28"/>
        </w:rPr>
        <w:t xml:space="preserve">. </w:t>
      </w:r>
    </w:p>
    <w:p w:rsidR="00264543" w:rsidRDefault="00264543" w:rsidP="00264543">
      <w:pPr>
        <w:widowControl w:val="0"/>
        <w:rPr>
          <w:rFonts w:ascii="Calibri" w:eastAsia="MS Mincho" w:hAnsi="Calibri" w:cs="Times New Roman"/>
        </w:rPr>
      </w:pPr>
      <w:r>
        <w:rPr>
          <w:rFonts w:ascii="Calibri" w:eastAsia="MS Mincho" w:hAnsi="Calibri" w:cs="Times New Roman"/>
        </w:rPr>
        <w:t xml:space="preserve">All PBS prescriptions for </w:t>
      </w:r>
      <w:r w:rsidR="001E11FB">
        <w:rPr>
          <w:rFonts w:ascii="Calibri" w:eastAsia="MS Mincho" w:hAnsi="Calibri" w:cs="Times New Roman"/>
        </w:rPr>
        <w:t xml:space="preserve">these </w:t>
      </w:r>
      <w:r>
        <w:rPr>
          <w:rFonts w:ascii="Calibri" w:eastAsia="MS Mincho" w:hAnsi="Calibri" w:cs="Times New Roman"/>
        </w:rPr>
        <w:t>patients were extracted from January 20</w:t>
      </w:r>
      <w:r w:rsidR="001E11FB">
        <w:rPr>
          <w:rFonts w:ascii="Calibri" w:eastAsia="MS Mincho" w:hAnsi="Calibri" w:cs="Times New Roman"/>
        </w:rPr>
        <w:t>16</w:t>
      </w:r>
      <w:r>
        <w:rPr>
          <w:rFonts w:ascii="Calibri" w:eastAsia="MS Mincho" w:hAnsi="Calibri" w:cs="Times New Roman"/>
        </w:rPr>
        <w:t xml:space="preserve"> to the end of </w:t>
      </w:r>
      <w:r w:rsidR="001E11FB">
        <w:rPr>
          <w:rFonts w:ascii="Calibri" w:eastAsia="MS Mincho" w:hAnsi="Calibri" w:cs="Times New Roman"/>
        </w:rPr>
        <w:t>February 2</w:t>
      </w:r>
      <w:r>
        <w:rPr>
          <w:rFonts w:ascii="Calibri" w:eastAsia="MS Mincho" w:hAnsi="Calibri" w:cs="Times New Roman"/>
        </w:rPr>
        <w:t>0</w:t>
      </w:r>
      <w:r w:rsidR="001E11FB">
        <w:rPr>
          <w:rFonts w:ascii="Calibri" w:eastAsia="MS Mincho" w:hAnsi="Calibri" w:cs="Times New Roman"/>
        </w:rPr>
        <w:t xml:space="preserve">20 and the </w:t>
      </w:r>
      <w:r w:rsidR="00AA246A">
        <w:rPr>
          <w:rFonts w:ascii="Calibri" w:eastAsia="MS Mincho" w:hAnsi="Calibri" w:cs="Times New Roman"/>
        </w:rPr>
        <w:t xml:space="preserve">proxy </w:t>
      </w:r>
      <w:r w:rsidR="001E11FB">
        <w:rPr>
          <w:rFonts w:ascii="Calibri" w:eastAsia="MS Mincho" w:hAnsi="Calibri" w:cs="Times New Roman"/>
        </w:rPr>
        <w:t xml:space="preserve">Date of Death </w:t>
      </w:r>
      <w:r w:rsidR="00AA246A">
        <w:rPr>
          <w:rFonts w:ascii="Calibri" w:eastAsia="MS Mincho" w:hAnsi="Calibri" w:cs="Times New Roman"/>
        </w:rPr>
        <w:t xml:space="preserve">(pDoD) </w:t>
      </w:r>
      <w:r w:rsidR="001E11FB">
        <w:rPr>
          <w:rFonts w:ascii="Calibri" w:eastAsia="MS Mincho" w:hAnsi="Calibri" w:cs="Times New Roman"/>
        </w:rPr>
        <w:t xml:space="preserve">was calculated as per the Methods section. A limitation of the data was that no </w:t>
      </w:r>
      <w:r w:rsidR="00AA246A">
        <w:rPr>
          <w:rFonts w:ascii="Calibri" w:eastAsia="MS Mincho" w:hAnsi="Calibri" w:cs="Times New Roman"/>
        </w:rPr>
        <w:t>p</w:t>
      </w:r>
      <w:r w:rsidR="001E11FB">
        <w:rPr>
          <w:rFonts w:ascii="Calibri" w:eastAsia="MS Mincho" w:hAnsi="Calibri" w:cs="Times New Roman"/>
        </w:rPr>
        <w:t>DoD could be determine</w:t>
      </w:r>
      <w:r w:rsidR="00AA246A">
        <w:rPr>
          <w:rFonts w:ascii="Calibri" w:eastAsia="MS Mincho" w:hAnsi="Calibri" w:cs="Times New Roman"/>
        </w:rPr>
        <w:t>d</w:t>
      </w:r>
      <w:r w:rsidR="001E11FB">
        <w:rPr>
          <w:rFonts w:ascii="Calibri" w:eastAsia="MS Mincho" w:hAnsi="Calibri" w:cs="Times New Roman"/>
        </w:rPr>
        <w:t xml:space="preserve"> past 8 December 2019.</w:t>
      </w:r>
    </w:p>
    <w:p w:rsidR="001E11FB" w:rsidRDefault="001E11FB" w:rsidP="00264543">
      <w:pPr>
        <w:widowControl w:val="0"/>
        <w:rPr>
          <w:rFonts w:ascii="Calibri" w:eastAsia="MS Mincho" w:hAnsi="Calibri" w:cs="Times New Roman"/>
        </w:rPr>
      </w:pPr>
      <w:r>
        <w:rPr>
          <w:rFonts w:ascii="Calibri" w:eastAsia="MS Mincho" w:hAnsi="Calibri" w:cs="Times New Roman"/>
        </w:rPr>
        <w:t>These data were matched with the Services Australia Date of Death (DoD) data</w:t>
      </w:r>
      <w:r w:rsidR="003F7D5B">
        <w:rPr>
          <w:rFonts w:ascii="Calibri" w:eastAsia="MS Mincho" w:hAnsi="Calibri" w:cs="Times New Roman"/>
        </w:rPr>
        <w:t xml:space="preserve"> for the same patients. After excluding patients with a DoD after 8 December 2019, there were 8,718 patients remaining in the analysis</w:t>
      </w:r>
      <w:r w:rsidR="00111D89">
        <w:rPr>
          <w:rFonts w:ascii="Calibri" w:eastAsia="MS Mincho" w:hAnsi="Calibri" w:cs="Times New Roman"/>
        </w:rPr>
        <w:t>.</w:t>
      </w:r>
    </w:p>
    <w:p w:rsidR="00264543" w:rsidRPr="00174EA4" w:rsidRDefault="00264543" w:rsidP="00264543">
      <w:pPr>
        <w:spacing w:after="0"/>
        <w:rPr>
          <w:rFonts w:ascii="Calibri" w:eastAsia="MS Mincho" w:hAnsi="Calibri" w:cs="Times New Roman"/>
          <w:b/>
        </w:rPr>
      </w:pPr>
      <w:r w:rsidRPr="00174EA4">
        <w:rPr>
          <w:rFonts w:ascii="Calibri" w:eastAsia="MS Mincho" w:hAnsi="Calibri" w:cs="Times New Roman"/>
          <w:b/>
        </w:rPr>
        <w:t xml:space="preserve">Table </w:t>
      </w:r>
      <w:r w:rsidR="00AA7D6E">
        <w:rPr>
          <w:rFonts w:ascii="Calibri" w:eastAsia="MS Mincho" w:hAnsi="Calibri" w:cs="Times New Roman"/>
          <w:b/>
        </w:rPr>
        <w:t>B.</w:t>
      </w:r>
      <w:r w:rsidRPr="00174EA4">
        <w:rPr>
          <w:rFonts w:ascii="Calibri" w:eastAsia="MS Mincho" w:hAnsi="Calibri" w:cs="Times New Roman"/>
          <w:b/>
        </w:rPr>
        <w:t xml:space="preserve">1: Proxy vs </w:t>
      </w:r>
      <w:r w:rsidR="001E11FB">
        <w:rPr>
          <w:rFonts w:ascii="Calibri" w:eastAsia="MS Mincho" w:hAnsi="Calibri" w:cs="Times New Roman"/>
          <w:b/>
        </w:rPr>
        <w:t>Services Australia</w:t>
      </w:r>
      <w:r w:rsidRPr="00174EA4">
        <w:rPr>
          <w:rFonts w:ascii="Calibri" w:eastAsia="MS Mincho" w:hAnsi="Calibri" w:cs="Times New Roman"/>
          <w:b/>
        </w:rPr>
        <w:t xml:space="preserve"> </w:t>
      </w:r>
      <w:r w:rsidR="003F7D5B">
        <w:rPr>
          <w:rFonts w:ascii="Calibri" w:eastAsia="MS Mincho" w:hAnsi="Calibri" w:cs="Times New Roman"/>
          <w:b/>
        </w:rPr>
        <w:t xml:space="preserve">(SA) </w:t>
      </w:r>
      <w:r w:rsidRPr="00174EA4">
        <w:rPr>
          <w:rFonts w:ascii="Calibri" w:eastAsia="MS Mincho" w:hAnsi="Calibri" w:cs="Times New Roman"/>
          <w:b/>
        </w:rPr>
        <w:t>patient status</w:t>
      </w:r>
    </w:p>
    <w:tbl>
      <w:tblPr>
        <w:tblW w:w="7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984"/>
        <w:gridCol w:w="1876"/>
        <w:gridCol w:w="1180"/>
      </w:tblGrid>
      <w:tr w:rsidR="00264543" w:rsidRPr="00174EA4" w:rsidTr="001E11FB">
        <w:trPr>
          <w:trHeight w:val="300"/>
        </w:trPr>
        <w:tc>
          <w:tcPr>
            <w:tcW w:w="2000" w:type="dxa"/>
            <w:shd w:val="clear" w:color="auto" w:fill="BFBFBF" w:themeFill="background1" w:themeFillShade="BF"/>
            <w:noWrap/>
            <w:vAlign w:val="center"/>
            <w:hideMark/>
          </w:tcPr>
          <w:p w:rsidR="00264543" w:rsidRPr="00B1788D" w:rsidRDefault="003F7D5B" w:rsidP="001E11FB">
            <w:pPr>
              <w:spacing w:after="0"/>
              <w:jc w:val="center"/>
              <w:rPr>
                <w:rFonts w:ascii="Calibri" w:eastAsia="Times New Roman" w:hAnsi="Calibri" w:cs="Times New Roman"/>
                <w:b/>
                <w:bCs/>
                <w:sz w:val="20"/>
                <w:szCs w:val="20"/>
              </w:rPr>
            </w:pPr>
            <w:r w:rsidRPr="00B1788D">
              <w:rPr>
                <w:rFonts w:ascii="Calibri" w:eastAsia="Times New Roman" w:hAnsi="Calibri" w:cs="Times New Roman"/>
                <w:b/>
                <w:bCs/>
                <w:sz w:val="20"/>
                <w:szCs w:val="20"/>
              </w:rPr>
              <w:t>Patients</w:t>
            </w:r>
          </w:p>
        </w:tc>
        <w:tc>
          <w:tcPr>
            <w:tcW w:w="3860" w:type="dxa"/>
            <w:gridSpan w:val="2"/>
            <w:shd w:val="clear" w:color="auto" w:fill="BFBFBF" w:themeFill="background1" w:themeFillShade="BF"/>
            <w:noWrap/>
            <w:vAlign w:val="center"/>
            <w:hideMark/>
          </w:tcPr>
          <w:p w:rsidR="00264543" w:rsidRPr="00B1788D" w:rsidRDefault="00264543" w:rsidP="001E11FB">
            <w:pPr>
              <w:spacing w:after="0"/>
              <w:jc w:val="center"/>
              <w:rPr>
                <w:rFonts w:ascii="Calibri" w:eastAsia="Times New Roman" w:hAnsi="Calibri" w:cs="Times New Roman"/>
                <w:b/>
                <w:bCs/>
                <w:sz w:val="20"/>
                <w:szCs w:val="20"/>
              </w:rPr>
            </w:pPr>
            <w:r w:rsidRPr="00B1788D">
              <w:rPr>
                <w:rFonts w:ascii="Calibri" w:eastAsia="Times New Roman" w:hAnsi="Calibri" w:cs="Times New Roman"/>
                <w:b/>
                <w:bCs/>
                <w:sz w:val="20"/>
                <w:szCs w:val="20"/>
              </w:rPr>
              <w:t>Proxy patient status</w:t>
            </w:r>
          </w:p>
        </w:tc>
        <w:tc>
          <w:tcPr>
            <w:tcW w:w="1180" w:type="dxa"/>
            <w:shd w:val="clear" w:color="auto" w:fill="BFBFBF" w:themeFill="background1" w:themeFillShade="BF"/>
            <w:noWrap/>
            <w:vAlign w:val="center"/>
            <w:hideMark/>
          </w:tcPr>
          <w:p w:rsidR="00264543" w:rsidRPr="00B1788D" w:rsidRDefault="00264543" w:rsidP="001E11FB">
            <w:pPr>
              <w:spacing w:after="0"/>
              <w:jc w:val="center"/>
              <w:rPr>
                <w:rFonts w:ascii="Calibri" w:eastAsia="Times New Roman" w:hAnsi="Calibri" w:cs="Times New Roman"/>
                <w:b/>
                <w:bCs/>
                <w:sz w:val="20"/>
                <w:szCs w:val="20"/>
              </w:rPr>
            </w:pPr>
          </w:p>
        </w:tc>
      </w:tr>
      <w:tr w:rsidR="00264543" w:rsidRPr="00174EA4" w:rsidTr="001E11FB">
        <w:trPr>
          <w:trHeight w:val="300"/>
        </w:trPr>
        <w:tc>
          <w:tcPr>
            <w:tcW w:w="2000" w:type="dxa"/>
            <w:shd w:val="clear" w:color="auto" w:fill="BFBFBF" w:themeFill="background1" w:themeFillShade="BF"/>
            <w:noWrap/>
            <w:vAlign w:val="center"/>
            <w:hideMark/>
          </w:tcPr>
          <w:p w:rsidR="00264543" w:rsidRPr="00B1788D" w:rsidRDefault="003F7D5B" w:rsidP="001E11FB">
            <w:pPr>
              <w:spacing w:after="0"/>
              <w:jc w:val="center"/>
              <w:rPr>
                <w:rFonts w:ascii="Calibri" w:eastAsia="Times New Roman" w:hAnsi="Calibri" w:cs="Times New Roman"/>
                <w:b/>
                <w:bCs/>
                <w:sz w:val="20"/>
                <w:szCs w:val="20"/>
              </w:rPr>
            </w:pPr>
            <w:r w:rsidRPr="00B1788D">
              <w:rPr>
                <w:rFonts w:ascii="Calibri" w:eastAsia="Times New Roman" w:hAnsi="Calibri" w:cs="Times New Roman"/>
                <w:b/>
                <w:sz w:val="20"/>
                <w:szCs w:val="20"/>
              </w:rPr>
              <w:t>SA</w:t>
            </w:r>
            <w:r w:rsidR="00264543" w:rsidRPr="00B1788D">
              <w:rPr>
                <w:rFonts w:ascii="Calibri" w:eastAsia="Times New Roman" w:hAnsi="Calibri" w:cs="Times New Roman"/>
                <w:b/>
                <w:sz w:val="20"/>
                <w:szCs w:val="20"/>
              </w:rPr>
              <w:t xml:space="preserve"> patient status</w:t>
            </w:r>
          </w:p>
        </w:tc>
        <w:tc>
          <w:tcPr>
            <w:tcW w:w="1984" w:type="dxa"/>
            <w:shd w:val="clear" w:color="auto" w:fill="BFBFBF" w:themeFill="background1" w:themeFillShade="BF"/>
            <w:noWrap/>
            <w:vAlign w:val="center"/>
            <w:hideMark/>
          </w:tcPr>
          <w:p w:rsidR="00264543" w:rsidRPr="00B1788D" w:rsidRDefault="00264543" w:rsidP="001E11FB">
            <w:pPr>
              <w:spacing w:after="0"/>
              <w:jc w:val="center"/>
              <w:rPr>
                <w:rFonts w:ascii="Calibri" w:eastAsia="Times New Roman" w:hAnsi="Calibri" w:cs="Times New Roman"/>
                <w:b/>
                <w:bCs/>
                <w:sz w:val="20"/>
                <w:szCs w:val="20"/>
              </w:rPr>
            </w:pPr>
            <w:r w:rsidRPr="00B1788D">
              <w:rPr>
                <w:rFonts w:ascii="Calibri" w:eastAsia="Times New Roman" w:hAnsi="Calibri" w:cs="Times New Roman"/>
                <w:b/>
                <w:bCs/>
                <w:sz w:val="20"/>
                <w:szCs w:val="20"/>
              </w:rPr>
              <w:t>Alive</w:t>
            </w:r>
          </w:p>
        </w:tc>
        <w:tc>
          <w:tcPr>
            <w:tcW w:w="1876" w:type="dxa"/>
            <w:shd w:val="clear" w:color="auto" w:fill="BFBFBF" w:themeFill="background1" w:themeFillShade="BF"/>
            <w:noWrap/>
            <w:vAlign w:val="center"/>
            <w:hideMark/>
          </w:tcPr>
          <w:p w:rsidR="00264543" w:rsidRPr="00B1788D" w:rsidRDefault="00264543" w:rsidP="001E11FB">
            <w:pPr>
              <w:spacing w:after="0"/>
              <w:jc w:val="center"/>
              <w:rPr>
                <w:rFonts w:ascii="Calibri" w:eastAsia="Times New Roman" w:hAnsi="Calibri" w:cs="Times New Roman"/>
                <w:b/>
                <w:bCs/>
                <w:sz w:val="20"/>
                <w:szCs w:val="20"/>
              </w:rPr>
            </w:pPr>
            <w:r w:rsidRPr="00B1788D">
              <w:rPr>
                <w:rFonts w:ascii="Calibri" w:eastAsia="Times New Roman" w:hAnsi="Calibri" w:cs="Times New Roman"/>
                <w:b/>
                <w:bCs/>
                <w:sz w:val="20"/>
                <w:szCs w:val="20"/>
              </w:rPr>
              <w:t>Dead</w:t>
            </w:r>
          </w:p>
        </w:tc>
        <w:tc>
          <w:tcPr>
            <w:tcW w:w="1180" w:type="dxa"/>
            <w:shd w:val="clear" w:color="auto" w:fill="BFBFBF" w:themeFill="background1" w:themeFillShade="BF"/>
            <w:noWrap/>
            <w:vAlign w:val="center"/>
            <w:hideMark/>
          </w:tcPr>
          <w:p w:rsidR="00264543" w:rsidRPr="00B1788D" w:rsidRDefault="00264543" w:rsidP="001E11FB">
            <w:pPr>
              <w:spacing w:after="0"/>
              <w:jc w:val="center"/>
              <w:rPr>
                <w:rFonts w:ascii="Calibri" w:eastAsia="Times New Roman" w:hAnsi="Calibri" w:cs="Times New Roman"/>
                <w:b/>
                <w:bCs/>
                <w:sz w:val="20"/>
                <w:szCs w:val="20"/>
              </w:rPr>
            </w:pPr>
            <w:r w:rsidRPr="00B1788D">
              <w:rPr>
                <w:rFonts w:ascii="Calibri" w:eastAsia="Times New Roman" w:hAnsi="Calibri" w:cs="Times New Roman"/>
                <w:b/>
                <w:bCs/>
                <w:sz w:val="20"/>
                <w:szCs w:val="20"/>
              </w:rPr>
              <w:t>Total</w:t>
            </w:r>
          </w:p>
        </w:tc>
      </w:tr>
      <w:tr w:rsidR="003F7D5B" w:rsidRPr="00174EA4" w:rsidTr="000E01E9">
        <w:trPr>
          <w:trHeight w:val="300"/>
        </w:trPr>
        <w:tc>
          <w:tcPr>
            <w:tcW w:w="2000" w:type="dxa"/>
            <w:shd w:val="clear" w:color="auto" w:fill="auto"/>
            <w:noWrap/>
            <w:vAlign w:val="center"/>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Alive</w:t>
            </w:r>
          </w:p>
        </w:tc>
        <w:tc>
          <w:tcPr>
            <w:tcW w:w="1984" w:type="dxa"/>
            <w:shd w:val="clear" w:color="auto" w:fill="auto"/>
            <w:noWrap/>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 xml:space="preserve"> 4,184 </w:t>
            </w:r>
          </w:p>
        </w:tc>
        <w:tc>
          <w:tcPr>
            <w:tcW w:w="1876" w:type="dxa"/>
            <w:shd w:val="clear" w:color="auto" w:fill="auto"/>
            <w:noWrap/>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 xml:space="preserve"> 272 </w:t>
            </w:r>
          </w:p>
        </w:tc>
        <w:tc>
          <w:tcPr>
            <w:tcW w:w="1180" w:type="dxa"/>
            <w:shd w:val="clear" w:color="auto" w:fill="auto"/>
            <w:noWrap/>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 xml:space="preserve"> 4,456 </w:t>
            </w:r>
          </w:p>
        </w:tc>
      </w:tr>
      <w:tr w:rsidR="003F7D5B" w:rsidRPr="00174EA4" w:rsidTr="000E01E9">
        <w:trPr>
          <w:trHeight w:val="300"/>
        </w:trPr>
        <w:tc>
          <w:tcPr>
            <w:tcW w:w="2000" w:type="dxa"/>
            <w:shd w:val="clear" w:color="auto" w:fill="auto"/>
            <w:noWrap/>
            <w:vAlign w:val="center"/>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Dead</w:t>
            </w:r>
          </w:p>
        </w:tc>
        <w:tc>
          <w:tcPr>
            <w:tcW w:w="1984" w:type="dxa"/>
            <w:shd w:val="clear" w:color="auto" w:fill="auto"/>
            <w:noWrap/>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 xml:space="preserve"> 35 </w:t>
            </w:r>
          </w:p>
        </w:tc>
        <w:tc>
          <w:tcPr>
            <w:tcW w:w="1876" w:type="dxa"/>
            <w:shd w:val="clear" w:color="auto" w:fill="auto"/>
            <w:noWrap/>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 xml:space="preserve"> 4,227 </w:t>
            </w:r>
          </w:p>
        </w:tc>
        <w:tc>
          <w:tcPr>
            <w:tcW w:w="1180" w:type="dxa"/>
            <w:shd w:val="clear" w:color="auto" w:fill="auto"/>
            <w:noWrap/>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 xml:space="preserve"> 4,262 </w:t>
            </w:r>
          </w:p>
        </w:tc>
      </w:tr>
      <w:tr w:rsidR="003F7D5B" w:rsidRPr="00174EA4" w:rsidTr="000E01E9">
        <w:trPr>
          <w:trHeight w:val="300"/>
        </w:trPr>
        <w:tc>
          <w:tcPr>
            <w:tcW w:w="2000" w:type="dxa"/>
            <w:shd w:val="clear" w:color="auto" w:fill="auto"/>
            <w:noWrap/>
            <w:vAlign w:val="center"/>
            <w:hideMark/>
          </w:tcPr>
          <w:p w:rsidR="003F7D5B" w:rsidRPr="00B1788D" w:rsidRDefault="003F7D5B" w:rsidP="003F7D5B">
            <w:pPr>
              <w:spacing w:after="0"/>
              <w:jc w:val="center"/>
              <w:rPr>
                <w:rFonts w:ascii="Calibri" w:eastAsia="Times New Roman" w:hAnsi="Calibri" w:cs="Times New Roman"/>
                <w:bCs/>
                <w:color w:val="000000"/>
                <w:sz w:val="20"/>
                <w:szCs w:val="20"/>
              </w:rPr>
            </w:pPr>
            <w:r w:rsidRPr="00B1788D">
              <w:rPr>
                <w:rFonts w:ascii="Calibri" w:eastAsia="Times New Roman" w:hAnsi="Calibri" w:cs="Times New Roman"/>
                <w:bCs/>
                <w:color w:val="000000"/>
                <w:sz w:val="20"/>
                <w:szCs w:val="20"/>
              </w:rPr>
              <w:t>Total</w:t>
            </w:r>
          </w:p>
        </w:tc>
        <w:tc>
          <w:tcPr>
            <w:tcW w:w="1984" w:type="dxa"/>
            <w:shd w:val="clear" w:color="auto" w:fill="auto"/>
            <w:noWrap/>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 xml:space="preserve"> 4,219 </w:t>
            </w:r>
          </w:p>
        </w:tc>
        <w:tc>
          <w:tcPr>
            <w:tcW w:w="1876" w:type="dxa"/>
            <w:shd w:val="clear" w:color="auto" w:fill="auto"/>
            <w:noWrap/>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 xml:space="preserve"> 4,499 </w:t>
            </w:r>
          </w:p>
        </w:tc>
        <w:tc>
          <w:tcPr>
            <w:tcW w:w="1180" w:type="dxa"/>
            <w:shd w:val="clear" w:color="auto" w:fill="auto"/>
            <w:noWrap/>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 xml:space="preserve"> 8,718 </w:t>
            </w:r>
          </w:p>
        </w:tc>
      </w:tr>
      <w:tr w:rsidR="003F7D5B" w:rsidRPr="00174EA4" w:rsidTr="000E01E9">
        <w:trPr>
          <w:trHeight w:val="300"/>
        </w:trPr>
        <w:tc>
          <w:tcPr>
            <w:tcW w:w="2000" w:type="dxa"/>
            <w:shd w:val="clear" w:color="auto" w:fill="BFBFBF" w:themeFill="background1" w:themeFillShade="BF"/>
            <w:noWrap/>
            <w:vAlign w:val="center"/>
            <w:hideMark/>
          </w:tcPr>
          <w:p w:rsidR="003F7D5B" w:rsidRPr="00B1788D" w:rsidRDefault="003F7D5B" w:rsidP="000E01E9">
            <w:pPr>
              <w:spacing w:after="0"/>
              <w:jc w:val="center"/>
              <w:rPr>
                <w:rFonts w:ascii="Calibri" w:eastAsia="Times New Roman" w:hAnsi="Calibri" w:cs="Times New Roman"/>
                <w:b/>
                <w:bCs/>
                <w:sz w:val="20"/>
                <w:szCs w:val="20"/>
              </w:rPr>
            </w:pPr>
            <w:r w:rsidRPr="00B1788D">
              <w:rPr>
                <w:rFonts w:ascii="Calibri" w:eastAsia="Times New Roman" w:hAnsi="Calibri" w:cs="Times New Roman"/>
                <w:b/>
                <w:bCs/>
                <w:sz w:val="20"/>
                <w:szCs w:val="20"/>
              </w:rPr>
              <w:t>% Patients</w:t>
            </w:r>
          </w:p>
        </w:tc>
        <w:tc>
          <w:tcPr>
            <w:tcW w:w="3860" w:type="dxa"/>
            <w:gridSpan w:val="2"/>
            <w:shd w:val="clear" w:color="auto" w:fill="BFBFBF" w:themeFill="background1" w:themeFillShade="BF"/>
            <w:noWrap/>
            <w:vAlign w:val="center"/>
            <w:hideMark/>
          </w:tcPr>
          <w:p w:rsidR="003F7D5B" w:rsidRPr="00B1788D" w:rsidRDefault="003F7D5B" w:rsidP="000E01E9">
            <w:pPr>
              <w:spacing w:after="0"/>
              <w:jc w:val="center"/>
              <w:rPr>
                <w:rFonts w:ascii="Calibri" w:eastAsia="Times New Roman" w:hAnsi="Calibri" w:cs="Times New Roman"/>
                <w:b/>
                <w:bCs/>
                <w:sz w:val="20"/>
                <w:szCs w:val="20"/>
              </w:rPr>
            </w:pPr>
            <w:r w:rsidRPr="00B1788D">
              <w:rPr>
                <w:rFonts w:ascii="Calibri" w:eastAsia="Times New Roman" w:hAnsi="Calibri" w:cs="Times New Roman"/>
                <w:b/>
                <w:bCs/>
                <w:sz w:val="20"/>
                <w:szCs w:val="20"/>
              </w:rPr>
              <w:t>Proxy patient status</w:t>
            </w:r>
          </w:p>
        </w:tc>
        <w:tc>
          <w:tcPr>
            <w:tcW w:w="1180" w:type="dxa"/>
            <w:shd w:val="clear" w:color="auto" w:fill="BFBFBF" w:themeFill="background1" w:themeFillShade="BF"/>
            <w:noWrap/>
            <w:vAlign w:val="center"/>
            <w:hideMark/>
          </w:tcPr>
          <w:p w:rsidR="003F7D5B" w:rsidRPr="00B1788D" w:rsidRDefault="003F7D5B" w:rsidP="000E01E9">
            <w:pPr>
              <w:spacing w:after="0"/>
              <w:jc w:val="center"/>
              <w:rPr>
                <w:rFonts w:ascii="Calibri" w:eastAsia="Times New Roman" w:hAnsi="Calibri" w:cs="Times New Roman"/>
                <w:b/>
                <w:bCs/>
                <w:sz w:val="20"/>
                <w:szCs w:val="20"/>
              </w:rPr>
            </w:pPr>
          </w:p>
        </w:tc>
      </w:tr>
      <w:tr w:rsidR="003F7D5B" w:rsidRPr="00174EA4" w:rsidTr="000E01E9">
        <w:trPr>
          <w:trHeight w:val="300"/>
        </w:trPr>
        <w:tc>
          <w:tcPr>
            <w:tcW w:w="2000" w:type="dxa"/>
            <w:shd w:val="clear" w:color="auto" w:fill="BFBFBF" w:themeFill="background1" w:themeFillShade="BF"/>
            <w:noWrap/>
            <w:vAlign w:val="center"/>
            <w:hideMark/>
          </w:tcPr>
          <w:p w:rsidR="003F7D5B" w:rsidRPr="00B1788D" w:rsidRDefault="003F7D5B" w:rsidP="000E01E9">
            <w:pPr>
              <w:spacing w:after="0"/>
              <w:jc w:val="center"/>
              <w:rPr>
                <w:rFonts w:ascii="Calibri" w:eastAsia="Times New Roman" w:hAnsi="Calibri" w:cs="Times New Roman"/>
                <w:b/>
                <w:bCs/>
                <w:sz w:val="20"/>
                <w:szCs w:val="20"/>
              </w:rPr>
            </w:pPr>
            <w:r w:rsidRPr="00B1788D">
              <w:rPr>
                <w:rFonts w:ascii="Calibri" w:eastAsia="Times New Roman" w:hAnsi="Calibri" w:cs="Times New Roman"/>
                <w:b/>
                <w:sz w:val="20"/>
                <w:szCs w:val="20"/>
              </w:rPr>
              <w:t>SA patient status</w:t>
            </w:r>
          </w:p>
        </w:tc>
        <w:tc>
          <w:tcPr>
            <w:tcW w:w="1984" w:type="dxa"/>
            <w:shd w:val="clear" w:color="auto" w:fill="BFBFBF" w:themeFill="background1" w:themeFillShade="BF"/>
            <w:noWrap/>
            <w:vAlign w:val="center"/>
            <w:hideMark/>
          </w:tcPr>
          <w:p w:rsidR="003F7D5B" w:rsidRPr="00B1788D" w:rsidRDefault="003F7D5B" w:rsidP="000E01E9">
            <w:pPr>
              <w:spacing w:after="0"/>
              <w:jc w:val="center"/>
              <w:rPr>
                <w:rFonts w:ascii="Calibri" w:eastAsia="Times New Roman" w:hAnsi="Calibri" w:cs="Times New Roman"/>
                <w:b/>
                <w:bCs/>
                <w:sz w:val="20"/>
                <w:szCs w:val="20"/>
              </w:rPr>
            </w:pPr>
            <w:r w:rsidRPr="00B1788D">
              <w:rPr>
                <w:rFonts w:ascii="Calibri" w:eastAsia="Times New Roman" w:hAnsi="Calibri" w:cs="Times New Roman"/>
                <w:b/>
                <w:bCs/>
                <w:sz w:val="20"/>
                <w:szCs w:val="20"/>
              </w:rPr>
              <w:t>Alive</w:t>
            </w:r>
          </w:p>
        </w:tc>
        <w:tc>
          <w:tcPr>
            <w:tcW w:w="1876" w:type="dxa"/>
            <w:shd w:val="clear" w:color="auto" w:fill="BFBFBF" w:themeFill="background1" w:themeFillShade="BF"/>
            <w:noWrap/>
            <w:vAlign w:val="center"/>
            <w:hideMark/>
          </w:tcPr>
          <w:p w:rsidR="003F7D5B" w:rsidRPr="00B1788D" w:rsidRDefault="003F7D5B" w:rsidP="000E01E9">
            <w:pPr>
              <w:spacing w:after="0"/>
              <w:jc w:val="center"/>
              <w:rPr>
                <w:rFonts w:ascii="Calibri" w:eastAsia="Times New Roman" w:hAnsi="Calibri" w:cs="Times New Roman"/>
                <w:b/>
                <w:bCs/>
                <w:sz w:val="20"/>
                <w:szCs w:val="20"/>
              </w:rPr>
            </w:pPr>
            <w:r w:rsidRPr="00B1788D">
              <w:rPr>
                <w:rFonts w:ascii="Calibri" w:eastAsia="Times New Roman" w:hAnsi="Calibri" w:cs="Times New Roman"/>
                <w:b/>
                <w:bCs/>
                <w:sz w:val="20"/>
                <w:szCs w:val="20"/>
              </w:rPr>
              <w:t>Dead</w:t>
            </w:r>
          </w:p>
        </w:tc>
        <w:tc>
          <w:tcPr>
            <w:tcW w:w="1180" w:type="dxa"/>
            <w:shd w:val="clear" w:color="auto" w:fill="BFBFBF" w:themeFill="background1" w:themeFillShade="BF"/>
            <w:noWrap/>
            <w:vAlign w:val="center"/>
            <w:hideMark/>
          </w:tcPr>
          <w:p w:rsidR="003F7D5B" w:rsidRPr="00B1788D" w:rsidRDefault="003F7D5B" w:rsidP="000E01E9">
            <w:pPr>
              <w:spacing w:after="0"/>
              <w:jc w:val="center"/>
              <w:rPr>
                <w:rFonts w:ascii="Calibri" w:eastAsia="Times New Roman" w:hAnsi="Calibri" w:cs="Times New Roman"/>
                <w:b/>
                <w:bCs/>
                <w:sz w:val="20"/>
                <w:szCs w:val="20"/>
              </w:rPr>
            </w:pPr>
            <w:r w:rsidRPr="00B1788D">
              <w:rPr>
                <w:rFonts w:ascii="Calibri" w:eastAsia="Times New Roman" w:hAnsi="Calibri" w:cs="Times New Roman"/>
                <w:b/>
                <w:bCs/>
                <w:sz w:val="20"/>
                <w:szCs w:val="20"/>
              </w:rPr>
              <w:t>Total</w:t>
            </w:r>
          </w:p>
        </w:tc>
      </w:tr>
      <w:tr w:rsidR="003F7D5B" w:rsidRPr="00174EA4" w:rsidTr="000E01E9">
        <w:trPr>
          <w:trHeight w:val="300"/>
        </w:trPr>
        <w:tc>
          <w:tcPr>
            <w:tcW w:w="2000" w:type="dxa"/>
            <w:shd w:val="clear" w:color="auto" w:fill="auto"/>
            <w:noWrap/>
            <w:vAlign w:val="center"/>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Alive</w:t>
            </w:r>
          </w:p>
        </w:tc>
        <w:tc>
          <w:tcPr>
            <w:tcW w:w="1984" w:type="dxa"/>
            <w:shd w:val="clear" w:color="auto" w:fill="auto"/>
            <w:noWrap/>
            <w:vAlign w:val="bottom"/>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hAnsi="Calibri" w:cs="Calibri"/>
                <w:sz w:val="20"/>
                <w:szCs w:val="20"/>
              </w:rPr>
              <w:t>48.0%</w:t>
            </w:r>
          </w:p>
        </w:tc>
        <w:tc>
          <w:tcPr>
            <w:tcW w:w="1876" w:type="dxa"/>
            <w:shd w:val="clear" w:color="auto" w:fill="auto"/>
            <w:noWrap/>
            <w:vAlign w:val="bottom"/>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hAnsi="Calibri" w:cs="Calibri"/>
                <w:sz w:val="20"/>
                <w:szCs w:val="20"/>
              </w:rPr>
              <w:t>3.1%</w:t>
            </w:r>
          </w:p>
        </w:tc>
        <w:tc>
          <w:tcPr>
            <w:tcW w:w="1180" w:type="dxa"/>
            <w:shd w:val="clear" w:color="auto" w:fill="auto"/>
            <w:noWrap/>
            <w:vAlign w:val="bottom"/>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hAnsi="Calibri" w:cs="Calibri"/>
                <w:sz w:val="20"/>
                <w:szCs w:val="20"/>
              </w:rPr>
              <w:t>51.1%</w:t>
            </w:r>
          </w:p>
        </w:tc>
      </w:tr>
      <w:tr w:rsidR="003F7D5B" w:rsidRPr="00174EA4" w:rsidTr="000E01E9">
        <w:trPr>
          <w:trHeight w:val="300"/>
        </w:trPr>
        <w:tc>
          <w:tcPr>
            <w:tcW w:w="2000" w:type="dxa"/>
            <w:shd w:val="clear" w:color="auto" w:fill="auto"/>
            <w:noWrap/>
            <w:vAlign w:val="center"/>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Dead</w:t>
            </w:r>
          </w:p>
        </w:tc>
        <w:tc>
          <w:tcPr>
            <w:tcW w:w="1984" w:type="dxa"/>
            <w:shd w:val="clear" w:color="auto" w:fill="auto"/>
            <w:noWrap/>
            <w:vAlign w:val="bottom"/>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hAnsi="Calibri" w:cs="Calibri"/>
                <w:sz w:val="20"/>
                <w:szCs w:val="20"/>
              </w:rPr>
              <w:t>0.4%</w:t>
            </w:r>
          </w:p>
        </w:tc>
        <w:tc>
          <w:tcPr>
            <w:tcW w:w="1876" w:type="dxa"/>
            <w:shd w:val="clear" w:color="auto" w:fill="auto"/>
            <w:noWrap/>
            <w:vAlign w:val="bottom"/>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hAnsi="Calibri" w:cs="Calibri"/>
                <w:sz w:val="20"/>
                <w:szCs w:val="20"/>
              </w:rPr>
              <w:t>48.5%</w:t>
            </w:r>
          </w:p>
        </w:tc>
        <w:tc>
          <w:tcPr>
            <w:tcW w:w="1180" w:type="dxa"/>
            <w:shd w:val="clear" w:color="auto" w:fill="auto"/>
            <w:noWrap/>
            <w:vAlign w:val="bottom"/>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hAnsi="Calibri" w:cs="Calibri"/>
                <w:sz w:val="20"/>
                <w:szCs w:val="20"/>
              </w:rPr>
              <w:t>48.9%</w:t>
            </w:r>
          </w:p>
        </w:tc>
      </w:tr>
      <w:tr w:rsidR="003F7D5B" w:rsidRPr="003F7D5B" w:rsidTr="000E01E9">
        <w:trPr>
          <w:trHeight w:val="300"/>
        </w:trPr>
        <w:tc>
          <w:tcPr>
            <w:tcW w:w="2000" w:type="dxa"/>
            <w:shd w:val="clear" w:color="auto" w:fill="auto"/>
            <w:noWrap/>
            <w:vAlign w:val="center"/>
            <w:hideMark/>
          </w:tcPr>
          <w:p w:rsidR="003F7D5B" w:rsidRPr="00B1788D" w:rsidRDefault="003F7D5B" w:rsidP="003F7D5B">
            <w:pPr>
              <w:spacing w:after="0"/>
              <w:jc w:val="center"/>
              <w:rPr>
                <w:rFonts w:ascii="Calibri" w:eastAsia="Times New Roman" w:hAnsi="Calibri" w:cs="Times New Roman"/>
                <w:bCs/>
                <w:color w:val="000000"/>
                <w:sz w:val="20"/>
                <w:szCs w:val="20"/>
              </w:rPr>
            </w:pPr>
            <w:r w:rsidRPr="00B1788D">
              <w:rPr>
                <w:rFonts w:ascii="Calibri" w:eastAsia="Times New Roman" w:hAnsi="Calibri" w:cs="Times New Roman"/>
                <w:bCs/>
                <w:color w:val="000000"/>
                <w:sz w:val="20"/>
                <w:szCs w:val="20"/>
              </w:rPr>
              <w:t>Total</w:t>
            </w:r>
          </w:p>
        </w:tc>
        <w:tc>
          <w:tcPr>
            <w:tcW w:w="1984" w:type="dxa"/>
            <w:shd w:val="clear" w:color="auto" w:fill="auto"/>
            <w:noWrap/>
            <w:vAlign w:val="bottom"/>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hAnsi="Calibri" w:cs="Calibri"/>
                <w:bCs/>
                <w:color w:val="000000"/>
                <w:sz w:val="20"/>
                <w:szCs w:val="20"/>
              </w:rPr>
              <w:t>48.4%</w:t>
            </w:r>
          </w:p>
        </w:tc>
        <w:tc>
          <w:tcPr>
            <w:tcW w:w="1876" w:type="dxa"/>
            <w:shd w:val="clear" w:color="auto" w:fill="auto"/>
            <w:noWrap/>
            <w:vAlign w:val="bottom"/>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hAnsi="Calibri" w:cs="Calibri"/>
                <w:bCs/>
                <w:color w:val="000000"/>
                <w:sz w:val="20"/>
                <w:szCs w:val="20"/>
              </w:rPr>
              <w:t>51.6%</w:t>
            </w:r>
          </w:p>
        </w:tc>
        <w:tc>
          <w:tcPr>
            <w:tcW w:w="1180" w:type="dxa"/>
            <w:shd w:val="clear" w:color="auto" w:fill="auto"/>
            <w:noWrap/>
            <w:vAlign w:val="bottom"/>
            <w:hideMark/>
          </w:tcPr>
          <w:p w:rsidR="003F7D5B" w:rsidRPr="00B1788D" w:rsidRDefault="003F7D5B" w:rsidP="003F7D5B">
            <w:pPr>
              <w:spacing w:after="0"/>
              <w:jc w:val="center"/>
              <w:rPr>
                <w:rFonts w:ascii="Calibri" w:eastAsia="Times New Roman" w:hAnsi="Calibri" w:cs="Times New Roman"/>
                <w:sz w:val="20"/>
                <w:szCs w:val="20"/>
              </w:rPr>
            </w:pPr>
            <w:r w:rsidRPr="00B1788D">
              <w:rPr>
                <w:rFonts w:ascii="Calibri" w:hAnsi="Calibri" w:cs="Calibri"/>
                <w:bCs/>
                <w:color w:val="000000"/>
                <w:sz w:val="20"/>
                <w:szCs w:val="20"/>
              </w:rPr>
              <w:t>100.0%</w:t>
            </w:r>
          </w:p>
        </w:tc>
      </w:tr>
    </w:tbl>
    <w:p w:rsidR="003F7D5B" w:rsidRDefault="003F7D5B" w:rsidP="00264543">
      <w:pPr>
        <w:rPr>
          <w:rFonts w:ascii="Calibri" w:eastAsia="MS Mincho" w:hAnsi="Calibri" w:cs="Times New Roman"/>
        </w:rPr>
      </w:pPr>
    </w:p>
    <w:p w:rsidR="003F7D5B" w:rsidRDefault="00264543" w:rsidP="00264543">
      <w:pPr>
        <w:rPr>
          <w:rFonts w:ascii="Calibri" w:eastAsia="MS Mincho" w:hAnsi="Calibri" w:cs="Times New Roman"/>
        </w:rPr>
      </w:pPr>
      <w:r>
        <w:rPr>
          <w:rFonts w:ascii="Calibri" w:eastAsia="MS Mincho" w:hAnsi="Calibri" w:cs="Times New Roman"/>
        </w:rPr>
        <w:t xml:space="preserve">Table </w:t>
      </w:r>
      <w:r w:rsidR="00AA7D6E">
        <w:rPr>
          <w:rFonts w:ascii="Calibri" w:eastAsia="MS Mincho" w:hAnsi="Calibri" w:cs="Times New Roman"/>
        </w:rPr>
        <w:t>B.</w:t>
      </w:r>
      <w:r>
        <w:rPr>
          <w:rFonts w:ascii="Calibri" w:eastAsia="MS Mincho" w:hAnsi="Calibri" w:cs="Times New Roman"/>
        </w:rPr>
        <w:t>1 compares the proxy patient status (based whether or not a patient has a p</w:t>
      </w:r>
      <w:r w:rsidR="00664A44">
        <w:rPr>
          <w:rFonts w:ascii="Calibri" w:eastAsia="MS Mincho" w:hAnsi="Calibri" w:cs="Times New Roman"/>
        </w:rPr>
        <w:t xml:space="preserve">roxy DoD) with the </w:t>
      </w:r>
      <w:r>
        <w:rPr>
          <w:rFonts w:ascii="Calibri" w:eastAsia="MS Mincho" w:hAnsi="Calibri" w:cs="Times New Roman"/>
        </w:rPr>
        <w:t>S</w:t>
      </w:r>
      <w:r w:rsidR="00664A44">
        <w:rPr>
          <w:rFonts w:ascii="Calibri" w:eastAsia="MS Mincho" w:hAnsi="Calibri" w:cs="Times New Roman"/>
        </w:rPr>
        <w:t>A</w:t>
      </w:r>
      <w:r>
        <w:rPr>
          <w:rFonts w:ascii="Calibri" w:eastAsia="MS Mincho" w:hAnsi="Calibri" w:cs="Times New Roman"/>
        </w:rPr>
        <w:t xml:space="preserve"> patient status (base</w:t>
      </w:r>
      <w:r w:rsidR="003F7D5B">
        <w:rPr>
          <w:rFonts w:ascii="Calibri" w:eastAsia="MS Mincho" w:hAnsi="Calibri" w:cs="Times New Roman"/>
        </w:rPr>
        <w:t>d whether or not a patient has SA</w:t>
      </w:r>
      <w:r>
        <w:rPr>
          <w:rFonts w:ascii="Calibri" w:eastAsia="MS Mincho" w:hAnsi="Calibri" w:cs="Times New Roman"/>
        </w:rPr>
        <w:t xml:space="preserve"> DoD). The agreement rate b</w:t>
      </w:r>
      <w:r w:rsidR="00DC47EA">
        <w:rPr>
          <w:rFonts w:ascii="Calibri" w:eastAsia="MS Mincho" w:hAnsi="Calibri" w:cs="Times New Roman"/>
        </w:rPr>
        <w:t>etween the two measures was 96.5</w:t>
      </w:r>
      <w:r>
        <w:rPr>
          <w:rFonts w:ascii="Calibri" w:eastAsia="MS Mincho" w:hAnsi="Calibri" w:cs="Times New Roman"/>
        </w:rPr>
        <w:t>% (i</w:t>
      </w:r>
      <w:r w:rsidR="00DC47EA">
        <w:rPr>
          <w:rFonts w:ascii="Calibri" w:eastAsia="MS Mincho" w:hAnsi="Calibri" w:cs="Times New Roman"/>
        </w:rPr>
        <w:t>.</w:t>
      </w:r>
      <w:r>
        <w:rPr>
          <w:rFonts w:ascii="Calibri" w:eastAsia="MS Mincho" w:hAnsi="Calibri" w:cs="Times New Roman"/>
        </w:rPr>
        <w:t xml:space="preserve">e. </w:t>
      </w:r>
      <w:r w:rsidR="00DC47EA">
        <w:rPr>
          <w:rFonts w:ascii="Calibri" w:eastAsia="MS Mincho" w:hAnsi="Calibri" w:cs="Times New Roman"/>
        </w:rPr>
        <w:t>48.0% + 48.5%</w:t>
      </w:r>
      <w:r>
        <w:rPr>
          <w:rFonts w:ascii="Calibri" w:eastAsia="MS Mincho" w:hAnsi="Calibri" w:cs="Times New Roman"/>
        </w:rPr>
        <w:t xml:space="preserve">). Most of the disagreement was where the proxy status = Dead and the </w:t>
      </w:r>
      <w:r w:rsidR="003F7D5B">
        <w:rPr>
          <w:rFonts w:ascii="Calibri" w:eastAsia="MS Mincho" w:hAnsi="Calibri" w:cs="Times New Roman"/>
        </w:rPr>
        <w:t>SA</w:t>
      </w:r>
      <w:r>
        <w:rPr>
          <w:rFonts w:ascii="Calibri" w:eastAsia="MS Mincho" w:hAnsi="Calibri" w:cs="Times New Roman"/>
        </w:rPr>
        <w:t xml:space="preserve"> status = Alive (i</w:t>
      </w:r>
      <w:r w:rsidR="00DC47EA">
        <w:rPr>
          <w:rFonts w:ascii="Calibri" w:eastAsia="MS Mincho" w:hAnsi="Calibri" w:cs="Times New Roman"/>
        </w:rPr>
        <w:t>.</w:t>
      </w:r>
      <w:r>
        <w:rPr>
          <w:rFonts w:ascii="Calibri" w:eastAsia="MS Mincho" w:hAnsi="Calibri" w:cs="Times New Roman"/>
        </w:rPr>
        <w:t xml:space="preserve">e. </w:t>
      </w:r>
      <w:r w:rsidR="00DC47EA">
        <w:rPr>
          <w:rFonts w:ascii="Calibri" w:eastAsia="MS Mincho" w:hAnsi="Calibri" w:cs="Times New Roman"/>
        </w:rPr>
        <w:t xml:space="preserve">3.1% </w:t>
      </w:r>
      <w:r>
        <w:rPr>
          <w:rFonts w:ascii="Calibri" w:eastAsia="MS Mincho" w:hAnsi="Calibri" w:cs="Times New Roman"/>
        </w:rPr>
        <w:t xml:space="preserve">patients). This disagreement is likely to be due to an error in the proxy status, but not necessarily so. </w:t>
      </w:r>
      <w:r w:rsidR="00DC47EA">
        <w:rPr>
          <w:rFonts w:ascii="Calibri" w:eastAsia="MS Mincho" w:hAnsi="Calibri" w:cs="Times New Roman"/>
        </w:rPr>
        <w:t xml:space="preserve">Other </w:t>
      </w:r>
      <w:r>
        <w:rPr>
          <w:rFonts w:ascii="Calibri" w:eastAsia="MS Mincho" w:hAnsi="Calibri" w:cs="Times New Roman"/>
        </w:rPr>
        <w:t xml:space="preserve">possible </w:t>
      </w:r>
      <w:r w:rsidR="00DC47EA">
        <w:rPr>
          <w:rFonts w:ascii="Calibri" w:eastAsia="MS Mincho" w:hAnsi="Calibri" w:cs="Times New Roman"/>
        </w:rPr>
        <w:t>explanations are</w:t>
      </w:r>
      <w:r w:rsidR="003F7D5B">
        <w:rPr>
          <w:rFonts w:ascii="Calibri" w:eastAsia="MS Mincho" w:hAnsi="Calibri" w:cs="Times New Roman"/>
        </w:rPr>
        <w:t>;</w:t>
      </w:r>
    </w:p>
    <w:p w:rsidR="00264543" w:rsidRDefault="00264543" w:rsidP="003F7D5B">
      <w:pPr>
        <w:pStyle w:val="ListParagraph"/>
        <w:numPr>
          <w:ilvl w:val="0"/>
          <w:numId w:val="25"/>
        </w:numPr>
        <w:rPr>
          <w:rFonts w:ascii="Calibri" w:eastAsia="MS Mincho" w:hAnsi="Calibri" w:cs="Times New Roman"/>
        </w:rPr>
      </w:pPr>
      <w:r w:rsidRPr="003F7D5B">
        <w:rPr>
          <w:rFonts w:ascii="Calibri" w:eastAsia="MS Mincho" w:hAnsi="Calibri" w:cs="Times New Roman"/>
        </w:rPr>
        <w:t xml:space="preserve">late death registrations which will modify the </w:t>
      </w:r>
      <w:r w:rsidR="003F7D5B">
        <w:rPr>
          <w:rFonts w:ascii="Calibri" w:eastAsia="MS Mincho" w:hAnsi="Calibri" w:cs="Times New Roman"/>
        </w:rPr>
        <w:t>SA</w:t>
      </w:r>
      <w:r w:rsidRPr="003F7D5B">
        <w:rPr>
          <w:rFonts w:ascii="Calibri" w:eastAsia="MS Mincho" w:hAnsi="Calibri" w:cs="Times New Roman"/>
        </w:rPr>
        <w:t xml:space="preserve"> status when the data is received by State governments and then flows through to </w:t>
      </w:r>
      <w:r w:rsidR="003F7D5B" w:rsidRPr="003F7D5B">
        <w:rPr>
          <w:rFonts w:ascii="Calibri" w:eastAsia="MS Mincho" w:hAnsi="Calibri" w:cs="Times New Roman"/>
        </w:rPr>
        <w:t>SA</w:t>
      </w:r>
      <w:r w:rsidRPr="003F7D5B">
        <w:rPr>
          <w:rFonts w:ascii="Calibri" w:eastAsia="MS Mincho" w:hAnsi="Calibri" w:cs="Times New Roman"/>
        </w:rPr>
        <w:t>.</w:t>
      </w:r>
    </w:p>
    <w:p w:rsidR="003F7D5B" w:rsidRPr="003F7D5B" w:rsidRDefault="003F7D5B" w:rsidP="003F7D5B">
      <w:pPr>
        <w:pStyle w:val="ListParagraph"/>
        <w:numPr>
          <w:ilvl w:val="0"/>
          <w:numId w:val="25"/>
        </w:numPr>
        <w:rPr>
          <w:rFonts w:ascii="Calibri" w:eastAsia="MS Mincho" w:hAnsi="Calibri" w:cs="Times New Roman"/>
        </w:rPr>
      </w:pPr>
      <w:r>
        <w:rPr>
          <w:rFonts w:ascii="Calibri" w:eastAsia="MS Mincho" w:hAnsi="Calibri" w:cs="Times New Roman"/>
        </w:rPr>
        <w:t>a patient no longer accesses PBS (e.g. leaves Australia). In this case the</w:t>
      </w:r>
      <w:r w:rsidR="00DC47EA">
        <w:rPr>
          <w:rFonts w:ascii="Calibri" w:eastAsia="MS Mincho" w:hAnsi="Calibri" w:cs="Times New Roman"/>
        </w:rPr>
        <w:t>ir</w:t>
      </w:r>
      <w:r>
        <w:rPr>
          <w:rFonts w:ascii="Calibri" w:eastAsia="MS Mincho" w:hAnsi="Calibri" w:cs="Times New Roman"/>
        </w:rPr>
        <w:t xml:space="preserve"> </w:t>
      </w:r>
      <w:r w:rsidR="00DC47EA">
        <w:rPr>
          <w:rFonts w:ascii="Calibri" w:eastAsia="MS Mincho" w:hAnsi="Calibri" w:cs="Times New Roman"/>
        </w:rPr>
        <w:t>proxy status will become “Dead”.</w:t>
      </w:r>
    </w:p>
    <w:p w:rsidR="00264543" w:rsidRDefault="00264543" w:rsidP="00264543">
      <w:pPr>
        <w:rPr>
          <w:rFonts w:ascii="Calibri" w:eastAsia="MS Mincho" w:hAnsi="Calibri" w:cs="Times New Roman"/>
        </w:rPr>
      </w:pPr>
      <w:r>
        <w:rPr>
          <w:rFonts w:ascii="Calibri" w:eastAsia="MS Mincho" w:hAnsi="Calibri" w:cs="Times New Roman"/>
          <w:b/>
          <w:sz w:val="28"/>
        </w:rPr>
        <w:t xml:space="preserve">2. Difference between proxy DoD and </w:t>
      </w:r>
      <w:r w:rsidR="00DC47EA">
        <w:rPr>
          <w:rFonts w:ascii="Calibri" w:eastAsia="MS Mincho" w:hAnsi="Calibri" w:cs="Times New Roman"/>
          <w:b/>
          <w:sz w:val="28"/>
        </w:rPr>
        <w:t>Services Australia</w:t>
      </w:r>
      <w:r>
        <w:rPr>
          <w:rFonts w:ascii="Calibri" w:eastAsia="MS Mincho" w:hAnsi="Calibri" w:cs="Times New Roman"/>
          <w:b/>
          <w:sz w:val="28"/>
        </w:rPr>
        <w:t xml:space="preserve"> DoD.</w:t>
      </w:r>
    </w:p>
    <w:p w:rsidR="00264543" w:rsidRDefault="00264543" w:rsidP="00264543">
      <w:pPr>
        <w:rPr>
          <w:rFonts w:ascii="Calibri" w:eastAsia="MS Mincho" w:hAnsi="Calibri" w:cs="Times New Roman"/>
        </w:rPr>
      </w:pPr>
      <w:r>
        <w:rPr>
          <w:rFonts w:ascii="Calibri" w:eastAsia="MS Mincho" w:hAnsi="Calibri" w:cs="Times New Roman"/>
        </w:rPr>
        <w:t>For</w:t>
      </w:r>
      <w:r w:rsidR="003B0ACE">
        <w:rPr>
          <w:rFonts w:ascii="Calibri" w:eastAsia="MS Mincho" w:hAnsi="Calibri" w:cs="Times New Roman"/>
        </w:rPr>
        <w:t xml:space="preserve"> patients where the proxy and </w:t>
      </w:r>
      <w:r>
        <w:rPr>
          <w:rFonts w:ascii="Calibri" w:eastAsia="MS Mincho" w:hAnsi="Calibri" w:cs="Times New Roman"/>
        </w:rPr>
        <w:t>S</w:t>
      </w:r>
      <w:r w:rsidR="003B0ACE">
        <w:rPr>
          <w:rFonts w:ascii="Calibri" w:eastAsia="MS Mincho" w:hAnsi="Calibri" w:cs="Times New Roman"/>
        </w:rPr>
        <w:t>A</w:t>
      </w:r>
      <w:r>
        <w:rPr>
          <w:rFonts w:ascii="Calibri" w:eastAsia="MS Mincho" w:hAnsi="Calibri" w:cs="Times New Roman"/>
        </w:rPr>
        <w:t xml:space="preserve"> patient status both are “Dead”, the difference between the dates of death in days is summarised </w:t>
      </w:r>
      <w:r w:rsidR="00AA7D6E">
        <w:rPr>
          <w:rFonts w:ascii="Calibri" w:eastAsia="MS Mincho" w:hAnsi="Calibri" w:cs="Times New Roman"/>
        </w:rPr>
        <w:t>in Table B.2</w:t>
      </w:r>
      <w:r>
        <w:rPr>
          <w:rFonts w:ascii="Calibri" w:eastAsia="MS Mincho" w:hAnsi="Calibri" w:cs="Times New Roman"/>
        </w:rPr>
        <w:t>.</w:t>
      </w:r>
    </w:p>
    <w:p w:rsidR="00DC47EA" w:rsidRDefault="00DC47EA" w:rsidP="00264543">
      <w:pPr>
        <w:spacing w:after="0"/>
        <w:rPr>
          <w:rFonts w:ascii="Calibri" w:eastAsia="MS Mincho" w:hAnsi="Calibri" w:cs="Times New Roman"/>
          <w:b/>
        </w:rPr>
      </w:pPr>
    </w:p>
    <w:p w:rsidR="00264543" w:rsidRPr="00242317" w:rsidRDefault="00DC47EA" w:rsidP="00264543">
      <w:pPr>
        <w:spacing w:after="0"/>
        <w:rPr>
          <w:rFonts w:ascii="Calibri" w:eastAsia="MS Mincho" w:hAnsi="Calibri" w:cs="Times New Roman"/>
          <w:b/>
        </w:rPr>
      </w:pPr>
      <w:r>
        <w:rPr>
          <w:rFonts w:ascii="Calibri" w:eastAsia="MS Mincho" w:hAnsi="Calibri" w:cs="Times New Roman"/>
          <w:b/>
        </w:rPr>
        <w:t xml:space="preserve">Table </w:t>
      </w:r>
      <w:r w:rsidR="00AA7D6E">
        <w:rPr>
          <w:rFonts w:ascii="Calibri" w:eastAsia="MS Mincho" w:hAnsi="Calibri" w:cs="Times New Roman"/>
          <w:b/>
        </w:rPr>
        <w:t>B.</w:t>
      </w:r>
      <w:r>
        <w:rPr>
          <w:rFonts w:ascii="Calibri" w:eastAsia="MS Mincho" w:hAnsi="Calibri" w:cs="Times New Roman"/>
          <w:b/>
        </w:rPr>
        <w:t>2</w:t>
      </w:r>
      <w:r w:rsidR="004A53DA">
        <w:rPr>
          <w:rFonts w:ascii="Calibri" w:eastAsia="MS Mincho" w:hAnsi="Calibri" w:cs="Times New Roman"/>
          <w:b/>
        </w:rPr>
        <w:t>: Days from SA</w:t>
      </w:r>
      <w:r w:rsidR="004A53DA" w:rsidRPr="00242317">
        <w:rPr>
          <w:rFonts w:ascii="Calibri" w:eastAsia="MS Mincho" w:hAnsi="Calibri" w:cs="Times New Roman"/>
          <w:b/>
        </w:rPr>
        <w:t xml:space="preserve"> DoD</w:t>
      </w:r>
      <w:r w:rsidR="004A53DA">
        <w:rPr>
          <w:rFonts w:ascii="Calibri" w:eastAsia="MS Mincho" w:hAnsi="Calibri" w:cs="Times New Roman"/>
          <w:b/>
        </w:rPr>
        <w:t xml:space="preserve"> to proxy DoD </w:t>
      </w:r>
    </w:p>
    <w:tbl>
      <w:tblPr>
        <w:tblW w:w="5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960"/>
        <w:gridCol w:w="1053"/>
        <w:gridCol w:w="960"/>
        <w:gridCol w:w="960"/>
      </w:tblGrid>
      <w:tr w:rsidR="00264543" w:rsidRPr="00242317" w:rsidTr="001E11FB">
        <w:trPr>
          <w:trHeight w:val="300"/>
        </w:trPr>
        <w:tc>
          <w:tcPr>
            <w:tcW w:w="1871" w:type="dxa"/>
            <w:shd w:val="clear" w:color="auto" w:fill="BFBFBF" w:themeFill="background1" w:themeFillShade="BF"/>
            <w:noWrap/>
            <w:vAlign w:val="bottom"/>
            <w:hideMark/>
          </w:tcPr>
          <w:p w:rsidR="00264543" w:rsidRPr="00B1788D" w:rsidRDefault="00264543" w:rsidP="001E11FB">
            <w:pPr>
              <w:spacing w:after="0"/>
              <w:rPr>
                <w:rFonts w:ascii="Calibri" w:eastAsia="Times New Roman" w:hAnsi="Calibri" w:cs="Times New Roman"/>
                <w:b/>
                <w:sz w:val="20"/>
                <w:szCs w:val="20"/>
              </w:rPr>
            </w:pPr>
            <w:r w:rsidRPr="00B1788D">
              <w:rPr>
                <w:rFonts w:ascii="Calibri" w:eastAsia="Times New Roman" w:hAnsi="Calibri" w:cs="Times New Roman"/>
                <w:b/>
                <w:sz w:val="20"/>
                <w:szCs w:val="20"/>
              </w:rPr>
              <w:t>Cohort</w:t>
            </w:r>
          </w:p>
        </w:tc>
        <w:tc>
          <w:tcPr>
            <w:tcW w:w="960" w:type="dxa"/>
            <w:shd w:val="clear" w:color="auto" w:fill="BFBFBF" w:themeFill="background1" w:themeFillShade="BF"/>
            <w:noWrap/>
            <w:vAlign w:val="center"/>
            <w:hideMark/>
          </w:tcPr>
          <w:p w:rsidR="00264543" w:rsidRPr="00B1788D" w:rsidRDefault="00264543" w:rsidP="001E11FB">
            <w:pPr>
              <w:spacing w:after="0"/>
              <w:jc w:val="center"/>
              <w:rPr>
                <w:rFonts w:ascii="Calibri" w:eastAsia="Times New Roman" w:hAnsi="Calibri" w:cs="Times New Roman"/>
                <w:b/>
                <w:sz w:val="20"/>
                <w:szCs w:val="20"/>
              </w:rPr>
            </w:pPr>
            <w:r w:rsidRPr="00B1788D">
              <w:rPr>
                <w:rFonts w:ascii="Calibri" w:eastAsia="Times New Roman" w:hAnsi="Calibri" w:cs="Times New Roman"/>
                <w:b/>
                <w:sz w:val="20"/>
                <w:szCs w:val="20"/>
              </w:rPr>
              <w:t>n</w:t>
            </w:r>
          </w:p>
        </w:tc>
        <w:tc>
          <w:tcPr>
            <w:tcW w:w="1053" w:type="dxa"/>
            <w:shd w:val="clear" w:color="auto" w:fill="BFBFBF" w:themeFill="background1" w:themeFillShade="BF"/>
            <w:noWrap/>
            <w:vAlign w:val="center"/>
            <w:hideMark/>
          </w:tcPr>
          <w:p w:rsidR="00264543" w:rsidRPr="00B1788D" w:rsidRDefault="00264543" w:rsidP="001E11FB">
            <w:pPr>
              <w:spacing w:after="0"/>
              <w:jc w:val="center"/>
              <w:rPr>
                <w:rFonts w:ascii="Calibri" w:eastAsia="Times New Roman" w:hAnsi="Calibri" w:cs="Times New Roman"/>
                <w:b/>
                <w:sz w:val="20"/>
                <w:szCs w:val="20"/>
              </w:rPr>
            </w:pPr>
            <w:r w:rsidRPr="00B1788D">
              <w:rPr>
                <w:rFonts w:ascii="Calibri" w:eastAsia="Times New Roman" w:hAnsi="Calibri" w:cs="Times New Roman"/>
                <w:b/>
                <w:sz w:val="20"/>
                <w:szCs w:val="20"/>
              </w:rPr>
              <w:t>mean</w:t>
            </w:r>
          </w:p>
        </w:tc>
        <w:tc>
          <w:tcPr>
            <w:tcW w:w="960" w:type="dxa"/>
            <w:shd w:val="clear" w:color="auto" w:fill="BFBFBF" w:themeFill="background1" w:themeFillShade="BF"/>
            <w:noWrap/>
            <w:vAlign w:val="center"/>
            <w:hideMark/>
          </w:tcPr>
          <w:p w:rsidR="00264543" w:rsidRPr="00B1788D" w:rsidRDefault="00264543" w:rsidP="001E11FB">
            <w:pPr>
              <w:spacing w:after="0"/>
              <w:jc w:val="center"/>
              <w:rPr>
                <w:rFonts w:ascii="Calibri" w:eastAsia="Times New Roman" w:hAnsi="Calibri" w:cs="Times New Roman"/>
                <w:b/>
                <w:sz w:val="20"/>
                <w:szCs w:val="20"/>
              </w:rPr>
            </w:pPr>
            <w:r w:rsidRPr="00B1788D">
              <w:rPr>
                <w:rFonts w:ascii="Calibri" w:eastAsia="Times New Roman" w:hAnsi="Calibri" w:cs="Times New Roman"/>
                <w:b/>
                <w:sz w:val="20"/>
                <w:szCs w:val="20"/>
              </w:rPr>
              <w:t>mode</w:t>
            </w:r>
          </w:p>
        </w:tc>
        <w:tc>
          <w:tcPr>
            <w:tcW w:w="960" w:type="dxa"/>
            <w:shd w:val="clear" w:color="auto" w:fill="BFBFBF" w:themeFill="background1" w:themeFillShade="BF"/>
            <w:noWrap/>
            <w:vAlign w:val="center"/>
            <w:hideMark/>
          </w:tcPr>
          <w:p w:rsidR="00264543" w:rsidRPr="00B1788D" w:rsidRDefault="00264543" w:rsidP="001E11FB">
            <w:pPr>
              <w:spacing w:after="0"/>
              <w:jc w:val="center"/>
              <w:rPr>
                <w:rFonts w:ascii="Calibri" w:eastAsia="Times New Roman" w:hAnsi="Calibri" w:cs="Times New Roman"/>
                <w:b/>
                <w:sz w:val="20"/>
                <w:szCs w:val="20"/>
              </w:rPr>
            </w:pPr>
            <w:r w:rsidRPr="00B1788D">
              <w:rPr>
                <w:rFonts w:ascii="Calibri" w:eastAsia="Times New Roman" w:hAnsi="Calibri" w:cs="Times New Roman"/>
                <w:b/>
                <w:sz w:val="20"/>
                <w:szCs w:val="20"/>
              </w:rPr>
              <w:t>median</w:t>
            </w:r>
          </w:p>
        </w:tc>
      </w:tr>
      <w:tr w:rsidR="00264543" w:rsidRPr="00242317" w:rsidTr="001E11FB">
        <w:trPr>
          <w:trHeight w:val="300"/>
        </w:trPr>
        <w:tc>
          <w:tcPr>
            <w:tcW w:w="1871" w:type="dxa"/>
            <w:shd w:val="clear" w:color="auto" w:fill="auto"/>
            <w:noWrap/>
            <w:vAlign w:val="bottom"/>
            <w:hideMark/>
          </w:tcPr>
          <w:p w:rsidR="00264543" w:rsidRPr="00B1788D" w:rsidRDefault="004A53DA" w:rsidP="004A53DA">
            <w:pPr>
              <w:spacing w:after="0"/>
              <w:rPr>
                <w:rFonts w:ascii="Calibri" w:eastAsia="Times New Roman" w:hAnsi="Calibri" w:cs="Times New Roman"/>
                <w:sz w:val="20"/>
                <w:szCs w:val="20"/>
              </w:rPr>
            </w:pPr>
            <w:r w:rsidRPr="00B1788D">
              <w:rPr>
                <w:rFonts w:ascii="Calibri" w:eastAsia="Times New Roman" w:hAnsi="Calibri" w:cs="Times New Roman"/>
                <w:sz w:val="20"/>
                <w:szCs w:val="20"/>
              </w:rPr>
              <w:t>Both proxy and SA patient = Dead</w:t>
            </w:r>
          </w:p>
        </w:tc>
        <w:tc>
          <w:tcPr>
            <w:tcW w:w="960" w:type="dxa"/>
            <w:shd w:val="clear" w:color="auto" w:fill="auto"/>
            <w:noWrap/>
            <w:vAlign w:val="center"/>
            <w:hideMark/>
          </w:tcPr>
          <w:p w:rsidR="00264543" w:rsidRPr="00B1788D" w:rsidRDefault="00D75D43" w:rsidP="001E11F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4,227</w:t>
            </w:r>
          </w:p>
        </w:tc>
        <w:tc>
          <w:tcPr>
            <w:tcW w:w="1053" w:type="dxa"/>
            <w:shd w:val="clear" w:color="auto" w:fill="auto"/>
            <w:noWrap/>
            <w:vAlign w:val="center"/>
            <w:hideMark/>
          </w:tcPr>
          <w:p w:rsidR="00264543" w:rsidRPr="00B1788D" w:rsidRDefault="00D75D43" w:rsidP="001E11F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5.4</w:t>
            </w:r>
          </w:p>
        </w:tc>
        <w:tc>
          <w:tcPr>
            <w:tcW w:w="960" w:type="dxa"/>
            <w:shd w:val="clear" w:color="auto" w:fill="auto"/>
            <w:noWrap/>
            <w:vAlign w:val="center"/>
            <w:hideMark/>
          </w:tcPr>
          <w:p w:rsidR="00264543" w:rsidRPr="00B1788D" w:rsidRDefault="00D75D43" w:rsidP="001E11F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7</w:t>
            </w:r>
          </w:p>
        </w:tc>
        <w:tc>
          <w:tcPr>
            <w:tcW w:w="960" w:type="dxa"/>
            <w:shd w:val="clear" w:color="auto" w:fill="auto"/>
            <w:noWrap/>
            <w:vAlign w:val="center"/>
            <w:hideMark/>
          </w:tcPr>
          <w:p w:rsidR="00264543" w:rsidRPr="00B1788D" w:rsidRDefault="00D75D43" w:rsidP="001E11FB">
            <w:pPr>
              <w:spacing w:after="0"/>
              <w:jc w:val="center"/>
              <w:rPr>
                <w:rFonts w:ascii="Calibri" w:eastAsia="Times New Roman" w:hAnsi="Calibri" w:cs="Times New Roman"/>
                <w:sz w:val="20"/>
                <w:szCs w:val="20"/>
              </w:rPr>
            </w:pPr>
            <w:r w:rsidRPr="00B1788D">
              <w:rPr>
                <w:rFonts w:ascii="Calibri" w:eastAsia="Times New Roman" w:hAnsi="Calibri" w:cs="Times New Roman"/>
                <w:sz w:val="20"/>
                <w:szCs w:val="20"/>
              </w:rPr>
              <w:t>3</w:t>
            </w:r>
          </w:p>
        </w:tc>
      </w:tr>
    </w:tbl>
    <w:p w:rsidR="00264543" w:rsidRDefault="00264543" w:rsidP="00264543">
      <w:pPr>
        <w:rPr>
          <w:rFonts w:ascii="Calibri" w:eastAsia="MS Mincho" w:hAnsi="Calibri" w:cs="Times New Roman"/>
        </w:rPr>
      </w:pPr>
    </w:p>
    <w:p w:rsidR="00264543" w:rsidRDefault="00264543" w:rsidP="00264543">
      <w:pPr>
        <w:rPr>
          <w:rFonts w:ascii="Calibri" w:eastAsia="MS Mincho" w:hAnsi="Calibri" w:cs="Times New Roman"/>
        </w:rPr>
      </w:pPr>
      <w:r>
        <w:rPr>
          <w:rFonts w:ascii="Calibri" w:eastAsia="MS Mincho" w:hAnsi="Calibri" w:cs="Times New Roman"/>
        </w:rPr>
        <w:t xml:space="preserve">The median number of days from the </w:t>
      </w:r>
      <w:r w:rsidR="004A53DA">
        <w:rPr>
          <w:rFonts w:ascii="Calibri" w:eastAsia="MS Mincho" w:hAnsi="Calibri" w:cs="Times New Roman"/>
        </w:rPr>
        <w:t xml:space="preserve">SA DoD to the </w:t>
      </w:r>
      <w:r>
        <w:rPr>
          <w:rFonts w:ascii="Calibri" w:eastAsia="MS Mincho" w:hAnsi="Calibri" w:cs="Times New Roman"/>
        </w:rPr>
        <w:t xml:space="preserve">proxy DoD was </w:t>
      </w:r>
      <w:r w:rsidR="00D75D43">
        <w:rPr>
          <w:rFonts w:ascii="Calibri" w:eastAsia="MS Mincho" w:hAnsi="Calibri" w:cs="Times New Roman"/>
        </w:rPr>
        <w:t>3</w:t>
      </w:r>
      <w:r>
        <w:rPr>
          <w:rFonts w:ascii="Calibri" w:eastAsia="MS Mincho" w:hAnsi="Calibri" w:cs="Times New Roman"/>
        </w:rPr>
        <w:t xml:space="preserve"> days (</w:t>
      </w:r>
      <w:r w:rsidR="00E11DD8">
        <w:rPr>
          <w:rFonts w:ascii="Calibri" w:eastAsia="MS Mincho" w:hAnsi="Calibri" w:cs="Times New Roman"/>
        </w:rPr>
        <w:t>i.e.</w:t>
      </w:r>
      <w:r>
        <w:rPr>
          <w:rFonts w:ascii="Calibri" w:eastAsia="MS Mincho" w:hAnsi="Calibri" w:cs="Times New Roman"/>
        </w:rPr>
        <w:t xml:space="preserve"> proxy DoD was </w:t>
      </w:r>
      <w:r w:rsidR="004A53DA">
        <w:rPr>
          <w:rFonts w:ascii="Calibri" w:eastAsia="MS Mincho" w:hAnsi="Calibri" w:cs="Times New Roman"/>
        </w:rPr>
        <w:t>3</w:t>
      </w:r>
      <w:r>
        <w:rPr>
          <w:rFonts w:ascii="Calibri" w:eastAsia="MS Mincho" w:hAnsi="Calibri" w:cs="Times New Roman"/>
        </w:rPr>
        <w:t xml:space="preserve"> days after </w:t>
      </w:r>
      <w:r w:rsidR="004A53DA">
        <w:rPr>
          <w:rFonts w:ascii="Calibri" w:eastAsia="MS Mincho" w:hAnsi="Calibri" w:cs="Times New Roman"/>
        </w:rPr>
        <w:t xml:space="preserve">SA </w:t>
      </w:r>
      <w:r>
        <w:rPr>
          <w:rFonts w:ascii="Calibri" w:eastAsia="MS Mincho" w:hAnsi="Calibri" w:cs="Times New Roman"/>
        </w:rPr>
        <w:t xml:space="preserve">DoD). </w:t>
      </w:r>
      <w:r w:rsidR="003225C9">
        <w:rPr>
          <w:rFonts w:ascii="Calibri" w:eastAsia="MS Mincho" w:hAnsi="Calibri" w:cs="Times New Roman"/>
        </w:rPr>
        <w:t xml:space="preserve">If the proxy DoD had been used instead of the SAS DoD in the analyses that required DoD (i.e. </w:t>
      </w:r>
      <w:r w:rsidR="003225C9" w:rsidRPr="00070740">
        <w:rPr>
          <w:rFonts w:ascii="Calibri" w:eastAsia="MS Mincho" w:hAnsi="Calibri" w:cs="Times New Roman"/>
        </w:rPr>
        <w:t xml:space="preserve">Days from last </w:t>
      </w:r>
      <w:r w:rsidR="003225C9">
        <w:rPr>
          <w:rFonts w:ascii="Calibri" w:eastAsia="MS Mincho" w:hAnsi="Calibri" w:cs="Times New Roman"/>
        </w:rPr>
        <w:t xml:space="preserve">nivolumab </w:t>
      </w:r>
      <w:r w:rsidR="003225C9" w:rsidRPr="00070740">
        <w:rPr>
          <w:rFonts w:ascii="Calibri" w:eastAsia="MS Mincho" w:hAnsi="Calibri" w:cs="Times New Roman"/>
        </w:rPr>
        <w:t>prescription to date of death</w:t>
      </w:r>
      <w:r w:rsidR="00A95FC1">
        <w:rPr>
          <w:rFonts w:ascii="Calibri" w:eastAsia="MS Mincho" w:hAnsi="Calibri" w:cs="Times New Roman"/>
        </w:rPr>
        <w:t xml:space="preserve"> (Figure 10) or </w:t>
      </w:r>
      <w:r w:rsidR="00A95FC1" w:rsidRPr="00A95FC1">
        <w:rPr>
          <w:rFonts w:ascii="Calibri" w:eastAsia="MS Mincho" w:hAnsi="Calibri" w:cs="Times New Roman"/>
        </w:rPr>
        <w:t xml:space="preserve">Overall Survival from start of </w:t>
      </w:r>
      <w:r w:rsidR="009A3EB4">
        <w:rPr>
          <w:rFonts w:ascii="Calibri" w:eastAsia="MS Mincho" w:hAnsi="Calibri" w:cs="Times New Roman"/>
        </w:rPr>
        <w:t>2nd</w:t>
      </w:r>
      <w:r w:rsidR="00A95FC1" w:rsidRPr="00A95FC1">
        <w:rPr>
          <w:rFonts w:ascii="Calibri" w:eastAsia="MS Mincho" w:hAnsi="Calibri" w:cs="Times New Roman"/>
        </w:rPr>
        <w:t xml:space="preserve"> line nivolumab treatment</w:t>
      </w:r>
      <w:r w:rsidR="00A95FC1">
        <w:rPr>
          <w:rFonts w:ascii="Calibri" w:eastAsia="MS Mincho" w:hAnsi="Calibri" w:cs="Times New Roman"/>
        </w:rPr>
        <w:t xml:space="preserve"> (Figure 11)) then the results would be very similar. For example, the overall median survival was 20.3 months using the SA DoD. If the SA DoD had been used then the median survival would have be less than 3 days longer (as the 3 days extension only applies to the patients who died).</w:t>
      </w:r>
    </w:p>
    <w:p w:rsidR="00264543" w:rsidRPr="009930F4" w:rsidRDefault="00264543" w:rsidP="00264543">
      <w:pPr>
        <w:rPr>
          <w:rFonts w:ascii="Calibri" w:eastAsia="MS Mincho" w:hAnsi="Calibri" w:cs="Times New Roman"/>
          <w:b/>
          <w:sz w:val="28"/>
        </w:rPr>
      </w:pPr>
      <w:r w:rsidRPr="009930F4">
        <w:rPr>
          <w:rFonts w:ascii="Calibri" w:eastAsia="MS Mincho" w:hAnsi="Calibri" w:cs="Times New Roman"/>
          <w:b/>
          <w:sz w:val="28"/>
        </w:rPr>
        <w:t>Conclusion</w:t>
      </w:r>
    </w:p>
    <w:p w:rsidR="00264543" w:rsidRDefault="00264543" w:rsidP="00264543">
      <w:pPr>
        <w:rPr>
          <w:rFonts w:ascii="Calibri" w:eastAsia="MS Mincho" w:hAnsi="Calibri" w:cs="Times New Roman"/>
        </w:rPr>
      </w:pPr>
      <w:r>
        <w:rPr>
          <w:rFonts w:ascii="Calibri" w:eastAsia="MS Mincho" w:hAnsi="Calibri" w:cs="Times New Roman"/>
        </w:rPr>
        <w:t xml:space="preserve">The proxy </w:t>
      </w:r>
      <w:r w:rsidR="00D75D43">
        <w:rPr>
          <w:rFonts w:ascii="Calibri" w:eastAsia="MS Mincho" w:hAnsi="Calibri" w:cs="Times New Roman"/>
        </w:rPr>
        <w:t>DoD performed well, scoring 96.5</w:t>
      </w:r>
      <w:r>
        <w:rPr>
          <w:rFonts w:ascii="Calibri" w:eastAsia="MS Mincho" w:hAnsi="Calibri" w:cs="Times New Roman"/>
        </w:rPr>
        <w:t xml:space="preserve">% agreement with </w:t>
      </w:r>
      <w:r w:rsidR="00D75D43">
        <w:rPr>
          <w:rFonts w:ascii="Calibri" w:eastAsia="MS Mincho" w:hAnsi="Calibri" w:cs="Times New Roman"/>
        </w:rPr>
        <w:t xml:space="preserve">the Alive / Dead status </w:t>
      </w:r>
      <w:r>
        <w:rPr>
          <w:rFonts w:ascii="Calibri" w:eastAsia="MS Mincho" w:hAnsi="Calibri" w:cs="Times New Roman"/>
        </w:rPr>
        <w:t xml:space="preserve">from the </w:t>
      </w:r>
      <w:r w:rsidR="00D75D43">
        <w:rPr>
          <w:rFonts w:ascii="Calibri" w:eastAsia="MS Mincho" w:hAnsi="Calibri" w:cs="Times New Roman"/>
        </w:rPr>
        <w:t>SA</w:t>
      </w:r>
      <w:r>
        <w:rPr>
          <w:rFonts w:ascii="Calibri" w:eastAsia="MS Mincho" w:hAnsi="Calibri" w:cs="Times New Roman"/>
        </w:rPr>
        <w:t xml:space="preserve"> DoD</w:t>
      </w:r>
      <w:r w:rsidR="00D75D43">
        <w:rPr>
          <w:rFonts w:ascii="Calibri" w:eastAsia="MS Mincho" w:hAnsi="Calibri" w:cs="Times New Roman"/>
        </w:rPr>
        <w:t>. When both the proxy and SA</w:t>
      </w:r>
      <w:r>
        <w:rPr>
          <w:rFonts w:ascii="Calibri" w:eastAsia="MS Mincho" w:hAnsi="Calibri" w:cs="Times New Roman"/>
        </w:rPr>
        <w:t xml:space="preserve"> status measures agreed that the patient was dead, there was only a </w:t>
      </w:r>
      <w:r w:rsidR="00D75D43">
        <w:rPr>
          <w:rFonts w:ascii="Calibri" w:eastAsia="MS Mincho" w:hAnsi="Calibri" w:cs="Times New Roman"/>
        </w:rPr>
        <w:t>3</w:t>
      </w:r>
      <w:r>
        <w:rPr>
          <w:rFonts w:ascii="Calibri" w:eastAsia="MS Mincho" w:hAnsi="Calibri" w:cs="Times New Roman"/>
        </w:rPr>
        <w:t xml:space="preserve"> day median difference in th</w:t>
      </w:r>
      <w:r w:rsidR="00D75D43">
        <w:rPr>
          <w:rFonts w:ascii="Calibri" w:eastAsia="MS Mincho" w:hAnsi="Calibri" w:cs="Times New Roman"/>
        </w:rPr>
        <w:t>e date of death</w:t>
      </w:r>
      <w:r>
        <w:rPr>
          <w:rFonts w:ascii="Calibri" w:eastAsia="MS Mincho" w:hAnsi="Calibri" w:cs="Times New Roman"/>
        </w:rPr>
        <w:t>.</w:t>
      </w:r>
    </w:p>
    <w:p w:rsidR="0007015E" w:rsidRDefault="00D75D43" w:rsidP="00264543">
      <w:pPr>
        <w:rPr>
          <w:rFonts w:ascii="Calibri" w:eastAsia="MS Mincho" w:hAnsi="Calibri" w:cs="Times New Roman"/>
        </w:rPr>
      </w:pPr>
      <w:r>
        <w:rPr>
          <w:rFonts w:ascii="Calibri" w:eastAsia="MS Mincho" w:hAnsi="Calibri" w:cs="Times New Roman"/>
        </w:rPr>
        <w:t>A similar analysis was done previous</w:t>
      </w:r>
      <w:r w:rsidR="00A95FC1">
        <w:rPr>
          <w:rFonts w:ascii="Calibri" w:eastAsia="MS Mincho" w:hAnsi="Calibri" w:cs="Times New Roman"/>
        </w:rPr>
        <w:t>ly</w:t>
      </w:r>
      <w:r>
        <w:rPr>
          <w:rFonts w:ascii="Calibri" w:eastAsia="MS Mincho" w:hAnsi="Calibri" w:cs="Times New Roman"/>
        </w:rPr>
        <w:t xml:space="preserve"> </w:t>
      </w:r>
      <w:r w:rsidR="0007015E">
        <w:rPr>
          <w:rFonts w:ascii="Calibri" w:eastAsia="MS Mincho" w:hAnsi="Calibri" w:cs="Times New Roman"/>
        </w:rPr>
        <w:t>for s</w:t>
      </w:r>
      <w:r w:rsidR="0007015E" w:rsidRPr="0007015E">
        <w:rPr>
          <w:rFonts w:ascii="Calibri" w:eastAsia="MS Mincho" w:hAnsi="Calibri" w:cs="Times New Roman"/>
        </w:rPr>
        <w:t xml:space="preserve">unitinib and everolimus for the treatment of pancreatic neuroendocrine tumours (pNET) </w:t>
      </w:r>
      <w:r w:rsidR="0007015E">
        <w:rPr>
          <w:rFonts w:ascii="Calibri" w:eastAsia="MS Mincho" w:hAnsi="Calibri" w:cs="Times New Roman"/>
        </w:rPr>
        <w:t xml:space="preserve">in </w:t>
      </w:r>
      <w:r w:rsidR="0007015E" w:rsidRPr="0007015E">
        <w:rPr>
          <w:rFonts w:ascii="Calibri" w:eastAsia="MS Mincho" w:hAnsi="Calibri" w:cs="Times New Roman"/>
        </w:rPr>
        <w:t>September 2017</w:t>
      </w:r>
      <w:r w:rsidR="0007015E">
        <w:rPr>
          <w:rFonts w:ascii="Calibri" w:eastAsia="MS Mincho" w:hAnsi="Calibri" w:cs="Times New Roman"/>
        </w:rPr>
        <w:t>. The results were very similar</w:t>
      </w:r>
      <w:r>
        <w:rPr>
          <w:rFonts w:ascii="Calibri" w:eastAsia="MS Mincho" w:hAnsi="Calibri" w:cs="Times New Roman"/>
        </w:rPr>
        <w:t xml:space="preserve"> (i.e</w:t>
      </w:r>
      <w:r w:rsidR="00111D89">
        <w:rPr>
          <w:rFonts w:ascii="Calibri" w:eastAsia="MS Mincho" w:hAnsi="Calibri" w:cs="Times New Roman"/>
        </w:rPr>
        <w:t>.</w:t>
      </w:r>
      <w:r>
        <w:rPr>
          <w:rFonts w:ascii="Calibri" w:eastAsia="MS Mincho" w:hAnsi="Calibri" w:cs="Times New Roman"/>
        </w:rPr>
        <w:t xml:space="preserve"> 96.7% agreement, median and mode difference of 2 and 7 days respectively)</w:t>
      </w:r>
      <w:r w:rsidR="0007015E">
        <w:rPr>
          <w:rFonts w:ascii="Calibri" w:eastAsia="MS Mincho" w:hAnsi="Calibri" w:cs="Times New Roman"/>
        </w:rPr>
        <w:t>.</w:t>
      </w:r>
    </w:p>
    <w:p w:rsidR="00264543" w:rsidRDefault="0007015E" w:rsidP="00264543">
      <w:pPr>
        <w:rPr>
          <w:rFonts w:ascii="Calibri" w:eastAsia="MS Mincho" w:hAnsi="Calibri" w:cs="Times New Roman"/>
        </w:rPr>
      </w:pPr>
      <w:r>
        <w:rPr>
          <w:rFonts w:ascii="Calibri" w:eastAsia="MS Mincho" w:hAnsi="Calibri" w:cs="Times New Roman"/>
        </w:rPr>
        <w:t xml:space="preserve">The similarity of the results of the </w:t>
      </w:r>
      <w:r w:rsidR="00A95FC1">
        <w:rPr>
          <w:rFonts w:ascii="Calibri" w:eastAsia="MS Mincho" w:hAnsi="Calibri" w:cs="Times New Roman"/>
        </w:rPr>
        <w:t xml:space="preserve">two validation </w:t>
      </w:r>
      <w:r>
        <w:rPr>
          <w:rFonts w:ascii="Calibri" w:eastAsia="MS Mincho" w:hAnsi="Calibri" w:cs="Times New Roman"/>
        </w:rPr>
        <w:t xml:space="preserve">analyses is evidence that the </w:t>
      </w:r>
      <w:r w:rsidR="00264543">
        <w:rPr>
          <w:rFonts w:ascii="Calibri" w:eastAsia="MS Mincho" w:hAnsi="Calibri" w:cs="Times New Roman"/>
        </w:rPr>
        <w:t xml:space="preserve">method of calculating a proxy for DoD </w:t>
      </w:r>
      <w:r>
        <w:rPr>
          <w:rFonts w:ascii="Calibri" w:eastAsia="MS Mincho" w:hAnsi="Calibri" w:cs="Times New Roman"/>
        </w:rPr>
        <w:t xml:space="preserve">may be generalisable. </w:t>
      </w:r>
      <w:r w:rsidR="00264543">
        <w:rPr>
          <w:rFonts w:ascii="Calibri" w:eastAsia="MS Mincho" w:hAnsi="Calibri" w:cs="Times New Roman"/>
        </w:rPr>
        <w:t xml:space="preserve">It is most likely to be accurate for diseases that are terminal and have a need for some sort of PBS medication (not necessarily the medication used to treat the main disease) up to a patient’s death. It is not likely to be accurate for diseases that require acute treatment after which the patient recovers and is well enough to require no other PBS medication. The generalisability may need to be tested </w:t>
      </w:r>
      <w:r>
        <w:rPr>
          <w:rFonts w:ascii="Calibri" w:eastAsia="MS Mincho" w:hAnsi="Calibri" w:cs="Times New Roman"/>
        </w:rPr>
        <w:t xml:space="preserve">further </w:t>
      </w:r>
      <w:r w:rsidR="00264543">
        <w:rPr>
          <w:rFonts w:ascii="Calibri" w:eastAsia="MS Mincho" w:hAnsi="Calibri" w:cs="Times New Roman"/>
        </w:rPr>
        <w:t>in t</w:t>
      </w:r>
      <w:r>
        <w:rPr>
          <w:rFonts w:ascii="Calibri" w:eastAsia="MS Mincho" w:hAnsi="Calibri" w:cs="Times New Roman"/>
        </w:rPr>
        <w:t>he future for other conditions.</w:t>
      </w:r>
    </w:p>
    <w:p w:rsidR="00227272" w:rsidRPr="00EA4881" w:rsidRDefault="00227272" w:rsidP="00EA4881"/>
    <w:sectPr w:rsidR="00227272" w:rsidRPr="00EA4881" w:rsidSect="00DD188C">
      <w:headerReference w:type="even" r:id="rId19"/>
      <w:headerReference w:type="default" r:id="rId20"/>
      <w:footerReference w:type="even" r:id="rId21"/>
      <w:footerReference w:type="default" r:id="rId22"/>
      <w:headerReference w:type="first" r:id="rId23"/>
      <w:footerReference w:type="first" r:id="rId24"/>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8C4" w:rsidRDefault="001348C4" w:rsidP="00A35800">
      <w:r>
        <w:separator/>
      </w:r>
    </w:p>
  </w:endnote>
  <w:endnote w:type="continuationSeparator" w:id="0">
    <w:p w:rsidR="001348C4" w:rsidRDefault="001348C4"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3D" w:rsidRDefault="00362D3D"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62D3D" w:rsidRDefault="00362D3D"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sdt>
            <w:sdtPr>
              <w:id w:val="865948808"/>
              <w:docPartObj>
                <w:docPartGallery w:val="Page Numbers (Bottom of Page)"/>
                <w:docPartUnique/>
              </w:docPartObj>
            </w:sdtPr>
            <w:sdtEndPr/>
            <w:sdtContent>
              <w:sdt>
                <w:sdtPr>
                  <w:id w:val="829942516"/>
                  <w:docPartObj>
                    <w:docPartGallery w:val="Page Numbers (Top of Page)"/>
                    <w:docPartUnique/>
                  </w:docPartObj>
                </w:sdtPr>
                <w:sdtEndPr/>
                <w:sdtContent>
                  <w:p w:rsidR="00362D3D" w:rsidRPr="005C08F9" w:rsidRDefault="00362D3D" w:rsidP="005654A9">
                    <w:pPr>
                      <w:pStyle w:val="Footer"/>
                      <w:jc w:val="center"/>
                      <w:rPr>
                        <w:i/>
                        <w:sz w:val="20"/>
                        <w:szCs w:val="20"/>
                      </w:rPr>
                    </w:pPr>
                    <w:r w:rsidRPr="005C08F9">
                      <w:rPr>
                        <w:i/>
                        <w:sz w:val="20"/>
                        <w:szCs w:val="20"/>
                      </w:rPr>
                      <w:t>P</w:t>
                    </w:r>
                    <w:r>
                      <w:rPr>
                        <w:i/>
                        <w:sz w:val="20"/>
                        <w:szCs w:val="20"/>
                      </w:rPr>
                      <w:t>ublic Release Document, June</w:t>
                    </w:r>
                    <w:r w:rsidRPr="005C08F9">
                      <w:rPr>
                        <w:i/>
                        <w:sz w:val="20"/>
                        <w:szCs w:val="20"/>
                      </w:rPr>
                      <w:t xml:space="preserve"> 2020 DUSC Meeting</w:t>
                    </w:r>
                  </w:p>
                  <w:p w:rsidR="00362D3D" w:rsidRDefault="00362D3D" w:rsidP="005654A9">
                    <w:pPr>
                      <w:pStyle w:val="Footer"/>
                      <w:jc w:val="center"/>
                      <w:rPr>
                        <w:rStyle w:val="PageNumber"/>
                      </w:rPr>
                    </w:pPr>
                    <w:r w:rsidRPr="005C08F9">
                      <w:rPr>
                        <w:i/>
                        <w:sz w:val="20"/>
                        <w:szCs w:val="20"/>
                      </w:rPr>
                      <w:t xml:space="preserve">Page </w:t>
                    </w:r>
                    <w:r w:rsidRPr="005C08F9">
                      <w:rPr>
                        <w:bCs/>
                        <w:i/>
                        <w:sz w:val="20"/>
                        <w:szCs w:val="20"/>
                      </w:rPr>
                      <w:fldChar w:fldCharType="begin"/>
                    </w:r>
                    <w:r w:rsidRPr="005C08F9">
                      <w:rPr>
                        <w:bCs/>
                        <w:i/>
                        <w:sz w:val="20"/>
                        <w:szCs w:val="20"/>
                      </w:rPr>
                      <w:instrText xml:space="preserve"> PAGE </w:instrText>
                    </w:r>
                    <w:r w:rsidRPr="005C08F9">
                      <w:rPr>
                        <w:bCs/>
                        <w:i/>
                        <w:sz w:val="20"/>
                        <w:szCs w:val="20"/>
                      </w:rPr>
                      <w:fldChar w:fldCharType="separate"/>
                    </w:r>
                    <w:r w:rsidR="005B5E7B">
                      <w:rPr>
                        <w:bCs/>
                        <w:i/>
                        <w:noProof/>
                        <w:sz w:val="20"/>
                        <w:szCs w:val="20"/>
                      </w:rPr>
                      <w:t>1</w:t>
                    </w:r>
                    <w:r w:rsidRPr="005C08F9">
                      <w:rPr>
                        <w:bCs/>
                        <w:i/>
                        <w:sz w:val="20"/>
                        <w:szCs w:val="20"/>
                      </w:rPr>
                      <w:fldChar w:fldCharType="end"/>
                    </w:r>
                    <w:r w:rsidRPr="005C08F9">
                      <w:rPr>
                        <w:i/>
                        <w:sz w:val="20"/>
                        <w:szCs w:val="20"/>
                      </w:rPr>
                      <w:t xml:space="preserve"> of </w:t>
                    </w:r>
                    <w:r w:rsidRPr="005C08F9">
                      <w:rPr>
                        <w:bCs/>
                        <w:i/>
                        <w:sz w:val="20"/>
                        <w:szCs w:val="20"/>
                      </w:rPr>
                      <w:fldChar w:fldCharType="begin"/>
                    </w:r>
                    <w:r w:rsidRPr="005C08F9">
                      <w:rPr>
                        <w:bCs/>
                        <w:i/>
                        <w:sz w:val="20"/>
                        <w:szCs w:val="20"/>
                      </w:rPr>
                      <w:instrText xml:space="preserve"> NUMPAGES  </w:instrText>
                    </w:r>
                    <w:r w:rsidRPr="005C08F9">
                      <w:rPr>
                        <w:bCs/>
                        <w:i/>
                        <w:sz w:val="20"/>
                        <w:szCs w:val="20"/>
                      </w:rPr>
                      <w:fldChar w:fldCharType="separate"/>
                    </w:r>
                    <w:r w:rsidR="005B5E7B">
                      <w:rPr>
                        <w:bCs/>
                        <w:i/>
                        <w:noProof/>
                        <w:sz w:val="20"/>
                        <w:szCs w:val="20"/>
                      </w:rPr>
                      <w:t>39</w:t>
                    </w:r>
                    <w:r w:rsidRPr="005C08F9">
                      <w:rPr>
                        <w:bCs/>
                        <w:i/>
                        <w:sz w:val="20"/>
                        <w:szCs w:val="20"/>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3D" w:rsidRDefault="00362D3D" w:rsidP="007A5733">
    <w:pPr>
      <w:pStyle w:val="Footer"/>
      <w:jc w:val="center"/>
      <w:rPr>
        <w:rStyle w:val="PageNumber"/>
      </w:rPr>
    </w:pPr>
    <w:r>
      <w:rPr>
        <w:rStyle w:val="PageNumber"/>
      </w:rPr>
      <w:t>Committee-in-Confidence</w:t>
    </w:r>
  </w:p>
  <w:p w:rsidR="00362D3D" w:rsidRDefault="00362D3D"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8C4" w:rsidRDefault="001348C4" w:rsidP="00A35800">
      <w:r>
        <w:separator/>
      </w:r>
    </w:p>
  </w:footnote>
  <w:footnote w:type="continuationSeparator" w:id="0">
    <w:p w:rsidR="001348C4" w:rsidRDefault="001348C4" w:rsidP="00A35800">
      <w:r>
        <w:continuationSeparator/>
      </w:r>
    </w:p>
  </w:footnote>
  <w:footnote w:id="1">
    <w:p w:rsidR="00362D3D" w:rsidRDefault="00362D3D" w:rsidP="003616FA">
      <w:pPr>
        <w:pStyle w:val="FootnoteText"/>
      </w:pPr>
      <w:r>
        <w:rPr>
          <w:rStyle w:val="FootnoteReference"/>
        </w:rPr>
        <w:footnoteRef/>
      </w:r>
      <w:r>
        <w:t xml:space="preserve"> </w:t>
      </w:r>
      <w:r w:rsidRPr="0012193F">
        <w:t>Nivolumab and ipilimumab (renal cell carcinoma)</w:t>
      </w:r>
      <w:r>
        <w:t xml:space="preserve"> PBAC July 2018 public summary document, </w:t>
      </w:r>
      <w:hyperlink r:id="rId1" w:history="1">
        <w:r>
          <w:rPr>
            <w:rStyle w:val="Hyperlink"/>
          </w:rPr>
          <w:t>http://www.pbs.gov.au/info/industry/listing/elements/pbac-meetings/psd/2018-07/Nivolumab-ipilimumab-psd-july-2018</w:t>
        </w:r>
      </w:hyperlink>
    </w:p>
  </w:footnote>
  <w:footnote w:id="2">
    <w:p w:rsidR="00362D3D" w:rsidRDefault="00362D3D" w:rsidP="003E22D5">
      <w:pPr>
        <w:pStyle w:val="FootnoteText"/>
      </w:pPr>
      <w:r>
        <w:rPr>
          <w:rStyle w:val="FootnoteReference"/>
        </w:rPr>
        <w:footnoteRef/>
      </w:r>
      <w:r>
        <w:t xml:space="preserve"> </w:t>
      </w:r>
      <w:r w:rsidRPr="005411B8">
        <w:rPr>
          <w:szCs w:val="18"/>
        </w:rPr>
        <w:t>OPDIVO® (NIVOLUMAB)</w:t>
      </w:r>
      <w:r>
        <w:rPr>
          <w:szCs w:val="18"/>
        </w:rPr>
        <w:t>. Consumer Medicine Information. July</w:t>
      </w:r>
      <w:r w:rsidRPr="005411B8">
        <w:rPr>
          <w:szCs w:val="18"/>
        </w:rPr>
        <w:t xml:space="preserve"> 2019</w:t>
      </w:r>
      <w:r>
        <w:rPr>
          <w:szCs w:val="18"/>
        </w:rPr>
        <w:t xml:space="preserve">. Available from </w:t>
      </w:r>
      <w:hyperlink r:id="rId2" w:history="1">
        <w:r w:rsidRPr="006A3013">
          <w:rPr>
            <w:rStyle w:val="Hyperlink"/>
            <w:szCs w:val="18"/>
          </w:rPr>
          <w:t>https://www.tga.gov.au/consumer-medicines-information-cmi</w:t>
        </w:r>
      </w:hyperlink>
    </w:p>
  </w:footnote>
  <w:footnote w:id="3">
    <w:p w:rsidR="00362D3D" w:rsidRPr="009730AE" w:rsidRDefault="00362D3D" w:rsidP="009730AE">
      <w:pPr>
        <w:spacing w:after="0"/>
        <w:rPr>
          <w:sz w:val="18"/>
          <w:szCs w:val="18"/>
        </w:rPr>
      </w:pPr>
      <w:r w:rsidRPr="002703EB">
        <w:rPr>
          <w:rStyle w:val="FootnoteReference"/>
          <w:sz w:val="18"/>
          <w:szCs w:val="18"/>
        </w:rPr>
        <w:footnoteRef/>
      </w:r>
      <w:r w:rsidRPr="002703EB">
        <w:rPr>
          <w:sz w:val="18"/>
          <w:szCs w:val="18"/>
        </w:rPr>
        <w:t xml:space="preserve"> Australian</w:t>
      </w:r>
      <w:r w:rsidRPr="0019664D">
        <w:rPr>
          <w:sz w:val="18"/>
          <w:szCs w:val="18"/>
        </w:rPr>
        <w:t xml:space="preserve"> Medicines Handbook</w:t>
      </w:r>
      <w:r>
        <w:rPr>
          <w:sz w:val="18"/>
          <w:szCs w:val="18"/>
        </w:rPr>
        <w:t xml:space="preserve"> Online</w:t>
      </w:r>
      <w:r w:rsidRPr="0019664D">
        <w:rPr>
          <w:sz w:val="18"/>
          <w:szCs w:val="18"/>
        </w:rPr>
        <w:t xml:space="preserve">. </w:t>
      </w:r>
      <w:r w:rsidRPr="00D14207">
        <w:rPr>
          <w:sz w:val="18"/>
          <w:szCs w:val="18"/>
        </w:rPr>
        <w:t>https://amhonline.amh.net.au/chapters/immunomodulators-antineoplastics/non-cytotoxic-antineoplastics/antineoplastic-antibodies/nivolumab</w:t>
      </w:r>
    </w:p>
  </w:footnote>
  <w:footnote w:id="4">
    <w:p w:rsidR="00362D3D" w:rsidRPr="008142B4" w:rsidRDefault="00362D3D" w:rsidP="005411B8">
      <w:pPr>
        <w:pStyle w:val="FootnoteText"/>
        <w:rPr>
          <w:szCs w:val="18"/>
        </w:rPr>
      </w:pPr>
      <w:r w:rsidRPr="008142B4">
        <w:rPr>
          <w:rStyle w:val="FootnoteReference"/>
          <w:szCs w:val="18"/>
        </w:rPr>
        <w:footnoteRef/>
      </w:r>
      <w:r w:rsidRPr="008142B4">
        <w:rPr>
          <w:szCs w:val="18"/>
        </w:rPr>
        <w:t xml:space="preserve"> </w:t>
      </w:r>
      <w:r w:rsidRPr="005411B8">
        <w:rPr>
          <w:szCs w:val="18"/>
        </w:rPr>
        <w:t>OPDIVO® (NIVOLUMAB)</w:t>
      </w:r>
      <w:r>
        <w:rPr>
          <w:szCs w:val="18"/>
        </w:rPr>
        <w:t xml:space="preserve">. Australian Approved Product Information. </w:t>
      </w:r>
      <w:r w:rsidRPr="005411B8">
        <w:rPr>
          <w:szCs w:val="18"/>
        </w:rPr>
        <w:t>Bristol-Myers Squibb Australia Pty Ltd</w:t>
      </w:r>
      <w:r>
        <w:rPr>
          <w:szCs w:val="18"/>
        </w:rPr>
        <w:t>. Approved</w:t>
      </w:r>
      <w:r w:rsidRPr="005411B8">
        <w:t xml:space="preserve"> </w:t>
      </w:r>
      <w:r w:rsidRPr="005411B8">
        <w:rPr>
          <w:szCs w:val="18"/>
        </w:rPr>
        <w:t>11 January 2016</w:t>
      </w:r>
      <w:r>
        <w:rPr>
          <w:szCs w:val="18"/>
        </w:rPr>
        <w:t xml:space="preserve">, updated </w:t>
      </w:r>
      <w:r w:rsidRPr="005411B8">
        <w:rPr>
          <w:szCs w:val="18"/>
        </w:rPr>
        <w:t>14 November 2019</w:t>
      </w:r>
      <w:r>
        <w:rPr>
          <w:szCs w:val="18"/>
        </w:rPr>
        <w:t>. Available from &lt;</w:t>
      </w:r>
      <w:r w:rsidRPr="00CD4486">
        <w:t xml:space="preserve"> </w:t>
      </w:r>
      <w:r w:rsidRPr="00CD4486">
        <w:rPr>
          <w:szCs w:val="18"/>
        </w:rPr>
        <w:t>https://www.tga.gov.au/product-information-pi</w:t>
      </w:r>
      <w:r>
        <w:rPr>
          <w:szCs w:val="18"/>
        </w:rPr>
        <w:t>.&gt;</w:t>
      </w:r>
    </w:p>
  </w:footnote>
  <w:footnote w:id="5">
    <w:p w:rsidR="00362D3D" w:rsidRDefault="00362D3D">
      <w:pPr>
        <w:pStyle w:val="FootnoteText"/>
      </w:pPr>
      <w:r>
        <w:rPr>
          <w:rStyle w:val="FootnoteReference"/>
        </w:rPr>
        <w:footnoteRef/>
      </w:r>
      <w:r>
        <w:t xml:space="preserve"> </w:t>
      </w:r>
      <w:hyperlink r:id="rId3" w:history="1">
        <w:r>
          <w:rPr>
            <w:rStyle w:val="Hyperlink"/>
          </w:rPr>
          <w:t>http://www.pbs.gov.au/industry/listing/elements/pbac-meetings/psd/2016-07/files/nivolumab-psd-july-2016.pdf</w:t>
        </w:r>
      </w:hyperlink>
    </w:p>
  </w:footnote>
  <w:footnote w:id="6">
    <w:p w:rsidR="00362D3D" w:rsidRDefault="00362D3D">
      <w:pPr>
        <w:pStyle w:val="FootnoteText"/>
      </w:pPr>
      <w:r>
        <w:rPr>
          <w:rStyle w:val="FootnoteReference"/>
        </w:rPr>
        <w:footnoteRef/>
      </w:r>
      <w:r>
        <w:t xml:space="preserve"> </w:t>
      </w:r>
      <w:hyperlink r:id="rId4" w:history="1">
        <w:r>
          <w:rPr>
            <w:rStyle w:val="Hyperlink"/>
          </w:rPr>
          <w:t>http://www.pbs.gov.au/industry/listing/elements/pbac-meetings/psd/2016-11/files/nivolumab-rcc-psd-november-2016.pdf</w:t>
        </w:r>
      </w:hyperlink>
    </w:p>
  </w:footnote>
  <w:footnote w:id="7">
    <w:p w:rsidR="00362D3D" w:rsidRDefault="00362D3D">
      <w:pPr>
        <w:pStyle w:val="FootnoteText"/>
      </w:pPr>
      <w:r>
        <w:rPr>
          <w:rStyle w:val="FootnoteReference"/>
        </w:rPr>
        <w:footnoteRef/>
      </w:r>
      <w:r>
        <w:t xml:space="preserve"> </w:t>
      </w:r>
      <w:hyperlink r:id="rId5" w:history="1">
        <w:r>
          <w:rPr>
            <w:rStyle w:val="Hyperlink"/>
          </w:rPr>
          <w:t>http://www.pbs.gov.au/industry/listing/elements/pbac-meetings/psd/2017-03/files/nivolumab-rcc-psd-march-2017.pdf</w:t>
        </w:r>
      </w:hyperlink>
    </w:p>
  </w:footnote>
  <w:footnote w:id="8">
    <w:p w:rsidR="00362D3D" w:rsidRPr="00BC5AE2" w:rsidRDefault="00362D3D"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6" w:history="1">
        <w:r>
          <w:rPr>
            <w:rStyle w:val="Hyperlink"/>
            <w:sz w:val="20"/>
          </w:rPr>
          <w:t>http://www.medicareaustralia.gov.au/provider/pbs/stats.jsp</w:t>
        </w:r>
      </w:hyperlink>
      <w:r>
        <w:rPr>
          <w:sz w:val="20"/>
        </w:rPr>
        <w:t>&gt;.</w:t>
      </w:r>
    </w:p>
  </w:footnote>
  <w:footnote w:id="9">
    <w:p w:rsidR="00362D3D" w:rsidRDefault="00362D3D" w:rsidP="00C225B6">
      <w:pPr>
        <w:pStyle w:val="FootnoteText"/>
      </w:pPr>
      <w:r>
        <w:rPr>
          <w:rStyle w:val="FootnoteReference"/>
        </w:rPr>
        <w:footnoteRef/>
      </w:r>
      <w:r>
        <w:t xml:space="preserve"> </w:t>
      </w:r>
      <w:r w:rsidRPr="0074523F">
        <w:t>Mealing NM, Dobbins TA, Pearson S-A. Validation and</w:t>
      </w:r>
      <w:r>
        <w:t xml:space="preserve"> </w:t>
      </w:r>
      <w:r w:rsidRPr="0074523F">
        <w:t>application of a death proxy in adult cancer patients.</w:t>
      </w:r>
      <w:r>
        <w:t xml:space="preserve"> </w:t>
      </w:r>
      <w:r w:rsidRPr="0074523F">
        <w:t>Pharmacoepidemiol Drug Saf 2012; 21: 742–8.</w:t>
      </w:r>
    </w:p>
  </w:footnote>
  <w:footnote w:id="10">
    <w:p w:rsidR="00362D3D" w:rsidRDefault="00362D3D">
      <w:pPr>
        <w:pStyle w:val="FootnoteText"/>
      </w:pPr>
      <w:r>
        <w:rPr>
          <w:rStyle w:val="FootnoteReference"/>
        </w:rPr>
        <w:footnoteRef/>
      </w:r>
      <w:r>
        <w:t xml:space="preserve"> </w:t>
      </w:r>
      <w:r w:rsidRPr="007F70DD">
        <w:t xml:space="preserve">Table 53 of </w:t>
      </w:r>
      <w:r>
        <w:t>nivolumab submission to March 2017 PBAC</w:t>
      </w:r>
    </w:p>
  </w:footnote>
  <w:footnote w:id="11">
    <w:p w:rsidR="00362D3D" w:rsidRDefault="00362D3D" w:rsidP="002223E8">
      <w:pPr>
        <w:pStyle w:val="FootnoteText"/>
      </w:pPr>
      <w:r>
        <w:rPr>
          <w:rStyle w:val="FootnoteReference"/>
        </w:rPr>
        <w:footnoteRef/>
      </w:r>
      <w:r>
        <w:t xml:space="preserve"> </w:t>
      </w:r>
      <w:r w:rsidRPr="002223E8">
        <w:rPr>
          <w:szCs w:val="18"/>
        </w:rPr>
        <w:t>VOTRIENT®</w:t>
      </w:r>
      <w:r>
        <w:rPr>
          <w:szCs w:val="18"/>
        </w:rPr>
        <w:t xml:space="preserve"> </w:t>
      </w:r>
      <w:r w:rsidRPr="002223E8">
        <w:rPr>
          <w:szCs w:val="18"/>
        </w:rPr>
        <w:t>(PAZOPANIB)</w:t>
      </w:r>
      <w:r>
        <w:rPr>
          <w:szCs w:val="18"/>
        </w:rPr>
        <w:t xml:space="preserve">. Australian Approved Product Information. </w:t>
      </w:r>
      <w:r w:rsidRPr="002223E8">
        <w:rPr>
          <w:szCs w:val="18"/>
        </w:rPr>
        <w:t>NOVARTIS Pharmaceuticals Australia Pty Limited</w:t>
      </w:r>
      <w:r>
        <w:rPr>
          <w:szCs w:val="18"/>
        </w:rPr>
        <w:t>. Approved</w:t>
      </w:r>
      <w:r w:rsidRPr="005411B8">
        <w:t xml:space="preserve"> </w:t>
      </w:r>
      <w:r>
        <w:t>30 June</w:t>
      </w:r>
      <w:r w:rsidRPr="005411B8">
        <w:rPr>
          <w:szCs w:val="18"/>
        </w:rPr>
        <w:t xml:space="preserve"> 201</w:t>
      </w:r>
      <w:r>
        <w:rPr>
          <w:szCs w:val="18"/>
        </w:rPr>
        <w:t xml:space="preserve">0, updated </w:t>
      </w:r>
      <w:r w:rsidRPr="005411B8">
        <w:rPr>
          <w:szCs w:val="18"/>
        </w:rPr>
        <w:t xml:space="preserve">4 </w:t>
      </w:r>
      <w:r>
        <w:rPr>
          <w:szCs w:val="18"/>
        </w:rPr>
        <w:t>March 2020. Available from &lt;</w:t>
      </w:r>
      <w:r w:rsidRPr="00CD4486">
        <w:t xml:space="preserve"> </w:t>
      </w:r>
      <w:r w:rsidRPr="00CD4486">
        <w:rPr>
          <w:szCs w:val="18"/>
        </w:rPr>
        <w:t>https://www.tga.gov.au/product-information-pi</w:t>
      </w:r>
      <w:r>
        <w:rPr>
          <w:szCs w:val="18"/>
        </w:rPr>
        <w:t>.&gt;</w:t>
      </w:r>
    </w:p>
  </w:footnote>
  <w:footnote w:id="12">
    <w:p w:rsidR="00362D3D" w:rsidRDefault="00362D3D" w:rsidP="00595279">
      <w:pPr>
        <w:pStyle w:val="FootnoteText"/>
      </w:pPr>
      <w:r>
        <w:rPr>
          <w:rStyle w:val="FootnoteReference"/>
        </w:rPr>
        <w:footnoteRef/>
      </w:r>
      <w:r>
        <w:t xml:space="preserve"> </w:t>
      </w:r>
      <w:r w:rsidRPr="00595279">
        <w:rPr>
          <w:szCs w:val="18"/>
        </w:rPr>
        <w:t>SUTENT ® (SUNITINIB</w:t>
      </w:r>
      <w:r>
        <w:rPr>
          <w:szCs w:val="18"/>
        </w:rPr>
        <w:t xml:space="preserve"> MALATE). Australian Approved Product Information. </w:t>
      </w:r>
      <w:r w:rsidRPr="00595279">
        <w:rPr>
          <w:szCs w:val="18"/>
        </w:rPr>
        <w:t>Pfizer Australia Pty Ltd</w:t>
      </w:r>
      <w:r>
        <w:rPr>
          <w:szCs w:val="18"/>
        </w:rPr>
        <w:t>. Approved</w:t>
      </w:r>
      <w:r w:rsidRPr="005411B8">
        <w:t xml:space="preserve"> </w:t>
      </w:r>
      <w:r>
        <w:t>14 September 2006</w:t>
      </w:r>
      <w:r>
        <w:rPr>
          <w:szCs w:val="18"/>
        </w:rPr>
        <w:t>, updated 31 October 2019. Available from &lt;</w:t>
      </w:r>
      <w:r w:rsidRPr="00CD4486">
        <w:t xml:space="preserve"> </w:t>
      </w:r>
      <w:r w:rsidRPr="00CD4486">
        <w:rPr>
          <w:szCs w:val="18"/>
        </w:rPr>
        <w:t>https://www.tga.gov.au/product-information-pi</w:t>
      </w:r>
      <w:r>
        <w:rPr>
          <w:szCs w:val="18"/>
        </w:rPr>
        <w:t>.&gt;</w:t>
      </w:r>
    </w:p>
    <w:p w:rsidR="00362D3D" w:rsidRDefault="00362D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3D" w:rsidRDefault="00362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3D" w:rsidRDefault="00362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3D" w:rsidRDefault="00362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2B8"/>
    <w:multiLevelType w:val="hybridMultilevel"/>
    <w:tmpl w:val="C1A0B2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553FCD"/>
    <w:multiLevelType w:val="multilevel"/>
    <w:tmpl w:val="B534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35C6"/>
    <w:multiLevelType w:val="hybridMultilevel"/>
    <w:tmpl w:val="376EF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8B2F22"/>
    <w:multiLevelType w:val="hybridMultilevel"/>
    <w:tmpl w:val="E56AD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FB6306"/>
    <w:multiLevelType w:val="hybridMultilevel"/>
    <w:tmpl w:val="585A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41DE8"/>
    <w:multiLevelType w:val="hybridMultilevel"/>
    <w:tmpl w:val="ED543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8B7468"/>
    <w:multiLevelType w:val="multilevel"/>
    <w:tmpl w:val="2876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A85FC9"/>
    <w:multiLevelType w:val="hybridMultilevel"/>
    <w:tmpl w:val="36EA1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AD1BEC"/>
    <w:multiLevelType w:val="hybridMultilevel"/>
    <w:tmpl w:val="D612F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6A3F66"/>
    <w:multiLevelType w:val="hybridMultilevel"/>
    <w:tmpl w:val="BB8C7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D91BAF"/>
    <w:multiLevelType w:val="hybridMultilevel"/>
    <w:tmpl w:val="8F563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074F05"/>
    <w:multiLevelType w:val="hybridMultilevel"/>
    <w:tmpl w:val="09266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5F404C"/>
    <w:multiLevelType w:val="hybridMultilevel"/>
    <w:tmpl w:val="EFA8B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1A05BD"/>
    <w:multiLevelType w:val="hybridMultilevel"/>
    <w:tmpl w:val="AD644264"/>
    <w:lvl w:ilvl="0" w:tplc="4A5E4636">
      <w:start w:val="1"/>
      <w:numFmt w:val="bullet"/>
      <w:lvlText w:val="•"/>
      <w:lvlJc w:val="left"/>
      <w:pPr>
        <w:tabs>
          <w:tab w:val="num" w:pos="360"/>
        </w:tabs>
        <w:ind w:left="360" w:hanging="360"/>
      </w:pPr>
      <w:rPr>
        <w:rFonts w:ascii="Arial" w:hAnsi="Arial" w:hint="default"/>
      </w:rPr>
    </w:lvl>
    <w:lvl w:ilvl="1" w:tplc="DD106A04">
      <w:start w:val="1"/>
      <w:numFmt w:val="bullet"/>
      <w:lvlText w:val="•"/>
      <w:lvlJc w:val="left"/>
      <w:pPr>
        <w:tabs>
          <w:tab w:val="num" w:pos="1080"/>
        </w:tabs>
        <w:ind w:left="1080" w:hanging="360"/>
      </w:pPr>
      <w:rPr>
        <w:rFonts w:ascii="Arial" w:hAnsi="Arial" w:hint="default"/>
      </w:rPr>
    </w:lvl>
    <w:lvl w:ilvl="2" w:tplc="AD46DA98" w:tentative="1">
      <w:start w:val="1"/>
      <w:numFmt w:val="bullet"/>
      <w:lvlText w:val="•"/>
      <w:lvlJc w:val="left"/>
      <w:pPr>
        <w:tabs>
          <w:tab w:val="num" w:pos="1800"/>
        </w:tabs>
        <w:ind w:left="1800" w:hanging="360"/>
      </w:pPr>
      <w:rPr>
        <w:rFonts w:ascii="Arial" w:hAnsi="Arial" w:hint="default"/>
      </w:rPr>
    </w:lvl>
    <w:lvl w:ilvl="3" w:tplc="9C62FC44" w:tentative="1">
      <w:start w:val="1"/>
      <w:numFmt w:val="bullet"/>
      <w:lvlText w:val="•"/>
      <w:lvlJc w:val="left"/>
      <w:pPr>
        <w:tabs>
          <w:tab w:val="num" w:pos="2520"/>
        </w:tabs>
        <w:ind w:left="2520" w:hanging="360"/>
      </w:pPr>
      <w:rPr>
        <w:rFonts w:ascii="Arial" w:hAnsi="Arial" w:hint="default"/>
      </w:rPr>
    </w:lvl>
    <w:lvl w:ilvl="4" w:tplc="7E865556" w:tentative="1">
      <w:start w:val="1"/>
      <w:numFmt w:val="bullet"/>
      <w:lvlText w:val="•"/>
      <w:lvlJc w:val="left"/>
      <w:pPr>
        <w:tabs>
          <w:tab w:val="num" w:pos="3240"/>
        </w:tabs>
        <w:ind w:left="3240" w:hanging="360"/>
      </w:pPr>
      <w:rPr>
        <w:rFonts w:ascii="Arial" w:hAnsi="Arial" w:hint="default"/>
      </w:rPr>
    </w:lvl>
    <w:lvl w:ilvl="5" w:tplc="46C0A614" w:tentative="1">
      <w:start w:val="1"/>
      <w:numFmt w:val="bullet"/>
      <w:lvlText w:val="•"/>
      <w:lvlJc w:val="left"/>
      <w:pPr>
        <w:tabs>
          <w:tab w:val="num" w:pos="3960"/>
        </w:tabs>
        <w:ind w:left="3960" w:hanging="360"/>
      </w:pPr>
      <w:rPr>
        <w:rFonts w:ascii="Arial" w:hAnsi="Arial" w:hint="default"/>
      </w:rPr>
    </w:lvl>
    <w:lvl w:ilvl="6" w:tplc="DB7E0198" w:tentative="1">
      <w:start w:val="1"/>
      <w:numFmt w:val="bullet"/>
      <w:lvlText w:val="•"/>
      <w:lvlJc w:val="left"/>
      <w:pPr>
        <w:tabs>
          <w:tab w:val="num" w:pos="4680"/>
        </w:tabs>
        <w:ind w:left="4680" w:hanging="360"/>
      </w:pPr>
      <w:rPr>
        <w:rFonts w:ascii="Arial" w:hAnsi="Arial" w:hint="default"/>
      </w:rPr>
    </w:lvl>
    <w:lvl w:ilvl="7" w:tplc="6B30916A" w:tentative="1">
      <w:start w:val="1"/>
      <w:numFmt w:val="bullet"/>
      <w:lvlText w:val="•"/>
      <w:lvlJc w:val="left"/>
      <w:pPr>
        <w:tabs>
          <w:tab w:val="num" w:pos="5400"/>
        </w:tabs>
        <w:ind w:left="5400" w:hanging="360"/>
      </w:pPr>
      <w:rPr>
        <w:rFonts w:ascii="Arial" w:hAnsi="Arial" w:hint="default"/>
      </w:rPr>
    </w:lvl>
    <w:lvl w:ilvl="8" w:tplc="12AEDBB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CB23481"/>
    <w:multiLevelType w:val="hybridMultilevel"/>
    <w:tmpl w:val="2EB2C6DE"/>
    <w:lvl w:ilvl="0" w:tplc="3EE43D8A">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5F6091"/>
    <w:multiLevelType w:val="hybridMultilevel"/>
    <w:tmpl w:val="B1D26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D158B3"/>
    <w:multiLevelType w:val="hybridMultilevel"/>
    <w:tmpl w:val="2B1AD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1A7548"/>
    <w:multiLevelType w:val="multilevel"/>
    <w:tmpl w:val="15EA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927A1"/>
    <w:multiLevelType w:val="hybridMultilevel"/>
    <w:tmpl w:val="05C26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3E6A12"/>
    <w:multiLevelType w:val="hybridMultilevel"/>
    <w:tmpl w:val="0628946C"/>
    <w:lvl w:ilvl="0" w:tplc="B55C0FFA">
      <w:start w:val="5"/>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15:restartNumberingAfterBreak="0">
    <w:nsid w:val="52FB203D"/>
    <w:multiLevelType w:val="hybridMultilevel"/>
    <w:tmpl w:val="E2D21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3E79DF"/>
    <w:multiLevelType w:val="multilevel"/>
    <w:tmpl w:val="4188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67754E"/>
    <w:multiLevelType w:val="hybridMultilevel"/>
    <w:tmpl w:val="0ADC0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2010A56"/>
    <w:multiLevelType w:val="hybridMultilevel"/>
    <w:tmpl w:val="6DD4B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FA465B"/>
    <w:multiLevelType w:val="hybridMultilevel"/>
    <w:tmpl w:val="71648EA8"/>
    <w:lvl w:ilvl="0" w:tplc="B55C0FFA">
      <w:start w:val="5"/>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79037E"/>
    <w:multiLevelType w:val="hybridMultilevel"/>
    <w:tmpl w:val="3C62F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5077DE"/>
    <w:multiLevelType w:val="hybridMultilevel"/>
    <w:tmpl w:val="B888C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907731"/>
    <w:multiLevelType w:val="hybridMultilevel"/>
    <w:tmpl w:val="0DA012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2880EB7"/>
    <w:multiLevelType w:val="hybridMultilevel"/>
    <w:tmpl w:val="BCCA2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4D033C"/>
    <w:multiLevelType w:val="multilevel"/>
    <w:tmpl w:val="FC0607C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4"/>
  </w:num>
  <w:num w:numId="3">
    <w:abstractNumId w:val="7"/>
  </w:num>
  <w:num w:numId="4">
    <w:abstractNumId w:val="17"/>
  </w:num>
  <w:num w:numId="5">
    <w:abstractNumId w:val="16"/>
  </w:num>
  <w:num w:numId="6">
    <w:abstractNumId w:val="27"/>
  </w:num>
  <w:num w:numId="7">
    <w:abstractNumId w:val="0"/>
  </w:num>
  <w:num w:numId="8">
    <w:abstractNumId w:val="9"/>
  </w:num>
  <w:num w:numId="9">
    <w:abstractNumId w:val="23"/>
  </w:num>
  <w:num w:numId="10">
    <w:abstractNumId w:val="12"/>
  </w:num>
  <w:num w:numId="11">
    <w:abstractNumId w:val="18"/>
  </w:num>
  <w:num w:numId="12">
    <w:abstractNumId w:val="6"/>
  </w:num>
  <w:num w:numId="13">
    <w:abstractNumId w:val="1"/>
  </w:num>
  <w:num w:numId="14">
    <w:abstractNumId w:val="31"/>
  </w:num>
  <w:num w:numId="15">
    <w:abstractNumId w:val="26"/>
  </w:num>
  <w:num w:numId="16">
    <w:abstractNumId w:val="20"/>
  </w:num>
  <w:num w:numId="17">
    <w:abstractNumId w:val="25"/>
  </w:num>
  <w:num w:numId="18">
    <w:abstractNumId w:val="10"/>
  </w:num>
  <w:num w:numId="19">
    <w:abstractNumId w:val="19"/>
  </w:num>
  <w:num w:numId="20">
    <w:abstractNumId w:val="22"/>
  </w:num>
  <w:num w:numId="21">
    <w:abstractNumId w:val="4"/>
  </w:num>
  <w:num w:numId="22">
    <w:abstractNumId w:val="15"/>
  </w:num>
  <w:num w:numId="23">
    <w:abstractNumId w:val="2"/>
  </w:num>
  <w:num w:numId="24">
    <w:abstractNumId w:val="5"/>
  </w:num>
  <w:num w:numId="25">
    <w:abstractNumId w:val="3"/>
  </w:num>
  <w:num w:numId="26">
    <w:abstractNumId w:val="8"/>
  </w:num>
  <w:num w:numId="27">
    <w:abstractNumId w:val="21"/>
  </w:num>
  <w:num w:numId="28">
    <w:abstractNumId w:val="11"/>
  </w:num>
  <w:num w:numId="29">
    <w:abstractNumId w:val="29"/>
  </w:num>
  <w:num w:numId="30">
    <w:abstractNumId w:val="28"/>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2B76"/>
    <w:rsid w:val="00006EAD"/>
    <w:rsid w:val="00007E85"/>
    <w:rsid w:val="000116E0"/>
    <w:rsid w:val="00013465"/>
    <w:rsid w:val="000137F6"/>
    <w:rsid w:val="0001548C"/>
    <w:rsid w:val="00020DEC"/>
    <w:rsid w:val="000226B3"/>
    <w:rsid w:val="00024549"/>
    <w:rsid w:val="00026BF9"/>
    <w:rsid w:val="00031D27"/>
    <w:rsid w:val="00033F05"/>
    <w:rsid w:val="00041F64"/>
    <w:rsid w:val="00053AB4"/>
    <w:rsid w:val="000544B6"/>
    <w:rsid w:val="000604AF"/>
    <w:rsid w:val="00067D98"/>
    <w:rsid w:val="0007015E"/>
    <w:rsid w:val="00085801"/>
    <w:rsid w:val="00086C11"/>
    <w:rsid w:val="00090DBA"/>
    <w:rsid w:val="00094DCF"/>
    <w:rsid w:val="000966C5"/>
    <w:rsid w:val="00097CA8"/>
    <w:rsid w:val="000A6CFD"/>
    <w:rsid w:val="000B0982"/>
    <w:rsid w:val="000B5678"/>
    <w:rsid w:val="000B796C"/>
    <w:rsid w:val="000C0B43"/>
    <w:rsid w:val="000C46BB"/>
    <w:rsid w:val="000C4D9D"/>
    <w:rsid w:val="000C7C4B"/>
    <w:rsid w:val="000C7D8B"/>
    <w:rsid w:val="000D02C6"/>
    <w:rsid w:val="000E01E9"/>
    <w:rsid w:val="000E485D"/>
    <w:rsid w:val="000E5F91"/>
    <w:rsid w:val="000E72C6"/>
    <w:rsid w:val="000F0AF7"/>
    <w:rsid w:val="000F1893"/>
    <w:rsid w:val="000F2F51"/>
    <w:rsid w:val="000F3049"/>
    <w:rsid w:val="000F54F0"/>
    <w:rsid w:val="00104B66"/>
    <w:rsid w:val="00110EA9"/>
    <w:rsid w:val="00111D89"/>
    <w:rsid w:val="00112A91"/>
    <w:rsid w:val="00113CF8"/>
    <w:rsid w:val="00113D74"/>
    <w:rsid w:val="00117C5C"/>
    <w:rsid w:val="00117DE2"/>
    <w:rsid w:val="0012193F"/>
    <w:rsid w:val="001310AE"/>
    <w:rsid w:val="001348C4"/>
    <w:rsid w:val="00141879"/>
    <w:rsid w:val="001420B3"/>
    <w:rsid w:val="001460C4"/>
    <w:rsid w:val="00147F25"/>
    <w:rsid w:val="00151724"/>
    <w:rsid w:val="001518F0"/>
    <w:rsid w:val="0015691C"/>
    <w:rsid w:val="00156AE7"/>
    <w:rsid w:val="001621F7"/>
    <w:rsid w:val="001624D7"/>
    <w:rsid w:val="00162950"/>
    <w:rsid w:val="00163C77"/>
    <w:rsid w:val="00177B86"/>
    <w:rsid w:val="00182585"/>
    <w:rsid w:val="00191182"/>
    <w:rsid w:val="00195AB3"/>
    <w:rsid w:val="001962BE"/>
    <w:rsid w:val="0019664D"/>
    <w:rsid w:val="001A6103"/>
    <w:rsid w:val="001A7D2B"/>
    <w:rsid w:val="001B56A0"/>
    <w:rsid w:val="001B5D37"/>
    <w:rsid w:val="001C2940"/>
    <w:rsid w:val="001C4016"/>
    <w:rsid w:val="001C444E"/>
    <w:rsid w:val="001C548D"/>
    <w:rsid w:val="001C5C63"/>
    <w:rsid w:val="001C601F"/>
    <w:rsid w:val="001C6A5D"/>
    <w:rsid w:val="001C6EF6"/>
    <w:rsid w:val="001D51D9"/>
    <w:rsid w:val="001E11FB"/>
    <w:rsid w:val="001E1BE5"/>
    <w:rsid w:val="001E31A6"/>
    <w:rsid w:val="001E41DF"/>
    <w:rsid w:val="001E42C7"/>
    <w:rsid w:val="001E48A9"/>
    <w:rsid w:val="001E4CAB"/>
    <w:rsid w:val="001F0A4E"/>
    <w:rsid w:val="001F2F3E"/>
    <w:rsid w:val="001F4906"/>
    <w:rsid w:val="001F7C4A"/>
    <w:rsid w:val="002012CB"/>
    <w:rsid w:val="00201D98"/>
    <w:rsid w:val="00203475"/>
    <w:rsid w:val="0020578A"/>
    <w:rsid w:val="00207631"/>
    <w:rsid w:val="00210F4C"/>
    <w:rsid w:val="00214013"/>
    <w:rsid w:val="00220FC1"/>
    <w:rsid w:val="002223E8"/>
    <w:rsid w:val="00222E9A"/>
    <w:rsid w:val="0022562A"/>
    <w:rsid w:val="00226297"/>
    <w:rsid w:val="00227272"/>
    <w:rsid w:val="0023179D"/>
    <w:rsid w:val="00232941"/>
    <w:rsid w:val="00243DBC"/>
    <w:rsid w:val="00252A21"/>
    <w:rsid w:val="0025389D"/>
    <w:rsid w:val="00254E02"/>
    <w:rsid w:val="00256DED"/>
    <w:rsid w:val="002611F4"/>
    <w:rsid w:val="00261C81"/>
    <w:rsid w:val="0026265F"/>
    <w:rsid w:val="00264543"/>
    <w:rsid w:val="00265E79"/>
    <w:rsid w:val="002703EB"/>
    <w:rsid w:val="002710F3"/>
    <w:rsid w:val="0027167A"/>
    <w:rsid w:val="00272105"/>
    <w:rsid w:val="002848F8"/>
    <w:rsid w:val="00286C3A"/>
    <w:rsid w:val="00290448"/>
    <w:rsid w:val="002930F5"/>
    <w:rsid w:val="002A06B7"/>
    <w:rsid w:val="002A1D03"/>
    <w:rsid w:val="002A3CF8"/>
    <w:rsid w:val="002A434A"/>
    <w:rsid w:val="002A5763"/>
    <w:rsid w:val="002B1FCB"/>
    <w:rsid w:val="002C47C6"/>
    <w:rsid w:val="002C4896"/>
    <w:rsid w:val="002C67FA"/>
    <w:rsid w:val="002C6E0C"/>
    <w:rsid w:val="002D144A"/>
    <w:rsid w:val="002D6311"/>
    <w:rsid w:val="002D7D1D"/>
    <w:rsid w:val="002E19A3"/>
    <w:rsid w:val="002E212B"/>
    <w:rsid w:val="002E3337"/>
    <w:rsid w:val="002E5803"/>
    <w:rsid w:val="002E6563"/>
    <w:rsid w:val="002E6D03"/>
    <w:rsid w:val="002F49A8"/>
    <w:rsid w:val="002F5E66"/>
    <w:rsid w:val="002F61CA"/>
    <w:rsid w:val="002F7E74"/>
    <w:rsid w:val="0030010D"/>
    <w:rsid w:val="003006E0"/>
    <w:rsid w:val="003072B6"/>
    <w:rsid w:val="00312C36"/>
    <w:rsid w:val="003132BB"/>
    <w:rsid w:val="003225C9"/>
    <w:rsid w:val="00334689"/>
    <w:rsid w:val="0033504C"/>
    <w:rsid w:val="00336816"/>
    <w:rsid w:val="003370D0"/>
    <w:rsid w:val="00337355"/>
    <w:rsid w:val="003402E4"/>
    <w:rsid w:val="00340F95"/>
    <w:rsid w:val="00344720"/>
    <w:rsid w:val="00347DCA"/>
    <w:rsid w:val="003531ED"/>
    <w:rsid w:val="003555D7"/>
    <w:rsid w:val="00360B9A"/>
    <w:rsid w:val="003610AE"/>
    <w:rsid w:val="003616FA"/>
    <w:rsid w:val="00362D3D"/>
    <w:rsid w:val="003675CE"/>
    <w:rsid w:val="00370961"/>
    <w:rsid w:val="003710AF"/>
    <w:rsid w:val="0038176C"/>
    <w:rsid w:val="00382FF2"/>
    <w:rsid w:val="0039017F"/>
    <w:rsid w:val="00394AEE"/>
    <w:rsid w:val="003B0ACE"/>
    <w:rsid w:val="003B6E82"/>
    <w:rsid w:val="003C2D98"/>
    <w:rsid w:val="003C348A"/>
    <w:rsid w:val="003C5B45"/>
    <w:rsid w:val="003D01DF"/>
    <w:rsid w:val="003D29E6"/>
    <w:rsid w:val="003D3A96"/>
    <w:rsid w:val="003D3B9C"/>
    <w:rsid w:val="003D4894"/>
    <w:rsid w:val="003D4AF4"/>
    <w:rsid w:val="003D564B"/>
    <w:rsid w:val="003D6245"/>
    <w:rsid w:val="003D730E"/>
    <w:rsid w:val="003D7A96"/>
    <w:rsid w:val="003E22D5"/>
    <w:rsid w:val="003E70B8"/>
    <w:rsid w:val="003F3ED9"/>
    <w:rsid w:val="003F7D5B"/>
    <w:rsid w:val="00401D14"/>
    <w:rsid w:val="00401EB4"/>
    <w:rsid w:val="00402C4F"/>
    <w:rsid w:val="004035CD"/>
    <w:rsid w:val="00404F03"/>
    <w:rsid w:val="0040590A"/>
    <w:rsid w:val="00412051"/>
    <w:rsid w:val="00423B94"/>
    <w:rsid w:val="004401DC"/>
    <w:rsid w:val="00447B9A"/>
    <w:rsid w:val="00463367"/>
    <w:rsid w:val="00463731"/>
    <w:rsid w:val="0046400A"/>
    <w:rsid w:val="00464037"/>
    <w:rsid w:val="00466F60"/>
    <w:rsid w:val="00467B25"/>
    <w:rsid w:val="0047084E"/>
    <w:rsid w:val="004746D1"/>
    <w:rsid w:val="00477CB1"/>
    <w:rsid w:val="00481108"/>
    <w:rsid w:val="00483B38"/>
    <w:rsid w:val="00486D21"/>
    <w:rsid w:val="0049042B"/>
    <w:rsid w:val="00493635"/>
    <w:rsid w:val="00495473"/>
    <w:rsid w:val="004A0088"/>
    <w:rsid w:val="004A209F"/>
    <w:rsid w:val="004A3559"/>
    <w:rsid w:val="004A458E"/>
    <w:rsid w:val="004A53DA"/>
    <w:rsid w:val="004A7751"/>
    <w:rsid w:val="004B23E7"/>
    <w:rsid w:val="004B306F"/>
    <w:rsid w:val="004B77F4"/>
    <w:rsid w:val="004C3186"/>
    <w:rsid w:val="004C40CC"/>
    <w:rsid w:val="004C5042"/>
    <w:rsid w:val="004C581F"/>
    <w:rsid w:val="004D427C"/>
    <w:rsid w:val="004D67BA"/>
    <w:rsid w:val="004E41A4"/>
    <w:rsid w:val="004E4422"/>
    <w:rsid w:val="004E74F5"/>
    <w:rsid w:val="004E7643"/>
    <w:rsid w:val="004F1963"/>
    <w:rsid w:val="004F2A00"/>
    <w:rsid w:val="004F3E84"/>
    <w:rsid w:val="004F7FED"/>
    <w:rsid w:val="00503998"/>
    <w:rsid w:val="0050623B"/>
    <w:rsid w:val="00520B51"/>
    <w:rsid w:val="00523181"/>
    <w:rsid w:val="00524D13"/>
    <w:rsid w:val="00524E53"/>
    <w:rsid w:val="005339F6"/>
    <w:rsid w:val="00535046"/>
    <w:rsid w:val="005411B8"/>
    <w:rsid w:val="005654A9"/>
    <w:rsid w:val="00576B18"/>
    <w:rsid w:val="00587724"/>
    <w:rsid w:val="00591512"/>
    <w:rsid w:val="00595279"/>
    <w:rsid w:val="005A212B"/>
    <w:rsid w:val="005A51DA"/>
    <w:rsid w:val="005B2D91"/>
    <w:rsid w:val="005B31BA"/>
    <w:rsid w:val="005B48B4"/>
    <w:rsid w:val="005B5E7B"/>
    <w:rsid w:val="005C512C"/>
    <w:rsid w:val="005C6661"/>
    <w:rsid w:val="005C6E3B"/>
    <w:rsid w:val="005C7678"/>
    <w:rsid w:val="005D3D32"/>
    <w:rsid w:val="005D474B"/>
    <w:rsid w:val="005D79C5"/>
    <w:rsid w:val="005E085C"/>
    <w:rsid w:val="005E147D"/>
    <w:rsid w:val="005E22C2"/>
    <w:rsid w:val="005E3A96"/>
    <w:rsid w:val="005E4380"/>
    <w:rsid w:val="005E5211"/>
    <w:rsid w:val="005E57BB"/>
    <w:rsid w:val="005F0017"/>
    <w:rsid w:val="006006E2"/>
    <w:rsid w:val="006006F3"/>
    <w:rsid w:val="006014F1"/>
    <w:rsid w:val="00612E5C"/>
    <w:rsid w:val="0061357B"/>
    <w:rsid w:val="00613A3B"/>
    <w:rsid w:val="00614A7D"/>
    <w:rsid w:val="006262C3"/>
    <w:rsid w:val="00626610"/>
    <w:rsid w:val="00630DB6"/>
    <w:rsid w:val="006358B6"/>
    <w:rsid w:val="00635A47"/>
    <w:rsid w:val="0063631C"/>
    <w:rsid w:val="0063757B"/>
    <w:rsid w:val="006377CE"/>
    <w:rsid w:val="00637DD3"/>
    <w:rsid w:val="00637EB3"/>
    <w:rsid w:val="006537D9"/>
    <w:rsid w:val="00661DE8"/>
    <w:rsid w:val="00664A44"/>
    <w:rsid w:val="00664A48"/>
    <w:rsid w:val="00665DEF"/>
    <w:rsid w:val="0067215F"/>
    <w:rsid w:val="00675BB1"/>
    <w:rsid w:val="006775E1"/>
    <w:rsid w:val="006775F1"/>
    <w:rsid w:val="00681653"/>
    <w:rsid w:val="00682BCC"/>
    <w:rsid w:val="00692AA7"/>
    <w:rsid w:val="00696996"/>
    <w:rsid w:val="00697FEC"/>
    <w:rsid w:val="006A175F"/>
    <w:rsid w:val="006A44F5"/>
    <w:rsid w:val="006B3C44"/>
    <w:rsid w:val="006B4537"/>
    <w:rsid w:val="006B5F85"/>
    <w:rsid w:val="006B6929"/>
    <w:rsid w:val="006B709B"/>
    <w:rsid w:val="006C54AF"/>
    <w:rsid w:val="006C706F"/>
    <w:rsid w:val="006C7D3A"/>
    <w:rsid w:val="006D7511"/>
    <w:rsid w:val="006D7745"/>
    <w:rsid w:val="006D7F26"/>
    <w:rsid w:val="006E0181"/>
    <w:rsid w:val="006E28F5"/>
    <w:rsid w:val="006E4326"/>
    <w:rsid w:val="006F0549"/>
    <w:rsid w:val="006F1CAE"/>
    <w:rsid w:val="006F3724"/>
    <w:rsid w:val="00700C0E"/>
    <w:rsid w:val="007057C6"/>
    <w:rsid w:val="00705DAD"/>
    <w:rsid w:val="00710138"/>
    <w:rsid w:val="00713092"/>
    <w:rsid w:val="007169A6"/>
    <w:rsid w:val="007247B9"/>
    <w:rsid w:val="00727D85"/>
    <w:rsid w:val="00731A6D"/>
    <w:rsid w:val="007346C7"/>
    <w:rsid w:val="00736041"/>
    <w:rsid w:val="0073649C"/>
    <w:rsid w:val="007408C7"/>
    <w:rsid w:val="007465DA"/>
    <w:rsid w:val="00752C7F"/>
    <w:rsid w:val="00754A63"/>
    <w:rsid w:val="0075580B"/>
    <w:rsid w:val="00756F93"/>
    <w:rsid w:val="00767186"/>
    <w:rsid w:val="007749C1"/>
    <w:rsid w:val="00776598"/>
    <w:rsid w:val="007838C6"/>
    <w:rsid w:val="0079263B"/>
    <w:rsid w:val="00792948"/>
    <w:rsid w:val="00792FED"/>
    <w:rsid w:val="00794CB5"/>
    <w:rsid w:val="00796315"/>
    <w:rsid w:val="00796E84"/>
    <w:rsid w:val="007A3ADE"/>
    <w:rsid w:val="007A5733"/>
    <w:rsid w:val="007A5774"/>
    <w:rsid w:val="007A5BC3"/>
    <w:rsid w:val="007B0C79"/>
    <w:rsid w:val="007B64A7"/>
    <w:rsid w:val="007C47CC"/>
    <w:rsid w:val="007D4A5C"/>
    <w:rsid w:val="007D4FE7"/>
    <w:rsid w:val="007D5AC7"/>
    <w:rsid w:val="007E617A"/>
    <w:rsid w:val="007E6FA5"/>
    <w:rsid w:val="007F31A5"/>
    <w:rsid w:val="007F3878"/>
    <w:rsid w:val="007F4B78"/>
    <w:rsid w:val="007F70DD"/>
    <w:rsid w:val="00801E74"/>
    <w:rsid w:val="0080485E"/>
    <w:rsid w:val="008127E5"/>
    <w:rsid w:val="008142B4"/>
    <w:rsid w:val="008317C6"/>
    <w:rsid w:val="008322C3"/>
    <w:rsid w:val="00832324"/>
    <w:rsid w:val="00835337"/>
    <w:rsid w:val="00846DCD"/>
    <w:rsid w:val="00851D85"/>
    <w:rsid w:val="008557F3"/>
    <w:rsid w:val="008568B9"/>
    <w:rsid w:val="00860CCB"/>
    <w:rsid w:val="0086749D"/>
    <w:rsid w:val="008740A3"/>
    <w:rsid w:val="008764D8"/>
    <w:rsid w:val="00880118"/>
    <w:rsid w:val="008866EE"/>
    <w:rsid w:val="0089297B"/>
    <w:rsid w:val="008B4741"/>
    <w:rsid w:val="008C13C8"/>
    <w:rsid w:val="008C2938"/>
    <w:rsid w:val="008C36CA"/>
    <w:rsid w:val="008D036A"/>
    <w:rsid w:val="008E3F8C"/>
    <w:rsid w:val="008E4CA4"/>
    <w:rsid w:val="008F5BEA"/>
    <w:rsid w:val="00902FD0"/>
    <w:rsid w:val="009053D3"/>
    <w:rsid w:val="0090691F"/>
    <w:rsid w:val="00923A01"/>
    <w:rsid w:val="00925116"/>
    <w:rsid w:val="00927C92"/>
    <w:rsid w:val="0093111F"/>
    <w:rsid w:val="00932DDD"/>
    <w:rsid w:val="00935689"/>
    <w:rsid w:val="0094220E"/>
    <w:rsid w:val="0094245B"/>
    <w:rsid w:val="00943D12"/>
    <w:rsid w:val="0095303B"/>
    <w:rsid w:val="0096226D"/>
    <w:rsid w:val="009637A8"/>
    <w:rsid w:val="009654F9"/>
    <w:rsid w:val="009663B6"/>
    <w:rsid w:val="009730AE"/>
    <w:rsid w:val="00974A47"/>
    <w:rsid w:val="00977311"/>
    <w:rsid w:val="00980286"/>
    <w:rsid w:val="00985CAF"/>
    <w:rsid w:val="00987073"/>
    <w:rsid w:val="00990DCF"/>
    <w:rsid w:val="00995077"/>
    <w:rsid w:val="009A3EB4"/>
    <w:rsid w:val="009A4B5E"/>
    <w:rsid w:val="009A4CD6"/>
    <w:rsid w:val="009A537C"/>
    <w:rsid w:val="009B3030"/>
    <w:rsid w:val="009C0886"/>
    <w:rsid w:val="009C1627"/>
    <w:rsid w:val="009C19EE"/>
    <w:rsid w:val="009C28D0"/>
    <w:rsid w:val="009C2E6E"/>
    <w:rsid w:val="009C35F2"/>
    <w:rsid w:val="009C3C57"/>
    <w:rsid w:val="009C4860"/>
    <w:rsid w:val="009C7782"/>
    <w:rsid w:val="009D0C49"/>
    <w:rsid w:val="009D1ED5"/>
    <w:rsid w:val="009D4C13"/>
    <w:rsid w:val="009D67DB"/>
    <w:rsid w:val="009E21A7"/>
    <w:rsid w:val="009E5B71"/>
    <w:rsid w:val="009E7FF5"/>
    <w:rsid w:val="009F5614"/>
    <w:rsid w:val="00A103ED"/>
    <w:rsid w:val="00A13C60"/>
    <w:rsid w:val="00A15134"/>
    <w:rsid w:val="00A17999"/>
    <w:rsid w:val="00A206E1"/>
    <w:rsid w:val="00A3054D"/>
    <w:rsid w:val="00A335B7"/>
    <w:rsid w:val="00A341A3"/>
    <w:rsid w:val="00A35800"/>
    <w:rsid w:val="00A4060B"/>
    <w:rsid w:val="00A51C36"/>
    <w:rsid w:val="00A52918"/>
    <w:rsid w:val="00A52AF9"/>
    <w:rsid w:val="00A547B3"/>
    <w:rsid w:val="00A554F8"/>
    <w:rsid w:val="00A572EF"/>
    <w:rsid w:val="00A661D0"/>
    <w:rsid w:val="00A70E82"/>
    <w:rsid w:val="00A81070"/>
    <w:rsid w:val="00A81F6C"/>
    <w:rsid w:val="00A822E8"/>
    <w:rsid w:val="00A84CAD"/>
    <w:rsid w:val="00A87222"/>
    <w:rsid w:val="00A90E50"/>
    <w:rsid w:val="00A922D3"/>
    <w:rsid w:val="00A9424B"/>
    <w:rsid w:val="00A95AF5"/>
    <w:rsid w:val="00A95FA5"/>
    <w:rsid w:val="00A95FC1"/>
    <w:rsid w:val="00A962EC"/>
    <w:rsid w:val="00A96D92"/>
    <w:rsid w:val="00AA1905"/>
    <w:rsid w:val="00AA246A"/>
    <w:rsid w:val="00AA2D3A"/>
    <w:rsid w:val="00AA7770"/>
    <w:rsid w:val="00AA7D6E"/>
    <w:rsid w:val="00AB12B5"/>
    <w:rsid w:val="00AB199C"/>
    <w:rsid w:val="00AB3733"/>
    <w:rsid w:val="00AB588C"/>
    <w:rsid w:val="00AB7897"/>
    <w:rsid w:val="00AC5054"/>
    <w:rsid w:val="00AC73F6"/>
    <w:rsid w:val="00AE2C91"/>
    <w:rsid w:val="00AE4BAC"/>
    <w:rsid w:val="00AF58BC"/>
    <w:rsid w:val="00AF68E2"/>
    <w:rsid w:val="00B00F7A"/>
    <w:rsid w:val="00B02482"/>
    <w:rsid w:val="00B034FC"/>
    <w:rsid w:val="00B05310"/>
    <w:rsid w:val="00B055E9"/>
    <w:rsid w:val="00B0578E"/>
    <w:rsid w:val="00B06570"/>
    <w:rsid w:val="00B10A0B"/>
    <w:rsid w:val="00B131F3"/>
    <w:rsid w:val="00B1788D"/>
    <w:rsid w:val="00B21BB9"/>
    <w:rsid w:val="00B30D85"/>
    <w:rsid w:val="00B35A4A"/>
    <w:rsid w:val="00B41961"/>
    <w:rsid w:val="00B453CF"/>
    <w:rsid w:val="00B466F2"/>
    <w:rsid w:val="00B53546"/>
    <w:rsid w:val="00B60540"/>
    <w:rsid w:val="00B63FD7"/>
    <w:rsid w:val="00B644B7"/>
    <w:rsid w:val="00B64C92"/>
    <w:rsid w:val="00B76FE1"/>
    <w:rsid w:val="00B816D9"/>
    <w:rsid w:val="00B83184"/>
    <w:rsid w:val="00B9120F"/>
    <w:rsid w:val="00B9216C"/>
    <w:rsid w:val="00B9220A"/>
    <w:rsid w:val="00B924A4"/>
    <w:rsid w:val="00BA5DD0"/>
    <w:rsid w:val="00BB0D1A"/>
    <w:rsid w:val="00BB1560"/>
    <w:rsid w:val="00BB1D3B"/>
    <w:rsid w:val="00BC35ED"/>
    <w:rsid w:val="00BD2643"/>
    <w:rsid w:val="00BD2EDE"/>
    <w:rsid w:val="00BD3BAA"/>
    <w:rsid w:val="00BD4C7D"/>
    <w:rsid w:val="00BE205A"/>
    <w:rsid w:val="00BE323F"/>
    <w:rsid w:val="00BE3802"/>
    <w:rsid w:val="00BF238E"/>
    <w:rsid w:val="00BF2F4A"/>
    <w:rsid w:val="00BF3381"/>
    <w:rsid w:val="00BF544D"/>
    <w:rsid w:val="00C0076F"/>
    <w:rsid w:val="00C02CED"/>
    <w:rsid w:val="00C0301C"/>
    <w:rsid w:val="00C050B6"/>
    <w:rsid w:val="00C06986"/>
    <w:rsid w:val="00C10F12"/>
    <w:rsid w:val="00C131FA"/>
    <w:rsid w:val="00C15425"/>
    <w:rsid w:val="00C17186"/>
    <w:rsid w:val="00C2158B"/>
    <w:rsid w:val="00C225B6"/>
    <w:rsid w:val="00C245EA"/>
    <w:rsid w:val="00C256F6"/>
    <w:rsid w:val="00C3097E"/>
    <w:rsid w:val="00C3129F"/>
    <w:rsid w:val="00C35ECC"/>
    <w:rsid w:val="00C361A8"/>
    <w:rsid w:val="00C40DA9"/>
    <w:rsid w:val="00C41246"/>
    <w:rsid w:val="00C449D6"/>
    <w:rsid w:val="00C45E5F"/>
    <w:rsid w:val="00C46291"/>
    <w:rsid w:val="00C526A6"/>
    <w:rsid w:val="00C530B7"/>
    <w:rsid w:val="00C63412"/>
    <w:rsid w:val="00C67A7D"/>
    <w:rsid w:val="00C714D0"/>
    <w:rsid w:val="00C823C3"/>
    <w:rsid w:val="00C83D6C"/>
    <w:rsid w:val="00C90EF4"/>
    <w:rsid w:val="00C932F0"/>
    <w:rsid w:val="00CA015A"/>
    <w:rsid w:val="00CB493F"/>
    <w:rsid w:val="00CC1AA3"/>
    <w:rsid w:val="00CC55CC"/>
    <w:rsid w:val="00CD389C"/>
    <w:rsid w:val="00CD4486"/>
    <w:rsid w:val="00CD5001"/>
    <w:rsid w:val="00CD5CFA"/>
    <w:rsid w:val="00CE48E2"/>
    <w:rsid w:val="00CF0AE7"/>
    <w:rsid w:val="00CF20F1"/>
    <w:rsid w:val="00CF5E22"/>
    <w:rsid w:val="00D00762"/>
    <w:rsid w:val="00D00A9C"/>
    <w:rsid w:val="00D0410B"/>
    <w:rsid w:val="00D04AB7"/>
    <w:rsid w:val="00D06A44"/>
    <w:rsid w:val="00D14207"/>
    <w:rsid w:val="00D151EB"/>
    <w:rsid w:val="00D16845"/>
    <w:rsid w:val="00D16943"/>
    <w:rsid w:val="00D300E0"/>
    <w:rsid w:val="00D32609"/>
    <w:rsid w:val="00D34B02"/>
    <w:rsid w:val="00D374CD"/>
    <w:rsid w:val="00D427C6"/>
    <w:rsid w:val="00D51B02"/>
    <w:rsid w:val="00D5773B"/>
    <w:rsid w:val="00D647EC"/>
    <w:rsid w:val="00D650CE"/>
    <w:rsid w:val="00D71719"/>
    <w:rsid w:val="00D75D43"/>
    <w:rsid w:val="00D75FF7"/>
    <w:rsid w:val="00D776DA"/>
    <w:rsid w:val="00D80CFC"/>
    <w:rsid w:val="00D835DB"/>
    <w:rsid w:val="00D8617E"/>
    <w:rsid w:val="00D8758B"/>
    <w:rsid w:val="00D926F0"/>
    <w:rsid w:val="00D932C6"/>
    <w:rsid w:val="00D942B3"/>
    <w:rsid w:val="00D94863"/>
    <w:rsid w:val="00DA0474"/>
    <w:rsid w:val="00DA06A4"/>
    <w:rsid w:val="00DA4B99"/>
    <w:rsid w:val="00DA7D09"/>
    <w:rsid w:val="00DC18D5"/>
    <w:rsid w:val="00DC2630"/>
    <w:rsid w:val="00DC47EA"/>
    <w:rsid w:val="00DC49E9"/>
    <w:rsid w:val="00DC55E4"/>
    <w:rsid w:val="00DC58D5"/>
    <w:rsid w:val="00DC7D71"/>
    <w:rsid w:val="00DD188C"/>
    <w:rsid w:val="00DD29A3"/>
    <w:rsid w:val="00DD48EE"/>
    <w:rsid w:val="00DE0B96"/>
    <w:rsid w:val="00DE10B9"/>
    <w:rsid w:val="00DF0B13"/>
    <w:rsid w:val="00DF2EB8"/>
    <w:rsid w:val="00DF4A94"/>
    <w:rsid w:val="00DF6003"/>
    <w:rsid w:val="00E00095"/>
    <w:rsid w:val="00E066C3"/>
    <w:rsid w:val="00E10D8C"/>
    <w:rsid w:val="00E11DD8"/>
    <w:rsid w:val="00E124C2"/>
    <w:rsid w:val="00E1353A"/>
    <w:rsid w:val="00E154B6"/>
    <w:rsid w:val="00E1564B"/>
    <w:rsid w:val="00E200A1"/>
    <w:rsid w:val="00E208A0"/>
    <w:rsid w:val="00E22D67"/>
    <w:rsid w:val="00E23BB8"/>
    <w:rsid w:val="00E25A44"/>
    <w:rsid w:val="00E25B49"/>
    <w:rsid w:val="00E371EA"/>
    <w:rsid w:val="00E43039"/>
    <w:rsid w:val="00E47EAC"/>
    <w:rsid w:val="00E55FC5"/>
    <w:rsid w:val="00E62866"/>
    <w:rsid w:val="00E64429"/>
    <w:rsid w:val="00E677DD"/>
    <w:rsid w:val="00E703EF"/>
    <w:rsid w:val="00E71181"/>
    <w:rsid w:val="00E7594B"/>
    <w:rsid w:val="00E77795"/>
    <w:rsid w:val="00E826CB"/>
    <w:rsid w:val="00E928AF"/>
    <w:rsid w:val="00E947AB"/>
    <w:rsid w:val="00E95A4D"/>
    <w:rsid w:val="00E9720F"/>
    <w:rsid w:val="00EA4630"/>
    <w:rsid w:val="00EA4881"/>
    <w:rsid w:val="00EB1AD6"/>
    <w:rsid w:val="00EB4688"/>
    <w:rsid w:val="00EB6C07"/>
    <w:rsid w:val="00EB7EE2"/>
    <w:rsid w:val="00EC028D"/>
    <w:rsid w:val="00EC4A40"/>
    <w:rsid w:val="00EC5333"/>
    <w:rsid w:val="00ED1F76"/>
    <w:rsid w:val="00ED2FA2"/>
    <w:rsid w:val="00ED633B"/>
    <w:rsid w:val="00EE1B39"/>
    <w:rsid w:val="00EE2BBB"/>
    <w:rsid w:val="00EE478C"/>
    <w:rsid w:val="00EF084E"/>
    <w:rsid w:val="00EF7E25"/>
    <w:rsid w:val="00F00E17"/>
    <w:rsid w:val="00F0542C"/>
    <w:rsid w:val="00F1132C"/>
    <w:rsid w:val="00F12580"/>
    <w:rsid w:val="00F13418"/>
    <w:rsid w:val="00F15DD5"/>
    <w:rsid w:val="00F17D4B"/>
    <w:rsid w:val="00F23139"/>
    <w:rsid w:val="00F240D4"/>
    <w:rsid w:val="00F3426D"/>
    <w:rsid w:val="00F43995"/>
    <w:rsid w:val="00F46376"/>
    <w:rsid w:val="00F47599"/>
    <w:rsid w:val="00F55735"/>
    <w:rsid w:val="00F629EF"/>
    <w:rsid w:val="00F6400B"/>
    <w:rsid w:val="00F64C7D"/>
    <w:rsid w:val="00F66CD5"/>
    <w:rsid w:val="00F67A9A"/>
    <w:rsid w:val="00F70F4E"/>
    <w:rsid w:val="00F73113"/>
    <w:rsid w:val="00F75FC4"/>
    <w:rsid w:val="00F80A64"/>
    <w:rsid w:val="00F85981"/>
    <w:rsid w:val="00F87263"/>
    <w:rsid w:val="00F876BF"/>
    <w:rsid w:val="00F91F61"/>
    <w:rsid w:val="00F93725"/>
    <w:rsid w:val="00FA47C8"/>
    <w:rsid w:val="00FA4890"/>
    <w:rsid w:val="00FA66D4"/>
    <w:rsid w:val="00FB1245"/>
    <w:rsid w:val="00FB23AF"/>
    <w:rsid w:val="00FB5DD3"/>
    <w:rsid w:val="00FB77FA"/>
    <w:rsid w:val="00FC11F9"/>
    <w:rsid w:val="00FC14F9"/>
    <w:rsid w:val="00FC3C70"/>
    <w:rsid w:val="00FC4A73"/>
    <w:rsid w:val="00FC51F3"/>
    <w:rsid w:val="00FC559C"/>
    <w:rsid w:val="00FC7F0D"/>
    <w:rsid w:val="00FD5E27"/>
    <w:rsid w:val="00FE1883"/>
    <w:rsid w:val="00FE2808"/>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51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59"/>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Normal"/>
    <w:link w:val="FiguretitleChar"/>
    <w:qFormat/>
    <w:rsid w:val="00B1788D"/>
    <w:pPr>
      <w:spacing w:before="60"/>
    </w:pPr>
    <w:rPr>
      <w:b/>
    </w:rPr>
  </w:style>
  <w:style w:type="character" w:customStyle="1" w:styleId="FiguretitleChar">
    <w:name w:val="Figure title Char"/>
    <w:basedOn w:val="TabletitleChar"/>
    <w:link w:val="Figuretitle"/>
    <w:rsid w:val="00B1788D"/>
    <w:rPr>
      <w:b/>
      <w:sz w:val="24"/>
      <w:szCs w:val="24"/>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2A3CF8"/>
    <w:rPr>
      <w:color w:val="800080" w:themeColor="followedHyperlink"/>
      <w:u w:val="single"/>
    </w:rPr>
  </w:style>
  <w:style w:type="paragraph" w:styleId="NormalWeb">
    <w:name w:val="Normal (Web)"/>
    <w:basedOn w:val="Normal"/>
    <w:uiPriority w:val="99"/>
    <w:unhideWhenUsed/>
    <w:rsid w:val="00E71181"/>
    <w:pPr>
      <w:spacing w:before="100" w:beforeAutospacing="1" w:after="100" w:afterAutospacing="1"/>
    </w:pPr>
    <w:rPr>
      <w:rFonts w:ascii="Times New Roman" w:eastAsia="Times New Roman" w:hAnsi="Times New Roman" w:cs="Times New Roman"/>
    </w:rPr>
  </w:style>
  <w:style w:type="paragraph" w:customStyle="1" w:styleId="PBACheading1">
    <w:name w:val="PBAC heading 1"/>
    <w:qFormat/>
    <w:rsid w:val="005B31BA"/>
    <w:pPr>
      <w:numPr>
        <w:numId w:val="14"/>
      </w:numPr>
      <w:spacing w:after="0" w:line="240" w:lineRule="auto"/>
      <w:outlineLvl w:val="0"/>
    </w:pPr>
    <w:rPr>
      <w:rFonts w:ascii="Arial" w:eastAsia="Times New Roman" w:hAnsi="Arial" w:cs="Arial"/>
      <w:snapToGrid w:val="0"/>
      <w:lang w:eastAsia="en-US"/>
    </w:rPr>
  </w:style>
  <w:style w:type="character" w:customStyle="1" w:styleId="ListParagraphChar">
    <w:name w:val="List Paragraph Char"/>
    <w:aliases w:val="BulletPoints Char"/>
    <w:basedOn w:val="DefaultParagraphFont"/>
    <w:link w:val="ListParagraph"/>
    <w:uiPriority w:val="34"/>
    <w:rsid w:val="005B31BA"/>
    <w:rPr>
      <w:sz w:val="24"/>
      <w:szCs w:val="24"/>
    </w:rPr>
  </w:style>
  <w:style w:type="table" w:customStyle="1" w:styleId="TableGridbeth53">
    <w:name w:val="Table Gridbeth53"/>
    <w:basedOn w:val="TableNormal"/>
    <w:next w:val="TableGrid"/>
    <w:uiPriority w:val="39"/>
    <w:rsid w:val="003675CE"/>
    <w:pPr>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06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0188">
      <w:bodyDiv w:val="1"/>
      <w:marLeft w:val="0"/>
      <w:marRight w:val="0"/>
      <w:marTop w:val="0"/>
      <w:marBottom w:val="0"/>
      <w:divBdr>
        <w:top w:val="none" w:sz="0" w:space="0" w:color="auto"/>
        <w:left w:val="none" w:sz="0" w:space="0" w:color="auto"/>
        <w:bottom w:val="none" w:sz="0" w:space="0" w:color="auto"/>
        <w:right w:val="none" w:sz="0" w:space="0" w:color="auto"/>
      </w:divBdr>
    </w:div>
    <w:div w:id="85156322">
      <w:bodyDiv w:val="1"/>
      <w:marLeft w:val="0"/>
      <w:marRight w:val="0"/>
      <w:marTop w:val="0"/>
      <w:marBottom w:val="0"/>
      <w:divBdr>
        <w:top w:val="none" w:sz="0" w:space="0" w:color="auto"/>
        <w:left w:val="none" w:sz="0" w:space="0" w:color="auto"/>
        <w:bottom w:val="none" w:sz="0" w:space="0" w:color="auto"/>
        <w:right w:val="none" w:sz="0" w:space="0" w:color="auto"/>
      </w:divBdr>
    </w:div>
    <w:div w:id="203911907">
      <w:bodyDiv w:val="1"/>
      <w:marLeft w:val="0"/>
      <w:marRight w:val="0"/>
      <w:marTop w:val="0"/>
      <w:marBottom w:val="0"/>
      <w:divBdr>
        <w:top w:val="none" w:sz="0" w:space="0" w:color="auto"/>
        <w:left w:val="none" w:sz="0" w:space="0" w:color="auto"/>
        <w:bottom w:val="none" w:sz="0" w:space="0" w:color="auto"/>
        <w:right w:val="none" w:sz="0" w:space="0" w:color="auto"/>
      </w:divBdr>
    </w:div>
    <w:div w:id="248390385">
      <w:bodyDiv w:val="1"/>
      <w:marLeft w:val="0"/>
      <w:marRight w:val="0"/>
      <w:marTop w:val="0"/>
      <w:marBottom w:val="0"/>
      <w:divBdr>
        <w:top w:val="none" w:sz="0" w:space="0" w:color="auto"/>
        <w:left w:val="none" w:sz="0" w:space="0" w:color="auto"/>
        <w:bottom w:val="none" w:sz="0" w:space="0" w:color="auto"/>
        <w:right w:val="none" w:sz="0" w:space="0" w:color="auto"/>
      </w:divBdr>
    </w:div>
    <w:div w:id="249970281">
      <w:bodyDiv w:val="1"/>
      <w:marLeft w:val="0"/>
      <w:marRight w:val="0"/>
      <w:marTop w:val="0"/>
      <w:marBottom w:val="0"/>
      <w:divBdr>
        <w:top w:val="none" w:sz="0" w:space="0" w:color="auto"/>
        <w:left w:val="none" w:sz="0" w:space="0" w:color="auto"/>
        <w:bottom w:val="none" w:sz="0" w:space="0" w:color="auto"/>
        <w:right w:val="none" w:sz="0" w:space="0" w:color="auto"/>
      </w:divBdr>
    </w:div>
    <w:div w:id="259223401">
      <w:bodyDiv w:val="1"/>
      <w:marLeft w:val="0"/>
      <w:marRight w:val="0"/>
      <w:marTop w:val="0"/>
      <w:marBottom w:val="0"/>
      <w:divBdr>
        <w:top w:val="none" w:sz="0" w:space="0" w:color="auto"/>
        <w:left w:val="none" w:sz="0" w:space="0" w:color="auto"/>
        <w:bottom w:val="none" w:sz="0" w:space="0" w:color="auto"/>
        <w:right w:val="none" w:sz="0" w:space="0" w:color="auto"/>
      </w:divBdr>
    </w:div>
    <w:div w:id="260139956">
      <w:bodyDiv w:val="1"/>
      <w:marLeft w:val="0"/>
      <w:marRight w:val="0"/>
      <w:marTop w:val="0"/>
      <w:marBottom w:val="0"/>
      <w:divBdr>
        <w:top w:val="none" w:sz="0" w:space="0" w:color="auto"/>
        <w:left w:val="none" w:sz="0" w:space="0" w:color="auto"/>
        <w:bottom w:val="none" w:sz="0" w:space="0" w:color="auto"/>
        <w:right w:val="none" w:sz="0" w:space="0" w:color="auto"/>
      </w:divBdr>
    </w:div>
    <w:div w:id="381363737">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17137119">
      <w:bodyDiv w:val="1"/>
      <w:marLeft w:val="0"/>
      <w:marRight w:val="0"/>
      <w:marTop w:val="0"/>
      <w:marBottom w:val="0"/>
      <w:divBdr>
        <w:top w:val="none" w:sz="0" w:space="0" w:color="auto"/>
        <w:left w:val="none" w:sz="0" w:space="0" w:color="auto"/>
        <w:bottom w:val="none" w:sz="0" w:space="0" w:color="auto"/>
        <w:right w:val="none" w:sz="0" w:space="0" w:color="auto"/>
      </w:divBdr>
    </w:div>
    <w:div w:id="445390848">
      <w:bodyDiv w:val="1"/>
      <w:marLeft w:val="0"/>
      <w:marRight w:val="0"/>
      <w:marTop w:val="0"/>
      <w:marBottom w:val="0"/>
      <w:divBdr>
        <w:top w:val="none" w:sz="0" w:space="0" w:color="auto"/>
        <w:left w:val="none" w:sz="0" w:space="0" w:color="auto"/>
        <w:bottom w:val="none" w:sz="0" w:space="0" w:color="auto"/>
        <w:right w:val="none" w:sz="0" w:space="0" w:color="auto"/>
      </w:divBdr>
    </w:div>
    <w:div w:id="541095101">
      <w:bodyDiv w:val="1"/>
      <w:marLeft w:val="0"/>
      <w:marRight w:val="0"/>
      <w:marTop w:val="0"/>
      <w:marBottom w:val="0"/>
      <w:divBdr>
        <w:top w:val="none" w:sz="0" w:space="0" w:color="auto"/>
        <w:left w:val="none" w:sz="0" w:space="0" w:color="auto"/>
        <w:bottom w:val="none" w:sz="0" w:space="0" w:color="auto"/>
        <w:right w:val="none" w:sz="0" w:space="0" w:color="auto"/>
      </w:divBdr>
    </w:div>
    <w:div w:id="606431929">
      <w:bodyDiv w:val="1"/>
      <w:marLeft w:val="0"/>
      <w:marRight w:val="0"/>
      <w:marTop w:val="0"/>
      <w:marBottom w:val="0"/>
      <w:divBdr>
        <w:top w:val="none" w:sz="0" w:space="0" w:color="auto"/>
        <w:left w:val="none" w:sz="0" w:space="0" w:color="auto"/>
        <w:bottom w:val="none" w:sz="0" w:space="0" w:color="auto"/>
        <w:right w:val="none" w:sz="0" w:space="0" w:color="auto"/>
      </w:divBdr>
      <w:divsChild>
        <w:div w:id="909538563">
          <w:marLeft w:val="0"/>
          <w:marRight w:val="0"/>
          <w:marTop w:val="0"/>
          <w:marBottom w:val="0"/>
          <w:divBdr>
            <w:top w:val="none" w:sz="0" w:space="0" w:color="C4DEEE"/>
            <w:left w:val="none" w:sz="0" w:space="0" w:color="C4DEEE"/>
            <w:bottom w:val="none" w:sz="0" w:space="0" w:color="C4DEEE"/>
            <w:right w:val="none" w:sz="0" w:space="0" w:color="C4DEEE"/>
          </w:divBdr>
        </w:div>
        <w:div w:id="1098677752">
          <w:marLeft w:val="0"/>
          <w:marRight w:val="0"/>
          <w:marTop w:val="0"/>
          <w:marBottom w:val="0"/>
          <w:divBdr>
            <w:top w:val="none" w:sz="0" w:space="0" w:color="C4DEEE"/>
            <w:left w:val="none" w:sz="0" w:space="8" w:color="C4DEEE"/>
            <w:bottom w:val="none" w:sz="0" w:space="0" w:color="C4DEEE"/>
            <w:right w:val="none" w:sz="0" w:space="0" w:color="C4DEEE"/>
          </w:divBdr>
        </w:div>
      </w:divsChild>
    </w:div>
    <w:div w:id="627514342">
      <w:bodyDiv w:val="1"/>
      <w:marLeft w:val="0"/>
      <w:marRight w:val="0"/>
      <w:marTop w:val="0"/>
      <w:marBottom w:val="0"/>
      <w:divBdr>
        <w:top w:val="none" w:sz="0" w:space="0" w:color="auto"/>
        <w:left w:val="none" w:sz="0" w:space="0" w:color="auto"/>
        <w:bottom w:val="none" w:sz="0" w:space="0" w:color="auto"/>
        <w:right w:val="none" w:sz="0" w:space="0" w:color="auto"/>
      </w:divBdr>
    </w:div>
    <w:div w:id="688070866">
      <w:bodyDiv w:val="1"/>
      <w:marLeft w:val="0"/>
      <w:marRight w:val="0"/>
      <w:marTop w:val="0"/>
      <w:marBottom w:val="0"/>
      <w:divBdr>
        <w:top w:val="none" w:sz="0" w:space="0" w:color="auto"/>
        <w:left w:val="none" w:sz="0" w:space="0" w:color="auto"/>
        <w:bottom w:val="none" w:sz="0" w:space="0" w:color="auto"/>
        <w:right w:val="none" w:sz="0" w:space="0" w:color="auto"/>
      </w:divBdr>
      <w:divsChild>
        <w:div w:id="700788244">
          <w:marLeft w:val="0"/>
          <w:marRight w:val="0"/>
          <w:marTop w:val="0"/>
          <w:marBottom w:val="0"/>
          <w:divBdr>
            <w:top w:val="none" w:sz="0" w:space="0" w:color="C4DEEE"/>
            <w:left w:val="none" w:sz="0" w:space="8" w:color="C4DEEE"/>
            <w:bottom w:val="none" w:sz="0" w:space="0" w:color="C4DEEE"/>
            <w:right w:val="none" w:sz="0" w:space="0" w:color="C4DEEE"/>
          </w:divBdr>
        </w:div>
        <w:div w:id="1498154859">
          <w:marLeft w:val="0"/>
          <w:marRight w:val="0"/>
          <w:marTop w:val="0"/>
          <w:marBottom w:val="0"/>
          <w:divBdr>
            <w:top w:val="none" w:sz="0" w:space="0" w:color="C4DEEE"/>
            <w:left w:val="none" w:sz="0" w:space="0" w:color="C4DEEE"/>
            <w:bottom w:val="none" w:sz="0" w:space="0" w:color="C4DEEE"/>
            <w:right w:val="none" w:sz="0" w:space="0" w:color="C4DEEE"/>
          </w:divBdr>
        </w:div>
      </w:divsChild>
    </w:div>
    <w:div w:id="789473120">
      <w:bodyDiv w:val="1"/>
      <w:marLeft w:val="0"/>
      <w:marRight w:val="0"/>
      <w:marTop w:val="0"/>
      <w:marBottom w:val="0"/>
      <w:divBdr>
        <w:top w:val="none" w:sz="0" w:space="0" w:color="auto"/>
        <w:left w:val="none" w:sz="0" w:space="0" w:color="auto"/>
        <w:bottom w:val="none" w:sz="0" w:space="0" w:color="auto"/>
        <w:right w:val="none" w:sz="0" w:space="0" w:color="auto"/>
      </w:divBdr>
    </w:div>
    <w:div w:id="958218242">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56728329">
      <w:bodyDiv w:val="1"/>
      <w:marLeft w:val="0"/>
      <w:marRight w:val="0"/>
      <w:marTop w:val="0"/>
      <w:marBottom w:val="0"/>
      <w:divBdr>
        <w:top w:val="none" w:sz="0" w:space="0" w:color="auto"/>
        <w:left w:val="none" w:sz="0" w:space="0" w:color="auto"/>
        <w:bottom w:val="none" w:sz="0" w:space="0" w:color="auto"/>
        <w:right w:val="none" w:sz="0" w:space="0" w:color="auto"/>
      </w:divBdr>
    </w:div>
    <w:div w:id="1451318561">
      <w:bodyDiv w:val="1"/>
      <w:marLeft w:val="0"/>
      <w:marRight w:val="0"/>
      <w:marTop w:val="0"/>
      <w:marBottom w:val="0"/>
      <w:divBdr>
        <w:top w:val="none" w:sz="0" w:space="0" w:color="auto"/>
        <w:left w:val="none" w:sz="0" w:space="0" w:color="auto"/>
        <w:bottom w:val="none" w:sz="0" w:space="0" w:color="auto"/>
        <w:right w:val="none" w:sz="0" w:space="0" w:color="auto"/>
      </w:divBdr>
    </w:div>
    <w:div w:id="1469543326">
      <w:bodyDiv w:val="1"/>
      <w:marLeft w:val="0"/>
      <w:marRight w:val="0"/>
      <w:marTop w:val="0"/>
      <w:marBottom w:val="0"/>
      <w:divBdr>
        <w:top w:val="none" w:sz="0" w:space="0" w:color="auto"/>
        <w:left w:val="none" w:sz="0" w:space="0" w:color="auto"/>
        <w:bottom w:val="none" w:sz="0" w:space="0" w:color="auto"/>
        <w:right w:val="none" w:sz="0" w:space="0" w:color="auto"/>
      </w:divBdr>
    </w:div>
    <w:div w:id="1482237088">
      <w:bodyDiv w:val="1"/>
      <w:marLeft w:val="0"/>
      <w:marRight w:val="0"/>
      <w:marTop w:val="0"/>
      <w:marBottom w:val="0"/>
      <w:divBdr>
        <w:top w:val="none" w:sz="0" w:space="0" w:color="auto"/>
        <w:left w:val="none" w:sz="0" w:space="0" w:color="auto"/>
        <w:bottom w:val="none" w:sz="0" w:space="0" w:color="auto"/>
        <w:right w:val="none" w:sz="0" w:space="0" w:color="auto"/>
      </w:divBdr>
      <w:divsChild>
        <w:div w:id="90900584">
          <w:marLeft w:val="0"/>
          <w:marRight w:val="0"/>
          <w:marTop w:val="0"/>
          <w:marBottom w:val="0"/>
          <w:divBdr>
            <w:top w:val="none" w:sz="0" w:space="0" w:color="C4DEEE"/>
            <w:left w:val="none" w:sz="0" w:space="8" w:color="C4DEEE"/>
            <w:bottom w:val="none" w:sz="0" w:space="0" w:color="C4DEEE"/>
            <w:right w:val="none" w:sz="0" w:space="0" w:color="C4DEEE"/>
          </w:divBdr>
        </w:div>
        <w:div w:id="362171980">
          <w:marLeft w:val="0"/>
          <w:marRight w:val="0"/>
          <w:marTop w:val="0"/>
          <w:marBottom w:val="0"/>
          <w:divBdr>
            <w:top w:val="none" w:sz="0" w:space="0" w:color="C4DEEE"/>
            <w:left w:val="none" w:sz="0" w:space="0" w:color="C4DEEE"/>
            <w:bottom w:val="none" w:sz="0" w:space="0" w:color="C4DEEE"/>
            <w:right w:val="none" w:sz="0" w:space="0" w:color="C4DEEE"/>
          </w:divBdr>
        </w:div>
      </w:divsChild>
    </w:div>
    <w:div w:id="1512178105">
      <w:bodyDiv w:val="1"/>
      <w:marLeft w:val="0"/>
      <w:marRight w:val="0"/>
      <w:marTop w:val="0"/>
      <w:marBottom w:val="0"/>
      <w:divBdr>
        <w:top w:val="none" w:sz="0" w:space="0" w:color="auto"/>
        <w:left w:val="none" w:sz="0" w:space="0" w:color="auto"/>
        <w:bottom w:val="none" w:sz="0" w:space="0" w:color="auto"/>
        <w:right w:val="none" w:sz="0" w:space="0" w:color="auto"/>
      </w:divBdr>
      <w:divsChild>
        <w:div w:id="328218794">
          <w:marLeft w:val="0"/>
          <w:marRight w:val="0"/>
          <w:marTop w:val="0"/>
          <w:marBottom w:val="0"/>
          <w:divBdr>
            <w:top w:val="none" w:sz="0" w:space="0" w:color="C4DEEE"/>
            <w:left w:val="none" w:sz="0" w:space="0" w:color="C4DEEE"/>
            <w:bottom w:val="none" w:sz="0" w:space="0" w:color="C4DEEE"/>
            <w:right w:val="none" w:sz="0" w:space="0" w:color="C4DEEE"/>
          </w:divBdr>
        </w:div>
        <w:div w:id="894200256">
          <w:marLeft w:val="0"/>
          <w:marRight w:val="0"/>
          <w:marTop w:val="0"/>
          <w:marBottom w:val="0"/>
          <w:divBdr>
            <w:top w:val="none" w:sz="0" w:space="0" w:color="C4DEEE"/>
            <w:left w:val="none" w:sz="0" w:space="8" w:color="C4DEEE"/>
            <w:bottom w:val="none" w:sz="0" w:space="0" w:color="C4DEEE"/>
            <w:right w:val="none" w:sz="0" w:space="0" w:color="C4DEEE"/>
          </w:divBdr>
        </w:div>
      </w:divsChild>
    </w:div>
    <w:div w:id="1705204212">
      <w:bodyDiv w:val="1"/>
      <w:marLeft w:val="0"/>
      <w:marRight w:val="0"/>
      <w:marTop w:val="0"/>
      <w:marBottom w:val="0"/>
      <w:divBdr>
        <w:top w:val="none" w:sz="0" w:space="0" w:color="auto"/>
        <w:left w:val="none" w:sz="0" w:space="0" w:color="auto"/>
        <w:bottom w:val="none" w:sz="0" w:space="0" w:color="auto"/>
        <w:right w:val="none" w:sz="0" w:space="0" w:color="auto"/>
      </w:divBdr>
    </w:div>
    <w:div w:id="1705207701">
      <w:bodyDiv w:val="1"/>
      <w:marLeft w:val="0"/>
      <w:marRight w:val="0"/>
      <w:marTop w:val="0"/>
      <w:marBottom w:val="0"/>
      <w:divBdr>
        <w:top w:val="none" w:sz="0" w:space="0" w:color="auto"/>
        <w:left w:val="none" w:sz="0" w:space="0" w:color="auto"/>
        <w:bottom w:val="none" w:sz="0" w:space="0" w:color="auto"/>
        <w:right w:val="none" w:sz="0" w:space="0" w:color="auto"/>
      </w:divBdr>
    </w:div>
    <w:div w:id="1851020918">
      <w:bodyDiv w:val="1"/>
      <w:marLeft w:val="0"/>
      <w:marRight w:val="0"/>
      <w:marTop w:val="0"/>
      <w:marBottom w:val="0"/>
      <w:divBdr>
        <w:top w:val="none" w:sz="0" w:space="0" w:color="auto"/>
        <w:left w:val="none" w:sz="0" w:space="0" w:color="auto"/>
        <w:bottom w:val="none" w:sz="0" w:space="0" w:color="auto"/>
        <w:right w:val="none" w:sz="0" w:space="0" w:color="auto"/>
      </w:divBdr>
    </w:div>
    <w:div w:id="1889293947">
      <w:bodyDiv w:val="1"/>
      <w:marLeft w:val="0"/>
      <w:marRight w:val="0"/>
      <w:marTop w:val="0"/>
      <w:marBottom w:val="0"/>
      <w:divBdr>
        <w:top w:val="none" w:sz="0" w:space="0" w:color="auto"/>
        <w:left w:val="none" w:sz="0" w:space="0" w:color="auto"/>
        <w:bottom w:val="none" w:sz="0" w:space="0" w:color="auto"/>
        <w:right w:val="none" w:sz="0" w:space="0" w:color="auto"/>
      </w:divBdr>
    </w:div>
    <w:div w:id="1994405885">
      <w:bodyDiv w:val="1"/>
      <w:marLeft w:val="0"/>
      <w:marRight w:val="0"/>
      <w:marTop w:val="0"/>
      <w:marBottom w:val="0"/>
      <w:divBdr>
        <w:top w:val="none" w:sz="0" w:space="0" w:color="auto"/>
        <w:left w:val="none" w:sz="0" w:space="0" w:color="auto"/>
        <w:bottom w:val="none" w:sz="0" w:space="0" w:color="auto"/>
        <w:right w:val="none" w:sz="0" w:space="0" w:color="auto"/>
      </w:divBdr>
    </w:div>
    <w:div w:id="20368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pbs.gov.au/industry/listing/elements/pbac-meetings/psd/2016-07/files/nivolumab-psd-july-2016.pdf" TargetMode="External"/><Relationship Id="rId2" Type="http://schemas.openxmlformats.org/officeDocument/2006/relationships/hyperlink" Target="https://www.tga.gov.au/consumer-medicines-information-cmi" TargetMode="External"/><Relationship Id="rId1" Type="http://schemas.openxmlformats.org/officeDocument/2006/relationships/hyperlink" Target="http://www.pbs.gov.au/info/industry/listing/elements/pbac-meetings/psd/2018-07/Nivolumab-ipilimumab-psd-july-2018" TargetMode="External"/><Relationship Id="rId6" Type="http://schemas.openxmlformats.org/officeDocument/2006/relationships/hyperlink" Target="http://www.medicareaustralia.gov.au/provider/pbs/stats.jsp" TargetMode="External"/><Relationship Id="rId5" Type="http://schemas.openxmlformats.org/officeDocument/2006/relationships/hyperlink" Target="http://www.pbs.gov.au/industry/listing/elements/pbac-meetings/psd/2017-03/files/nivolumab-rcc-psd-march-2017.pdf" TargetMode="External"/><Relationship Id="rId4" Type="http://schemas.openxmlformats.org/officeDocument/2006/relationships/hyperlink" Target="http://www.pbs.gov.au/industry/listing/elements/pbac-meetings/psd/2016-11/files/nivolumab-rcc-psd-november-2016.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13%20-%20Nivolumab%20for%20RCC%20PvA\D1213_SCRPT_SUM3,%20all%20RCC%20items,%20line%20for%20all%20drug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13%20-%20Nivolumab%20for%20RCC%20PvA\D1213_SCRPT_SUM3,%20all%20RCC%20items,%20line%20for%20all%20drug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13%20-%20Nivolumab%20for%20RCC%20PvA\D1213%20-%20PATCNTBY_DRUG_N_SUPP_Q%20-%20RCC%20only,%20by%20drug%20&amp;%20lin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13%20-%20Nivolumab%20for%20RCC%20PvA\D1213%20-%20PATCNTBY_DRUG_N_SUPP_Q%20-%20RCC%20only,%20by%20drug%20&amp;%20lin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13%20-%20Nivolumab%20for%20RCC%20PvA\D1213%20-%20PATCNTBY_DRUG_N_SUPP_Q%20-%20RCC%20only,%20by%20drug%20&amp;%20lin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13%20-%20Nivolumab%20for%20RCC%20PvA\D1213%20-%20SUPPLY_LAG_FREQ.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13%20-%20Nivolumab%20for%20RCC%20PvA\D1213%20-%20last_nivo_to_death_2wk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13%20-%20Nivolumab%20for%20RCC%20PvA\D1213%20-%20DOSE_FREQ%20by%20period.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[D1213_SCRPT_SUM3, all RCC items, line for all drugs.xlsx]Sheet1 (7)!PivotTable1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s>
    <c:plotArea>
      <c:layout/>
      <c:lineChart>
        <c:grouping val="standard"/>
        <c:varyColors val="0"/>
        <c:ser>
          <c:idx val="0"/>
          <c:order val="0"/>
          <c:tx>
            <c:strRef>
              <c:f>'Sheet1 (7)'!$B$3:$B$5</c:f>
              <c:strCache>
                <c:ptCount val="1"/>
                <c:pt idx="0">
                  <c:v>1st line - IPILIMUMAB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(7)'!$A$6:$A$49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(7)'!$B$6:$B$49</c:f>
              <c:numCache>
                <c:formatCode>General</c:formatCode>
                <c:ptCount val="43"/>
                <c:pt idx="39">
                  <c:v>56</c:v>
                </c:pt>
                <c:pt idx="40">
                  <c:v>288</c:v>
                </c:pt>
                <c:pt idx="41">
                  <c:v>365</c:v>
                </c:pt>
                <c:pt idx="42">
                  <c:v>313</c:v>
                </c:pt>
              </c:numCache>
            </c:numRef>
          </c:val>
          <c:smooth val="0"/>
          <c:extLst>
            <c:ext xmlns:c16="http://schemas.microsoft.com/office/drawing/2014/chart" uri="{C3380CC4-5D6E-409C-BE32-E72D297353CC}">
              <c16:uniqueId val="{00000000-ECEE-4590-AF89-B99698319E9F}"/>
            </c:ext>
          </c:extLst>
        </c:ser>
        <c:ser>
          <c:idx val="1"/>
          <c:order val="1"/>
          <c:tx>
            <c:strRef>
              <c:f>'Sheet1 (7)'!$C$3:$C$5</c:f>
              <c:strCache>
                <c:ptCount val="1"/>
                <c:pt idx="0">
                  <c:v>1st line - NIVOLUMAB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(7)'!$A$6:$A$49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(7)'!$C$6:$C$49</c:f>
              <c:numCache>
                <c:formatCode>General</c:formatCode>
                <c:ptCount val="43"/>
                <c:pt idx="39">
                  <c:v>68</c:v>
                </c:pt>
                <c:pt idx="40">
                  <c:v>438</c:v>
                </c:pt>
                <c:pt idx="41">
                  <c:v>740</c:v>
                </c:pt>
                <c:pt idx="42">
                  <c:v>795</c:v>
                </c:pt>
              </c:numCache>
            </c:numRef>
          </c:val>
          <c:smooth val="0"/>
          <c:extLst>
            <c:ext xmlns:c16="http://schemas.microsoft.com/office/drawing/2014/chart" uri="{C3380CC4-5D6E-409C-BE32-E72D297353CC}">
              <c16:uniqueId val="{00000001-ECEE-4590-AF89-B99698319E9F}"/>
            </c:ext>
          </c:extLst>
        </c:ser>
        <c:ser>
          <c:idx val="2"/>
          <c:order val="2"/>
          <c:tx>
            <c:strRef>
              <c:f>'Sheet1 (7)'!$D$3:$D$5</c:f>
              <c:strCache>
                <c:ptCount val="1"/>
                <c:pt idx="0">
                  <c:v>1st line - PAZOPANIB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(7)'!$A$6:$A$49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(7)'!$D$6:$D$49</c:f>
              <c:numCache>
                <c:formatCode>General</c:formatCode>
                <c:ptCount val="43"/>
                <c:pt idx="14">
                  <c:v>355</c:v>
                </c:pt>
                <c:pt idx="15">
                  <c:v>473</c:v>
                </c:pt>
                <c:pt idx="16">
                  <c:v>561</c:v>
                </c:pt>
                <c:pt idx="17">
                  <c:v>623</c:v>
                </c:pt>
                <c:pt idx="18">
                  <c:v>847</c:v>
                </c:pt>
                <c:pt idx="19">
                  <c:v>843</c:v>
                </c:pt>
                <c:pt idx="20">
                  <c:v>1001</c:v>
                </c:pt>
                <c:pt idx="21">
                  <c:v>1074</c:v>
                </c:pt>
                <c:pt idx="22">
                  <c:v>1083</c:v>
                </c:pt>
                <c:pt idx="23">
                  <c:v>909</c:v>
                </c:pt>
                <c:pt idx="24">
                  <c:v>889</c:v>
                </c:pt>
                <c:pt idx="25">
                  <c:v>895</c:v>
                </c:pt>
                <c:pt idx="26">
                  <c:v>880</c:v>
                </c:pt>
                <c:pt idx="27">
                  <c:v>791</c:v>
                </c:pt>
                <c:pt idx="28">
                  <c:v>905</c:v>
                </c:pt>
                <c:pt idx="29">
                  <c:v>849</c:v>
                </c:pt>
                <c:pt idx="30">
                  <c:v>898</c:v>
                </c:pt>
                <c:pt idx="31">
                  <c:v>850</c:v>
                </c:pt>
                <c:pt idx="32">
                  <c:v>909</c:v>
                </c:pt>
                <c:pt idx="33">
                  <c:v>842</c:v>
                </c:pt>
                <c:pt idx="34">
                  <c:v>841</c:v>
                </c:pt>
                <c:pt idx="35">
                  <c:v>765</c:v>
                </c:pt>
                <c:pt idx="36">
                  <c:v>787</c:v>
                </c:pt>
                <c:pt idx="37">
                  <c:v>932</c:v>
                </c:pt>
                <c:pt idx="38">
                  <c:v>951</c:v>
                </c:pt>
                <c:pt idx="39">
                  <c:v>835</c:v>
                </c:pt>
                <c:pt idx="40">
                  <c:v>738</c:v>
                </c:pt>
                <c:pt idx="41">
                  <c:v>728</c:v>
                </c:pt>
                <c:pt idx="42">
                  <c:v>652</c:v>
                </c:pt>
              </c:numCache>
            </c:numRef>
          </c:val>
          <c:smooth val="0"/>
          <c:extLst>
            <c:ext xmlns:c16="http://schemas.microsoft.com/office/drawing/2014/chart" uri="{C3380CC4-5D6E-409C-BE32-E72D297353CC}">
              <c16:uniqueId val="{00000002-ECEE-4590-AF89-B99698319E9F}"/>
            </c:ext>
          </c:extLst>
        </c:ser>
        <c:ser>
          <c:idx val="3"/>
          <c:order val="3"/>
          <c:tx>
            <c:strRef>
              <c:f>'Sheet1 (7)'!$E$3:$E$5</c:f>
              <c:strCache>
                <c:ptCount val="1"/>
                <c:pt idx="0">
                  <c:v>1st line - SUNITINIB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(7)'!$A$6:$A$49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(7)'!$E$6:$E$49</c:f>
              <c:numCache>
                <c:formatCode>General</c:formatCode>
                <c:ptCount val="43"/>
                <c:pt idx="0">
                  <c:v>743</c:v>
                </c:pt>
                <c:pt idx="1">
                  <c:v>1245</c:v>
                </c:pt>
                <c:pt idx="2">
                  <c:v>1319</c:v>
                </c:pt>
                <c:pt idx="3">
                  <c:v>1231</c:v>
                </c:pt>
                <c:pt idx="4">
                  <c:v>1288</c:v>
                </c:pt>
                <c:pt idx="5">
                  <c:v>1408</c:v>
                </c:pt>
                <c:pt idx="6">
                  <c:v>1465</c:v>
                </c:pt>
                <c:pt idx="7">
                  <c:v>1312</c:v>
                </c:pt>
                <c:pt idx="8">
                  <c:v>1440</c:v>
                </c:pt>
                <c:pt idx="9">
                  <c:v>1375</c:v>
                </c:pt>
                <c:pt idx="10">
                  <c:v>1435</c:v>
                </c:pt>
                <c:pt idx="11">
                  <c:v>1298</c:v>
                </c:pt>
                <c:pt idx="12">
                  <c:v>1424</c:v>
                </c:pt>
                <c:pt idx="13">
                  <c:v>1530</c:v>
                </c:pt>
                <c:pt idx="14">
                  <c:v>1464</c:v>
                </c:pt>
                <c:pt idx="15">
                  <c:v>1093</c:v>
                </c:pt>
                <c:pt idx="16">
                  <c:v>1105</c:v>
                </c:pt>
                <c:pt idx="17">
                  <c:v>979</c:v>
                </c:pt>
                <c:pt idx="18">
                  <c:v>1026</c:v>
                </c:pt>
                <c:pt idx="19">
                  <c:v>842</c:v>
                </c:pt>
                <c:pt idx="20">
                  <c:v>893</c:v>
                </c:pt>
                <c:pt idx="21">
                  <c:v>867</c:v>
                </c:pt>
                <c:pt idx="22">
                  <c:v>913</c:v>
                </c:pt>
                <c:pt idx="23">
                  <c:v>787</c:v>
                </c:pt>
                <c:pt idx="24">
                  <c:v>775</c:v>
                </c:pt>
                <c:pt idx="25">
                  <c:v>849</c:v>
                </c:pt>
                <c:pt idx="26">
                  <c:v>805</c:v>
                </c:pt>
                <c:pt idx="27">
                  <c:v>699</c:v>
                </c:pt>
                <c:pt idx="28">
                  <c:v>684</c:v>
                </c:pt>
                <c:pt idx="29">
                  <c:v>618</c:v>
                </c:pt>
                <c:pt idx="30">
                  <c:v>692</c:v>
                </c:pt>
                <c:pt idx="31">
                  <c:v>699</c:v>
                </c:pt>
                <c:pt idx="32">
                  <c:v>681</c:v>
                </c:pt>
                <c:pt idx="33">
                  <c:v>615</c:v>
                </c:pt>
                <c:pt idx="34">
                  <c:v>601</c:v>
                </c:pt>
                <c:pt idx="35">
                  <c:v>528</c:v>
                </c:pt>
                <c:pt idx="36">
                  <c:v>563</c:v>
                </c:pt>
                <c:pt idx="37">
                  <c:v>542</c:v>
                </c:pt>
                <c:pt idx="38">
                  <c:v>565</c:v>
                </c:pt>
                <c:pt idx="39">
                  <c:v>541</c:v>
                </c:pt>
                <c:pt idx="40">
                  <c:v>509</c:v>
                </c:pt>
                <c:pt idx="41">
                  <c:v>491</c:v>
                </c:pt>
                <c:pt idx="42">
                  <c:v>454</c:v>
                </c:pt>
              </c:numCache>
            </c:numRef>
          </c:val>
          <c:smooth val="0"/>
          <c:extLst>
            <c:ext xmlns:c16="http://schemas.microsoft.com/office/drawing/2014/chart" uri="{C3380CC4-5D6E-409C-BE32-E72D297353CC}">
              <c16:uniqueId val="{00000003-ECEE-4590-AF89-B99698319E9F}"/>
            </c:ext>
          </c:extLst>
        </c:ser>
        <c:ser>
          <c:idx val="4"/>
          <c:order val="4"/>
          <c:tx>
            <c:strRef>
              <c:f>'Sheet1 (7)'!$F$3:$F$5</c:f>
              <c:strCache>
                <c:ptCount val="1"/>
                <c:pt idx="0">
                  <c:v>2nd line - AXITINIB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(7)'!$A$6:$A$49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(7)'!$F$6:$F$49</c:f>
              <c:numCache>
                <c:formatCode>General</c:formatCode>
                <c:ptCount val="43"/>
                <c:pt idx="26">
                  <c:v>42</c:v>
                </c:pt>
                <c:pt idx="27">
                  <c:v>200</c:v>
                </c:pt>
                <c:pt idx="28">
                  <c:v>254</c:v>
                </c:pt>
                <c:pt idx="29">
                  <c:v>403</c:v>
                </c:pt>
                <c:pt idx="30">
                  <c:v>483</c:v>
                </c:pt>
                <c:pt idx="31">
                  <c:v>506</c:v>
                </c:pt>
                <c:pt idx="32">
                  <c:v>578</c:v>
                </c:pt>
                <c:pt idx="33">
                  <c:v>434</c:v>
                </c:pt>
                <c:pt idx="34">
                  <c:v>289</c:v>
                </c:pt>
                <c:pt idx="35">
                  <c:v>306</c:v>
                </c:pt>
                <c:pt idx="36">
                  <c:v>280</c:v>
                </c:pt>
                <c:pt idx="37">
                  <c:v>268</c:v>
                </c:pt>
                <c:pt idx="38">
                  <c:v>248</c:v>
                </c:pt>
                <c:pt idx="39">
                  <c:v>183</c:v>
                </c:pt>
                <c:pt idx="40">
                  <c:v>189</c:v>
                </c:pt>
                <c:pt idx="41">
                  <c:v>190</c:v>
                </c:pt>
                <c:pt idx="42">
                  <c:v>219</c:v>
                </c:pt>
              </c:numCache>
            </c:numRef>
          </c:val>
          <c:smooth val="0"/>
          <c:extLst>
            <c:ext xmlns:c16="http://schemas.microsoft.com/office/drawing/2014/chart" uri="{C3380CC4-5D6E-409C-BE32-E72D297353CC}">
              <c16:uniqueId val="{00000004-ECEE-4590-AF89-B99698319E9F}"/>
            </c:ext>
          </c:extLst>
        </c:ser>
        <c:ser>
          <c:idx val="5"/>
          <c:order val="5"/>
          <c:tx>
            <c:strRef>
              <c:f>'Sheet1 (7)'!$G$3:$G$5</c:f>
              <c:strCache>
                <c:ptCount val="1"/>
                <c:pt idx="0">
                  <c:v>2nd line - CABOZANTINIB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(7)'!$A$6:$A$49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(7)'!$G$6:$G$49</c:f>
              <c:numCache>
                <c:formatCode>General</c:formatCode>
                <c:ptCount val="43"/>
                <c:pt idx="36">
                  <c:v>72</c:v>
                </c:pt>
                <c:pt idx="37">
                  <c:v>276</c:v>
                </c:pt>
                <c:pt idx="38">
                  <c:v>363</c:v>
                </c:pt>
                <c:pt idx="39">
                  <c:v>420</c:v>
                </c:pt>
                <c:pt idx="40">
                  <c:v>490</c:v>
                </c:pt>
                <c:pt idx="41">
                  <c:v>447</c:v>
                </c:pt>
                <c:pt idx="42">
                  <c:v>561</c:v>
                </c:pt>
              </c:numCache>
            </c:numRef>
          </c:val>
          <c:smooth val="0"/>
          <c:extLst>
            <c:ext xmlns:c16="http://schemas.microsoft.com/office/drawing/2014/chart" uri="{C3380CC4-5D6E-409C-BE32-E72D297353CC}">
              <c16:uniqueId val="{00000005-ECEE-4590-AF89-B99698319E9F}"/>
            </c:ext>
          </c:extLst>
        </c:ser>
        <c:ser>
          <c:idx val="6"/>
          <c:order val="6"/>
          <c:tx>
            <c:strRef>
              <c:f>'Sheet1 (7)'!$H$3:$H$5</c:f>
              <c:strCache>
                <c:ptCount val="1"/>
                <c:pt idx="0">
                  <c:v>2nd line - EVEROLIMUS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(7)'!$A$6:$A$49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(7)'!$H$6:$H$49</c:f>
              <c:numCache>
                <c:formatCode>General</c:formatCode>
                <c:ptCount val="43"/>
                <c:pt idx="21">
                  <c:v>65</c:v>
                </c:pt>
                <c:pt idx="22">
                  <c:v>263</c:v>
                </c:pt>
                <c:pt idx="23">
                  <c:v>280</c:v>
                </c:pt>
                <c:pt idx="24">
                  <c:v>328</c:v>
                </c:pt>
                <c:pt idx="25">
                  <c:v>323</c:v>
                </c:pt>
                <c:pt idx="26">
                  <c:v>284</c:v>
                </c:pt>
                <c:pt idx="27">
                  <c:v>199</c:v>
                </c:pt>
                <c:pt idx="28">
                  <c:v>193</c:v>
                </c:pt>
                <c:pt idx="29">
                  <c:v>173</c:v>
                </c:pt>
                <c:pt idx="30">
                  <c:v>190</c:v>
                </c:pt>
                <c:pt idx="31">
                  <c:v>209</c:v>
                </c:pt>
                <c:pt idx="32">
                  <c:v>222</c:v>
                </c:pt>
                <c:pt idx="33">
                  <c:v>185</c:v>
                </c:pt>
                <c:pt idx="34">
                  <c:v>152</c:v>
                </c:pt>
                <c:pt idx="35">
                  <c:v>141</c:v>
                </c:pt>
                <c:pt idx="36">
                  <c:v>138</c:v>
                </c:pt>
                <c:pt idx="37">
                  <c:v>135</c:v>
                </c:pt>
                <c:pt idx="38">
                  <c:v>174</c:v>
                </c:pt>
                <c:pt idx="39">
                  <c:v>160</c:v>
                </c:pt>
                <c:pt idx="40">
                  <c:v>162</c:v>
                </c:pt>
                <c:pt idx="41">
                  <c:v>157</c:v>
                </c:pt>
                <c:pt idx="42">
                  <c:v>179</c:v>
                </c:pt>
              </c:numCache>
            </c:numRef>
          </c:val>
          <c:smooth val="0"/>
          <c:extLst>
            <c:ext xmlns:c16="http://schemas.microsoft.com/office/drawing/2014/chart" uri="{C3380CC4-5D6E-409C-BE32-E72D297353CC}">
              <c16:uniqueId val="{00000006-ECEE-4590-AF89-B99698319E9F}"/>
            </c:ext>
          </c:extLst>
        </c:ser>
        <c:ser>
          <c:idx val="7"/>
          <c:order val="7"/>
          <c:tx>
            <c:strRef>
              <c:f>'Sheet1 (7)'!$I$3:$I$5</c:f>
              <c:strCache>
                <c:ptCount val="1"/>
                <c:pt idx="0">
                  <c:v>2nd line - NIVOLUMAB</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(7)'!$A$6:$A$49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(7)'!$I$6:$I$49</c:f>
              <c:numCache>
                <c:formatCode>General</c:formatCode>
                <c:ptCount val="43"/>
                <c:pt idx="33">
                  <c:v>787</c:v>
                </c:pt>
                <c:pt idx="34">
                  <c:v>1747</c:v>
                </c:pt>
                <c:pt idx="35">
                  <c:v>1878</c:v>
                </c:pt>
                <c:pt idx="36">
                  <c:v>1972</c:v>
                </c:pt>
                <c:pt idx="37">
                  <c:v>1903</c:v>
                </c:pt>
                <c:pt idx="38">
                  <c:v>1944</c:v>
                </c:pt>
                <c:pt idx="39">
                  <c:v>1926</c:v>
                </c:pt>
                <c:pt idx="40">
                  <c:v>1988</c:v>
                </c:pt>
                <c:pt idx="41">
                  <c:v>2086</c:v>
                </c:pt>
                <c:pt idx="42">
                  <c:v>1830</c:v>
                </c:pt>
              </c:numCache>
            </c:numRef>
          </c:val>
          <c:smooth val="0"/>
          <c:extLst>
            <c:ext xmlns:c16="http://schemas.microsoft.com/office/drawing/2014/chart" uri="{C3380CC4-5D6E-409C-BE32-E72D297353CC}">
              <c16:uniqueId val="{00000007-ECEE-4590-AF89-B99698319E9F}"/>
            </c:ext>
          </c:extLst>
        </c:ser>
        <c:ser>
          <c:idx val="8"/>
          <c:order val="8"/>
          <c:tx>
            <c:strRef>
              <c:f>'Sheet1 (7)'!$J$3:$J$5</c:f>
              <c:strCache>
                <c:ptCount val="1"/>
                <c:pt idx="0">
                  <c:v>2nd line - SORAFENIB</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(7)'!$A$6:$A$49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(7)'!$J$6:$J$49</c:f>
              <c:numCache>
                <c:formatCode>General</c:formatCode>
                <c:ptCount val="43"/>
                <c:pt idx="24">
                  <c:v>64</c:v>
                </c:pt>
                <c:pt idx="25">
                  <c:v>94</c:v>
                </c:pt>
                <c:pt idx="26">
                  <c:v>97</c:v>
                </c:pt>
                <c:pt idx="27">
                  <c:v>64</c:v>
                </c:pt>
                <c:pt idx="28">
                  <c:v>38</c:v>
                </c:pt>
                <c:pt idx="29">
                  <c:v>64</c:v>
                </c:pt>
                <c:pt idx="30">
                  <c:v>63</c:v>
                </c:pt>
                <c:pt idx="31">
                  <c:v>56</c:v>
                </c:pt>
                <c:pt idx="32">
                  <c:v>74</c:v>
                </c:pt>
                <c:pt idx="33">
                  <c:v>83</c:v>
                </c:pt>
                <c:pt idx="34">
                  <c:v>87</c:v>
                </c:pt>
                <c:pt idx="35">
                  <c:v>84</c:v>
                </c:pt>
                <c:pt idx="36">
                  <c:v>96</c:v>
                </c:pt>
                <c:pt idx="37">
                  <c:v>100</c:v>
                </c:pt>
                <c:pt idx="38">
                  <c:v>124</c:v>
                </c:pt>
                <c:pt idx="39">
                  <c:v>93</c:v>
                </c:pt>
                <c:pt idx="40">
                  <c:v>70</c:v>
                </c:pt>
                <c:pt idx="41">
                  <c:v>55</c:v>
                </c:pt>
                <c:pt idx="42">
                  <c:v>49</c:v>
                </c:pt>
              </c:numCache>
            </c:numRef>
          </c:val>
          <c:smooth val="0"/>
          <c:extLst>
            <c:ext xmlns:c16="http://schemas.microsoft.com/office/drawing/2014/chart" uri="{C3380CC4-5D6E-409C-BE32-E72D297353CC}">
              <c16:uniqueId val="{00000008-ECEE-4590-AF89-B99698319E9F}"/>
            </c:ext>
          </c:extLst>
        </c:ser>
        <c:dLbls>
          <c:showLegendKey val="0"/>
          <c:showVal val="0"/>
          <c:showCatName val="0"/>
          <c:showSerName val="0"/>
          <c:showPercent val="0"/>
          <c:showBubbleSize val="0"/>
        </c:dLbls>
        <c:marker val="1"/>
        <c:smooth val="0"/>
        <c:axId val="830822592"/>
        <c:axId val="830818328"/>
      </c:line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max val="2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[D1213_SCRPT_SUM3, all RCC items, line for all drugs.xlsx]Sheet1 (8)!PivotTable1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s>
    <c:plotArea>
      <c:layout>
        <c:manualLayout>
          <c:layoutTarget val="inner"/>
          <c:xMode val="edge"/>
          <c:yMode val="edge"/>
          <c:x val="0.11800914078550274"/>
          <c:y val="6.8304015572543411E-2"/>
          <c:w val="0.84286428860900597"/>
          <c:h val="0.6564016031512262"/>
        </c:manualLayout>
      </c:layout>
      <c:lineChart>
        <c:grouping val="standard"/>
        <c:varyColors val="0"/>
        <c:ser>
          <c:idx val="0"/>
          <c:order val="0"/>
          <c:tx>
            <c:strRef>
              <c:f>'Sheet1 (8)'!$B$3:$B$5</c:f>
              <c:strCache>
                <c:ptCount val="1"/>
                <c:pt idx="0">
                  <c:v>NIVOLUMAB - 2nd line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(8)'!$A$6:$A$35</c:f>
              <c:strCache>
                <c:ptCount val="29"/>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strCache>
            </c:strRef>
          </c:cat>
          <c:val>
            <c:numRef>
              <c:f>'Sheet1 (8)'!$B$6:$B$35</c:f>
              <c:numCache>
                <c:formatCode>General</c:formatCode>
                <c:ptCount val="29"/>
                <c:pt idx="0">
                  <c:v>330</c:v>
                </c:pt>
                <c:pt idx="1">
                  <c:v>457</c:v>
                </c:pt>
                <c:pt idx="2">
                  <c:v>565</c:v>
                </c:pt>
                <c:pt idx="3">
                  <c:v>628</c:v>
                </c:pt>
                <c:pt idx="4">
                  <c:v>554</c:v>
                </c:pt>
                <c:pt idx="5">
                  <c:v>636</c:v>
                </c:pt>
                <c:pt idx="6">
                  <c:v>587</c:v>
                </c:pt>
                <c:pt idx="7">
                  <c:v>655</c:v>
                </c:pt>
                <c:pt idx="8">
                  <c:v>608</c:v>
                </c:pt>
                <c:pt idx="9">
                  <c:v>723</c:v>
                </c:pt>
                <c:pt idx="10">
                  <c:v>641</c:v>
                </c:pt>
                <c:pt idx="11">
                  <c:v>637</c:v>
                </c:pt>
                <c:pt idx="12">
                  <c:v>672</c:v>
                </c:pt>
                <c:pt idx="13">
                  <c:v>594</c:v>
                </c:pt>
                <c:pt idx="14">
                  <c:v>675</c:v>
                </c:pt>
                <c:pt idx="15">
                  <c:v>630</c:v>
                </c:pt>
                <c:pt idx="16">
                  <c:v>639</c:v>
                </c:pt>
                <c:pt idx="17">
                  <c:v>653</c:v>
                </c:pt>
                <c:pt idx="18">
                  <c:v>626</c:v>
                </c:pt>
                <c:pt idx="19">
                  <c:v>647</c:v>
                </c:pt>
                <c:pt idx="20">
                  <c:v>631</c:v>
                </c:pt>
                <c:pt idx="21">
                  <c:v>739</c:v>
                </c:pt>
                <c:pt idx="22">
                  <c:v>618</c:v>
                </c:pt>
                <c:pt idx="23">
                  <c:v>723</c:v>
                </c:pt>
                <c:pt idx="24">
                  <c:v>710</c:v>
                </c:pt>
                <c:pt idx="25">
                  <c:v>653</c:v>
                </c:pt>
                <c:pt idx="26">
                  <c:v>649</c:v>
                </c:pt>
                <c:pt idx="27">
                  <c:v>598</c:v>
                </c:pt>
                <c:pt idx="28">
                  <c:v>583</c:v>
                </c:pt>
              </c:numCache>
            </c:numRef>
          </c:val>
          <c:smooth val="0"/>
          <c:extLst>
            <c:ext xmlns:c16="http://schemas.microsoft.com/office/drawing/2014/chart" uri="{C3380CC4-5D6E-409C-BE32-E72D297353CC}">
              <c16:uniqueId val="{00000000-3B09-49E4-AACE-FAEFE95AB77F}"/>
            </c:ext>
          </c:extLst>
        </c:ser>
        <c:ser>
          <c:idx val="1"/>
          <c:order val="1"/>
          <c:tx>
            <c:strRef>
              <c:f>'Sheet1 (8)'!$C$3:$C$5</c:f>
              <c:strCache>
                <c:ptCount val="1"/>
                <c:pt idx="0">
                  <c:v>NIVOLUMAB - 1st line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(8)'!$A$6:$A$35</c:f>
              <c:strCache>
                <c:ptCount val="29"/>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strCache>
            </c:strRef>
          </c:cat>
          <c:val>
            <c:numRef>
              <c:f>'Sheet1 (8)'!$C$6:$C$35</c:f>
              <c:numCache>
                <c:formatCode>General</c:formatCode>
                <c:ptCount val="29"/>
                <c:pt idx="19">
                  <c:v>68</c:v>
                </c:pt>
                <c:pt idx="20">
                  <c:v>108</c:v>
                </c:pt>
                <c:pt idx="21">
                  <c:v>151</c:v>
                </c:pt>
                <c:pt idx="22">
                  <c:v>179</c:v>
                </c:pt>
                <c:pt idx="23">
                  <c:v>247</c:v>
                </c:pt>
                <c:pt idx="24">
                  <c:v>247</c:v>
                </c:pt>
                <c:pt idx="25">
                  <c:v>246</c:v>
                </c:pt>
                <c:pt idx="26">
                  <c:v>267</c:v>
                </c:pt>
                <c:pt idx="27">
                  <c:v>253</c:v>
                </c:pt>
                <c:pt idx="28">
                  <c:v>275</c:v>
                </c:pt>
              </c:numCache>
            </c:numRef>
          </c:val>
          <c:smooth val="0"/>
          <c:extLst>
            <c:ext xmlns:c16="http://schemas.microsoft.com/office/drawing/2014/chart" uri="{C3380CC4-5D6E-409C-BE32-E72D297353CC}">
              <c16:uniqueId val="{00000001-3B09-49E4-AACE-FAEFE95AB77F}"/>
            </c:ext>
          </c:extLst>
        </c:ser>
        <c:ser>
          <c:idx val="2"/>
          <c:order val="2"/>
          <c:tx>
            <c:strRef>
              <c:f>'Sheet1 (8)'!$D$3:$D$5</c:f>
              <c:strCache>
                <c:ptCount val="1"/>
                <c:pt idx="0">
                  <c:v>IPILIMUMAB - 1st line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(8)'!$A$6:$A$35</c:f>
              <c:strCache>
                <c:ptCount val="29"/>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strCache>
            </c:strRef>
          </c:cat>
          <c:val>
            <c:numRef>
              <c:f>'Sheet1 (8)'!$D$6:$D$35</c:f>
              <c:numCache>
                <c:formatCode>General</c:formatCode>
                <c:ptCount val="29"/>
                <c:pt idx="19">
                  <c:v>56</c:v>
                </c:pt>
                <c:pt idx="20">
                  <c:v>84</c:v>
                </c:pt>
                <c:pt idx="21">
                  <c:v>105</c:v>
                </c:pt>
                <c:pt idx="22">
                  <c:v>99</c:v>
                </c:pt>
                <c:pt idx="23">
                  <c:v>132</c:v>
                </c:pt>
                <c:pt idx="24">
                  <c:v>108</c:v>
                </c:pt>
                <c:pt idx="25">
                  <c:v>125</c:v>
                </c:pt>
                <c:pt idx="26">
                  <c:v>111</c:v>
                </c:pt>
                <c:pt idx="27">
                  <c:v>98</c:v>
                </c:pt>
                <c:pt idx="28">
                  <c:v>104</c:v>
                </c:pt>
              </c:numCache>
            </c:numRef>
          </c:val>
          <c:smooth val="0"/>
          <c:extLst>
            <c:ext xmlns:c16="http://schemas.microsoft.com/office/drawing/2014/chart" uri="{C3380CC4-5D6E-409C-BE32-E72D297353CC}">
              <c16:uniqueId val="{00000002-3B09-49E4-AACE-FAEFE95AB77F}"/>
            </c:ext>
          </c:extLst>
        </c:ser>
        <c:dLbls>
          <c:showLegendKey val="0"/>
          <c:showVal val="0"/>
          <c:showCatName val="0"/>
          <c:showSerName val="0"/>
          <c:showPercent val="0"/>
          <c:showBubbleSize val="0"/>
        </c:dLbls>
        <c:marker val="1"/>
        <c:smooth val="0"/>
        <c:axId val="830822592"/>
        <c:axId val="830818328"/>
      </c:line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Month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manualLayout>
              <c:xMode val="edge"/>
              <c:yMode val="edge"/>
              <c:x val="1.4435021568491281E-2"/>
              <c:y val="0.3188931830975268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between"/>
      </c:valAx>
      <c:spPr>
        <a:noFill/>
        <a:ln>
          <a:noFill/>
        </a:ln>
        <a:effectLst/>
      </c:spPr>
    </c:plotArea>
    <c:legend>
      <c:legendPos val="b"/>
      <c:layout>
        <c:manualLayout>
          <c:xMode val="edge"/>
          <c:yMode val="edge"/>
          <c:x val="0.13727423850962472"/>
          <c:y val="0.9257077907263993"/>
          <c:w val="0.77010915669704516"/>
          <c:h val="5.371960512479228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[D1213 - PATCNTBY_DRUG_N_SUPP_Q - RCC only, by drug &amp; line.xlsx]Sheet1!PivotTable3</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s>
    <c:plotArea>
      <c:layout/>
      <c:lineChart>
        <c:grouping val="standard"/>
        <c:varyColors val="0"/>
        <c:ser>
          <c:idx val="0"/>
          <c:order val="0"/>
          <c:tx>
            <c:strRef>
              <c:f>Sheet1!$B$1:$B$2</c:f>
              <c:strCache>
                <c:ptCount val="1"/>
                <c:pt idx="0">
                  <c:v>prevalent patients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Sheet1!$A$3:$A$46</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Sheet1!$B$3:$B$46</c:f>
              <c:numCache>
                <c:formatCode>General</c:formatCode>
                <c:ptCount val="43"/>
                <c:pt idx="0">
                  <c:v>400</c:v>
                </c:pt>
                <c:pt idx="1">
                  <c:v>532</c:v>
                </c:pt>
                <c:pt idx="2">
                  <c:v>531</c:v>
                </c:pt>
                <c:pt idx="3">
                  <c:v>510</c:v>
                </c:pt>
                <c:pt idx="4">
                  <c:v>543</c:v>
                </c:pt>
                <c:pt idx="5">
                  <c:v>579</c:v>
                </c:pt>
                <c:pt idx="6">
                  <c:v>582</c:v>
                </c:pt>
                <c:pt idx="7">
                  <c:v>562</c:v>
                </c:pt>
                <c:pt idx="8">
                  <c:v>588</c:v>
                </c:pt>
                <c:pt idx="9">
                  <c:v>579</c:v>
                </c:pt>
                <c:pt idx="10">
                  <c:v>580</c:v>
                </c:pt>
                <c:pt idx="11">
                  <c:v>595</c:v>
                </c:pt>
                <c:pt idx="12">
                  <c:v>603</c:v>
                </c:pt>
                <c:pt idx="13">
                  <c:v>631</c:v>
                </c:pt>
                <c:pt idx="14">
                  <c:v>724</c:v>
                </c:pt>
                <c:pt idx="15">
                  <c:v>696</c:v>
                </c:pt>
                <c:pt idx="16">
                  <c:v>700</c:v>
                </c:pt>
                <c:pt idx="17">
                  <c:v>687</c:v>
                </c:pt>
                <c:pt idx="18">
                  <c:v>754</c:v>
                </c:pt>
                <c:pt idx="19">
                  <c:v>757</c:v>
                </c:pt>
                <c:pt idx="20">
                  <c:v>821</c:v>
                </c:pt>
                <c:pt idx="21">
                  <c:v>863</c:v>
                </c:pt>
                <c:pt idx="22">
                  <c:v>928</c:v>
                </c:pt>
                <c:pt idx="23">
                  <c:v>879</c:v>
                </c:pt>
                <c:pt idx="24">
                  <c:v>919</c:v>
                </c:pt>
                <c:pt idx="25">
                  <c:v>946</c:v>
                </c:pt>
                <c:pt idx="26">
                  <c:v>954</c:v>
                </c:pt>
                <c:pt idx="27">
                  <c:v>913</c:v>
                </c:pt>
                <c:pt idx="28">
                  <c:v>932</c:v>
                </c:pt>
                <c:pt idx="29">
                  <c:v>950</c:v>
                </c:pt>
                <c:pt idx="30">
                  <c:v>994</c:v>
                </c:pt>
                <c:pt idx="31">
                  <c:v>1039</c:v>
                </c:pt>
                <c:pt idx="32">
                  <c:v>1078</c:v>
                </c:pt>
                <c:pt idx="33">
                  <c:v>1185</c:v>
                </c:pt>
                <c:pt idx="34">
                  <c:v>1232</c:v>
                </c:pt>
                <c:pt idx="35">
                  <c:v>1216</c:v>
                </c:pt>
                <c:pt idx="36">
                  <c:v>1283</c:v>
                </c:pt>
                <c:pt idx="37">
                  <c:v>1344</c:v>
                </c:pt>
                <c:pt idx="38">
                  <c:v>1410</c:v>
                </c:pt>
                <c:pt idx="39">
                  <c:v>1411</c:v>
                </c:pt>
                <c:pt idx="40">
                  <c:v>1462</c:v>
                </c:pt>
                <c:pt idx="41">
                  <c:v>1527</c:v>
                </c:pt>
                <c:pt idx="42">
                  <c:v>1493</c:v>
                </c:pt>
              </c:numCache>
            </c:numRef>
          </c:val>
          <c:smooth val="0"/>
          <c:extLst>
            <c:ext xmlns:c16="http://schemas.microsoft.com/office/drawing/2014/chart" uri="{C3380CC4-5D6E-409C-BE32-E72D297353CC}">
              <c16:uniqueId val="{00000000-22CD-4568-A07E-C325F131200A}"/>
            </c:ext>
          </c:extLst>
        </c:ser>
        <c:ser>
          <c:idx val="1"/>
          <c:order val="1"/>
          <c:tx>
            <c:strRef>
              <c:f>Sheet1!$C$1:$C$2</c:f>
              <c:strCache>
                <c:ptCount val="1"/>
                <c:pt idx="0">
                  <c:v>initiating patients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Sheet1!$A$3:$A$46</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Sheet1!$C$3:$C$46</c:f>
              <c:numCache>
                <c:formatCode>General</c:formatCode>
                <c:ptCount val="43"/>
                <c:pt idx="0">
                  <c:v>400</c:v>
                </c:pt>
                <c:pt idx="1">
                  <c:v>200</c:v>
                </c:pt>
                <c:pt idx="2">
                  <c:v>118</c:v>
                </c:pt>
                <c:pt idx="3">
                  <c:v>125</c:v>
                </c:pt>
                <c:pt idx="4">
                  <c:v>137</c:v>
                </c:pt>
                <c:pt idx="5">
                  <c:v>130</c:v>
                </c:pt>
                <c:pt idx="6">
                  <c:v>138</c:v>
                </c:pt>
                <c:pt idx="7">
                  <c:v>117</c:v>
                </c:pt>
                <c:pt idx="8">
                  <c:v>119</c:v>
                </c:pt>
                <c:pt idx="9">
                  <c:v>141</c:v>
                </c:pt>
                <c:pt idx="10">
                  <c:v>120</c:v>
                </c:pt>
                <c:pt idx="11">
                  <c:v>128</c:v>
                </c:pt>
                <c:pt idx="12">
                  <c:v>119</c:v>
                </c:pt>
                <c:pt idx="13">
                  <c:v>116</c:v>
                </c:pt>
                <c:pt idx="14">
                  <c:v>157</c:v>
                </c:pt>
                <c:pt idx="15">
                  <c:v>132</c:v>
                </c:pt>
                <c:pt idx="16">
                  <c:v>116</c:v>
                </c:pt>
                <c:pt idx="17">
                  <c:v>130</c:v>
                </c:pt>
                <c:pt idx="18">
                  <c:v>153</c:v>
                </c:pt>
                <c:pt idx="19">
                  <c:v>145</c:v>
                </c:pt>
                <c:pt idx="20">
                  <c:v>170</c:v>
                </c:pt>
                <c:pt idx="21">
                  <c:v>169</c:v>
                </c:pt>
                <c:pt idx="22">
                  <c:v>168</c:v>
                </c:pt>
                <c:pt idx="23">
                  <c:v>125</c:v>
                </c:pt>
                <c:pt idx="24">
                  <c:v>167</c:v>
                </c:pt>
                <c:pt idx="25">
                  <c:v>207</c:v>
                </c:pt>
                <c:pt idx="26">
                  <c:v>182</c:v>
                </c:pt>
                <c:pt idx="27">
                  <c:v>182</c:v>
                </c:pt>
                <c:pt idx="28">
                  <c:v>190</c:v>
                </c:pt>
                <c:pt idx="29">
                  <c:v>164</c:v>
                </c:pt>
                <c:pt idx="30">
                  <c:v>186</c:v>
                </c:pt>
                <c:pt idx="31">
                  <c:v>192</c:v>
                </c:pt>
                <c:pt idx="32">
                  <c:v>199</c:v>
                </c:pt>
                <c:pt idx="33">
                  <c:v>235</c:v>
                </c:pt>
                <c:pt idx="34">
                  <c:v>223</c:v>
                </c:pt>
                <c:pt idx="35">
                  <c:v>196</c:v>
                </c:pt>
                <c:pt idx="36">
                  <c:v>244</c:v>
                </c:pt>
                <c:pt idx="37">
                  <c:v>277</c:v>
                </c:pt>
                <c:pt idx="38">
                  <c:v>256</c:v>
                </c:pt>
                <c:pt idx="39">
                  <c:v>249</c:v>
                </c:pt>
                <c:pt idx="40">
                  <c:v>238</c:v>
                </c:pt>
                <c:pt idx="41">
                  <c:v>267</c:v>
                </c:pt>
                <c:pt idx="42">
                  <c:v>215</c:v>
                </c:pt>
              </c:numCache>
            </c:numRef>
          </c:val>
          <c:smooth val="0"/>
          <c:extLst>
            <c:ext xmlns:c16="http://schemas.microsoft.com/office/drawing/2014/chart" uri="{C3380CC4-5D6E-409C-BE32-E72D297353CC}">
              <c16:uniqueId val="{00000001-22CD-4568-A07E-C325F131200A}"/>
            </c:ext>
          </c:extLst>
        </c:ser>
        <c:dLbls>
          <c:showLegendKey val="0"/>
          <c:showVal val="0"/>
          <c:showCatName val="0"/>
          <c:showSerName val="0"/>
          <c:showPercent val="0"/>
          <c:showBubbleSize val="0"/>
        </c:dLbls>
        <c:marker val="1"/>
        <c:smooth val="0"/>
        <c:axId val="823415984"/>
        <c:axId val="823416312"/>
      </c:lineChart>
      <c:catAx>
        <c:axId val="82341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6312"/>
        <c:crosses val="autoZero"/>
        <c:auto val="1"/>
        <c:lblAlgn val="ctr"/>
        <c:lblOffset val="100"/>
        <c:noMultiLvlLbl val="0"/>
      </c:catAx>
      <c:valAx>
        <c:axId val="823416312"/>
        <c:scaling>
          <c:orientation val="minMax"/>
          <c:max val="1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59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[D1213 - PATCNTBY_DRUG_N_SUPP_Q - RCC only, by drug &amp; line.xlsx]Sheet1 (2)!PivotTable3</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s>
    <c:plotArea>
      <c:layout/>
      <c:lineChart>
        <c:grouping val="standard"/>
        <c:varyColors val="0"/>
        <c:ser>
          <c:idx val="0"/>
          <c:order val="0"/>
          <c:tx>
            <c:strRef>
              <c:f>'Sheet1 (2)'!$B$3:$B$5</c:f>
              <c:strCache>
                <c:ptCount val="1"/>
                <c:pt idx="0">
                  <c:v>1st line - IPILIMUMAB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(2)'!$B$6:$B$49</c:f>
              <c:numCache>
                <c:formatCode>General</c:formatCode>
                <c:ptCount val="43"/>
                <c:pt idx="39">
                  <c:v>43</c:v>
                </c:pt>
                <c:pt idx="40">
                  <c:v>129</c:v>
                </c:pt>
                <c:pt idx="41">
                  <c:v>171</c:v>
                </c:pt>
                <c:pt idx="42">
                  <c:v>149</c:v>
                </c:pt>
              </c:numCache>
            </c:numRef>
          </c:val>
          <c:smooth val="0"/>
          <c:extLst>
            <c:ext xmlns:c16="http://schemas.microsoft.com/office/drawing/2014/chart" uri="{C3380CC4-5D6E-409C-BE32-E72D297353CC}">
              <c16:uniqueId val="{00000000-530C-4DCD-82B8-B7753B8BCB36}"/>
            </c:ext>
          </c:extLst>
        </c:ser>
        <c:ser>
          <c:idx val="1"/>
          <c:order val="1"/>
          <c:tx>
            <c:strRef>
              <c:f>'Sheet1 (2)'!$C$3:$C$5</c:f>
              <c:strCache>
                <c:ptCount val="1"/>
                <c:pt idx="0">
                  <c:v>1st line - NIVOLUMAB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(2)'!$C$6:$C$49</c:f>
              <c:numCache>
                <c:formatCode>General</c:formatCode>
                <c:ptCount val="43"/>
                <c:pt idx="39">
                  <c:v>52</c:v>
                </c:pt>
                <c:pt idx="40">
                  <c:v>148</c:v>
                </c:pt>
                <c:pt idx="41">
                  <c:v>231</c:v>
                </c:pt>
                <c:pt idx="42">
                  <c:v>251</c:v>
                </c:pt>
              </c:numCache>
            </c:numRef>
          </c:val>
          <c:smooth val="0"/>
          <c:extLst>
            <c:ext xmlns:c16="http://schemas.microsoft.com/office/drawing/2014/chart" uri="{C3380CC4-5D6E-409C-BE32-E72D297353CC}">
              <c16:uniqueId val="{00000001-530C-4DCD-82B8-B7753B8BCB36}"/>
            </c:ext>
          </c:extLst>
        </c:ser>
        <c:ser>
          <c:idx val="2"/>
          <c:order val="2"/>
          <c:tx>
            <c:strRef>
              <c:f>'Sheet1 (2)'!$D$3:$D$5</c:f>
              <c:strCache>
                <c:ptCount val="1"/>
                <c:pt idx="0">
                  <c:v>1st line - PAZOPANIB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(2)'!$D$6:$D$49</c:f>
              <c:numCache>
                <c:formatCode>General</c:formatCode>
                <c:ptCount val="43"/>
                <c:pt idx="14">
                  <c:v>168</c:v>
                </c:pt>
                <c:pt idx="15">
                  <c:v>226</c:v>
                </c:pt>
                <c:pt idx="16">
                  <c:v>266</c:v>
                </c:pt>
                <c:pt idx="17">
                  <c:v>294</c:v>
                </c:pt>
                <c:pt idx="18">
                  <c:v>379</c:v>
                </c:pt>
                <c:pt idx="19">
                  <c:v>406</c:v>
                </c:pt>
                <c:pt idx="20">
                  <c:v>458</c:v>
                </c:pt>
                <c:pt idx="21">
                  <c:v>488</c:v>
                </c:pt>
                <c:pt idx="22">
                  <c:v>486</c:v>
                </c:pt>
                <c:pt idx="23">
                  <c:v>432</c:v>
                </c:pt>
                <c:pt idx="24">
                  <c:v>429</c:v>
                </c:pt>
                <c:pt idx="25">
                  <c:v>418</c:v>
                </c:pt>
                <c:pt idx="26">
                  <c:v>421</c:v>
                </c:pt>
                <c:pt idx="27">
                  <c:v>390</c:v>
                </c:pt>
                <c:pt idx="28">
                  <c:v>413</c:v>
                </c:pt>
                <c:pt idx="29">
                  <c:v>406</c:v>
                </c:pt>
                <c:pt idx="30">
                  <c:v>402</c:v>
                </c:pt>
                <c:pt idx="31">
                  <c:v>408</c:v>
                </c:pt>
                <c:pt idx="32">
                  <c:v>421</c:v>
                </c:pt>
                <c:pt idx="33">
                  <c:v>422</c:v>
                </c:pt>
                <c:pt idx="34">
                  <c:v>396</c:v>
                </c:pt>
                <c:pt idx="35">
                  <c:v>375</c:v>
                </c:pt>
                <c:pt idx="36">
                  <c:v>385</c:v>
                </c:pt>
                <c:pt idx="37">
                  <c:v>428</c:v>
                </c:pt>
                <c:pt idx="38">
                  <c:v>422</c:v>
                </c:pt>
                <c:pt idx="39">
                  <c:v>391</c:v>
                </c:pt>
                <c:pt idx="40">
                  <c:v>343</c:v>
                </c:pt>
                <c:pt idx="41">
                  <c:v>326</c:v>
                </c:pt>
                <c:pt idx="42">
                  <c:v>286</c:v>
                </c:pt>
              </c:numCache>
            </c:numRef>
          </c:val>
          <c:smooth val="0"/>
          <c:extLst>
            <c:ext xmlns:c16="http://schemas.microsoft.com/office/drawing/2014/chart" uri="{C3380CC4-5D6E-409C-BE32-E72D297353CC}">
              <c16:uniqueId val="{00000002-530C-4DCD-82B8-B7753B8BCB36}"/>
            </c:ext>
          </c:extLst>
        </c:ser>
        <c:ser>
          <c:idx val="3"/>
          <c:order val="3"/>
          <c:tx>
            <c:strRef>
              <c:f>'Sheet1 (2)'!$E$3:$E$5</c:f>
              <c:strCache>
                <c:ptCount val="1"/>
                <c:pt idx="0">
                  <c:v>1st line - SUNITINIB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(2)'!$E$6:$E$49</c:f>
              <c:numCache>
                <c:formatCode>General</c:formatCode>
                <c:ptCount val="43"/>
                <c:pt idx="0">
                  <c:v>400</c:v>
                </c:pt>
                <c:pt idx="1">
                  <c:v>532</c:v>
                </c:pt>
                <c:pt idx="2">
                  <c:v>531</c:v>
                </c:pt>
                <c:pt idx="3">
                  <c:v>510</c:v>
                </c:pt>
                <c:pt idx="4">
                  <c:v>543</c:v>
                </c:pt>
                <c:pt idx="5">
                  <c:v>579</c:v>
                </c:pt>
                <c:pt idx="6">
                  <c:v>582</c:v>
                </c:pt>
                <c:pt idx="7">
                  <c:v>562</c:v>
                </c:pt>
                <c:pt idx="8">
                  <c:v>588</c:v>
                </c:pt>
                <c:pt idx="9">
                  <c:v>579</c:v>
                </c:pt>
                <c:pt idx="10">
                  <c:v>580</c:v>
                </c:pt>
                <c:pt idx="11">
                  <c:v>595</c:v>
                </c:pt>
                <c:pt idx="12">
                  <c:v>603</c:v>
                </c:pt>
                <c:pt idx="13">
                  <c:v>631</c:v>
                </c:pt>
                <c:pt idx="14">
                  <c:v>579</c:v>
                </c:pt>
                <c:pt idx="15">
                  <c:v>483</c:v>
                </c:pt>
                <c:pt idx="16">
                  <c:v>443</c:v>
                </c:pt>
                <c:pt idx="17">
                  <c:v>412</c:v>
                </c:pt>
                <c:pt idx="18">
                  <c:v>387</c:v>
                </c:pt>
                <c:pt idx="19">
                  <c:v>367</c:v>
                </c:pt>
                <c:pt idx="20">
                  <c:v>375</c:v>
                </c:pt>
                <c:pt idx="21">
                  <c:v>359</c:v>
                </c:pt>
                <c:pt idx="22">
                  <c:v>346</c:v>
                </c:pt>
                <c:pt idx="23">
                  <c:v>345</c:v>
                </c:pt>
                <c:pt idx="24">
                  <c:v>345</c:v>
                </c:pt>
                <c:pt idx="25">
                  <c:v>365</c:v>
                </c:pt>
                <c:pt idx="26">
                  <c:v>363</c:v>
                </c:pt>
                <c:pt idx="27">
                  <c:v>340</c:v>
                </c:pt>
                <c:pt idx="28">
                  <c:v>331</c:v>
                </c:pt>
                <c:pt idx="29">
                  <c:v>321</c:v>
                </c:pt>
                <c:pt idx="30">
                  <c:v>340</c:v>
                </c:pt>
                <c:pt idx="31">
                  <c:v>354</c:v>
                </c:pt>
                <c:pt idx="32">
                  <c:v>355</c:v>
                </c:pt>
                <c:pt idx="33">
                  <c:v>320</c:v>
                </c:pt>
                <c:pt idx="34">
                  <c:v>311</c:v>
                </c:pt>
                <c:pt idx="35">
                  <c:v>284</c:v>
                </c:pt>
                <c:pt idx="36">
                  <c:v>282</c:v>
                </c:pt>
                <c:pt idx="37">
                  <c:v>271</c:v>
                </c:pt>
                <c:pt idx="38">
                  <c:v>300</c:v>
                </c:pt>
                <c:pt idx="39">
                  <c:v>290</c:v>
                </c:pt>
                <c:pt idx="40">
                  <c:v>257</c:v>
                </c:pt>
                <c:pt idx="41">
                  <c:v>261</c:v>
                </c:pt>
                <c:pt idx="42">
                  <c:v>232</c:v>
                </c:pt>
              </c:numCache>
            </c:numRef>
          </c:val>
          <c:smooth val="0"/>
          <c:extLst>
            <c:ext xmlns:c16="http://schemas.microsoft.com/office/drawing/2014/chart" uri="{C3380CC4-5D6E-409C-BE32-E72D297353CC}">
              <c16:uniqueId val="{00000003-530C-4DCD-82B8-B7753B8BCB36}"/>
            </c:ext>
          </c:extLst>
        </c:ser>
        <c:ser>
          <c:idx val="4"/>
          <c:order val="4"/>
          <c:tx>
            <c:strRef>
              <c:f>'Sheet1 (2)'!$F$3:$F$5</c:f>
              <c:strCache>
                <c:ptCount val="1"/>
                <c:pt idx="0">
                  <c:v>2nd line - AXITINIB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(2)'!$F$6:$F$49</c:f>
              <c:numCache>
                <c:formatCode>General</c:formatCode>
                <c:ptCount val="43"/>
                <c:pt idx="26">
                  <c:v>32</c:v>
                </c:pt>
                <c:pt idx="27">
                  <c:v>83</c:v>
                </c:pt>
                <c:pt idx="28">
                  <c:v>106</c:v>
                </c:pt>
                <c:pt idx="29">
                  <c:v>153</c:v>
                </c:pt>
                <c:pt idx="30">
                  <c:v>179</c:v>
                </c:pt>
                <c:pt idx="31">
                  <c:v>204</c:v>
                </c:pt>
                <c:pt idx="32">
                  <c:v>208</c:v>
                </c:pt>
                <c:pt idx="33">
                  <c:v>157</c:v>
                </c:pt>
                <c:pt idx="34">
                  <c:v>107</c:v>
                </c:pt>
                <c:pt idx="35">
                  <c:v>122</c:v>
                </c:pt>
                <c:pt idx="36">
                  <c:v>106</c:v>
                </c:pt>
                <c:pt idx="37">
                  <c:v>91</c:v>
                </c:pt>
                <c:pt idx="38">
                  <c:v>82</c:v>
                </c:pt>
                <c:pt idx="39">
                  <c:v>61</c:v>
                </c:pt>
                <c:pt idx="40">
                  <c:v>68</c:v>
                </c:pt>
                <c:pt idx="41">
                  <c:v>79</c:v>
                </c:pt>
                <c:pt idx="42">
                  <c:v>68</c:v>
                </c:pt>
              </c:numCache>
            </c:numRef>
          </c:val>
          <c:smooth val="0"/>
          <c:extLst>
            <c:ext xmlns:c16="http://schemas.microsoft.com/office/drawing/2014/chart" uri="{C3380CC4-5D6E-409C-BE32-E72D297353CC}">
              <c16:uniqueId val="{00000004-530C-4DCD-82B8-B7753B8BCB36}"/>
            </c:ext>
          </c:extLst>
        </c:ser>
        <c:ser>
          <c:idx val="5"/>
          <c:order val="5"/>
          <c:tx>
            <c:strRef>
              <c:f>'Sheet1 (2)'!$G$3:$G$5</c:f>
              <c:strCache>
                <c:ptCount val="1"/>
                <c:pt idx="0">
                  <c:v>2nd line - CABOZANTINIB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(2)'!$A$6:$A$49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(2)'!$G$6:$G$49</c:f>
              <c:numCache>
                <c:formatCode>General</c:formatCode>
                <c:ptCount val="43"/>
                <c:pt idx="36">
                  <c:v>56</c:v>
                </c:pt>
                <c:pt idx="37">
                  <c:v>122</c:v>
                </c:pt>
                <c:pt idx="38">
                  <c:v>151</c:v>
                </c:pt>
                <c:pt idx="39">
                  <c:v>180</c:v>
                </c:pt>
                <c:pt idx="40">
                  <c:v>187</c:v>
                </c:pt>
                <c:pt idx="41">
                  <c:v>197</c:v>
                </c:pt>
                <c:pt idx="42">
                  <c:v>217</c:v>
                </c:pt>
              </c:numCache>
            </c:numRef>
          </c:val>
          <c:smooth val="0"/>
          <c:extLst>
            <c:ext xmlns:c16="http://schemas.microsoft.com/office/drawing/2014/chart" uri="{C3380CC4-5D6E-409C-BE32-E72D297353CC}">
              <c16:uniqueId val="{00000005-530C-4DCD-82B8-B7753B8BCB36}"/>
            </c:ext>
          </c:extLst>
        </c:ser>
        <c:ser>
          <c:idx val="6"/>
          <c:order val="6"/>
          <c:tx>
            <c:strRef>
              <c:f>'Sheet1 (2)'!$H$3:$H$5</c:f>
              <c:strCache>
                <c:ptCount val="1"/>
                <c:pt idx="0">
                  <c:v>2nd line - EVEROLIMUS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(2)'!$A$6:$A$49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(2)'!$H$6:$H$49</c:f>
              <c:numCache>
                <c:formatCode>General</c:formatCode>
                <c:ptCount val="43"/>
                <c:pt idx="21">
                  <c:v>53</c:v>
                </c:pt>
                <c:pt idx="22">
                  <c:v>132</c:v>
                </c:pt>
                <c:pt idx="23">
                  <c:v>152</c:v>
                </c:pt>
                <c:pt idx="24">
                  <c:v>146</c:v>
                </c:pt>
                <c:pt idx="25">
                  <c:v>154</c:v>
                </c:pt>
                <c:pt idx="26">
                  <c:v>131</c:v>
                </c:pt>
                <c:pt idx="27">
                  <c:v>95</c:v>
                </c:pt>
                <c:pt idx="28">
                  <c:v>100</c:v>
                </c:pt>
                <c:pt idx="29">
                  <c:v>85</c:v>
                </c:pt>
                <c:pt idx="30">
                  <c:v>86</c:v>
                </c:pt>
                <c:pt idx="31">
                  <c:v>102</c:v>
                </c:pt>
                <c:pt idx="32">
                  <c:v>98</c:v>
                </c:pt>
                <c:pt idx="33">
                  <c:v>81</c:v>
                </c:pt>
                <c:pt idx="34">
                  <c:v>65</c:v>
                </c:pt>
                <c:pt idx="35">
                  <c:v>60</c:v>
                </c:pt>
                <c:pt idx="36">
                  <c:v>65</c:v>
                </c:pt>
                <c:pt idx="37">
                  <c:v>68</c:v>
                </c:pt>
                <c:pt idx="38">
                  <c:v>76</c:v>
                </c:pt>
                <c:pt idx="39">
                  <c:v>83</c:v>
                </c:pt>
                <c:pt idx="40">
                  <c:v>72</c:v>
                </c:pt>
                <c:pt idx="41">
                  <c:v>72</c:v>
                </c:pt>
                <c:pt idx="42">
                  <c:v>73</c:v>
                </c:pt>
              </c:numCache>
            </c:numRef>
          </c:val>
          <c:smooth val="0"/>
          <c:extLst>
            <c:ext xmlns:c16="http://schemas.microsoft.com/office/drawing/2014/chart" uri="{C3380CC4-5D6E-409C-BE32-E72D297353CC}">
              <c16:uniqueId val="{00000006-530C-4DCD-82B8-B7753B8BCB36}"/>
            </c:ext>
          </c:extLst>
        </c:ser>
        <c:ser>
          <c:idx val="7"/>
          <c:order val="7"/>
          <c:tx>
            <c:strRef>
              <c:f>'Sheet1 (2)'!$I$3:$I$5</c:f>
              <c:strCache>
                <c:ptCount val="1"/>
                <c:pt idx="0">
                  <c:v>2nd line - NIVOLUMAB</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(2)'!$A$6:$A$49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(2)'!$I$6:$I$49</c:f>
              <c:numCache>
                <c:formatCode>General</c:formatCode>
                <c:ptCount val="43"/>
                <c:pt idx="33">
                  <c:v>262</c:v>
                </c:pt>
                <c:pt idx="34">
                  <c:v>390</c:v>
                </c:pt>
                <c:pt idx="35">
                  <c:v>403</c:v>
                </c:pt>
                <c:pt idx="36">
                  <c:v>430</c:v>
                </c:pt>
                <c:pt idx="37">
                  <c:v>419</c:v>
                </c:pt>
                <c:pt idx="38">
                  <c:v>418</c:v>
                </c:pt>
                <c:pt idx="39">
                  <c:v>395</c:v>
                </c:pt>
                <c:pt idx="40">
                  <c:v>427</c:v>
                </c:pt>
                <c:pt idx="41">
                  <c:v>466</c:v>
                </c:pt>
                <c:pt idx="42">
                  <c:v>463</c:v>
                </c:pt>
              </c:numCache>
            </c:numRef>
          </c:val>
          <c:smooth val="0"/>
          <c:extLst>
            <c:ext xmlns:c16="http://schemas.microsoft.com/office/drawing/2014/chart" uri="{C3380CC4-5D6E-409C-BE32-E72D297353CC}">
              <c16:uniqueId val="{00000007-530C-4DCD-82B8-B7753B8BCB36}"/>
            </c:ext>
          </c:extLst>
        </c:ser>
        <c:ser>
          <c:idx val="8"/>
          <c:order val="8"/>
          <c:tx>
            <c:strRef>
              <c:f>'Sheet1 (2)'!$J$3:$J$5</c:f>
              <c:strCache>
                <c:ptCount val="1"/>
                <c:pt idx="0">
                  <c:v>2nd line - SORAFENIB</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(2)'!$A$6:$A$49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(2)'!$J$6:$J$49</c:f>
              <c:numCache>
                <c:formatCode>General</c:formatCode>
                <c:ptCount val="43"/>
                <c:pt idx="24">
                  <c:v>45</c:v>
                </c:pt>
                <c:pt idx="25">
                  <c:v>56</c:v>
                </c:pt>
                <c:pt idx="26">
                  <c:v>54</c:v>
                </c:pt>
                <c:pt idx="27">
                  <c:v>36</c:v>
                </c:pt>
                <c:pt idx="28">
                  <c:v>24</c:v>
                </c:pt>
                <c:pt idx="29">
                  <c:v>36</c:v>
                </c:pt>
                <c:pt idx="30">
                  <c:v>40</c:v>
                </c:pt>
                <c:pt idx="31">
                  <c:v>34</c:v>
                </c:pt>
                <c:pt idx="32">
                  <c:v>52</c:v>
                </c:pt>
                <c:pt idx="33">
                  <c:v>51</c:v>
                </c:pt>
                <c:pt idx="34">
                  <c:v>53</c:v>
                </c:pt>
                <c:pt idx="35">
                  <c:v>51</c:v>
                </c:pt>
                <c:pt idx="36">
                  <c:v>53</c:v>
                </c:pt>
                <c:pt idx="37">
                  <c:v>61</c:v>
                </c:pt>
                <c:pt idx="38">
                  <c:v>74</c:v>
                </c:pt>
                <c:pt idx="39">
                  <c:v>55</c:v>
                </c:pt>
                <c:pt idx="40">
                  <c:v>47</c:v>
                </c:pt>
                <c:pt idx="41">
                  <c:v>29</c:v>
                </c:pt>
                <c:pt idx="42">
                  <c:v>28</c:v>
                </c:pt>
              </c:numCache>
            </c:numRef>
          </c:val>
          <c:smooth val="0"/>
          <c:extLst>
            <c:ext xmlns:c16="http://schemas.microsoft.com/office/drawing/2014/chart" uri="{C3380CC4-5D6E-409C-BE32-E72D297353CC}">
              <c16:uniqueId val="{00000008-530C-4DCD-82B8-B7753B8BCB36}"/>
            </c:ext>
          </c:extLst>
        </c:ser>
        <c:dLbls>
          <c:showLegendKey val="0"/>
          <c:showVal val="0"/>
          <c:showCatName val="0"/>
          <c:showSerName val="0"/>
          <c:showPercent val="0"/>
          <c:showBubbleSize val="0"/>
        </c:dLbls>
        <c:marker val="1"/>
        <c:smooth val="0"/>
        <c:axId val="823415984"/>
        <c:axId val="823416312"/>
      </c:lineChart>
      <c:catAx>
        <c:axId val="82341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6312"/>
        <c:crosses val="autoZero"/>
        <c:auto val="1"/>
        <c:lblAlgn val="ctr"/>
        <c:lblOffset val="100"/>
        <c:noMultiLvlLbl val="0"/>
      </c:catAx>
      <c:valAx>
        <c:axId val="823416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59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[D1213 - PATCNTBY_DRUG_N_SUPP_Q - RCC only, by drug &amp; line.xlsx]Sheet1 (3)!PivotTable3</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s>
    <c:plotArea>
      <c:layout/>
      <c:lineChart>
        <c:grouping val="standard"/>
        <c:varyColors val="0"/>
        <c:ser>
          <c:idx val="0"/>
          <c:order val="0"/>
          <c:tx>
            <c:strRef>
              <c:f>'Sheet1 (3)'!$B$3:$B$5</c:f>
              <c:strCache>
                <c:ptCount val="1"/>
                <c:pt idx="0">
                  <c:v>1st line - IPILIMUMAB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(3)'!$A$6:$A$49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(3)'!$B$6:$B$49</c:f>
              <c:numCache>
                <c:formatCode>General</c:formatCode>
                <c:ptCount val="43"/>
                <c:pt idx="39">
                  <c:v>43</c:v>
                </c:pt>
                <c:pt idx="40">
                  <c:v>97</c:v>
                </c:pt>
                <c:pt idx="41">
                  <c:v>109</c:v>
                </c:pt>
                <c:pt idx="42">
                  <c:v>86</c:v>
                </c:pt>
              </c:numCache>
            </c:numRef>
          </c:val>
          <c:smooth val="0"/>
          <c:extLst>
            <c:ext xmlns:c16="http://schemas.microsoft.com/office/drawing/2014/chart" uri="{C3380CC4-5D6E-409C-BE32-E72D297353CC}">
              <c16:uniqueId val="{00000000-2D77-40BB-A0F3-44DB71B0B944}"/>
            </c:ext>
          </c:extLst>
        </c:ser>
        <c:ser>
          <c:idx val="1"/>
          <c:order val="1"/>
          <c:tx>
            <c:strRef>
              <c:f>'Sheet1 (3)'!$C$3:$C$5</c:f>
              <c:strCache>
                <c:ptCount val="1"/>
                <c:pt idx="0">
                  <c:v>1st line - NIVOLUMAB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(3)'!$A$6:$A$49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(3)'!$C$6:$C$49</c:f>
              <c:numCache>
                <c:formatCode>General</c:formatCode>
                <c:ptCount val="43"/>
                <c:pt idx="39">
                  <c:v>52</c:v>
                </c:pt>
                <c:pt idx="40">
                  <c:v>105</c:v>
                </c:pt>
                <c:pt idx="41">
                  <c:v>116</c:v>
                </c:pt>
                <c:pt idx="42">
                  <c:v>105</c:v>
                </c:pt>
              </c:numCache>
            </c:numRef>
          </c:val>
          <c:smooth val="0"/>
          <c:extLst>
            <c:ext xmlns:c16="http://schemas.microsoft.com/office/drawing/2014/chart" uri="{C3380CC4-5D6E-409C-BE32-E72D297353CC}">
              <c16:uniqueId val="{00000001-2D77-40BB-A0F3-44DB71B0B944}"/>
            </c:ext>
          </c:extLst>
        </c:ser>
        <c:ser>
          <c:idx val="2"/>
          <c:order val="2"/>
          <c:tx>
            <c:strRef>
              <c:f>'Sheet1 (3)'!$D$3:$D$5</c:f>
              <c:strCache>
                <c:ptCount val="1"/>
                <c:pt idx="0">
                  <c:v>1st line - PAZOPANIB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(3)'!$A$6:$A$49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(3)'!$D$6:$D$49</c:f>
              <c:numCache>
                <c:formatCode>General</c:formatCode>
                <c:ptCount val="43"/>
                <c:pt idx="14">
                  <c:v>168</c:v>
                </c:pt>
                <c:pt idx="15">
                  <c:v>105</c:v>
                </c:pt>
                <c:pt idx="16">
                  <c:v>98</c:v>
                </c:pt>
                <c:pt idx="17">
                  <c:v>105</c:v>
                </c:pt>
                <c:pt idx="18">
                  <c:v>145</c:v>
                </c:pt>
                <c:pt idx="19">
                  <c:v>115</c:v>
                </c:pt>
                <c:pt idx="20">
                  <c:v>139</c:v>
                </c:pt>
                <c:pt idx="21">
                  <c:v>128</c:v>
                </c:pt>
                <c:pt idx="22">
                  <c:v>115</c:v>
                </c:pt>
                <c:pt idx="23">
                  <c:v>89</c:v>
                </c:pt>
                <c:pt idx="24">
                  <c:v>100</c:v>
                </c:pt>
                <c:pt idx="25">
                  <c:v>110</c:v>
                </c:pt>
                <c:pt idx="26">
                  <c:v>109</c:v>
                </c:pt>
                <c:pt idx="27">
                  <c:v>105</c:v>
                </c:pt>
                <c:pt idx="28">
                  <c:v>119</c:v>
                </c:pt>
                <c:pt idx="29">
                  <c:v>93</c:v>
                </c:pt>
                <c:pt idx="30">
                  <c:v>104</c:v>
                </c:pt>
                <c:pt idx="31">
                  <c:v>106</c:v>
                </c:pt>
                <c:pt idx="32">
                  <c:v>111</c:v>
                </c:pt>
                <c:pt idx="33">
                  <c:v>118</c:v>
                </c:pt>
                <c:pt idx="34">
                  <c:v>94</c:v>
                </c:pt>
                <c:pt idx="35">
                  <c:v>95</c:v>
                </c:pt>
                <c:pt idx="36">
                  <c:v>107</c:v>
                </c:pt>
                <c:pt idx="37">
                  <c:v>130</c:v>
                </c:pt>
                <c:pt idx="38">
                  <c:v>113</c:v>
                </c:pt>
                <c:pt idx="39">
                  <c:v>88</c:v>
                </c:pt>
                <c:pt idx="40">
                  <c:v>59</c:v>
                </c:pt>
                <c:pt idx="41">
                  <c:v>76</c:v>
                </c:pt>
                <c:pt idx="42">
                  <c:v>60</c:v>
                </c:pt>
              </c:numCache>
            </c:numRef>
          </c:val>
          <c:smooth val="0"/>
          <c:extLst>
            <c:ext xmlns:c16="http://schemas.microsoft.com/office/drawing/2014/chart" uri="{C3380CC4-5D6E-409C-BE32-E72D297353CC}">
              <c16:uniqueId val="{00000002-2D77-40BB-A0F3-44DB71B0B944}"/>
            </c:ext>
          </c:extLst>
        </c:ser>
        <c:ser>
          <c:idx val="3"/>
          <c:order val="3"/>
          <c:tx>
            <c:strRef>
              <c:f>'Sheet1 (3)'!$E$3:$E$5</c:f>
              <c:strCache>
                <c:ptCount val="1"/>
                <c:pt idx="0">
                  <c:v>1st line - SUNITINIB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(3)'!$A$6:$A$49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(3)'!$E$6:$E$49</c:f>
              <c:numCache>
                <c:formatCode>General</c:formatCode>
                <c:ptCount val="43"/>
                <c:pt idx="0">
                  <c:v>400</c:v>
                </c:pt>
                <c:pt idx="1">
                  <c:v>200</c:v>
                </c:pt>
                <c:pt idx="2">
                  <c:v>118</c:v>
                </c:pt>
                <c:pt idx="3">
                  <c:v>125</c:v>
                </c:pt>
                <c:pt idx="4">
                  <c:v>137</c:v>
                </c:pt>
                <c:pt idx="5">
                  <c:v>130</c:v>
                </c:pt>
                <c:pt idx="6">
                  <c:v>138</c:v>
                </c:pt>
                <c:pt idx="7">
                  <c:v>117</c:v>
                </c:pt>
                <c:pt idx="8">
                  <c:v>119</c:v>
                </c:pt>
                <c:pt idx="9">
                  <c:v>141</c:v>
                </c:pt>
                <c:pt idx="10">
                  <c:v>120</c:v>
                </c:pt>
                <c:pt idx="11">
                  <c:v>128</c:v>
                </c:pt>
                <c:pt idx="12">
                  <c:v>119</c:v>
                </c:pt>
                <c:pt idx="13">
                  <c:v>116</c:v>
                </c:pt>
                <c:pt idx="14">
                  <c:v>78</c:v>
                </c:pt>
                <c:pt idx="15">
                  <c:v>67</c:v>
                </c:pt>
                <c:pt idx="16">
                  <c:v>50</c:v>
                </c:pt>
                <c:pt idx="17">
                  <c:v>63</c:v>
                </c:pt>
                <c:pt idx="18">
                  <c:v>50</c:v>
                </c:pt>
                <c:pt idx="19">
                  <c:v>59</c:v>
                </c:pt>
                <c:pt idx="20">
                  <c:v>66</c:v>
                </c:pt>
                <c:pt idx="21">
                  <c:v>61</c:v>
                </c:pt>
                <c:pt idx="22">
                  <c:v>58</c:v>
                </c:pt>
                <c:pt idx="23">
                  <c:v>69</c:v>
                </c:pt>
                <c:pt idx="24">
                  <c:v>65</c:v>
                </c:pt>
                <c:pt idx="25">
                  <c:v>81</c:v>
                </c:pt>
                <c:pt idx="26">
                  <c:v>62</c:v>
                </c:pt>
                <c:pt idx="27">
                  <c:v>66</c:v>
                </c:pt>
                <c:pt idx="28">
                  <c:v>72</c:v>
                </c:pt>
                <c:pt idx="29">
                  <c:v>67</c:v>
                </c:pt>
                <c:pt idx="30">
                  <c:v>84</c:v>
                </c:pt>
                <c:pt idx="31">
                  <c:v>81</c:v>
                </c:pt>
                <c:pt idx="32">
                  <c:v>72</c:v>
                </c:pt>
                <c:pt idx="33">
                  <c:v>61</c:v>
                </c:pt>
                <c:pt idx="34">
                  <c:v>80</c:v>
                </c:pt>
                <c:pt idx="35">
                  <c:v>46</c:v>
                </c:pt>
                <c:pt idx="36">
                  <c:v>71</c:v>
                </c:pt>
                <c:pt idx="37">
                  <c:v>68</c:v>
                </c:pt>
                <c:pt idx="38">
                  <c:v>90</c:v>
                </c:pt>
                <c:pt idx="39">
                  <c:v>67</c:v>
                </c:pt>
                <c:pt idx="40">
                  <c:v>44</c:v>
                </c:pt>
                <c:pt idx="41">
                  <c:v>53</c:v>
                </c:pt>
                <c:pt idx="42">
                  <c:v>37</c:v>
                </c:pt>
              </c:numCache>
            </c:numRef>
          </c:val>
          <c:smooth val="0"/>
          <c:extLst>
            <c:ext xmlns:c16="http://schemas.microsoft.com/office/drawing/2014/chart" uri="{C3380CC4-5D6E-409C-BE32-E72D297353CC}">
              <c16:uniqueId val="{00000003-2D77-40BB-A0F3-44DB71B0B944}"/>
            </c:ext>
          </c:extLst>
        </c:ser>
        <c:ser>
          <c:idx val="4"/>
          <c:order val="4"/>
          <c:tx>
            <c:strRef>
              <c:f>'Sheet1 (3)'!$F$3:$F$5</c:f>
              <c:strCache>
                <c:ptCount val="1"/>
                <c:pt idx="0">
                  <c:v>2nd line - AXITINIB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(3)'!$A$6:$A$49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(3)'!$F$6:$F$49</c:f>
              <c:numCache>
                <c:formatCode>General</c:formatCode>
                <c:ptCount val="43"/>
                <c:pt idx="26">
                  <c:v>32</c:v>
                </c:pt>
                <c:pt idx="27">
                  <c:v>54</c:v>
                </c:pt>
                <c:pt idx="28">
                  <c:v>54</c:v>
                </c:pt>
                <c:pt idx="29">
                  <c:v>78</c:v>
                </c:pt>
                <c:pt idx="30">
                  <c:v>73</c:v>
                </c:pt>
                <c:pt idx="31">
                  <c:v>73</c:v>
                </c:pt>
                <c:pt idx="32">
                  <c:v>70</c:v>
                </c:pt>
                <c:pt idx="33">
                  <c:v>16</c:v>
                </c:pt>
                <c:pt idx="34">
                  <c:v>26</c:v>
                </c:pt>
                <c:pt idx="35">
                  <c:v>45</c:v>
                </c:pt>
                <c:pt idx="36">
                  <c:v>25</c:v>
                </c:pt>
                <c:pt idx="37">
                  <c:v>16</c:v>
                </c:pt>
                <c:pt idx="38">
                  <c:v>16</c:v>
                </c:pt>
                <c:pt idx="39">
                  <c:v>9</c:v>
                </c:pt>
                <c:pt idx="40">
                  <c:v>20</c:v>
                </c:pt>
                <c:pt idx="41">
                  <c:v>24</c:v>
                </c:pt>
                <c:pt idx="42">
                  <c:v>20</c:v>
                </c:pt>
              </c:numCache>
            </c:numRef>
          </c:val>
          <c:smooth val="0"/>
          <c:extLst>
            <c:ext xmlns:c16="http://schemas.microsoft.com/office/drawing/2014/chart" uri="{C3380CC4-5D6E-409C-BE32-E72D297353CC}">
              <c16:uniqueId val="{00000004-2D77-40BB-A0F3-44DB71B0B944}"/>
            </c:ext>
          </c:extLst>
        </c:ser>
        <c:ser>
          <c:idx val="5"/>
          <c:order val="5"/>
          <c:tx>
            <c:strRef>
              <c:f>'Sheet1 (3)'!$G$3:$G$5</c:f>
              <c:strCache>
                <c:ptCount val="1"/>
                <c:pt idx="0">
                  <c:v>2nd line - CABOZANTINIB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(3)'!$A$6:$A$49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(3)'!$G$6:$G$49</c:f>
              <c:numCache>
                <c:formatCode>General</c:formatCode>
                <c:ptCount val="43"/>
                <c:pt idx="36">
                  <c:v>56</c:v>
                </c:pt>
                <c:pt idx="37">
                  <c:v>72</c:v>
                </c:pt>
                <c:pt idx="38">
                  <c:v>62</c:v>
                </c:pt>
                <c:pt idx="39">
                  <c:v>60</c:v>
                </c:pt>
                <c:pt idx="40">
                  <c:v>48</c:v>
                </c:pt>
                <c:pt idx="41">
                  <c:v>61</c:v>
                </c:pt>
                <c:pt idx="42">
                  <c:v>66</c:v>
                </c:pt>
              </c:numCache>
            </c:numRef>
          </c:val>
          <c:smooth val="0"/>
          <c:extLst>
            <c:ext xmlns:c16="http://schemas.microsoft.com/office/drawing/2014/chart" uri="{C3380CC4-5D6E-409C-BE32-E72D297353CC}">
              <c16:uniqueId val="{00000005-2D77-40BB-A0F3-44DB71B0B944}"/>
            </c:ext>
          </c:extLst>
        </c:ser>
        <c:ser>
          <c:idx val="6"/>
          <c:order val="6"/>
          <c:tx>
            <c:strRef>
              <c:f>'Sheet1 (3)'!$H$3:$H$5</c:f>
              <c:strCache>
                <c:ptCount val="1"/>
                <c:pt idx="0">
                  <c:v>2nd line - EVEROLIMUS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(3)'!$A$6:$A$49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(3)'!$H$6:$H$49</c:f>
              <c:numCache>
                <c:formatCode>General</c:formatCode>
                <c:ptCount val="43"/>
                <c:pt idx="21">
                  <c:v>53</c:v>
                </c:pt>
                <c:pt idx="22">
                  <c:v>91</c:v>
                </c:pt>
                <c:pt idx="23">
                  <c:v>88</c:v>
                </c:pt>
                <c:pt idx="24">
                  <c:v>58</c:v>
                </c:pt>
                <c:pt idx="25">
                  <c:v>83</c:v>
                </c:pt>
                <c:pt idx="26">
                  <c:v>42</c:v>
                </c:pt>
                <c:pt idx="27">
                  <c:v>32</c:v>
                </c:pt>
                <c:pt idx="28">
                  <c:v>44</c:v>
                </c:pt>
                <c:pt idx="29">
                  <c:v>35</c:v>
                </c:pt>
                <c:pt idx="30">
                  <c:v>39</c:v>
                </c:pt>
                <c:pt idx="31">
                  <c:v>46</c:v>
                </c:pt>
                <c:pt idx="32">
                  <c:v>35</c:v>
                </c:pt>
                <c:pt idx="33">
                  <c:v>22</c:v>
                </c:pt>
                <c:pt idx="34">
                  <c:v>22</c:v>
                </c:pt>
                <c:pt idx="35">
                  <c:v>19</c:v>
                </c:pt>
                <c:pt idx="36">
                  <c:v>25</c:v>
                </c:pt>
                <c:pt idx="37">
                  <c:v>31</c:v>
                </c:pt>
                <c:pt idx="38">
                  <c:v>26</c:v>
                </c:pt>
                <c:pt idx="39">
                  <c:v>37</c:v>
                </c:pt>
                <c:pt idx="40">
                  <c:v>20</c:v>
                </c:pt>
                <c:pt idx="41">
                  <c:v>23</c:v>
                </c:pt>
                <c:pt idx="42">
                  <c:v>36</c:v>
                </c:pt>
              </c:numCache>
            </c:numRef>
          </c:val>
          <c:smooth val="0"/>
          <c:extLst>
            <c:ext xmlns:c16="http://schemas.microsoft.com/office/drawing/2014/chart" uri="{C3380CC4-5D6E-409C-BE32-E72D297353CC}">
              <c16:uniqueId val="{00000006-2D77-40BB-A0F3-44DB71B0B944}"/>
            </c:ext>
          </c:extLst>
        </c:ser>
        <c:ser>
          <c:idx val="7"/>
          <c:order val="7"/>
          <c:tx>
            <c:strRef>
              <c:f>'Sheet1 (3)'!$I$3:$I$5</c:f>
              <c:strCache>
                <c:ptCount val="1"/>
                <c:pt idx="0">
                  <c:v>2nd line - NIVOLUMAB</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(3)'!$A$6:$A$49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(3)'!$I$6:$I$49</c:f>
              <c:numCache>
                <c:formatCode>General</c:formatCode>
                <c:ptCount val="43"/>
                <c:pt idx="33">
                  <c:v>262</c:v>
                </c:pt>
                <c:pt idx="34">
                  <c:v>171</c:v>
                </c:pt>
                <c:pt idx="35">
                  <c:v>138</c:v>
                </c:pt>
                <c:pt idx="36">
                  <c:v>132</c:v>
                </c:pt>
                <c:pt idx="37">
                  <c:v>123</c:v>
                </c:pt>
                <c:pt idx="38">
                  <c:v>103</c:v>
                </c:pt>
                <c:pt idx="39">
                  <c:v>97</c:v>
                </c:pt>
                <c:pt idx="40">
                  <c:v>117</c:v>
                </c:pt>
                <c:pt idx="41">
                  <c:v>130</c:v>
                </c:pt>
                <c:pt idx="42">
                  <c:v>109</c:v>
                </c:pt>
              </c:numCache>
            </c:numRef>
          </c:val>
          <c:smooth val="0"/>
          <c:extLst>
            <c:ext xmlns:c16="http://schemas.microsoft.com/office/drawing/2014/chart" uri="{C3380CC4-5D6E-409C-BE32-E72D297353CC}">
              <c16:uniqueId val="{00000007-2D77-40BB-A0F3-44DB71B0B944}"/>
            </c:ext>
          </c:extLst>
        </c:ser>
        <c:ser>
          <c:idx val="8"/>
          <c:order val="8"/>
          <c:tx>
            <c:strRef>
              <c:f>'Sheet1 (3)'!$J$3:$J$5</c:f>
              <c:strCache>
                <c:ptCount val="1"/>
                <c:pt idx="0">
                  <c:v>2nd line - SORAFENIB</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(3)'!$A$6:$A$49</c:f>
              <c:strCache>
                <c:ptCount val="43"/>
                <c:pt idx="0">
                  <c:v>2009Q2</c:v>
                </c:pt>
                <c:pt idx="1">
                  <c:v>2009Q3</c:v>
                </c:pt>
                <c:pt idx="2">
                  <c:v>2009Q4</c:v>
                </c:pt>
                <c:pt idx="3">
                  <c:v>2010Q1</c:v>
                </c:pt>
                <c:pt idx="4">
                  <c:v>2010Q2</c:v>
                </c:pt>
                <c:pt idx="5">
                  <c:v>2010Q3</c:v>
                </c:pt>
                <c:pt idx="6">
                  <c:v>2010Q4</c:v>
                </c:pt>
                <c:pt idx="7">
                  <c:v>2011Q1</c:v>
                </c:pt>
                <c:pt idx="8">
                  <c:v>2011Q2</c:v>
                </c:pt>
                <c:pt idx="9">
                  <c:v>2011Q3</c:v>
                </c:pt>
                <c:pt idx="10">
                  <c:v>2011Q4</c:v>
                </c:pt>
                <c:pt idx="11">
                  <c:v>2012Q1</c:v>
                </c:pt>
                <c:pt idx="12">
                  <c:v>2012Q2</c:v>
                </c:pt>
                <c:pt idx="13">
                  <c:v>2012Q3</c:v>
                </c:pt>
                <c:pt idx="14">
                  <c:v>2012Q4</c:v>
                </c:pt>
                <c:pt idx="15">
                  <c:v>2013Q1</c:v>
                </c:pt>
                <c:pt idx="16">
                  <c:v>2013Q2</c:v>
                </c:pt>
                <c:pt idx="17">
                  <c:v>2013Q3</c:v>
                </c:pt>
                <c:pt idx="18">
                  <c:v>2013Q4</c:v>
                </c:pt>
                <c:pt idx="19">
                  <c:v>2014Q1</c:v>
                </c:pt>
                <c:pt idx="20">
                  <c:v>2014Q2</c:v>
                </c:pt>
                <c:pt idx="21">
                  <c:v>2014Q3</c:v>
                </c:pt>
                <c:pt idx="22">
                  <c:v>2014Q4</c:v>
                </c:pt>
                <c:pt idx="23">
                  <c:v>2015Q1</c:v>
                </c:pt>
                <c:pt idx="24">
                  <c:v>2015Q2</c:v>
                </c:pt>
                <c:pt idx="25">
                  <c:v>2015Q3</c:v>
                </c:pt>
                <c:pt idx="26">
                  <c:v>2015Q4</c:v>
                </c:pt>
                <c:pt idx="27">
                  <c:v>2016Q1</c:v>
                </c:pt>
                <c:pt idx="28">
                  <c:v>2016Q2</c:v>
                </c:pt>
                <c:pt idx="29">
                  <c:v>2016Q3</c:v>
                </c:pt>
                <c:pt idx="30">
                  <c:v>2016Q4</c:v>
                </c:pt>
                <c:pt idx="31">
                  <c:v>2017Q1</c:v>
                </c:pt>
                <c:pt idx="32">
                  <c:v>2017Q2</c:v>
                </c:pt>
                <c:pt idx="33">
                  <c:v>2017Q3</c:v>
                </c:pt>
                <c:pt idx="34">
                  <c:v>2017Q4</c:v>
                </c:pt>
                <c:pt idx="35">
                  <c:v>2018Q1</c:v>
                </c:pt>
                <c:pt idx="36">
                  <c:v>2018Q2</c:v>
                </c:pt>
                <c:pt idx="37">
                  <c:v>2018Q3</c:v>
                </c:pt>
                <c:pt idx="38">
                  <c:v>2018Q4</c:v>
                </c:pt>
                <c:pt idx="39">
                  <c:v>2019Q1</c:v>
                </c:pt>
                <c:pt idx="40">
                  <c:v>2019Q2</c:v>
                </c:pt>
                <c:pt idx="41">
                  <c:v>2019Q3</c:v>
                </c:pt>
                <c:pt idx="42">
                  <c:v>2019Q4</c:v>
                </c:pt>
              </c:strCache>
            </c:strRef>
          </c:cat>
          <c:val>
            <c:numRef>
              <c:f>'Sheet1 (3)'!$J$6:$J$49</c:f>
              <c:numCache>
                <c:formatCode>General</c:formatCode>
                <c:ptCount val="43"/>
                <c:pt idx="24">
                  <c:v>45</c:v>
                </c:pt>
                <c:pt idx="25">
                  <c:v>42</c:v>
                </c:pt>
                <c:pt idx="26">
                  <c:v>25</c:v>
                </c:pt>
                <c:pt idx="27">
                  <c:v>16</c:v>
                </c:pt>
                <c:pt idx="28">
                  <c:v>17</c:v>
                </c:pt>
                <c:pt idx="29">
                  <c:v>20</c:v>
                </c:pt>
                <c:pt idx="30">
                  <c:v>18</c:v>
                </c:pt>
                <c:pt idx="31">
                  <c:v>14</c:v>
                </c:pt>
                <c:pt idx="32">
                  <c:v>34</c:v>
                </c:pt>
                <c:pt idx="33">
                  <c:v>28</c:v>
                </c:pt>
                <c:pt idx="34">
                  <c:v>28</c:v>
                </c:pt>
                <c:pt idx="35">
                  <c:v>27</c:v>
                </c:pt>
                <c:pt idx="36">
                  <c:v>31</c:v>
                </c:pt>
                <c:pt idx="37">
                  <c:v>36</c:v>
                </c:pt>
                <c:pt idx="38">
                  <c:v>37</c:v>
                </c:pt>
                <c:pt idx="39">
                  <c:v>27</c:v>
                </c:pt>
                <c:pt idx="40">
                  <c:v>16</c:v>
                </c:pt>
                <c:pt idx="41">
                  <c:v>13</c:v>
                </c:pt>
                <c:pt idx="42">
                  <c:v>8</c:v>
                </c:pt>
              </c:numCache>
            </c:numRef>
          </c:val>
          <c:smooth val="0"/>
          <c:extLst>
            <c:ext xmlns:c16="http://schemas.microsoft.com/office/drawing/2014/chart" uri="{C3380CC4-5D6E-409C-BE32-E72D297353CC}">
              <c16:uniqueId val="{00000008-2D77-40BB-A0F3-44DB71B0B944}"/>
            </c:ext>
          </c:extLst>
        </c:ser>
        <c:dLbls>
          <c:showLegendKey val="0"/>
          <c:showVal val="0"/>
          <c:showCatName val="0"/>
          <c:showSerName val="0"/>
          <c:showPercent val="0"/>
          <c:showBubbleSize val="0"/>
        </c:dLbls>
        <c:marker val="1"/>
        <c:smooth val="0"/>
        <c:axId val="823415984"/>
        <c:axId val="823416312"/>
      </c:lineChart>
      <c:catAx>
        <c:axId val="82341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6312"/>
        <c:crosses val="autoZero"/>
        <c:auto val="1"/>
        <c:lblAlgn val="ctr"/>
        <c:lblOffset val="100"/>
        <c:noMultiLvlLbl val="0"/>
      </c:catAx>
      <c:valAx>
        <c:axId val="823416312"/>
        <c:scaling>
          <c:orientation val="minMax"/>
          <c:max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59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[D1213 - SUPPLY_LAG_FREQ.xlsx]Sheet1!PivotTable1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none"/>
        </c:marker>
      </c:pivotFmt>
      <c:pivotFmt>
        <c:idx val="33"/>
        <c:spPr>
          <a:solidFill>
            <a:schemeClr val="accent1"/>
          </a:solidFill>
          <a:ln w="28575" cap="rnd">
            <a:solidFill>
              <a:schemeClr val="accent1"/>
            </a:solidFill>
            <a:round/>
          </a:ln>
          <a:effectLst/>
        </c:spPr>
        <c:marker>
          <c:symbol val="none"/>
        </c:marker>
      </c:pivotFmt>
      <c:pivotFmt>
        <c:idx val="34"/>
        <c:spPr>
          <a:solidFill>
            <a:schemeClr val="accent1"/>
          </a:solidFill>
          <a:ln w="28575" cap="rnd">
            <a:solidFill>
              <a:schemeClr val="accent1"/>
            </a:solidFill>
            <a:round/>
          </a:ln>
          <a:effectLst/>
        </c:spPr>
        <c:marker>
          <c:symbol val="none"/>
        </c:marker>
      </c:pivotFmt>
      <c:pivotFmt>
        <c:idx val="35"/>
        <c:spPr>
          <a:solidFill>
            <a:schemeClr val="accent1"/>
          </a:solidFill>
          <a:ln w="28575" cap="rnd">
            <a:solidFill>
              <a:schemeClr val="accent1"/>
            </a:solidFill>
            <a:round/>
          </a:ln>
          <a:effectLst/>
        </c:spPr>
        <c:marker>
          <c:symbol val="none"/>
        </c:marker>
      </c:pivotFmt>
      <c:pivotFmt>
        <c:idx val="36"/>
        <c:spPr>
          <a:solidFill>
            <a:schemeClr val="accent1"/>
          </a:solidFill>
          <a:ln w="28575" cap="rnd">
            <a:solidFill>
              <a:schemeClr val="accent1"/>
            </a:solidFill>
            <a:round/>
          </a:ln>
          <a:effectLst/>
        </c:spPr>
        <c:marker>
          <c:symbol val="none"/>
        </c:marker>
      </c:pivotFmt>
      <c:pivotFmt>
        <c:idx val="37"/>
        <c:spPr>
          <a:solidFill>
            <a:schemeClr val="accent1"/>
          </a:solidFill>
          <a:ln w="28575" cap="rnd">
            <a:solidFill>
              <a:schemeClr val="accent1"/>
            </a:solidFill>
            <a:round/>
          </a:ln>
          <a:effectLst/>
        </c:spPr>
        <c:marker>
          <c:symbol val="none"/>
        </c:marker>
      </c:pivotFmt>
      <c:pivotFmt>
        <c:idx val="38"/>
        <c:spPr>
          <a:solidFill>
            <a:schemeClr val="accent1"/>
          </a:solidFill>
          <a:ln w="28575" cap="rnd">
            <a:solidFill>
              <a:schemeClr val="accent1"/>
            </a:solidFill>
            <a:round/>
          </a:ln>
          <a:effectLst/>
        </c:spPr>
        <c:marker>
          <c:symbol val="none"/>
        </c:marker>
      </c:pivotFmt>
      <c:pivotFmt>
        <c:idx val="39"/>
        <c:spPr>
          <a:solidFill>
            <a:schemeClr val="accent1"/>
          </a:solidFill>
          <a:ln w="28575" cap="rnd">
            <a:solidFill>
              <a:schemeClr val="accent1"/>
            </a:solidFill>
            <a:round/>
          </a:ln>
          <a:effectLst/>
        </c:spPr>
        <c:marker>
          <c:symbol val="none"/>
        </c:marker>
      </c:pivotFmt>
      <c:pivotFmt>
        <c:idx val="40"/>
        <c:spPr>
          <a:solidFill>
            <a:schemeClr val="accent1"/>
          </a:solidFill>
          <a:ln w="28575" cap="rnd">
            <a:solidFill>
              <a:schemeClr val="accent1"/>
            </a:solidFill>
            <a:round/>
          </a:ln>
          <a:effectLst/>
        </c:spPr>
        <c:marker>
          <c:symbol val="none"/>
        </c:marker>
      </c:pivotFmt>
      <c:pivotFmt>
        <c:idx val="41"/>
        <c:spPr>
          <a:solidFill>
            <a:schemeClr val="accent1"/>
          </a:solidFill>
          <a:ln w="28575" cap="rnd">
            <a:solidFill>
              <a:schemeClr val="accent1"/>
            </a:solidFill>
            <a:round/>
          </a:ln>
          <a:effectLst/>
        </c:spPr>
        <c:marker>
          <c:symbol val="none"/>
        </c:marker>
      </c:pivotFmt>
      <c:pivotFmt>
        <c:idx val="42"/>
        <c:spPr>
          <a:solidFill>
            <a:schemeClr val="accent1"/>
          </a:solidFill>
          <a:ln w="28575" cap="rnd">
            <a:solidFill>
              <a:schemeClr val="accent1"/>
            </a:solidFill>
            <a:round/>
          </a:ln>
          <a:effectLst/>
        </c:spPr>
        <c:marker>
          <c:symbol val="none"/>
        </c:marker>
      </c:pivotFmt>
    </c:pivotFmts>
    <c:plotArea>
      <c:layout>
        <c:manualLayout>
          <c:layoutTarget val="inner"/>
          <c:xMode val="edge"/>
          <c:yMode val="edge"/>
          <c:x val="0.12793161377324205"/>
          <c:y val="3.7645448323066391E-2"/>
          <c:w val="0.58125673053846938"/>
          <c:h val="0.8103925151039898"/>
        </c:manualLayout>
      </c:layout>
      <c:lineChart>
        <c:grouping val="standard"/>
        <c:varyColors val="0"/>
        <c:ser>
          <c:idx val="0"/>
          <c:order val="0"/>
          <c:tx>
            <c:strRef>
              <c:f>Sheet1!$B$1:$B$2</c:f>
              <c:strCache>
                <c:ptCount val="1"/>
                <c:pt idx="0">
                  <c:v>1st line, pazopanib</c:v>
                </c:pt>
              </c:strCache>
            </c:strRef>
          </c:tx>
          <c:spPr>
            <a:ln w="28575" cap="rnd">
              <a:solidFill>
                <a:schemeClr val="accent1"/>
              </a:solidFill>
              <a:round/>
            </a:ln>
            <a:effectLst/>
          </c:spPr>
          <c:marker>
            <c:symbol val="none"/>
          </c:marker>
          <c:cat>
            <c:strRef>
              <c:f>Sheet1!$A$3:$A$93</c:f>
              <c:strCach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strCache>
            </c:strRef>
          </c:cat>
          <c:val>
            <c:numRef>
              <c:f>Sheet1!$B$3:$B$93</c:f>
              <c:numCache>
                <c:formatCode>General</c:formatCode>
                <c:ptCount val="90"/>
                <c:pt idx="0">
                  <c:v>125</c:v>
                </c:pt>
                <c:pt idx="1">
                  <c:v>66</c:v>
                </c:pt>
                <c:pt idx="2">
                  <c:v>61</c:v>
                </c:pt>
                <c:pt idx="3">
                  <c:v>56</c:v>
                </c:pt>
                <c:pt idx="4">
                  <c:v>72</c:v>
                </c:pt>
                <c:pt idx="5">
                  <c:v>54</c:v>
                </c:pt>
                <c:pt idx="6">
                  <c:v>83</c:v>
                </c:pt>
                <c:pt idx="7">
                  <c:v>66</c:v>
                </c:pt>
                <c:pt idx="8">
                  <c:v>59</c:v>
                </c:pt>
                <c:pt idx="9">
                  <c:v>57</c:v>
                </c:pt>
                <c:pt idx="10">
                  <c:v>53</c:v>
                </c:pt>
                <c:pt idx="11">
                  <c:v>77</c:v>
                </c:pt>
                <c:pt idx="12">
                  <c:v>92</c:v>
                </c:pt>
                <c:pt idx="13">
                  <c:v>167</c:v>
                </c:pt>
                <c:pt idx="14">
                  <c:v>119</c:v>
                </c:pt>
                <c:pt idx="15">
                  <c:v>108</c:v>
                </c:pt>
                <c:pt idx="16">
                  <c:v>112</c:v>
                </c:pt>
                <c:pt idx="17">
                  <c:v>95</c:v>
                </c:pt>
                <c:pt idx="18">
                  <c:v>155</c:v>
                </c:pt>
                <c:pt idx="19">
                  <c:v>200</c:v>
                </c:pt>
                <c:pt idx="20">
                  <c:v>715</c:v>
                </c:pt>
                <c:pt idx="21">
                  <c:v>376</c:v>
                </c:pt>
                <c:pt idx="22">
                  <c:v>336</c:v>
                </c:pt>
                <c:pt idx="23">
                  <c:v>400</c:v>
                </c:pt>
                <c:pt idx="24">
                  <c:v>469</c:v>
                </c:pt>
                <c:pt idx="25">
                  <c:v>477</c:v>
                </c:pt>
                <c:pt idx="26">
                  <c:v>721</c:v>
                </c:pt>
                <c:pt idx="27">
                  <c:v>1564</c:v>
                </c:pt>
                <c:pt idx="28">
                  <c:v>908</c:v>
                </c:pt>
                <c:pt idx="29">
                  <c:v>804</c:v>
                </c:pt>
                <c:pt idx="30">
                  <c:v>701</c:v>
                </c:pt>
                <c:pt idx="31">
                  <c:v>634</c:v>
                </c:pt>
                <c:pt idx="32">
                  <c:v>602</c:v>
                </c:pt>
                <c:pt idx="33">
                  <c:v>567</c:v>
                </c:pt>
                <c:pt idx="34">
                  <c:v>656</c:v>
                </c:pt>
                <c:pt idx="35">
                  <c:v>349</c:v>
                </c:pt>
                <c:pt idx="36">
                  <c:v>283</c:v>
                </c:pt>
                <c:pt idx="37">
                  <c:v>229</c:v>
                </c:pt>
                <c:pt idx="38">
                  <c:v>206</c:v>
                </c:pt>
                <c:pt idx="39">
                  <c:v>215</c:v>
                </c:pt>
                <c:pt idx="40">
                  <c:v>220</c:v>
                </c:pt>
                <c:pt idx="41">
                  <c:v>344</c:v>
                </c:pt>
                <c:pt idx="42">
                  <c:v>183</c:v>
                </c:pt>
                <c:pt idx="43">
                  <c:v>133</c:v>
                </c:pt>
                <c:pt idx="44">
                  <c:v>136</c:v>
                </c:pt>
                <c:pt idx="45">
                  <c:v>114</c:v>
                </c:pt>
                <c:pt idx="46">
                  <c:v>124</c:v>
                </c:pt>
                <c:pt idx="47">
                  <c:v>134</c:v>
                </c:pt>
                <c:pt idx="48">
                  <c:v>202</c:v>
                </c:pt>
                <c:pt idx="49">
                  <c:v>109</c:v>
                </c:pt>
                <c:pt idx="50">
                  <c:v>95</c:v>
                </c:pt>
                <c:pt idx="51">
                  <c:v>102</c:v>
                </c:pt>
                <c:pt idx="52">
                  <c:v>105</c:v>
                </c:pt>
                <c:pt idx="53">
                  <c:v>91</c:v>
                </c:pt>
                <c:pt idx="54">
                  <c:v>145</c:v>
                </c:pt>
                <c:pt idx="55">
                  <c:v>219</c:v>
                </c:pt>
                <c:pt idx="56">
                  <c:v>129</c:v>
                </c:pt>
                <c:pt idx="57">
                  <c:v>112</c:v>
                </c:pt>
                <c:pt idx="58">
                  <c:v>90</c:v>
                </c:pt>
                <c:pt idx="59">
                  <c:v>102</c:v>
                </c:pt>
                <c:pt idx="60">
                  <c:v>97</c:v>
                </c:pt>
                <c:pt idx="61">
                  <c:v>143</c:v>
                </c:pt>
                <c:pt idx="62">
                  <c:v>151</c:v>
                </c:pt>
                <c:pt idx="63">
                  <c:v>114</c:v>
                </c:pt>
                <c:pt idx="64">
                  <c:v>95</c:v>
                </c:pt>
                <c:pt idx="65">
                  <c:v>63</c:v>
                </c:pt>
                <c:pt idx="66">
                  <c:v>58</c:v>
                </c:pt>
                <c:pt idx="67">
                  <c:v>57</c:v>
                </c:pt>
                <c:pt idx="68">
                  <c:v>67</c:v>
                </c:pt>
                <c:pt idx="69">
                  <c:v>105</c:v>
                </c:pt>
                <c:pt idx="70">
                  <c:v>68</c:v>
                </c:pt>
                <c:pt idx="71">
                  <c:v>50</c:v>
                </c:pt>
                <c:pt idx="72">
                  <c:v>45</c:v>
                </c:pt>
                <c:pt idx="73">
                  <c:v>49</c:v>
                </c:pt>
                <c:pt idx="74">
                  <c:v>47</c:v>
                </c:pt>
                <c:pt idx="75">
                  <c:v>61</c:v>
                </c:pt>
                <c:pt idx="76">
                  <c:v>67</c:v>
                </c:pt>
                <c:pt idx="77">
                  <c:v>35</c:v>
                </c:pt>
                <c:pt idx="78">
                  <c:v>34</c:v>
                </c:pt>
                <c:pt idx="79">
                  <c:v>33</c:v>
                </c:pt>
                <c:pt idx="80">
                  <c:v>44</c:v>
                </c:pt>
                <c:pt idx="81">
                  <c:v>32</c:v>
                </c:pt>
                <c:pt idx="82">
                  <c:v>38</c:v>
                </c:pt>
                <c:pt idx="83">
                  <c:v>70</c:v>
                </c:pt>
                <c:pt idx="84">
                  <c:v>29</c:v>
                </c:pt>
                <c:pt idx="85">
                  <c:v>28</c:v>
                </c:pt>
                <c:pt idx="86">
                  <c:v>22</c:v>
                </c:pt>
                <c:pt idx="87">
                  <c:v>33</c:v>
                </c:pt>
                <c:pt idx="88">
                  <c:v>21</c:v>
                </c:pt>
                <c:pt idx="89">
                  <c:v>30</c:v>
                </c:pt>
              </c:numCache>
            </c:numRef>
          </c:val>
          <c:smooth val="0"/>
          <c:extLst>
            <c:ext xmlns:c16="http://schemas.microsoft.com/office/drawing/2014/chart" uri="{C3380CC4-5D6E-409C-BE32-E72D297353CC}">
              <c16:uniqueId val="{00000000-E2D3-4742-9AFA-8D12909D45BC}"/>
            </c:ext>
          </c:extLst>
        </c:ser>
        <c:ser>
          <c:idx val="1"/>
          <c:order val="1"/>
          <c:tx>
            <c:strRef>
              <c:f>Sheet1!$C$1:$C$2</c:f>
              <c:strCache>
                <c:ptCount val="1"/>
                <c:pt idx="0">
                  <c:v>1st line, sunitinib</c:v>
                </c:pt>
              </c:strCache>
            </c:strRef>
          </c:tx>
          <c:spPr>
            <a:ln w="28575" cap="rnd">
              <a:solidFill>
                <a:schemeClr val="accent2"/>
              </a:solidFill>
              <a:round/>
            </a:ln>
            <a:effectLst/>
          </c:spPr>
          <c:marker>
            <c:symbol val="none"/>
          </c:marker>
          <c:cat>
            <c:strRef>
              <c:f>Sheet1!$A$3:$A$93</c:f>
              <c:strCach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strCache>
            </c:strRef>
          </c:cat>
          <c:val>
            <c:numRef>
              <c:f>Sheet1!$C$3:$C$93</c:f>
              <c:numCache>
                <c:formatCode>General</c:formatCode>
                <c:ptCount val="90"/>
                <c:pt idx="0">
                  <c:v>165</c:v>
                </c:pt>
                <c:pt idx="1">
                  <c:v>79</c:v>
                </c:pt>
                <c:pt idx="2">
                  <c:v>73</c:v>
                </c:pt>
                <c:pt idx="3">
                  <c:v>78</c:v>
                </c:pt>
                <c:pt idx="4">
                  <c:v>83</c:v>
                </c:pt>
                <c:pt idx="5">
                  <c:v>96</c:v>
                </c:pt>
                <c:pt idx="6">
                  <c:v>129</c:v>
                </c:pt>
                <c:pt idx="7">
                  <c:v>65</c:v>
                </c:pt>
                <c:pt idx="8">
                  <c:v>46</c:v>
                </c:pt>
                <c:pt idx="9">
                  <c:v>58</c:v>
                </c:pt>
                <c:pt idx="10">
                  <c:v>59</c:v>
                </c:pt>
                <c:pt idx="11">
                  <c:v>68</c:v>
                </c:pt>
                <c:pt idx="12">
                  <c:v>72</c:v>
                </c:pt>
                <c:pt idx="13">
                  <c:v>147</c:v>
                </c:pt>
                <c:pt idx="14">
                  <c:v>118</c:v>
                </c:pt>
                <c:pt idx="15">
                  <c:v>89</c:v>
                </c:pt>
                <c:pt idx="16">
                  <c:v>91</c:v>
                </c:pt>
                <c:pt idx="17">
                  <c:v>100</c:v>
                </c:pt>
                <c:pt idx="18">
                  <c:v>102</c:v>
                </c:pt>
                <c:pt idx="19">
                  <c:v>142</c:v>
                </c:pt>
                <c:pt idx="20">
                  <c:v>393</c:v>
                </c:pt>
                <c:pt idx="21">
                  <c:v>256</c:v>
                </c:pt>
                <c:pt idx="22">
                  <c:v>217</c:v>
                </c:pt>
                <c:pt idx="23">
                  <c:v>175</c:v>
                </c:pt>
                <c:pt idx="24">
                  <c:v>208</c:v>
                </c:pt>
                <c:pt idx="25">
                  <c:v>235</c:v>
                </c:pt>
                <c:pt idx="26">
                  <c:v>318</c:v>
                </c:pt>
                <c:pt idx="27">
                  <c:v>552</c:v>
                </c:pt>
                <c:pt idx="28">
                  <c:v>382</c:v>
                </c:pt>
                <c:pt idx="29">
                  <c:v>305</c:v>
                </c:pt>
                <c:pt idx="30">
                  <c:v>324</c:v>
                </c:pt>
                <c:pt idx="31">
                  <c:v>369</c:v>
                </c:pt>
                <c:pt idx="32">
                  <c:v>366</c:v>
                </c:pt>
                <c:pt idx="33">
                  <c:v>511</c:v>
                </c:pt>
                <c:pt idx="34">
                  <c:v>822</c:v>
                </c:pt>
                <c:pt idx="35">
                  <c:v>600</c:v>
                </c:pt>
                <c:pt idx="36">
                  <c:v>581</c:v>
                </c:pt>
                <c:pt idx="37">
                  <c:v>620</c:v>
                </c:pt>
                <c:pt idx="38">
                  <c:v>695</c:v>
                </c:pt>
                <c:pt idx="39">
                  <c:v>793</c:v>
                </c:pt>
                <c:pt idx="40">
                  <c:v>1362</c:v>
                </c:pt>
                <c:pt idx="41">
                  <c:v>3185</c:v>
                </c:pt>
                <c:pt idx="42">
                  <c:v>1348</c:v>
                </c:pt>
                <c:pt idx="43">
                  <c:v>861</c:v>
                </c:pt>
                <c:pt idx="44">
                  <c:v>683</c:v>
                </c:pt>
                <c:pt idx="45">
                  <c:v>616</c:v>
                </c:pt>
                <c:pt idx="46">
                  <c:v>566</c:v>
                </c:pt>
                <c:pt idx="47">
                  <c:v>650</c:v>
                </c:pt>
                <c:pt idx="48">
                  <c:v>965</c:v>
                </c:pt>
                <c:pt idx="49">
                  <c:v>500</c:v>
                </c:pt>
                <c:pt idx="50">
                  <c:v>352</c:v>
                </c:pt>
                <c:pt idx="51">
                  <c:v>311</c:v>
                </c:pt>
                <c:pt idx="52">
                  <c:v>296</c:v>
                </c:pt>
                <c:pt idx="53">
                  <c:v>283</c:v>
                </c:pt>
                <c:pt idx="54">
                  <c:v>322</c:v>
                </c:pt>
                <c:pt idx="55">
                  <c:v>490</c:v>
                </c:pt>
                <c:pt idx="56">
                  <c:v>271</c:v>
                </c:pt>
                <c:pt idx="57">
                  <c:v>197</c:v>
                </c:pt>
                <c:pt idx="58">
                  <c:v>174</c:v>
                </c:pt>
                <c:pt idx="59">
                  <c:v>170</c:v>
                </c:pt>
                <c:pt idx="60">
                  <c:v>145</c:v>
                </c:pt>
                <c:pt idx="61">
                  <c:v>182</c:v>
                </c:pt>
                <c:pt idx="62">
                  <c:v>252</c:v>
                </c:pt>
                <c:pt idx="63">
                  <c:v>160</c:v>
                </c:pt>
                <c:pt idx="64">
                  <c:v>97</c:v>
                </c:pt>
                <c:pt idx="65">
                  <c:v>74</c:v>
                </c:pt>
                <c:pt idx="66">
                  <c:v>91</c:v>
                </c:pt>
                <c:pt idx="67">
                  <c:v>103</c:v>
                </c:pt>
                <c:pt idx="68">
                  <c:v>121</c:v>
                </c:pt>
                <c:pt idx="69">
                  <c:v>154</c:v>
                </c:pt>
                <c:pt idx="70">
                  <c:v>90</c:v>
                </c:pt>
                <c:pt idx="71">
                  <c:v>82</c:v>
                </c:pt>
                <c:pt idx="72">
                  <c:v>63</c:v>
                </c:pt>
                <c:pt idx="73">
                  <c:v>63</c:v>
                </c:pt>
                <c:pt idx="74">
                  <c:v>61</c:v>
                </c:pt>
                <c:pt idx="75">
                  <c:v>62</c:v>
                </c:pt>
                <c:pt idx="76">
                  <c:v>112</c:v>
                </c:pt>
                <c:pt idx="77">
                  <c:v>78</c:v>
                </c:pt>
                <c:pt idx="78">
                  <c:v>46</c:v>
                </c:pt>
                <c:pt idx="79">
                  <c:v>48</c:v>
                </c:pt>
                <c:pt idx="80">
                  <c:v>59</c:v>
                </c:pt>
                <c:pt idx="81">
                  <c:v>59</c:v>
                </c:pt>
                <c:pt idx="82">
                  <c:v>68</c:v>
                </c:pt>
                <c:pt idx="83">
                  <c:v>137</c:v>
                </c:pt>
                <c:pt idx="84">
                  <c:v>85</c:v>
                </c:pt>
                <c:pt idx="85">
                  <c:v>64</c:v>
                </c:pt>
                <c:pt idx="86">
                  <c:v>47</c:v>
                </c:pt>
                <c:pt idx="87">
                  <c:v>36</c:v>
                </c:pt>
                <c:pt idx="88">
                  <c:v>44</c:v>
                </c:pt>
                <c:pt idx="89">
                  <c:v>54</c:v>
                </c:pt>
              </c:numCache>
            </c:numRef>
          </c:val>
          <c:smooth val="0"/>
          <c:extLst>
            <c:ext xmlns:c16="http://schemas.microsoft.com/office/drawing/2014/chart" uri="{C3380CC4-5D6E-409C-BE32-E72D297353CC}">
              <c16:uniqueId val="{00000001-E2D3-4742-9AFA-8D12909D45BC}"/>
            </c:ext>
          </c:extLst>
        </c:ser>
        <c:ser>
          <c:idx val="2"/>
          <c:order val="2"/>
          <c:tx>
            <c:strRef>
              <c:f>Sheet1!$D$1:$D$2</c:f>
              <c:strCache>
                <c:ptCount val="1"/>
                <c:pt idx="0">
                  <c:v>2nd line, axitinib</c:v>
                </c:pt>
              </c:strCache>
            </c:strRef>
          </c:tx>
          <c:spPr>
            <a:ln w="28575" cap="rnd">
              <a:solidFill>
                <a:schemeClr val="accent3"/>
              </a:solidFill>
              <a:round/>
            </a:ln>
            <a:effectLst/>
          </c:spPr>
          <c:marker>
            <c:symbol val="none"/>
          </c:marker>
          <c:cat>
            <c:strRef>
              <c:f>Sheet1!$A$3:$A$93</c:f>
              <c:strCach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strCache>
            </c:strRef>
          </c:cat>
          <c:val>
            <c:numRef>
              <c:f>Sheet1!$D$3:$D$93</c:f>
              <c:numCache>
                <c:formatCode>General</c:formatCode>
                <c:ptCount val="90"/>
                <c:pt idx="0">
                  <c:v>37</c:v>
                </c:pt>
                <c:pt idx="1">
                  <c:v>25</c:v>
                </c:pt>
                <c:pt idx="2">
                  <c:v>16</c:v>
                </c:pt>
                <c:pt idx="3">
                  <c:v>29</c:v>
                </c:pt>
                <c:pt idx="4">
                  <c:v>25</c:v>
                </c:pt>
                <c:pt idx="5">
                  <c:v>34</c:v>
                </c:pt>
                <c:pt idx="6">
                  <c:v>68</c:v>
                </c:pt>
                <c:pt idx="7">
                  <c:v>52</c:v>
                </c:pt>
                <c:pt idx="8">
                  <c:v>50</c:v>
                </c:pt>
                <c:pt idx="9">
                  <c:v>38</c:v>
                </c:pt>
                <c:pt idx="10">
                  <c:v>49</c:v>
                </c:pt>
                <c:pt idx="11">
                  <c:v>69</c:v>
                </c:pt>
                <c:pt idx="12">
                  <c:v>69</c:v>
                </c:pt>
                <c:pt idx="13">
                  <c:v>104</c:v>
                </c:pt>
                <c:pt idx="14">
                  <c:v>76</c:v>
                </c:pt>
                <c:pt idx="15">
                  <c:v>60</c:v>
                </c:pt>
                <c:pt idx="16">
                  <c:v>56</c:v>
                </c:pt>
                <c:pt idx="17">
                  <c:v>53</c:v>
                </c:pt>
                <c:pt idx="18">
                  <c:v>71</c:v>
                </c:pt>
                <c:pt idx="19">
                  <c:v>90</c:v>
                </c:pt>
                <c:pt idx="20">
                  <c:v>178</c:v>
                </c:pt>
                <c:pt idx="21">
                  <c:v>119</c:v>
                </c:pt>
                <c:pt idx="22">
                  <c:v>115</c:v>
                </c:pt>
                <c:pt idx="23">
                  <c:v>115</c:v>
                </c:pt>
                <c:pt idx="24">
                  <c:v>100</c:v>
                </c:pt>
                <c:pt idx="25">
                  <c:v>126</c:v>
                </c:pt>
                <c:pt idx="26">
                  <c:v>161</c:v>
                </c:pt>
                <c:pt idx="27">
                  <c:v>256</c:v>
                </c:pt>
                <c:pt idx="28">
                  <c:v>181</c:v>
                </c:pt>
                <c:pt idx="29">
                  <c:v>105</c:v>
                </c:pt>
                <c:pt idx="30">
                  <c:v>124</c:v>
                </c:pt>
                <c:pt idx="31">
                  <c:v>95</c:v>
                </c:pt>
                <c:pt idx="32">
                  <c:v>97</c:v>
                </c:pt>
                <c:pt idx="33">
                  <c:v>89</c:v>
                </c:pt>
                <c:pt idx="34">
                  <c:v>98</c:v>
                </c:pt>
                <c:pt idx="35">
                  <c:v>67</c:v>
                </c:pt>
                <c:pt idx="36">
                  <c:v>38</c:v>
                </c:pt>
                <c:pt idx="37">
                  <c:v>46</c:v>
                </c:pt>
                <c:pt idx="38">
                  <c:v>42</c:v>
                </c:pt>
                <c:pt idx="39">
                  <c:v>35</c:v>
                </c:pt>
                <c:pt idx="40">
                  <c:v>44</c:v>
                </c:pt>
                <c:pt idx="41">
                  <c:v>49</c:v>
                </c:pt>
                <c:pt idx="42">
                  <c:v>39</c:v>
                </c:pt>
                <c:pt idx="43">
                  <c:v>28</c:v>
                </c:pt>
                <c:pt idx="44">
                  <c:v>25</c:v>
                </c:pt>
                <c:pt idx="45">
                  <c:v>11</c:v>
                </c:pt>
                <c:pt idx="46">
                  <c:v>15</c:v>
                </c:pt>
                <c:pt idx="47">
                  <c:v>24</c:v>
                </c:pt>
                <c:pt idx="48">
                  <c:v>35</c:v>
                </c:pt>
                <c:pt idx="49">
                  <c:v>13</c:v>
                </c:pt>
                <c:pt idx="50">
                  <c:v>10</c:v>
                </c:pt>
                <c:pt idx="51">
                  <c:v>16</c:v>
                </c:pt>
                <c:pt idx="52">
                  <c:v>18</c:v>
                </c:pt>
                <c:pt idx="53">
                  <c:v>14</c:v>
                </c:pt>
                <c:pt idx="54">
                  <c:v>24</c:v>
                </c:pt>
                <c:pt idx="55">
                  <c:v>24</c:v>
                </c:pt>
                <c:pt idx="56">
                  <c:v>26</c:v>
                </c:pt>
                <c:pt idx="57">
                  <c:v>13</c:v>
                </c:pt>
                <c:pt idx="58">
                  <c:v>13</c:v>
                </c:pt>
                <c:pt idx="59">
                  <c:v>8</c:v>
                </c:pt>
                <c:pt idx="60">
                  <c:v>12</c:v>
                </c:pt>
                <c:pt idx="61">
                  <c:v>9</c:v>
                </c:pt>
                <c:pt idx="62">
                  <c:v>9</c:v>
                </c:pt>
                <c:pt idx="63">
                  <c:v>13</c:v>
                </c:pt>
                <c:pt idx="64">
                  <c:v>2</c:v>
                </c:pt>
                <c:pt idx="65">
                  <c:v>9</c:v>
                </c:pt>
                <c:pt idx="66">
                  <c:v>13</c:v>
                </c:pt>
                <c:pt idx="67">
                  <c:v>2</c:v>
                </c:pt>
                <c:pt idx="68">
                  <c:v>4</c:v>
                </c:pt>
                <c:pt idx="69">
                  <c:v>14</c:v>
                </c:pt>
                <c:pt idx="70">
                  <c:v>3</c:v>
                </c:pt>
                <c:pt idx="71">
                  <c:v>3</c:v>
                </c:pt>
                <c:pt idx="72">
                  <c:v>5</c:v>
                </c:pt>
                <c:pt idx="73">
                  <c:v>6</c:v>
                </c:pt>
                <c:pt idx="74">
                  <c:v>2</c:v>
                </c:pt>
                <c:pt idx="75">
                  <c:v>3</c:v>
                </c:pt>
                <c:pt idx="76">
                  <c:v>6</c:v>
                </c:pt>
                <c:pt idx="77">
                  <c:v>6</c:v>
                </c:pt>
                <c:pt idx="79">
                  <c:v>1</c:v>
                </c:pt>
                <c:pt idx="80">
                  <c:v>4</c:v>
                </c:pt>
                <c:pt idx="81">
                  <c:v>4</c:v>
                </c:pt>
                <c:pt idx="82">
                  <c:v>3</c:v>
                </c:pt>
                <c:pt idx="83">
                  <c:v>2</c:v>
                </c:pt>
                <c:pt idx="84">
                  <c:v>2</c:v>
                </c:pt>
                <c:pt idx="85">
                  <c:v>1</c:v>
                </c:pt>
                <c:pt idx="86">
                  <c:v>1</c:v>
                </c:pt>
                <c:pt idx="87">
                  <c:v>1</c:v>
                </c:pt>
                <c:pt idx="88">
                  <c:v>2</c:v>
                </c:pt>
                <c:pt idx="89">
                  <c:v>3</c:v>
                </c:pt>
              </c:numCache>
            </c:numRef>
          </c:val>
          <c:smooth val="0"/>
          <c:extLst>
            <c:ext xmlns:c16="http://schemas.microsoft.com/office/drawing/2014/chart" uri="{C3380CC4-5D6E-409C-BE32-E72D297353CC}">
              <c16:uniqueId val="{00000002-E2D3-4742-9AFA-8D12909D45BC}"/>
            </c:ext>
          </c:extLst>
        </c:ser>
        <c:ser>
          <c:idx val="3"/>
          <c:order val="3"/>
          <c:tx>
            <c:strRef>
              <c:f>Sheet1!$E$1:$E$2</c:f>
              <c:strCache>
                <c:ptCount val="1"/>
                <c:pt idx="0">
                  <c:v>2nd line, cabozantinib</c:v>
                </c:pt>
              </c:strCache>
            </c:strRef>
          </c:tx>
          <c:spPr>
            <a:ln w="28575" cap="rnd">
              <a:solidFill>
                <a:schemeClr val="accent4"/>
              </a:solidFill>
              <a:round/>
            </a:ln>
            <a:effectLst/>
          </c:spPr>
          <c:marker>
            <c:symbol val="none"/>
          </c:marker>
          <c:cat>
            <c:strRef>
              <c:f>Sheet1!$A$3:$A$93</c:f>
              <c:strCach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strCache>
            </c:strRef>
          </c:cat>
          <c:val>
            <c:numRef>
              <c:f>Sheet1!$E$3:$E$93</c:f>
              <c:numCache>
                <c:formatCode>General</c:formatCode>
                <c:ptCount val="90"/>
                <c:pt idx="0">
                  <c:v>12</c:v>
                </c:pt>
                <c:pt idx="1">
                  <c:v>10</c:v>
                </c:pt>
                <c:pt idx="2">
                  <c:v>6</c:v>
                </c:pt>
                <c:pt idx="3">
                  <c:v>4</c:v>
                </c:pt>
                <c:pt idx="4">
                  <c:v>4</c:v>
                </c:pt>
                <c:pt idx="5">
                  <c:v>7</c:v>
                </c:pt>
                <c:pt idx="6">
                  <c:v>10</c:v>
                </c:pt>
                <c:pt idx="7">
                  <c:v>3</c:v>
                </c:pt>
                <c:pt idx="8">
                  <c:v>7</c:v>
                </c:pt>
                <c:pt idx="9">
                  <c:v>6</c:v>
                </c:pt>
                <c:pt idx="10">
                  <c:v>11</c:v>
                </c:pt>
                <c:pt idx="11">
                  <c:v>7</c:v>
                </c:pt>
                <c:pt idx="12">
                  <c:v>16</c:v>
                </c:pt>
                <c:pt idx="13">
                  <c:v>20</c:v>
                </c:pt>
                <c:pt idx="14">
                  <c:v>25</c:v>
                </c:pt>
                <c:pt idx="15">
                  <c:v>25</c:v>
                </c:pt>
                <c:pt idx="16">
                  <c:v>9</c:v>
                </c:pt>
                <c:pt idx="17">
                  <c:v>14</c:v>
                </c:pt>
                <c:pt idx="18">
                  <c:v>16</c:v>
                </c:pt>
                <c:pt idx="19">
                  <c:v>23</c:v>
                </c:pt>
                <c:pt idx="20">
                  <c:v>75</c:v>
                </c:pt>
                <c:pt idx="21">
                  <c:v>50</c:v>
                </c:pt>
                <c:pt idx="22">
                  <c:v>41</c:v>
                </c:pt>
                <c:pt idx="23">
                  <c:v>50</c:v>
                </c:pt>
                <c:pt idx="24">
                  <c:v>64</c:v>
                </c:pt>
                <c:pt idx="25">
                  <c:v>55</c:v>
                </c:pt>
                <c:pt idx="26">
                  <c:v>94</c:v>
                </c:pt>
                <c:pt idx="27">
                  <c:v>162</c:v>
                </c:pt>
                <c:pt idx="28">
                  <c:v>90</c:v>
                </c:pt>
                <c:pt idx="29">
                  <c:v>88</c:v>
                </c:pt>
                <c:pt idx="30">
                  <c:v>84</c:v>
                </c:pt>
                <c:pt idx="31">
                  <c:v>73</c:v>
                </c:pt>
                <c:pt idx="32">
                  <c:v>51</c:v>
                </c:pt>
                <c:pt idx="33">
                  <c:v>58</c:v>
                </c:pt>
                <c:pt idx="34">
                  <c:v>80</c:v>
                </c:pt>
                <c:pt idx="35">
                  <c:v>41</c:v>
                </c:pt>
                <c:pt idx="36">
                  <c:v>26</c:v>
                </c:pt>
                <c:pt idx="37">
                  <c:v>29</c:v>
                </c:pt>
                <c:pt idx="38">
                  <c:v>18</c:v>
                </c:pt>
                <c:pt idx="39">
                  <c:v>23</c:v>
                </c:pt>
                <c:pt idx="40">
                  <c:v>20</c:v>
                </c:pt>
                <c:pt idx="41">
                  <c:v>28</c:v>
                </c:pt>
                <c:pt idx="42">
                  <c:v>24</c:v>
                </c:pt>
                <c:pt idx="43">
                  <c:v>13</c:v>
                </c:pt>
                <c:pt idx="44">
                  <c:v>8</c:v>
                </c:pt>
                <c:pt idx="45">
                  <c:v>12</c:v>
                </c:pt>
                <c:pt idx="46">
                  <c:v>8</c:v>
                </c:pt>
                <c:pt idx="47">
                  <c:v>18</c:v>
                </c:pt>
                <c:pt idx="48">
                  <c:v>23</c:v>
                </c:pt>
                <c:pt idx="49">
                  <c:v>11</c:v>
                </c:pt>
                <c:pt idx="50">
                  <c:v>11</c:v>
                </c:pt>
                <c:pt idx="51">
                  <c:v>7</c:v>
                </c:pt>
                <c:pt idx="52">
                  <c:v>6</c:v>
                </c:pt>
                <c:pt idx="53">
                  <c:v>4</c:v>
                </c:pt>
                <c:pt idx="54">
                  <c:v>9</c:v>
                </c:pt>
                <c:pt idx="55">
                  <c:v>14</c:v>
                </c:pt>
                <c:pt idx="56">
                  <c:v>7</c:v>
                </c:pt>
                <c:pt idx="57">
                  <c:v>11</c:v>
                </c:pt>
                <c:pt idx="58">
                  <c:v>5</c:v>
                </c:pt>
                <c:pt idx="59">
                  <c:v>2</c:v>
                </c:pt>
                <c:pt idx="60">
                  <c:v>3</c:v>
                </c:pt>
                <c:pt idx="61">
                  <c:v>5</c:v>
                </c:pt>
                <c:pt idx="62">
                  <c:v>5</c:v>
                </c:pt>
                <c:pt idx="63">
                  <c:v>3</c:v>
                </c:pt>
                <c:pt idx="65">
                  <c:v>5</c:v>
                </c:pt>
                <c:pt idx="66">
                  <c:v>7</c:v>
                </c:pt>
                <c:pt idx="67">
                  <c:v>2</c:v>
                </c:pt>
                <c:pt idx="68">
                  <c:v>4</c:v>
                </c:pt>
                <c:pt idx="69">
                  <c:v>4</c:v>
                </c:pt>
                <c:pt idx="71">
                  <c:v>5</c:v>
                </c:pt>
                <c:pt idx="72">
                  <c:v>2</c:v>
                </c:pt>
                <c:pt idx="73">
                  <c:v>1</c:v>
                </c:pt>
                <c:pt idx="76">
                  <c:v>1</c:v>
                </c:pt>
                <c:pt idx="77">
                  <c:v>1</c:v>
                </c:pt>
                <c:pt idx="79">
                  <c:v>1</c:v>
                </c:pt>
                <c:pt idx="80">
                  <c:v>1</c:v>
                </c:pt>
                <c:pt idx="81">
                  <c:v>2</c:v>
                </c:pt>
                <c:pt idx="82">
                  <c:v>2</c:v>
                </c:pt>
                <c:pt idx="83">
                  <c:v>1</c:v>
                </c:pt>
                <c:pt idx="84">
                  <c:v>1</c:v>
                </c:pt>
                <c:pt idx="87">
                  <c:v>3</c:v>
                </c:pt>
                <c:pt idx="89">
                  <c:v>1</c:v>
                </c:pt>
              </c:numCache>
            </c:numRef>
          </c:val>
          <c:smooth val="0"/>
          <c:extLst>
            <c:ext xmlns:c16="http://schemas.microsoft.com/office/drawing/2014/chart" uri="{C3380CC4-5D6E-409C-BE32-E72D297353CC}">
              <c16:uniqueId val="{00000003-E2D3-4742-9AFA-8D12909D45BC}"/>
            </c:ext>
          </c:extLst>
        </c:ser>
        <c:ser>
          <c:idx val="4"/>
          <c:order val="4"/>
          <c:tx>
            <c:strRef>
              <c:f>Sheet1!$F$1:$F$2</c:f>
              <c:strCache>
                <c:ptCount val="1"/>
                <c:pt idx="0">
                  <c:v>2nd line, everolimus</c:v>
                </c:pt>
              </c:strCache>
            </c:strRef>
          </c:tx>
          <c:spPr>
            <a:ln w="28575" cap="rnd">
              <a:solidFill>
                <a:schemeClr val="accent5"/>
              </a:solidFill>
              <a:round/>
            </a:ln>
            <a:effectLst/>
          </c:spPr>
          <c:marker>
            <c:symbol val="none"/>
          </c:marker>
          <c:cat>
            <c:strRef>
              <c:f>Sheet1!$A$3:$A$93</c:f>
              <c:strCach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strCache>
            </c:strRef>
          </c:cat>
          <c:val>
            <c:numRef>
              <c:f>Sheet1!$F$3:$F$93</c:f>
              <c:numCache>
                <c:formatCode>General</c:formatCode>
                <c:ptCount val="90"/>
                <c:pt idx="0">
                  <c:v>21</c:v>
                </c:pt>
                <c:pt idx="1">
                  <c:v>5</c:v>
                </c:pt>
                <c:pt idx="2">
                  <c:v>10</c:v>
                </c:pt>
                <c:pt idx="3">
                  <c:v>8</c:v>
                </c:pt>
                <c:pt idx="4">
                  <c:v>10</c:v>
                </c:pt>
                <c:pt idx="5">
                  <c:v>10</c:v>
                </c:pt>
                <c:pt idx="6">
                  <c:v>12</c:v>
                </c:pt>
                <c:pt idx="7">
                  <c:v>9</c:v>
                </c:pt>
                <c:pt idx="8">
                  <c:v>19</c:v>
                </c:pt>
                <c:pt idx="9">
                  <c:v>8</c:v>
                </c:pt>
                <c:pt idx="10">
                  <c:v>12</c:v>
                </c:pt>
                <c:pt idx="11">
                  <c:v>24</c:v>
                </c:pt>
                <c:pt idx="12">
                  <c:v>22</c:v>
                </c:pt>
                <c:pt idx="13">
                  <c:v>42</c:v>
                </c:pt>
                <c:pt idx="14">
                  <c:v>49</c:v>
                </c:pt>
                <c:pt idx="15">
                  <c:v>31</c:v>
                </c:pt>
                <c:pt idx="16">
                  <c:v>42</c:v>
                </c:pt>
                <c:pt idx="17">
                  <c:v>34</c:v>
                </c:pt>
                <c:pt idx="18">
                  <c:v>35</c:v>
                </c:pt>
                <c:pt idx="19">
                  <c:v>46</c:v>
                </c:pt>
                <c:pt idx="20">
                  <c:v>125</c:v>
                </c:pt>
                <c:pt idx="21">
                  <c:v>89</c:v>
                </c:pt>
                <c:pt idx="22">
                  <c:v>81</c:v>
                </c:pt>
                <c:pt idx="23">
                  <c:v>76</c:v>
                </c:pt>
                <c:pt idx="24">
                  <c:v>91</c:v>
                </c:pt>
                <c:pt idx="25">
                  <c:v>114</c:v>
                </c:pt>
                <c:pt idx="26">
                  <c:v>141</c:v>
                </c:pt>
                <c:pt idx="27">
                  <c:v>263</c:v>
                </c:pt>
                <c:pt idx="28">
                  <c:v>208</c:v>
                </c:pt>
                <c:pt idx="29">
                  <c:v>130</c:v>
                </c:pt>
                <c:pt idx="30">
                  <c:v>161</c:v>
                </c:pt>
                <c:pt idx="31">
                  <c:v>114</c:v>
                </c:pt>
                <c:pt idx="32">
                  <c:v>112</c:v>
                </c:pt>
                <c:pt idx="33">
                  <c:v>105</c:v>
                </c:pt>
                <c:pt idx="34">
                  <c:v>116</c:v>
                </c:pt>
                <c:pt idx="35">
                  <c:v>63</c:v>
                </c:pt>
                <c:pt idx="36">
                  <c:v>51</c:v>
                </c:pt>
                <c:pt idx="37">
                  <c:v>43</c:v>
                </c:pt>
                <c:pt idx="38">
                  <c:v>33</c:v>
                </c:pt>
                <c:pt idx="39">
                  <c:v>35</c:v>
                </c:pt>
                <c:pt idx="40">
                  <c:v>33</c:v>
                </c:pt>
                <c:pt idx="41">
                  <c:v>51</c:v>
                </c:pt>
                <c:pt idx="42">
                  <c:v>34</c:v>
                </c:pt>
                <c:pt idx="43">
                  <c:v>19</c:v>
                </c:pt>
                <c:pt idx="44">
                  <c:v>15</c:v>
                </c:pt>
                <c:pt idx="45">
                  <c:v>19</c:v>
                </c:pt>
                <c:pt idx="46">
                  <c:v>20</c:v>
                </c:pt>
                <c:pt idx="47">
                  <c:v>22</c:v>
                </c:pt>
                <c:pt idx="48">
                  <c:v>19</c:v>
                </c:pt>
                <c:pt idx="49">
                  <c:v>14</c:v>
                </c:pt>
                <c:pt idx="50">
                  <c:v>19</c:v>
                </c:pt>
                <c:pt idx="51">
                  <c:v>9</c:v>
                </c:pt>
                <c:pt idx="52">
                  <c:v>8</c:v>
                </c:pt>
                <c:pt idx="53">
                  <c:v>12</c:v>
                </c:pt>
                <c:pt idx="54">
                  <c:v>9</c:v>
                </c:pt>
                <c:pt idx="55">
                  <c:v>17</c:v>
                </c:pt>
                <c:pt idx="56">
                  <c:v>6</c:v>
                </c:pt>
                <c:pt idx="57">
                  <c:v>12</c:v>
                </c:pt>
                <c:pt idx="58">
                  <c:v>13</c:v>
                </c:pt>
                <c:pt idx="59">
                  <c:v>13</c:v>
                </c:pt>
                <c:pt idx="60">
                  <c:v>9</c:v>
                </c:pt>
                <c:pt idx="61">
                  <c:v>7</c:v>
                </c:pt>
                <c:pt idx="62">
                  <c:v>5</c:v>
                </c:pt>
                <c:pt idx="63">
                  <c:v>8</c:v>
                </c:pt>
                <c:pt idx="64">
                  <c:v>5</c:v>
                </c:pt>
                <c:pt idx="65">
                  <c:v>4</c:v>
                </c:pt>
                <c:pt idx="67">
                  <c:v>3</c:v>
                </c:pt>
                <c:pt idx="68">
                  <c:v>5</c:v>
                </c:pt>
                <c:pt idx="69">
                  <c:v>3</c:v>
                </c:pt>
                <c:pt idx="70">
                  <c:v>2</c:v>
                </c:pt>
                <c:pt idx="71">
                  <c:v>3</c:v>
                </c:pt>
                <c:pt idx="72">
                  <c:v>4</c:v>
                </c:pt>
                <c:pt idx="73">
                  <c:v>5</c:v>
                </c:pt>
                <c:pt idx="74">
                  <c:v>9</c:v>
                </c:pt>
                <c:pt idx="75">
                  <c:v>7</c:v>
                </c:pt>
                <c:pt idx="76">
                  <c:v>3</c:v>
                </c:pt>
                <c:pt idx="77">
                  <c:v>2</c:v>
                </c:pt>
                <c:pt idx="80">
                  <c:v>2</c:v>
                </c:pt>
                <c:pt idx="82">
                  <c:v>3</c:v>
                </c:pt>
                <c:pt idx="83">
                  <c:v>4</c:v>
                </c:pt>
                <c:pt idx="84">
                  <c:v>2</c:v>
                </c:pt>
                <c:pt idx="85">
                  <c:v>2</c:v>
                </c:pt>
                <c:pt idx="87">
                  <c:v>1</c:v>
                </c:pt>
                <c:pt idx="88">
                  <c:v>1</c:v>
                </c:pt>
                <c:pt idx="89">
                  <c:v>2</c:v>
                </c:pt>
              </c:numCache>
            </c:numRef>
          </c:val>
          <c:smooth val="0"/>
          <c:extLst>
            <c:ext xmlns:c16="http://schemas.microsoft.com/office/drawing/2014/chart" uri="{C3380CC4-5D6E-409C-BE32-E72D297353CC}">
              <c16:uniqueId val="{00000004-E2D3-4742-9AFA-8D12909D45BC}"/>
            </c:ext>
          </c:extLst>
        </c:ser>
        <c:ser>
          <c:idx val="5"/>
          <c:order val="5"/>
          <c:tx>
            <c:strRef>
              <c:f>Sheet1!$G$1:$G$2</c:f>
              <c:strCache>
                <c:ptCount val="1"/>
                <c:pt idx="0">
                  <c:v>2nd line, nivolumab</c:v>
                </c:pt>
              </c:strCache>
            </c:strRef>
          </c:tx>
          <c:spPr>
            <a:ln w="28575" cap="rnd">
              <a:solidFill>
                <a:schemeClr val="accent6"/>
              </a:solidFill>
              <a:round/>
            </a:ln>
            <a:effectLst/>
          </c:spPr>
          <c:marker>
            <c:symbol val="none"/>
          </c:marker>
          <c:cat>
            <c:strRef>
              <c:f>Sheet1!$A$3:$A$93</c:f>
              <c:strCach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strCache>
            </c:strRef>
          </c:cat>
          <c:val>
            <c:numRef>
              <c:f>Sheet1!$G$3:$G$93</c:f>
              <c:numCache>
                <c:formatCode>General</c:formatCode>
                <c:ptCount val="90"/>
                <c:pt idx="0">
                  <c:v>94</c:v>
                </c:pt>
                <c:pt idx="1">
                  <c:v>54</c:v>
                </c:pt>
                <c:pt idx="2">
                  <c:v>60</c:v>
                </c:pt>
                <c:pt idx="3">
                  <c:v>44</c:v>
                </c:pt>
                <c:pt idx="4">
                  <c:v>68</c:v>
                </c:pt>
                <c:pt idx="5">
                  <c:v>100</c:v>
                </c:pt>
                <c:pt idx="6">
                  <c:v>195</c:v>
                </c:pt>
                <c:pt idx="7">
                  <c:v>197</c:v>
                </c:pt>
                <c:pt idx="8">
                  <c:v>223</c:v>
                </c:pt>
                <c:pt idx="9">
                  <c:v>354</c:v>
                </c:pt>
                <c:pt idx="10">
                  <c:v>449</c:v>
                </c:pt>
                <c:pt idx="11">
                  <c:v>429</c:v>
                </c:pt>
                <c:pt idx="12">
                  <c:v>1502</c:v>
                </c:pt>
                <c:pt idx="13">
                  <c:v>6950</c:v>
                </c:pt>
                <c:pt idx="14">
                  <c:v>1409</c:v>
                </c:pt>
                <c:pt idx="15">
                  <c:v>426</c:v>
                </c:pt>
                <c:pt idx="16">
                  <c:v>432</c:v>
                </c:pt>
                <c:pt idx="17">
                  <c:v>357</c:v>
                </c:pt>
                <c:pt idx="18">
                  <c:v>235</c:v>
                </c:pt>
                <c:pt idx="19">
                  <c:v>213</c:v>
                </c:pt>
                <c:pt idx="20">
                  <c:v>394</c:v>
                </c:pt>
                <c:pt idx="21">
                  <c:v>133</c:v>
                </c:pt>
                <c:pt idx="22">
                  <c:v>86</c:v>
                </c:pt>
                <c:pt idx="23">
                  <c:v>57</c:v>
                </c:pt>
                <c:pt idx="24">
                  <c:v>81</c:v>
                </c:pt>
                <c:pt idx="25">
                  <c:v>75</c:v>
                </c:pt>
                <c:pt idx="26">
                  <c:v>118</c:v>
                </c:pt>
                <c:pt idx="27">
                  <c:v>378</c:v>
                </c:pt>
                <c:pt idx="28">
                  <c:v>110</c:v>
                </c:pt>
                <c:pt idx="29">
                  <c:v>47</c:v>
                </c:pt>
                <c:pt idx="30">
                  <c:v>49</c:v>
                </c:pt>
                <c:pt idx="31">
                  <c:v>41</c:v>
                </c:pt>
                <c:pt idx="32">
                  <c:v>26</c:v>
                </c:pt>
                <c:pt idx="33">
                  <c:v>28</c:v>
                </c:pt>
                <c:pt idx="34">
                  <c:v>64</c:v>
                </c:pt>
                <c:pt idx="35">
                  <c:v>24</c:v>
                </c:pt>
                <c:pt idx="36">
                  <c:v>15</c:v>
                </c:pt>
                <c:pt idx="37">
                  <c:v>13</c:v>
                </c:pt>
                <c:pt idx="38">
                  <c:v>8</c:v>
                </c:pt>
                <c:pt idx="39">
                  <c:v>9</c:v>
                </c:pt>
                <c:pt idx="40">
                  <c:v>14</c:v>
                </c:pt>
                <c:pt idx="41">
                  <c:v>45</c:v>
                </c:pt>
                <c:pt idx="42">
                  <c:v>11</c:v>
                </c:pt>
                <c:pt idx="43">
                  <c:v>9</c:v>
                </c:pt>
                <c:pt idx="44">
                  <c:v>10</c:v>
                </c:pt>
                <c:pt idx="45">
                  <c:v>7</c:v>
                </c:pt>
                <c:pt idx="46">
                  <c:v>4</c:v>
                </c:pt>
                <c:pt idx="47">
                  <c:v>8</c:v>
                </c:pt>
                <c:pt idx="48">
                  <c:v>14</c:v>
                </c:pt>
                <c:pt idx="49">
                  <c:v>4</c:v>
                </c:pt>
                <c:pt idx="50">
                  <c:v>6</c:v>
                </c:pt>
                <c:pt idx="51">
                  <c:v>8</c:v>
                </c:pt>
                <c:pt idx="52">
                  <c:v>4</c:v>
                </c:pt>
                <c:pt idx="53">
                  <c:v>9</c:v>
                </c:pt>
                <c:pt idx="54">
                  <c:v>7</c:v>
                </c:pt>
                <c:pt idx="55">
                  <c:v>13</c:v>
                </c:pt>
                <c:pt idx="56">
                  <c:v>6</c:v>
                </c:pt>
                <c:pt idx="57">
                  <c:v>5</c:v>
                </c:pt>
                <c:pt idx="58">
                  <c:v>3</c:v>
                </c:pt>
                <c:pt idx="60">
                  <c:v>3</c:v>
                </c:pt>
                <c:pt idx="61">
                  <c:v>4</c:v>
                </c:pt>
                <c:pt idx="62">
                  <c:v>3</c:v>
                </c:pt>
                <c:pt idx="63">
                  <c:v>1</c:v>
                </c:pt>
                <c:pt idx="64">
                  <c:v>4</c:v>
                </c:pt>
                <c:pt idx="65">
                  <c:v>1</c:v>
                </c:pt>
                <c:pt idx="67">
                  <c:v>3</c:v>
                </c:pt>
                <c:pt idx="69">
                  <c:v>6</c:v>
                </c:pt>
                <c:pt idx="70">
                  <c:v>4</c:v>
                </c:pt>
                <c:pt idx="75">
                  <c:v>3</c:v>
                </c:pt>
                <c:pt idx="76">
                  <c:v>2</c:v>
                </c:pt>
                <c:pt idx="78">
                  <c:v>1</c:v>
                </c:pt>
                <c:pt idx="79">
                  <c:v>1</c:v>
                </c:pt>
                <c:pt idx="82">
                  <c:v>1</c:v>
                </c:pt>
                <c:pt idx="83">
                  <c:v>2</c:v>
                </c:pt>
                <c:pt idx="84">
                  <c:v>1</c:v>
                </c:pt>
                <c:pt idx="87">
                  <c:v>1</c:v>
                </c:pt>
              </c:numCache>
            </c:numRef>
          </c:val>
          <c:smooth val="0"/>
          <c:extLst>
            <c:ext xmlns:c16="http://schemas.microsoft.com/office/drawing/2014/chart" uri="{C3380CC4-5D6E-409C-BE32-E72D297353CC}">
              <c16:uniqueId val="{00000005-E2D3-4742-9AFA-8D12909D45BC}"/>
            </c:ext>
          </c:extLst>
        </c:ser>
        <c:ser>
          <c:idx val="6"/>
          <c:order val="6"/>
          <c:tx>
            <c:strRef>
              <c:f>Sheet1!$H$1:$H$2</c:f>
              <c:strCache>
                <c:ptCount val="1"/>
                <c:pt idx="0">
                  <c:v>2nd line, sorafenib</c:v>
                </c:pt>
              </c:strCache>
            </c:strRef>
          </c:tx>
          <c:spPr>
            <a:ln w="28575" cap="rnd">
              <a:solidFill>
                <a:schemeClr val="accent1">
                  <a:lumMod val="60000"/>
                </a:schemeClr>
              </a:solidFill>
              <a:round/>
            </a:ln>
            <a:effectLst/>
          </c:spPr>
          <c:marker>
            <c:symbol val="none"/>
          </c:marker>
          <c:cat>
            <c:strRef>
              <c:f>Sheet1!$A$3:$A$93</c:f>
              <c:strCach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strCache>
            </c:strRef>
          </c:cat>
          <c:val>
            <c:numRef>
              <c:f>Sheet1!$H$3:$H$93</c:f>
              <c:numCache>
                <c:formatCode>General</c:formatCode>
                <c:ptCount val="90"/>
                <c:pt idx="0">
                  <c:v>9</c:v>
                </c:pt>
                <c:pt idx="1">
                  <c:v>5</c:v>
                </c:pt>
                <c:pt idx="2">
                  <c:v>1</c:v>
                </c:pt>
                <c:pt idx="3">
                  <c:v>3</c:v>
                </c:pt>
                <c:pt idx="4">
                  <c:v>2</c:v>
                </c:pt>
                <c:pt idx="5">
                  <c:v>4</c:v>
                </c:pt>
                <c:pt idx="6">
                  <c:v>3</c:v>
                </c:pt>
                <c:pt idx="7">
                  <c:v>3</c:v>
                </c:pt>
                <c:pt idx="8">
                  <c:v>4</c:v>
                </c:pt>
                <c:pt idx="9">
                  <c:v>1</c:v>
                </c:pt>
                <c:pt idx="10">
                  <c:v>4</c:v>
                </c:pt>
                <c:pt idx="11">
                  <c:v>4</c:v>
                </c:pt>
                <c:pt idx="12">
                  <c:v>7</c:v>
                </c:pt>
                <c:pt idx="13">
                  <c:v>4</c:v>
                </c:pt>
                <c:pt idx="14">
                  <c:v>6</c:v>
                </c:pt>
                <c:pt idx="15">
                  <c:v>7</c:v>
                </c:pt>
                <c:pt idx="16">
                  <c:v>7</c:v>
                </c:pt>
                <c:pt idx="17">
                  <c:v>5</c:v>
                </c:pt>
                <c:pt idx="18">
                  <c:v>6</c:v>
                </c:pt>
                <c:pt idx="19">
                  <c:v>10</c:v>
                </c:pt>
                <c:pt idx="20">
                  <c:v>52</c:v>
                </c:pt>
                <c:pt idx="21">
                  <c:v>14</c:v>
                </c:pt>
                <c:pt idx="22">
                  <c:v>8</c:v>
                </c:pt>
                <c:pt idx="23">
                  <c:v>15</c:v>
                </c:pt>
                <c:pt idx="24">
                  <c:v>18</c:v>
                </c:pt>
                <c:pt idx="25">
                  <c:v>21</c:v>
                </c:pt>
                <c:pt idx="26">
                  <c:v>36</c:v>
                </c:pt>
                <c:pt idx="27">
                  <c:v>58</c:v>
                </c:pt>
                <c:pt idx="28">
                  <c:v>38</c:v>
                </c:pt>
                <c:pt idx="29">
                  <c:v>33</c:v>
                </c:pt>
                <c:pt idx="30">
                  <c:v>38</c:v>
                </c:pt>
                <c:pt idx="31">
                  <c:v>30</c:v>
                </c:pt>
                <c:pt idx="32">
                  <c:v>24</c:v>
                </c:pt>
                <c:pt idx="33">
                  <c:v>27</c:v>
                </c:pt>
                <c:pt idx="34">
                  <c:v>20</c:v>
                </c:pt>
                <c:pt idx="35">
                  <c:v>21</c:v>
                </c:pt>
                <c:pt idx="36">
                  <c:v>16</c:v>
                </c:pt>
                <c:pt idx="37">
                  <c:v>9</c:v>
                </c:pt>
                <c:pt idx="38">
                  <c:v>18</c:v>
                </c:pt>
                <c:pt idx="39">
                  <c:v>4</c:v>
                </c:pt>
                <c:pt idx="40">
                  <c:v>5</c:v>
                </c:pt>
                <c:pt idx="41">
                  <c:v>21</c:v>
                </c:pt>
                <c:pt idx="42">
                  <c:v>18</c:v>
                </c:pt>
                <c:pt idx="43">
                  <c:v>7</c:v>
                </c:pt>
                <c:pt idx="44">
                  <c:v>11</c:v>
                </c:pt>
                <c:pt idx="45">
                  <c:v>8</c:v>
                </c:pt>
                <c:pt idx="46">
                  <c:v>10</c:v>
                </c:pt>
                <c:pt idx="47">
                  <c:v>7</c:v>
                </c:pt>
                <c:pt idx="48">
                  <c:v>11</c:v>
                </c:pt>
                <c:pt idx="49">
                  <c:v>4</c:v>
                </c:pt>
                <c:pt idx="50">
                  <c:v>4</c:v>
                </c:pt>
                <c:pt idx="51">
                  <c:v>11</c:v>
                </c:pt>
                <c:pt idx="52">
                  <c:v>7</c:v>
                </c:pt>
                <c:pt idx="53">
                  <c:v>10</c:v>
                </c:pt>
                <c:pt idx="54">
                  <c:v>4</c:v>
                </c:pt>
                <c:pt idx="55">
                  <c:v>11</c:v>
                </c:pt>
                <c:pt idx="56">
                  <c:v>11</c:v>
                </c:pt>
                <c:pt idx="57">
                  <c:v>5</c:v>
                </c:pt>
                <c:pt idx="58">
                  <c:v>3</c:v>
                </c:pt>
                <c:pt idx="59">
                  <c:v>8</c:v>
                </c:pt>
                <c:pt idx="60">
                  <c:v>5</c:v>
                </c:pt>
                <c:pt idx="61">
                  <c:v>3</c:v>
                </c:pt>
                <c:pt idx="62">
                  <c:v>8</c:v>
                </c:pt>
                <c:pt idx="63">
                  <c:v>7</c:v>
                </c:pt>
                <c:pt idx="64">
                  <c:v>3</c:v>
                </c:pt>
                <c:pt idx="65">
                  <c:v>4</c:v>
                </c:pt>
                <c:pt idx="66">
                  <c:v>4</c:v>
                </c:pt>
                <c:pt idx="67">
                  <c:v>2</c:v>
                </c:pt>
                <c:pt idx="68">
                  <c:v>3</c:v>
                </c:pt>
                <c:pt idx="69">
                  <c:v>3</c:v>
                </c:pt>
                <c:pt idx="70">
                  <c:v>3</c:v>
                </c:pt>
                <c:pt idx="71">
                  <c:v>2</c:v>
                </c:pt>
                <c:pt idx="72">
                  <c:v>1</c:v>
                </c:pt>
                <c:pt idx="73">
                  <c:v>5</c:v>
                </c:pt>
                <c:pt idx="74">
                  <c:v>4</c:v>
                </c:pt>
                <c:pt idx="75">
                  <c:v>2</c:v>
                </c:pt>
                <c:pt idx="76">
                  <c:v>2</c:v>
                </c:pt>
                <c:pt idx="77">
                  <c:v>2</c:v>
                </c:pt>
                <c:pt idx="78">
                  <c:v>1</c:v>
                </c:pt>
                <c:pt idx="80">
                  <c:v>2</c:v>
                </c:pt>
                <c:pt idx="82">
                  <c:v>3</c:v>
                </c:pt>
                <c:pt idx="83">
                  <c:v>3</c:v>
                </c:pt>
                <c:pt idx="85">
                  <c:v>1</c:v>
                </c:pt>
                <c:pt idx="86">
                  <c:v>2</c:v>
                </c:pt>
                <c:pt idx="88">
                  <c:v>2</c:v>
                </c:pt>
                <c:pt idx="89">
                  <c:v>2</c:v>
                </c:pt>
              </c:numCache>
            </c:numRef>
          </c:val>
          <c:smooth val="0"/>
          <c:extLst>
            <c:ext xmlns:c16="http://schemas.microsoft.com/office/drawing/2014/chart" uri="{C3380CC4-5D6E-409C-BE32-E72D297353CC}">
              <c16:uniqueId val="{00000006-E2D3-4742-9AFA-8D12909D45BC}"/>
            </c:ext>
          </c:extLst>
        </c:ser>
        <c:dLbls>
          <c:showLegendKey val="0"/>
          <c:showVal val="0"/>
          <c:showCatName val="0"/>
          <c:showSerName val="0"/>
          <c:showPercent val="0"/>
          <c:showBubbleSize val="0"/>
        </c:dLbls>
        <c:smooth val="0"/>
        <c:axId val="434219032"/>
        <c:axId val="434222640"/>
      </c:lineChart>
      <c:catAx>
        <c:axId val="434219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Days</a:t>
                </a:r>
                <a:r>
                  <a:rPr lang="en-AU" baseline="0"/>
                  <a:t> to re-supply</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222640"/>
        <c:crosses val="autoZero"/>
        <c:auto val="1"/>
        <c:lblAlgn val="ctr"/>
        <c:lblOffset val="100"/>
        <c:noMultiLvlLbl val="0"/>
      </c:catAx>
      <c:valAx>
        <c:axId val="434222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manualLayout>
              <c:xMode val="edge"/>
              <c:yMode val="edge"/>
              <c:x val="2.6794685720665401E-2"/>
              <c:y val="0.342080173756514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21903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[D1213 - last_nivo_to_death_2wks.xlsx]Sheet1 (2)!PivotTable1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s>
    <c:plotArea>
      <c:layout/>
      <c:barChart>
        <c:barDir val="col"/>
        <c:grouping val="clustered"/>
        <c:varyColors val="0"/>
        <c:ser>
          <c:idx val="0"/>
          <c:order val="0"/>
          <c:tx>
            <c:strRef>
              <c:f>'Sheet1 (2)'!$B$1</c:f>
              <c:strCache>
                <c:ptCount val="1"/>
                <c:pt idx="0">
                  <c:v>Total</c:v>
                </c:pt>
              </c:strCache>
            </c:strRef>
          </c:tx>
          <c:spPr>
            <a:solidFill>
              <a:schemeClr val="accent1"/>
            </a:solidFill>
            <a:ln>
              <a:noFill/>
            </a:ln>
            <a:effectLst/>
          </c:spPr>
          <c:invertIfNegative val="0"/>
          <c:cat>
            <c:strRef>
              <c:f>'Sheet1 (2)'!$A$2:$A$14</c:f>
              <c:strCache>
                <c:ptCount val="12"/>
                <c:pt idx="0">
                  <c:v>1</c:v>
                </c:pt>
                <c:pt idx="1">
                  <c:v>2</c:v>
                </c:pt>
                <c:pt idx="2">
                  <c:v>3</c:v>
                </c:pt>
                <c:pt idx="3">
                  <c:v>4</c:v>
                </c:pt>
                <c:pt idx="4">
                  <c:v>5</c:v>
                </c:pt>
                <c:pt idx="5">
                  <c:v>6</c:v>
                </c:pt>
                <c:pt idx="6">
                  <c:v>7</c:v>
                </c:pt>
                <c:pt idx="7">
                  <c:v>8</c:v>
                </c:pt>
                <c:pt idx="8">
                  <c:v>9</c:v>
                </c:pt>
                <c:pt idx="9">
                  <c:v>10</c:v>
                </c:pt>
                <c:pt idx="10">
                  <c:v>11</c:v>
                </c:pt>
                <c:pt idx="11">
                  <c:v>&gt;= 12</c:v>
                </c:pt>
              </c:strCache>
            </c:strRef>
          </c:cat>
          <c:val>
            <c:numRef>
              <c:f>'Sheet1 (2)'!$B$2:$B$14</c:f>
              <c:numCache>
                <c:formatCode>General</c:formatCode>
                <c:ptCount val="12"/>
                <c:pt idx="0">
                  <c:v>93</c:v>
                </c:pt>
                <c:pt idx="1">
                  <c:v>86</c:v>
                </c:pt>
                <c:pt idx="2">
                  <c:v>41</c:v>
                </c:pt>
                <c:pt idx="3">
                  <c:v>30</c:v>
                </c:pt>
                <c:pt idx="4">
                  <c:v>24</c:v>
                </c:pt>
                <c:pt idx="5">
                  <c:v>12</c:v>
                </c:pt>
                <c:pt idx="6">
                  <c:v>16</c:v>
                </c:pt>
                <c:pt idx="7">
                  <c:v>16</c:v>
                </c:pt>
                <c:pt idx="8">
                  <c:v>13</c:v>
                </c:pt>
                <c:pt idx="9">
                  <c:v>9</c:v>
                </c:pt>
                <c:pt idx="10">
                  <c:v>9</c:v>
                </c:pt>
                <c:pt idx="11">
                  <c:v>53</c:v>
                </c:pt>
              </c:numCache>
            </c:numRef>
          </c:val>
          <c:extLst>
            <c:ext xmlns:c16="http://schemas.microsoft.com/office/drawing/2014/chart" uri="{C3380CC4-5D6E-409C-BE32-E72D297353CC}">
              <c16:uniqueId val="{00000000-DFB0-488C-9EDF-344AD2733EF8}"/>
            </c:ext>
          </c:extLst>
        </c:ser>
        <c:dLbls>
          <c:showLegendKey val="0"/>
          <c:showVal val="0"/>
          <c:showCatName val="0"/>
          <c:showSerName val="0"/>
          <c:showPercent val="0"/>
          <c:showBubbleSize val="0"/>
        </c:dLbls>
        <c:gapWidth val="219"/>
        <c:overlap val="-27"/>
        <c:axId val="760442888"/>
        <c:axId val="760443216"/>
      </c:barChart>
      <c:catAx>
        <c:axId val="760442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Fortnights before death</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443216"/>
        <c:crosses val="autoZero"/>
        <c:auto val="1"/>
        <c:lblAlgn val="ctr"/>
        <c:lblOffset val="100"/>
        <c:noMultiLvlLbl val="0"/>
      </c:catAx>
      <c:valAx>
        <c:axId val="760443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442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[D1213 - DOSE_FREQ by period.xlsx]Sheet1 (2)!PivotTable1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s>
    <c:plotArea>
      <c:layout/>
      <c:barChart>
        <c:barDir val="col"/>
        <c:grouping val="clustered"/>
        <c:varyColors val="0"/>
        <c:ser>
          <c:idx val="0"/>
          <c:order val="0"/>
          <c:tx>
            <c:strRef>
              <c:f>'Sheet1 (2)'!$B$1:$B$2</c:f>
              <c:strCache>
                <c:ptCount val="1"/>
                <c:pt idx="0">
                  <c:v>pre 1 September 2019</c:v>
                </c:pt>
              </c:strCache>
            </c:strRef>
          </c:tx>
          <c:spPr>
            <a:solidFill>
              <a:schemeClr val="accent1"/>
            </a:solidFill>
            <a:ln>
              <a:noFill/>
            </a:ln>
            <a:effectLst/>
          </c:spPr>
          <c:invertIfNegative val="0"/>
          <c:cat>
            <c:strRef>
              <c:f>'Sheet1 (2)'!$A$3:$A$25</c:f>
              <c:strCache>
                <c:ptCount val="22"/>
                <c:pt idx="0">
                  <c:v> &lt;= 80 mg</c:v>
                </c:pt>
                <c:pt idx="1">
                  <c:v> 81 to 100 mg</c:v>
                </c:pt>
                <c:pt idx="2">
                  <c:v>101 to 120 mg</c:v>
                </c:pt>
                <c:pt idx="3">
                  <c:v>121 to 140 mg</c:v>
                </c:pt>
                <c:pt idx="4">
                  <c:v>141 to 160 mg</c:v>
                </c:pt>
                <c:pt idx="5">
                  <c:v>161 to 180 mg</c:v>
                </c:pt>
                <c:pt idx="6">
                  <c:v>181 to 200 mg</c:v>
                </c:pt>
                <c:pt idx="7">
                  <c:v>201 to 220 mg</c:v>
                </c:pt>
                <c:pt idx="8">
                  <c:v>221 to 240 mg</c:v>
                </c:pt>
                <c:pt idx="9">
                  <c:v>241 to 260 mg</c:v>
                </c:pt>
                <c:pt idx="10">
                  <c:v>261 to 280 mg</c:v>
                </c:pt>
                <c:pt idx="11">
                  <c:v>281 to 300 mg</c:v>
                </c:pt>
                <c:pt idx="12">
                  <c:v>301 to 320 mg</c:v>
                </c:pt>
                <c:pt idx="13">
                  <c:v>321 to 340 mg</c:v>
                </c:pt>
                <c:pt idx="14">
                  <c:v>341 to 360 mg</c:v>
                </c:pt>
                <c:pt idx="15">
                  <c:v>361 to 380 mg</c:v>
                </c:pt>
                <c:pt idx="16">
                  <c:v>381 to 400 mg</c:v>
                </c:pt>
                <c:pt idx="17">
                  <c:v>401 to 420 mg</c:v>
                </c:pt>
                <c:pt idx="18">
                  <c:v>421 to 440 mg</c:v>
                </c:pt>
                <c:pt idx="19">
                  <c:v>441 to 460 mg</c:v>
                </c:pt>
                <c:pt idx="20">
                  <c:v>461 to 480 mg</c:v>
                </c:pt>
                <c:pt idx="21">
                  <c:v>481 to 500 mg</c:v>
                </c:pt>
              </c:strCache>
            </c:strRef>
          </c:cat>
          <c:val>
            <c:numRef>
              <c:f>'Sheet1 (2)'!$B$3:$B$25</c:f>
              <c:numCache>
                <c:formatCode>0.00%</c:formatCode>
                <c:ptCount val="22"/>
                <c:pt idx="0">
                  <c:v>1.73321350622673E-3</c:v>
                </c:pt>
                <c:pt idx="1">
                  <c:v>1.1554756708178199E-3</c:v>
                </c:pt>
                <c:pt idx="2">
                  <c:v>2.5035306201052765E-3</c:v>
                </c:pt>
                <c:pt idx="3">
                  <c:v>7.3180125818461932E-3</c:v>
                </c:pt>
                <c:pt idx="4">
                  <c:v>3.5113621774297082E-2</c:v>
                </c:pt>
                <c:pt idx="5">
                  <c:v>6.0983438182051611E-2</c:v>
                </c:pt>
                <c:pt idx="6">
                  <c:v>0.12684555141866735</c:v>
                </c:pt>
                <c:pt idx="7">
                  <c:v>9.7380921812812937E-2</c:v>
                </c:pt>
                <c:pt idx="8">
                  <c:v>0.23090255488509437</c:v>
                </c:pt>
                <c:pt idx="9">
                  <c:v>0.11959173192964437</c:v>
                </c:pt>
                <c:pt idx="10">
                  <c:v>9.0383874695082814E-2</c:v>
                </c:pt>
                <c:pt idx="11">
                  <c:v>8.9998716138143531E-2</c:v>
                </c:pt>
                <c:pt idx="12">
                  <c:v>4.4100654769546797E-2</c:v>
                </c:pt>
                <c:pt idx="13">
                  <c:v>3.293105661830787E-2</c:v>
                </c:pt>
                <c:pt idx="14">
                  <c:v>2.6640133521633073E-2</c:v>
                </c:pt>
                <c:pt idx="15">
                  <c:v>1.1554756708178199E-2</c:v>
                </c:pt>
                <c:pt idx="16">
                  <c:v>1.187572217229426E-2</c:v>
                </c:pt>
                <c:pt idx="17">
                  <c:v>2.8886891770445499E-3</c:v>
                </c:pt>
                <c:pt idx="18">
                  <c:v>3.8515855693927332E-4</c:v>
                </c:pt>
                <c:pt idx="19">
                  <c:v>1.7974065990499421E-3</c:v>
                </c:pt>
                <c:pt idx="20">
                  <c:v>3.5948131980998842E-3</c:v>
                </c:pt>
                <c:pt idx="21">
                  <c:v>3.2096546411606111E-4</c:v>
                </c:pt>
              </c:numCache>
            </c:numRef>
          </c:val>
          <c:extLst>
            <c:ext xmlns:c16="http://schemas.microsoft.com/office/drawing/2014/chart" uri="{C3380CC4-5D6E-409C-BE32-E72D297353CC}">
              <c16:uniqueId val="{00000000-F883-449B-AB8F-953F55A980EF}"/>
            </c:ext>
          </c:extLst>
        </c:ser>
        <c:ser>
          <c:idx val="1"/>
          <c:order val="1"/>
          <c:tx>
            <c:strRef>
              <c:f>'Sheet1 (2)'!$C$1:$C$2</c:f>
              <c:strCache>
                <c:ptCount val="1"/>
                <c:pt idx="0">
                  <c:v>post 1 September 2019</c:v>
                </c:pt>
              </c:strCache>
            </c:strRef>
          </c:tx>
          <c:spPr>
            <a:solidFill>
              <a:schemeClr val="accent2"/>
            </a:solidFill>
            <a:ln>
              <a:noFill/>
            </a:ln>
            <a:effectLst/>
          </c:spPr>
          <c:invertIfNegative val="0"/>
          <c:cat>
            <c:strRef>
              <c:f>'Sheet1 (2)'!$A$3:$A$25</c:f>
              <c:strCache>
                <c:ptCount val="22"/>
                <c:pt idx="0">
                  <c:v> &lt;= 80 mg</c:v>
                </c:pt>
                <c:pt idx="1">
                  <c:v> 81 to 100 mg</c:v>
                </c:pt>
                <c:pt idx="2">
                  <c:v>101 to 120 mg</c:v>
                </c:pt>
                <c:pt idx="3">
                  <c:v>121 to 140 mg</c:v>
                </c:pt>
                <c:pt idx="4">
                  <c:v>141 to 160 mg</c:v>
                </c:pt>
                <c:pt idx="5">
                  <c:v>161 to 180 mg</c:v>
                </c:pt>
                <c:pt idx="6">
                  <c:v>181 to 200 mg</c:v>
                </c:pt>
                <c:pt idx="7">
                  <c:v>201 to 220 mg</c:v>
                </c:pt>
                <c:pt idx="8">
                  <c:v>221 to 240 mg</c:v>
                </c:pt>
                <c:pt idx="9">
                  <c:v>241 to 260 mg</c:v>
                </c:pt>
                <c:pt idx="10">
                  <c:v>261 to 280 mg</c:v>
                </c:pt>
                <c:pt idx="11">
                  <c:v>281 to 300 mg</c:v>
                </c:pt>
                <c:pt idx="12">
                  <c:v>301 to 320 mg</c:v>
                </c:pt>
                <c:pt idx="13">
                  <c:v>321 to 340 mg</c:v>
                </c:pt>
                <c:pt idx="14">
                  <c:v>341 to 360 mg</c:v>
                </c:pt>
                <c:pt idx="15">
                  <c:v>361 to 380 mg</c:v>
                </c:pt>
                <c:pt idx="16">
                  <c:v>381 to 400 mg</c:v>
                </c:pt>
                <c:pt idx="17">
                  <c:v>401 to 420 mg</c:v>
                </c:pt>
                <c:pt idx="18">
                  <c:v>421 to 440 mg</c:v>
                </c:pt>
                <c:pt idx="19">
                  <c:v>441 to 460 mg</c:v>
                </c:pt>
                <c:pt idx="20">
                  <c:v>461 to 480 mg</c:v>
                </c:pt>
                <c:pt idx="21">
                  <c:v>481 to 500 mg</c:v>
                </c:pt>
              </c:strCache>
            </c:strRef>
          </c:cat>
          <c:val>
            <c:numRef>
              <c:f>'Sheet1 (2)'!$C$3:$C$25</c:f>
              <c:numCache>
                <c:formatCode>0.00%</c:formatCode>
                <c:ptCount val="22"/>
                <c:pt idx="0">
                  <c:v>0</c:v>
                </c:pt>
                <c:pt idx="1">
                  <c:v>1.2082158679017317E-3</c:v>
                </c:pt>
                <c:pt idx="2">
                  <c:v>3.2219089810712849E-3</c:v>
                </c:pt>
                <c:pt idx="3">
                  <c:v>3.2219089810712849E-3</c:v>
                </c:pt>
                <c:pt idx="4">
                  <c:v>2.0942408376963352E-2</c:v>
                </c:pt>
                <c:pt idx="5">
                  <c:v>2.5372533225936366E-2</c:v>
                </c:pt>
                <c:pt idx="6">
                  <c:v>8.1353201772049938E-2</c:v>
                </c:pt>
                <c:pt idx="7">
                  <c:v>6.8465565847764795E-2</c:v>
                </c:pt>
                <c:pt idx="8">
                  <c:v>0.32178815948449457</c:v>
                </c:pt>
                <c:pt idx="9">
                  <c:v>7.6520338300443011E-2</c:v>
                </c:pt>
                <c:pt idx="10">
                  <c:v>5.1147805074506648E-2</c:v>
                </c:pt>
                <c:pt idx="11">
                  <c:v>4.1482078131292788E-2</c:v>
                </c:pt>
                <c:pt idx="12">
                  <c:v>1.5706806282722512E-2</c:v>
                </c:pt>
                <c:pt idx="13">
                  <c:v>1.8928715263793798E-2</c:v>
                </c:pt>
                <c:pt idx="14">
                  <c:v>1.2082158679017317E-2</c:v>
                </c:pt>
                <c:pt idx="15">
                  <c:v>1.2082158679017317E-3</c:v>
                </c:pt>
                <c:pt idx="16">
                  <c:v>2.8191703584373741E-3</c:v>
                </c:pt>
                <c:pt idx="17">
                  <c:v>4.4301248489730166E-3</c:v>
                </c:pt>
                <c:pt idx="18">
                  <c:v>1.2082158679017317E-3</c:v>
                </c:pt>
                <c:pt idx="19">
                  <c:v>0</c:v>
                </c:pt>
                <c:pt idx="20">
                  <c:v>0.24768425291985502</c:v>
                </c:pt>
                <c:pt idx="21">
                  <c:v>1.2082158679017317E-3</c:v>
                </c:pt>
              </c:numCache>
            </c:numRef>
          </c:val>
          <c:extLst>
            <c:ext xmlns:c16="http://schemas.microsoft.com/office/drawing/2014/chart" uri="{C3380CC4-5D6E-409C-BE32-E72D297353CC}">
              <c16:uniqueId val="{00000001-F883-449B-AB8F-953F55A980EF}"/>
            </c:ext>
          </c:extLst>
        </c:ser>
        <c:dLbls>
          <c:showLegendKey val="0"/>
          <c:showVal val="0"/>
          <c:showCatName val="0"/>
          <c:showSerName val="0"/>
          <c:showPercent val="0"/>
          <c:showBubbleSize val="0"/>
        </c:dLbls>
        <c:gapWidth val="219"/>
        <c:overlap val="-27"/>
        <c:axId val="704514472"/>
        <c:axId val="705286336"/>
      </c:barChart>
      <c:catAx>
        <c:axId val="704514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Infusion dose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5286336"/>
        <c:crosses val="autoZero"/>
        <c:auto val="1"/>
        <c:lblAlgn val="ctr"/>
        <c:lblOffset val="100"/>
        <c:noMultiLvlLbl val="0"/>
      </c:catAx>
      <c:valAx>
        <c:axId val="70528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Infusions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514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D6B1-0811-4A80-BB33-12E46989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10461</Words>
  <Characters>59628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2020-10-21T04:26:00Z</dcterms:created>
  <dcterms:modified xsi:type="dcterms:W3CDTF">2020-11-04T23:54:00Z</dcterms:modified>
</cp:coreProperties>
</file>