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24" w:rsidRDefault="005D3F14" w:rsidP="00F73113">
      <w:pPr>
        <w:pStyle w:val="Title"/>
      </w:pPr>
      <w:proofErr w:type="spellStart"/>
      <w:r>
        <w:t>Eculizumab</w:t>
      </w:r>
      <w:proofErr w:type="spellEnd"/>
      <w:r>
        <w:t xml:space="preserve"> for </w:t>
      </w:r>
      <w:proofErr w:type="spellStart"/>
      <w:r>
        <w:t>aHUS</w:t>
      </w:r>
      <w:proofErr w:type="spellEnd"/>
      <w:r w:rsidR="001750B0">
        <w:t>: utilisation update</w:t>
      </w:r>
      <w:r w:rsidR="001C4016">
        <w:t xml:space="preserve"> </w:t>
      </w:r>
    </w:p>
    <w:p w:rsidR="00736041" w:rsidRDefault="009053D3" w:rsidP="00F73113">
      <w:pPr>
        <w:pStyle w:val="Title2"/>
      </w:pPr>
      <w:r>
        <w:t>D</w:t>
      </w:r>
      <w:r w:rsidR="00832324" w:rsidRPr="0063631C">
        <w:t xml:space="preserve">rug utilisation sub-committee </w:t>
      </w:r>
      <w:r w:rsidR="00832324">
        <w:t>(DUSC)</w:t>
      </w:r>
    </w:p>
    <w:p w:rsidR="009053D3" w:rsidRPr="00F73113" w:rsidRDefault="009B5E43" w:rsidP="00F73113">
      <w:pPr>
        <w:pStyle w:val="Meetingdate"/>
      </w:pPr>
      <w:r>
        <w:t>October 2020</w:t>
      </w:r>
    </w:p>
    <w:p w:rsidR="005C6661" w:rsidRPr="00CF5E22" w:rsidRDefault="005C6661" w:rsidP="00CF5E22">
      <w:pPr>
        <w:pStyle w:val="Heading2"/>
      </w:pPr>
      <w:r w:rsidRPr="00CF5E22">
        <w:t>Abstract</w:t>
      </w:r>
    </w:p>
    <w:p w:rsidR="005C6661" w:rsidRPr="00CF5E22" w:rsidRDefault="005C6661" w:rsidP="00CF5E22">
      <w:pPr>
        <w:pStyle w:val="Heading3"/>
      </w:pPr>
      <w:r w:rsidRPr="00CF5E22">
        <w:t>Purpose</w:t>
      </w:r>
    </w:p>
    <w:p w:rsidR="009B5E43" w:rsidRDefault="00916362" w:rsidP="00AA7770">
      <w:r>
        <w:t xml:space="preserve">DUSC </w:t>
      </w:r>
      <w:r w:rsidR="00514D4E">
        <w:t xml:space="preserve">has previously undertaken analysis of </w:t>
      </w:r>
      <w:proofErr w:type="spellStart"/>
      <w:r w:rsidR="00514D4E">
        <w:t>eculizumab</w:t>
      </w:r>
      <w:proofErr w:type="spellEnd"/>
      <w:r w:rsidR="00514D4E">
        <w:t xml:space="preserve"> for the treatment of </w:t>
      </w:r>
      <w:r w:rsidR="00514D4E" w:rsidRPr="00926C59">
        <w:t>atypical haemolytic uraemic syndrome (</w:t>
      </w:r>
      <w:proofErr w:type="spellStart"/>
      <w:r w:rsidR="00514D4E" w:rsidRPr="00926C59">
        <w:t>aHUS</w:t>
      </w:r>
      <w:proofErr w:type="spellEnd"/>
      <w:r w:rsidR="00514D4E">
        <w:t xml:space="preserve">) in September 2017 and February 2019. These analyses comprised a </w:t>
      </w:r>
      <w:r>
        <w:t>24</w:t>
      </w:r>
      <w:r w:rsidR="00F41F6D">
        <w:t>-</w:t>
      </w:r>
      <w:r>
        <w:t>month predicted versus actual utilisation analysis</w:t>
      </w:r>
      <w:r w:rsidR="00514D4E">
        <w:t xml:space="preserve"> (2017) and a</w:t>
      </w:r>
      <w:r w:rsidR="00357048">
        <w:t>n</w:t>
      </w:r>
      <w:r w:rsidR="00514D4E">
        <w:t xml:space="preserve"> update to the previous utilisation report</w:t>
      </w:r>
      <w:r>
        <w:t xml:space="preserve">. </w:t>
      </w:r>
    </w:p>
    <w:p w:rsidR="005B0AF5" w:rsidRDefault="001A1322" w:rsidP="00AA7770">
      <w:r>
        <w:t xml:space="preserve">At its </w:t>
      </w:r>
      <w:r w:rsidR="00514D4E">
        <w:t>June 2020 meeting</w:t>
      </w:r>
      <w:r>
        <w:t>, DUSC requested</w:t>
      </w:r>
      <w:r w:rsidR="00514D4E">
        <w:t xml:space="preserve"> an update to the previous reports and adding additional data on length of time on treatment (</w:t>
      </w:r>
      <w:proofErr w:type="spellStart"/>
      <w:r w:rsidR="00514D4E">
        <w:t>LoT</w:t>
      </w:r>
      <w:proofErr w:type="spellEnd"/>
      <w:r w:rsidR="00514D4E">
        <w:t>) and date of death data (</w:t>
      </w:r>
      <w:proofErr w:type="gramStart"/>
      <w:r w:rsidR="00514D4E">
        <w:t>DoD</w:t>
      </w:r>
      <w:proofErr w:type="gramEnd"/>
      <w:r w:rsidR="00514D4E">
        <w:t>)</w:t>
      </w:r>
      <w:r w:rsidR="006C366D">
        <w:t>.</w:t>
      </w:r>
      <w:r w:rsidR="00514D4E">
        <w:t xml:space="preserve"> </w:t>
      </w:r>
      <w:r w:rsidR="006C366D">
        <w:t>Consequentially, t</w:t>
      </w:r>
      <w:r w:rsidR="005B0AF5" w:rsidRPr="00BD2C51">
        <w:t xml:space="preserve">his </w:t>
      </w:r>
      <w:r w:rsidR="00514D4E">
        <w:t xml:space="preserve">latest </w:t>
      </w:r>
      <w:r w:rsidR="0095089C" w:rsidRPr="00BD2C51">
        <w:t xml:space="preserve">analysis </w:t>
      </w:r>
      <w:r w:rsidR="00514D4E">
        <w:t>provide</w:t>
      </w:r>
      <w:r w:rsidR="00F41F6D">
        <w:t>s</w:t>
      </w:r>
      <w:r w:rsidR="00514D4E">
        <w:t xml:space="preserve"> </w:t>
      </w:r>
      <w:r w:rsidR="0095089C" w:rsidRPr="00BD2C51">
        <w:t>updated utilisation da</w:t>
      </w:r>
      <w:r w:rsidR="00D03F4B" w:rsidRPr="00BD2C51">
        <w:t>ta</w:t>
      </w:r>
      <w:r w:rsidR="00514D4E">
        <w:t>,</w:t>
      </w:r>
      <w:r w:rsidR="00D03F4B" w:rsidRPr="00BD2C51">
        <w:t xml:space="preserve"> up to and including 3</w:t>
      </w:r>
      <w:r w:rsidR="00AD5905" w:rsidRPr="00BD2C51">
        <w:t>1</w:t>
      </w:r>
      <w:r w:rsidR="00D03F4B" w:rsidRPr="00BD2C51">
        <w:t xml:space="preserve"> May</w:t>
      </w:r>
      <w:r w:rsidR="0095089C" w:rsidRPr="00BD2C51">
        <w:t xml:space="preserve"> 20</w:t>
      </w:r>
      <w:r w:rsidR="00D03F4B" w:rsidRPr="00BD2C51">
        <w:t>20</w:t>
      </w:r>
      <w:r w:rsidR="00514D4E">
        <w:t>;</w:t>
      </w:r>
      <w:r w:rsidR="0095089C" w:rsidRPr="00BD2C51">
        <w:t xml:space="preserve"> information on patient initiations up to and including 30 June 2020</w:t>
      </w:r>
      <w:r w:rsidR="00514D4E">
        <w:t>;</w:t>
      </w:r>
      <w:r w:rsidR="006C366D">
        <w:t xml:space="preserve"> </w:t>
      </w:r>
      <w:r w:rsidR="00F41F6D">
        <w:t xml:space="preserve">and </w:t>
      </w:r>
      <w:r w:rsidR="006C366D">
        <w:t xml:space="preserve">data on </w:t>
      </w:r>
      <w:proofErr w:type="spellStart"/>
      <w:r w:rsidR="006C366D">
        <w:t>LoT</w:t>
      </w:r>
      <w:proofErr w:type="spellEnd"/>
      <w:r w:rsidR="00514D4E">
        <w:t>,</w:t>
      </w:r>
      <w:r w:rsidR="006C366D">
        <w:t xml:space="preserve"> </w:t>
      </w:r>
      <w:r w:rsidR="00BF00A1">
        <w:t xml:space="preserve">and </w:t>
      </w:r>
      <w:proofErr w:type="gramStart"/>
      <w:r w:rsidR="00BF00A1">
        <w:t>DoD</w:t>
      </w:r>
      <w:proofErr w:type="gramEnd"/>
      <w:r w:rsidR="00BF00A1">
        <w:t xml:space="preserve"> data</w:t>
      </w:r>
      <w:r w:rsidR="0095089C" w:rsidRPr="00BD2C51">
        <w:t>.</w:t>
      </w:r>
      <w:r w:rsidR="0095089C">
        <w:t xml:space="preserve"> </w:t>
      </w:r>
    </w:p>
    <w:p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rsidR="00D15B33" w:rsidRPr="002D144A" w:rsidRDefault="00D15B33" w:rsidP="00D15B33">
      <w:r>
        <w:t>1 December 2014</w:t>
      </w:r>
    </w:p>
    <w:p w:rsidR="005C6661" w:rsidRDefault="005C6661" w:rsidP="00CF5E22">
      <w:pPr>
        <w:pStyle w:val="Heading3"/>
      </w:pPr>
      <w:r>
        <w:t>Data Source / methodology</w:t>
      </w:r>
    </w:p>
    <w:p w:rsidR="00D15B33" w:rsidRPr="001750B0" w:rsidRDefault="00D15B33" w:rsidP="00D15B33">
      <w:pPr>
        <w:pStyle w:val="NoSpacing"/>
      </w:pPr>
      <w:r w:rsidRPr="001750B0">
        <w:t xml:space="preserve">The analyses used data from the </w:t>
      </w:r>
      <w:r w:rsidR="005B0AF5">
        <w:t xml:space="preserve">Services Australia (formerly known as the </w:t>
      </w:r>
      <w:r w:rsidRPr="001750B0">
        <w:t>De</w:t>
      </w:r>
      <w:r w:rsidR="005B0AF5">
        <w:t>partment of Human Services)</w:t>
      </w:r>
      <w:r w:rsidRPr="001750B0">
        <w:t xml:space="preserve"> supplied prescriptions database</w:t>
      </w:r>
      <w:r w:rsidR="0095089C">
        <w:t xml:space="preserve"> and authority approval database</w:t>
      </w:r>
      <w:r w:rsidRPr="001750B0">
        <w:t xml:space="preserve"> for dates o</w:t>
      </w:r>
      <w:r w:rsidR="001750B0" w:rsidRPr="001750B0">
        <w:t xml:space="preserve">f supply up to and including 30 </w:t>
      </w:r>
      <w:r w:rsidR="0095089C">
        <w:t xml:space="preserve">November </w:t>
      </w:r>
      <w:r w:rsidR="001750B0" w:rsidRPr="001750B0">
        <w:t>201</w:t>
      </w:r>
      <w:r w:rsidR="0095089C">
        <w:t>9</w:t>
      </w:r>
      <w:r w:rsidRPr="001750B0">
        <w:t xml:space="preserve">. </w:t>
      </w:r>
      <w:r w:rsidR="0095089C">
        <w:t xml:space="preserve">Data from Services Australia Complex Drugs </w:t>
      </w:r>
      <w:proofErr w:type="spellStart"/>
      <w:r w:rsidR="0095089C">
        <w:t>aHUS</w:t>
      </w:r>
      <w:proofErr w:type="spellEnd"/>
      <w:r w:rsidR="0095089C">
        <w:t xml:space="preserve"> monthly reports </w:t>
      </w:r>
      <w:r w:rsidR="009E665C">
        <w:t xml:space="preserve">from January </w:t>
      </w:r>
      <w:r w:rsidR="009951A5" w:rsidRPr="009E665C">
        <w:t>2017</w:t>
      </w:r>
      <w:r w:rsidR="009951A5">
        <w:t xml:space="preserve"> </w:t>
      </w:r>
      <w:r w:rsidR="0095089C">
        <w:t>up to and including 30 June 2020 has</w:t>
      </w:r>
      <w:r w:rsidR="005B2759">
        <w:t xml:space="preserve"> also been used in this update</w:t>
      </w:r>
      <w:r w:rsidR="0095089C">
        <w:t xml:space="preserve">. </w:t>
      </w:r>
      <w:r w:rsidRPr="001750B0">
        <w:t>Analyses in the report include:</w:t>
      </w:r>
    </w:p>
    <w:p w:rsidR="00803597" w:rsidRPr="006948BD" w:rsidRDefault="00803597" w:rsidP="00803597">
      <w:pPr>
        <w:pStyle w:val="NoSpacing"/>
        <w:numPr>
          <w:ilvl w:val="0"/>
          <w:numId w:val="4"/>
        </w:numPr>
      </w:pPr>
      <w:r w:rsidRPr="006948BD">
        <w:t xml:space="preserve">New and prevalent patient counts by year </w:t>
      </w:r>
    </w:p>
    <w:p w:rsidR="00803597" w:rsidRPr="006948BD" w:rsidRDefault="00803597" w:rsidP="00803597">
      <w:pPr>
        <w:pStyle w:val="NoSpacing"/>
        <w:numPr>
          <w:ilvl w:val="0"/>
          <w:numId w:val="4"/>
        </w:numPr>
      </w:pPr>
      <w:r w:rsidRPr="006948BD">
        <w:t>Pr</w:t>
      </w:r>
      <w:r>
        <w:t xml:space="preserve">escriptions by treatment phase </w:t>
      </w:r>
    </w:p>
    <w:p w:rsidR="00803597" w:rsidRDefault="00803597" w:rsidP="00803597">
      <w:pPr>
        <w:pStyle w:val="NoSpacing"/>
        <w:numPr>
          <w:ilvl w:val="0"/>
          <w:numId w:val="4"/>
        </w:numPr>
      </w:pPr>
      <w:r>
        <w:t>Patient age at initiation</w:t>
      </w:r>
    </w:p>
    <w:p w:rsidR="00803597" w:rsidRPr="006948BD" w:rsidRDefault="00803597" w:rsidP="00803597">
      <w:pPr>
        <w:pStyle w:val="NoSpacing"/>
        <w:numPr>
          <w:ilvl w:val="0"/>
          <w:numId w:val="4"/>
        </w:numPr>
      </w:pPr>
      <w:r>
        <w:t xml:space="preserve">Length of treatment </w:t>
      </w:r>
    </w:p>
    <w:p w:rsidR="00803597" w:rsidRDefault="00803597" w:rsidP="00803597">
      <w:pPr>
        <w:pStyle w:val="NoSpacing"/>
        <w:numPr>
          <w:ilvl w:val="0"/>
          <w:numId w:val="4"/>
        </w:numPr>
        <w:ind w:right="-257"/>
      </w:pPr>
      <w:r>
        <w:t xml:space="preserve">Length of therapy pre and post February 2016 restriction change </w:t>
      </w:r>
    </w:p>
    <w:p w:rsidR="00803597" w:rsidRDefault="00803597" w:rsidP="00803597">
      <w:pPr>
        <w:pStyle w:val="NoSpacing"/>
        <w:numPr>
          <w:ilvl w:val="0"/>
          <w:numId w:val="4"/>
        </w:numPr>
      </w:pPr>
      <w:r>
        <w:t xml:space="preserve">Length of treatment by top 3 initial prescribers </w:t>
      </w:r>
    </w:p>
    <w:p w:rsidR="00803597" w:rsidRDefault="00803597" w:rsidP="00803597">
      <w:pPr>
        <w:pStyle w:val="NoSpacing"/>
        <w:numPr>
          <w:ilvl w:val="0"/>
          <w:numId w:val="4"/>
        </w:numPr>
      </w:pPr>
      <w:r>
        <w:t>Patient status</w:t>
      </w:r>
    </w:p>
    <w:p w:rsidR="00803597" w:rsidRDefault="00803597" w:rsidP="00803597">
      <w:pPr>
        <w:pStyle w:val="NoSpacing"/>
        <w:numPr>
          <w:ilvl w:val="0"/>
          <w:numId w:val="4"/>
        </w:numPr>
      </w:pPr>
      <w:r>
        <w:t>Length of treatment using date of death data</w:t>
      </w:r>
    </w:p>
    <w:p w:rsidR="00803597" w:rsidRPr="002D2FCA" w:rsidRDefault="00803597" w:rsidP="00803597">
      <w:pPr>
        <w:pStyle w:val="NoSpacing"/>
        <w:numPr>
          <w:ilvl w:val="0"/>
          <w:numId w:val="4"/>
        </w:numPr>
      </w:pPr>
      <w:r w:rsidRPr="00066AAD">
        <w:t>Prescriber type</w:t>
      </w:r>
    </w:p>
    <w:p w:rsidR="00803597" w:rsidRDefault="00803597" w:rsidP="00803597">
      <w:pPr>
        <w:pStyle w:val="NoSpacing"/>
        <w:numPr>
          <w:ilvl w:val="0"/>
          <w:numId w:val="4"/>
        </w:numPr>
      </w:pPr>
      <w:r>
        <w:t xml:space="preserve">Initiating prescribers by prescriber type </w:t>
      </w:r>
    </w:p>
    <w:p w:rsidR="00D556A3" w:rsidRDefault="00D556A3" w:rsidP="00803597">
      <w:pPr>
        <w:pStyle w:val="NoSpacing"/>
        <w:numPr>
          <w:ilvl w:val="0"/>
          <w:numId w:val="4"/>
        </w:numPr>
      </w:pPr>
      <w:r>
        <w:t>Patient count by provider</w:t>
      </w:r>
    </w:p>
    <w:p w:rsidR="00803597" w:rsidRDefault="00803597" w:rsidP="00803597">
      <w:pPr>
        <w:pStyle w:val="NoSpacing"/>
        <w:numPr>
          <w:ilvl w:val="0"/>
          <w:numId w:val="4"/>
        </w:numPr>
      </w:pPr>
      <w:r>
        <w:t>Approved patient affected organs</w:t>
      </w:r>
    </w:p>
    <w:p w:rsidR="00803597" w:rsidRDefault="00803597" w:rsidP="00803597">
      <w:pPr>
        <w:pStyle w:val="NoSpacing"/>
        <w:numPr>
          <w:ilvl w:val="0"/>
          <w:numId w:val="4"/>
        </w:numPr>
      </w:pPr>
      <w:r>
        <w:t xml:space="preserve">Restriction sequence </w:t>
      </w:r>
    </w:p>
    <w:p w:rsidR="00803597" w:rsidRDefault="00803597" w:rsidP="00803597">
      <w:pPr>
        <w:pStyle w:val="NoSpacing"/>
        <w:numPr>
          <w:ilvl w:val="0"/>
          <w:numId w:val="4"/>
        </w:numPr>
      </w:pPr>
      <w:r>
        <w:lastRenderedPageBreak/>
        <w:t xml:space="preserve">Patient flow from ‘Initial’ to ‘Balance of Initial’ </w:t>
      </w:r>
    </w:p>
    <w:p w:rsidR="00803597" w:rsidRPr="006948BD" w:rsidRDefault="00803597" w:rsidP="00803597">
      <w:pPr>
        <w:pStyle w:val="NoSpacing"/>
        <w:numPr>
          <w:ilvl w:val="0"/>
          <w:numId w:val="4"/>
        </w:numPr>
        <w:ind w:right="-541"/>
      </w:pPr>
      <w:r>
        <w:t>Approved patient vaccination / antibiotic evidence status</w:t>
      </w:r>
    </w:p>
    <w:p w:rsidR="005C6661" w:rsidRDefault="005C6661" w:rsidP="00CF5E22">
      <w:pPr>
        <w:pStyle w:val="Heading3"/>
      </w:pPr>
      <w:r>
        <w:t>Key Findings</w:t>
      </w:r>
    </w:p>
    <w:p w:rsidR="00817586" w:rsidRDefault="00817586" w:rsidP="006C366D">
      <w:pPr>
        <w:pStyle w:val="NoSpacing"/>
        <w:numPr>
          <w:ilvl w:val="0"/>
          <w:numId w:val="1"/>
        </w:numPr>
      </w:pPr>
      <w:r>
        <w:t xml:space="preserve">Since its listing in December 2014, 323 patients have been supplied </w:t>
      </w:r>
      <w:proofErr w:type="spellStart"/>
      <w:r>
        <w:t>eculizumab</w:t>
      </w:r>
      <w:proofErr w:type="spellEnd"/>
      <w:r>
        <w:t xml:space="preserve"> for </w:t>
      </w:r>
      <w:proofErr w:type="spellStart"/>
      <w:r>
        <w:t>aHUS</w:t>
      </w:r>
      <w:proofErr w:type="spellEnd"/>
      <w:r>
        <w:t xml:space="preserve"> (to the end of May 2020). Of these 87 </w:t>
      </w:r>
      <w:r w:rsidR="002138DF">
        <w:t xml:space="preserve">(27%) </w:t>
      </w:r>
      <w:r>
        <w:t xml:space="preserve">people were on treatment at the end of the analysis period; meaning 236 people had stopped treatment. </w:t>
      </w:r>
    </w:p>
    <w:p w:rsidR="006C366D" w:rsidRDefault="006C366D" w:rsidP="006C366D">
      <w:pPr>
        <w:pStyle w:val="NoSpacing"/>
        <w:numPr>
          <w:ilvl w:val="0"/>
          <w:numId w:val="1"/>
        </w:numPr>
      </w:pPr>
      <w:proofErr w:type="gramStart"/>
      <w:r>
        <w:t>DoD</w:t>
      </w:r>
      <w:proofErr w:type="gramEnd"/>
      <w:r>
        <w:t xml:space="preserve"> data shows that a total of 74 people out of 298 who were supplied </w:t>
      </w:r>
      <w:proofErr w:type="spellStart"/>
      <w:r>
        <w:t>eculizumab</w:t>
      </w:r>
      <w:proofErr w:type="spellEnd"/>
      <w:r>
        <w:t xml:space="preserve"> from December 2014 to 20 March 2020 ha</w:t>
      </w:r>
      <w:r w:rsidR="001F1484">
        <w:t>d</w:t>
      </w:r>
      <w:r>
        <w:t xml:space="preserve"> died. Of these 74, 39 </w:t>
      </w:r>
      <w:r w:rsidR="00CC4450">
        <w:t xml:space="preserve">(13.1% of total patient) </w:t>
      </w:r>
      <w:r>
        <w:t xml:space="preserve">have died whilst on treatment. This indicates that some patients may have been treated beyond disease progression. </w:t>
      </w:r>
    </w:p>
    <w:p w:rsidR="006C366D" w:rsidRDefault="006C366D" w:rsidP="006C366D">
      <w:pPr>
        <w:pStyle w:val="NoSpacing"/>
        <w:numPr>
          <w:ilvl w:val="0"/>
          <w:numId w:val="1"/>
        </w:numPr>
      </w:pPr>
      <w:r>
        <w:t xml:space="preserve">Adults (18 years and over) make up the majority </w:t>
      </w:r>
      <w:r w:rsidR="00C77B52">
        <w:t xml:space="preserve">(90.4%) </w:t>
      </w:r>
      <w:r>
        <w:t xml:space="preserve">of patients treated with </w:t>
      </w:r>
      <w:proofErr w:type="spellStart"/>
      <w:r>
        <w:t>eculizumab</w:t>
      </w:r>
      <w:proofErr w:type="spellEnd"/>
      <w:r w:rsidR="00C77B52">
        <w:t>.</w:t>
      </w:r>
    </w:p>
    <w:p w:rsidR="00C77B52" w:rsidRDefault="00C77B52" w:rsidP="006C366D">
      <w:pPr>
        <w:pStyle w:val="NoSpacing"/>
        <w:numPr>
          <w:ilvl w:val="0"/>
          <w:numId w:val="1"/>
        </w:numPr>
      </w:pPr>
      <w:r>
        <w:t>Of the top 3 prescriber types (general practitioners (GPs), nephrologists and haematologists)</w:t>
      </w:r>
      <w:r w:rsidR="00CC4450">
        <w:t>,</w:t>
      </w:r>
      <w:r>
        <w:t xml:space="preserve"> patients </w:t>
      </w:r>
      <w:r w:rsidR="00830E75">
        <w:t>prescribed initial treatment by</w:t>
      </w:r>
      <w:r>
        <w:t xml:space="preserve"> nephrologists and haematologists spent the longest amount of time on treatment.</w:t>
      </w:r>
    </w:p>
    <w:p w:rsidR="00125E76" w:rsidRDefault="00830E75" w:rsidP="00CD6CBC">
      <w:pPr>
        <w:pStyle w:val="NoSpacing"/>
        <w:numPr>
          <w:ilvl w:val="0"/>
          <w:numId w:val="1"/>
        </w:numPr>
      </w:pPr>
      <w:r>
        <w:t>At the time of</w:t>
      </w:r>
      <w:r w:rsidR="00125E76">
        <w:t xml:space="preserve"> initial application approv</w:t>
      </w:r>
      <w:r>
        <w:t>als,</w:t>
      </w:r>
      <w:r w:rsidR="00F075C2">
        <w:t xml:space="preserve"> </w:t>
      </w:r>
      <w:r w:rsidR="00125E76">
        <w:t>68%</w:t>
      </w:r>
      <w:r>
        <w:t xml:space="preserve"> of patients had</w:t>
      </w:r>
      <w:r w:rsidR="00125E76">
        <w:t xml:space="preserve"> an ADAMTS</w:t>
      </w:r>
      <w:r w:rsidR="002A3556">
        <w:t>-13</w:t>
      </w:r>
      <w:r w:rsidR="00125E76">
        <w:t xml:space="preserve"> score </w:t>
      </w:r>
      <w:r>
        <w:t xml:space="preserve">recorded </w:t>
      </w:r>
      <w:r w:rsidR="00125E76">
        <w:t xml:space="preserve">and 32% did not. Of the patients </w:t>
      </w:r>
      <w:r>
        <w:t xml:space="preserve">without </w:t>
      </w:r>
      <w:r w:rsidR="00125E76">
        <w:t>an ADAMTS</w:t>
      </w:r>
      <w:r w:rsidR="002A3556">
        <w:t>-13</w:t>
      </w:r>
      <w:r w:rsidR="00125E76">
        <w:t xml:space="preserve"> score, 29.9% did not proceed to receive further treatment. The remaining </w:t>
      </w:r>
      <w:r w:rsidR="00CD6CBC">
        <w:t>70.1% provided an ADA</w:t>
      </w:r>
      <w:r>
        <w:t>M</w:t>
      </w:r>
      <w:r w:rsidR="00CD6CBC">
        <w:t>TS</w:t>
      </w:r>
      <w:r w:rsidR="002A3556">
        <w:t>-13</w:t>
      </w:r>
      <w:r w:rsidR="00CD6CBC">
        <w:t xml:space="preserve"> score and proceeded to receive the balance of </w:t>
      </w:r>
      <w:r>
        <w:t xml:space="preserve">initial </w:t>
      </w:r>
      <w:r w:rsidR="00CD6CBC">
        <w:t>supply.</w:t>
      </w:r>
    </w:p>
    <w:p w:rsidR="00DF4558" w:rsidRDefault="00DF4558" w:rsidP="00DF4558">
      <w:pPr>
        <w:pStyle w:val="NoSpacing"/>
        <w:numPr>
          <w:ilvl w:val="0"/>
          <w:numId w:val="1"/>
        </w:numPr>
      </w:pPr>
      <w:r>
        <w:t xml:space="preserve">There were changes to the restriction in </w:t>
      </w:r>
      <w:r w:rsidR="00D95CBD">
        <w:t>2016, which</w:t>
      </w:r>
      <w:r>
        <w:t xml:space="preserve"> may have led </w:t>
      </w:r>
      <w:r w:rsidR="002D2FCA">
        <w:t xml:space="preserve">to </w:t>
      </w:r>
      <w:r>
        <w:t xml:space="preserve">a decrease in </w:t>
      </w:r>
      <w:proofErr w:type="spellStart"/>
      <w:r>
        <w:t>LoT</w:t>
      </w:r>
      <w:proofErr w:type="spellEnd"/>
      <w:r>
        <w:t>. These changes included the addition of having to provide extra information in the application i.e. serial haematological results every three months while on treatment</w:t>
      </w:r>
      <w:r w:rsidR="002D2FCA">
        <w:t>;</w:t>
      </w:r>
      <w:r>
        <w:t xml:space="preserve"> evidence of an identifiable genetic mutation</w:t>
      </w:r>
      <w:r w:rsidR="002D2FCA">
        <w:t>,</w:t>
      </w:r>
      <w:r>
        <w:t xml:space="preserve"> and prior history of </w:t>
      </w:r>
      <w:proofErr w:type="spellStart"/>
      <w:r>
        <w:t>aHUS</w:t>
      </w:r>
      <w:proofErr w:type="spellEnd"/>
      <w:r>
        <w:t xml:space="preserve">. </w:t>
      </w:r>
    </w:p>
    <w:p w:rsidR="00DF4558" w:rsidRDefault="00DF4558" w:rsidP="00DF4558">
      <w:pPr>
        <w:pStyle w:val="NoSpacing"/>
        <w:numPr>
          <w:ilvl w:val="0"/>
          <w:numId w:val="1"/>
        </w:numPr>
      </w:pPr>
      <w:r>
        <w:t xml:space="preserve">Restriction changes in January 2017 led to an increase in the number of adult patients. These changes included </w:t>
      </w:r>
      <w:r w:rsidR="002D2FCA">
        <w:t xml:space="preserve">adding the </w:t>
      </w:r>
      <w:r>
        <w:t xml:space="preserve">possibility of </w:t>
      </w:r>
      <w:r w:rsidR="002D2FCA">
        <w:t>el</w:t>
      </w:r>
      <w:r w:rsidR="000D1869">
        <w:t>i</w:t>
      </w:r>
      <w:r w:rsidR="002D2FCA">
        <w:t xml:space="preserve">gibility for treatment </w:t>
      </w:r>
      <w:r>
        <w:t>when non-renal</w:t>
      </w:r>
      <w:r w:rsidR="002D2FCA">
        <w:t xml:space="preserve"> </w:t>
      </w:r>
      <w:r w:rsidR="002D2FCA" w:rsidRPr="00BF00A1">
        <w:t xml:space="preserve">thrombotic </w:t>
      </w:r>
      <w:proofErr w:type="spellStart"/>
      <w:r w:rsidR="002D2FCA" w:rsidRPr="00BF00A1">
        <w:t>microangiopathy</w:t>
      </w:r>
      <w:proofErr w:type="spellEnd"/>
      <w:r>
        <w:t xml:space="preserve"> </w:t>
      </w:r>
      <w:r w:rsidR="002D2FCA">
        <w:t>(</w:t>
      </w:r>
      <w:r>
        <w:t>TMA</w:t>
      </w:r>
      <w:r w:rsidR="002D2FCA">
        <w:t xml:space="preserve">) </w:t>
      </w:r>
      <w:r>
        <w:t xml:space="preserve">related organ damage is present and clarification that the progressing TMA must be caused by </w:t>
      </w:r>
      <w:proofErr w:type="spellStart"/>
      <w:r>
        <w:t>aHUS</w:t>
      </w:r>
      <w:proofErr w:type="spellEnd"/>
      <w:r>
        <w:t>.</w:t>
      </w:r>
    </w:p>
    <w:p w:rsidR="003C1954" w:rsidRPr="00BC4031" w:rsidRDefault="003C1954" w:rsidP="006842D1">
      <w:pPr>
        <w:pStyle w:val="NoSpacing"/>
        <w:numPr>
          <w:ilvl w:val="0"/>
          <w:numId w:val="1"/>
        </w:numPr>
      </w:pPr>
      <w:r w:rsidRPr="00BC4031">
        <w:t>Initiating and prevalent patient numbers are showing signs of stabilising</w:t>
      </w:r>
      <w:r w:rsidR="00BF00A1" w:rsidRPr="00BC4031">
        <w:t xml:space="preserve"> with 2019 being the first year that total patient numbers </w:t>
      </w:r>
      <w:r w:rsidR="00941244" w:rsidRPr="00BC4031">
        <w:t>did not increase</w:t>
      </w:r>
      <w:r w:rsidR="00BF00A1" w:rsidRPr="00BC4031">
        <w:t xml:space="preserve"> compared to the previous years</w:t>
      </w:r>
      <w:r w:rsidR="006B6A74" w:rsidRPr="00BC4031">
        <w:t>’</w:t>
      </w:r>
      <w:r w:rsidR="00BF00A1" w:rsidRPr="00BC4031">
        <w:t xml:space="preserve"> total patient numbers</w:t>
      </w:r>
      <w:r w:rsidRPr="00BC4031">
        <w:t>.</w:t>
      </w:r>
    </w:p>
    <w:p w:rsidR="006842D1" w:rsidRPr="003C1954" w:rsidRDefault="006842D1" w:rsidP="009951A5">
      <w:pPr>
        <w:pStyle w:val="NoSpacing"/>
        <w:numPr>
          <w:ilvl w:val="0"/>
          <w:numId w:val="1"/>
        </w:numPr>
      </w:pPr>
      <w:r w:rsidRPr="003C1954">
        <w:t>The rate of growth in PBS</w:t>
      </w:r>
      <w:r w:rsidR="003C1954" w:rsidRPr="003C1954">
        <w:t xml:space="preserve"> patients</w:t>
      </w:r>
      <w:r w:rsidRPr="003C1954">
        <w:t xml:space="preserve"> </w:t>
      </w:r>
      <w:r w:rsidR="003C1954" w:rsidRPr="003C1954">
        <w:t>is showing signs of declining</w:t>
      </w:r>
      <w:r w:rsidRPr="003C1954">
        <w:t xml:space="preserve">. </w:t>
      </w:r>
    </w:p>
    <w:p w:rsidR="00E677DD" w:rsidRPr="00CF5E22" w:rsidRDefault="00BB0D1A" w:rsidP="003C1954">
      <w:pPr>
        <w:pStyle w:val="Heading1"/>
      </w:pPr>
      <w:r>
        <w:br w:type="page"/>
      </w:r>
      <w:r w:rsidR="00E677DD" w:rsidRPr="00CF5E22">
        <w:lastRenderedPageBreak/>
        <w:t xml:space="preserve">Purpose of </w:t>
      </w:r>
      <w:r w:rsidR="00D151EB" w:rsidRPr="00CF5E22">
        <w:t>analysis</w:t>
      </w:r>
    </w:p>
    <w:p w:rsidR="00183BE8" w:rsidRDefault="00916362" w:rsidP="00916362">
      <w:r>
        <w:t xml:space="preserve">In September 2017, DUSC considered a 24 month predicted versus actual utilisation analysis of </w:t>
      </w:r>
      <w:proofErr w:type="spellStart"/>
      <w:r>
        <w:t>eculizumab</w:t>
      </w:r>
      <w:proofErr w:type="spellEnd"/>
      <w:r>
        <w:t xml:space="preserve"> for the treatment of </w:t>
      </w:r>
      <w:r w:rsidRPr="00926C59">
        <w:t>atypical haemolytic uraemic syndrome (</w:t>
      </w:r>
      <w:proofErr w:type="spellStart"/>
      <w:r w:rsidRPr="00926C59">
        <w:t>aHUS</w:t>
      </w:r>
      <w:proofErr w:type="spellEnd"/>
      <w:r>
        <w:t>).</w:t>
      </w:r>
      <w:r w:rsidR="00F0419A">
        <w:t xml:space="preserve"> For details refer to the </w:t>
      </w:r>
      <w:r w:rsidR="00F0419A" w:rsidRPr="00066AAD">
        <w:t>Public Release Document</w:t>
      </w:r>
      <w:r w:rsidR="00F0419A">
        <w:t xml:space="preserve">. </w:t>
      </w:r>
    </w:p>
    <w:p w:rsidR="00916362" w:rsidRDefault="00183BE8" w:rsidP="00916362">
      <w:r>
        <w:t xml:space="preserve">An update to the </w:t>
      </w:r>
      <w:r w:rsidR="00916362">
        <w:t>utilisation w</w:t>
      </w:r>
      <w:r>
        <w:t xml:space="preserve">as conducted in February 2019, which examined an additional </w:t>
      </w:r>
      <w:r w:rsidR="00916362">
        <w:t xml:space="preserve">12 months of data </w:t>
      </w:r>
      <w:r>
        <w:t xml:space="preserve">that was available, </w:t>
      </w:r>
      <w:r w:rsidR="00BD2C51">
        <w:t>and</w:t>
      </w:r>
      <w:r>
        <w:t xml:space="preserve"> included </w:t>
      </w:r>
      <w:r w:rsidR="00916362">
        <w:t>t</w:t>
      </w:r>
      <w:r w:rsidR="00916362" w:rsidRPr="005D3F14">
        <w:t xml:space="preserve">he number of initiating and prevalent patients, </w:t>
      </w:r>
      <w:r>
        <w:t xml:space="preserve">and </w:t>
      </w:r>
      <w:r w:rsidR="00916362" w:rsidRPr="005D3F14">
        <w:t xml:space="preserve">the extent of continuation, stopping and restarting </w:t>
      </w:r>
      <w:r w:rsidR="00F41F6D">
        <w:t xml:space="preserve">of </w:t>
      </w:r>
      <w:r w:rsidR="00916362" w:rsidRPr="005D3F14">
        <w:t>therapy.</w:t>
      </w:r>
    </w:p>
    <w:p w:rsidR="00BD2C51" w:rsidRDefault="00BD2C51" w:rsidP="00F337DE">
      <w:r>
        <w:t xml:space="preserve">In considering the utilisation of </w:t>
      </w:r>
      <w:proofErr w:type="spellStart"/>
      <w:r>
        <w:t>eculizumab</w:t>
      </w:r>
      <w:proofErr w:type="spellEnd"/>
      <w:r>
        <w:t xml:space="preserve"> in February 2019, DUSC requested a further analysis to assess time on treatment after changes to the restriction, which enabled a new population to access the medication and to identify any discontinuation due to death.</w:t>
      </w:r>
      <w:r w:rsidR="00F337DE">
        <w:t xml:space="preserve"> </w:t>
      </w:r>
      <w:r>
        <w:t xml:space="preserve">For details refer to the </w:t>
      </w:r>
      <w:r w:rsidRPr="00066AAD">
        <w:t>Public Release Document</w:t>
      </w:r>
      <w:r w:rsidR="004E6FB7">
        <w:rPr>
          <w:rStyle w:val="Hyperlink"/>
        </w:rPr>
        <w:t>.</w:t>
      </w:r>
    </w:p>
    <w:p w:rsidR="00BD2C51" w:rsidRDefault="00BD2C51" w:rsidP="00F337DE">
      <w:r>
        <w:t>In its consideration of the February 2019 DUSC review, the Pharmaceutical Benefits Advisory Committee (PBAC) requested at its March 2019 meeting for DUSC to examine if differences in the time on therapy between patients was due to the prescribing patterns of individual clinicians.</w:t>
      </w:r>
    </w:p>
    <w:p w:rsidR="006537D9" w:rsidRPr="005E22C2" w:rsidRDefault="00736041" w:rsidP="00CF5E22">
      <w:pPr>
        <w:pStyle w:val="Heading1"/>
      </w:pPr>
      <w:r w:rsidRPr="005E22C2">
        <w:t>Background</w:t>
      </w:r>
    </w:p>
    <w:p w:rsidR="00094DCF" w:rsidRPr="004A311C" w:rsidRDefault="00ED633B" w:rsidP="00CF5E22">
      <w:pPr>
        <w:pStyle w:val="Heading2"/>
        <w:rPr>
          <w:i/>
          <w:sz w:val="24"/>
        </w:rPr>
      </w:pPr>
      <w:r w:rsidRPr="004A311C">
        <w:rPr>
          <w:i/>
          <w:sz w:val="24"/>
        </w:rPr>
        <w:t xml:space="preserve">Previous reviews by </w:t>
      </w:r>
      <w:r w:rsidR="00177B86" w:rsidRPr="004A311C">
        <w:rPr>
          <w:i/>
          <w:sz w:val="24"/>
        </w:rPr>
        <w:t xml:space="preserve">the </w:t>
      </w:r>
      <w:r w:rsidRPr="004A311C">
        <w:rPr>
          <w:i/>
          <w:sz w:val="24"/>
        </w:rPr>
        <w:t>DUSC</w:t>
      </w:r>
    </w:p>
    <w:p w:rsidR="00E371EA" w:rsidRDefault="009E7016" w:rsidP="00A35800">
      <w:pPr>
        <w:rPr>
          <w:rStyle w:val="Hyperlink"/>
        </w:rPr>
      </w:pPr>
      <w:r>
        <w:t>This report does not replicate background information contained in the previous report</w:t>
      </w:r>
      <w:r w:rsidR="00F41F6D">
        <w:t>s</w:t>
      </w:r>
      <w:r w:rsidR="009A4877">
        <w:t xml:space="preserve">. </w:t>
      </w:r>
      <w:r w:rsidR="00F0419A">
        <w:t xml:space="preserve">For background </w:t>
      </w:r>
      <w:r>
        <w:t>information,</w:t>
      </w:r>
      <w:r w:rsidR="00F0419A">
        <w:t xml:space="preserve"> refer to the 24</w:t>
      </w:r>
      <w:r w:rsidR="00F41F6D">
        <w:t>-</w:t>
      </w:r>
      <w:r w:rsidR="00F0419A">
        <w:t>month</w:t>
      </w:r>
      <w:r w:rsidR="00183BE8">
        <w:t xml:space="preserve"> and 36</w:t>
      </w:r>
      <w:r w:rsidR="00F41F6D">
        <w:t>-</w:t>
      </w:r>
      <w:r w:rsidR="00183BE8">
        <w:t>month</w:t>
      </w:r>
      <w:r w:rsidR="00F0419A">
        <w:t xml:space="preserve"> predicted versus actual utilisation analysis of </w:t>
      </w:r>
      <w:proofErr w:type="spellStart"/>
      <w:r w:rsidR="00F0419A">
        <w:t>eculizumab</w:t>
      </w:r>
      <w:proofErr w:type="spellEnd"/>
      <w:r w:rsidR="00F0419A">
        <w:t xml:space="preserve"> for </w:t>
      </w:r>
      <w:proofErr w:type="spellStart"/>
      <w:r w:rsidR="00F0419A">
        <w:t>aHUS</w:t>
      </w:r>
      <w:proofErr w:type="spellEnd"/>
      <w:r w:rsidR="00F0419A">
        <w:t xml:space="preserve"> </w:t>
      </w:r>
      <w:r w:rsidR="00F0419A" w:rsidRPr="00066AAD">
        <w:t xml:space="preserve">Public Release </w:t>
      </w:r>
      <w:r w:rsidR="00F0419A" w:rsidRPr="00092F34">
        <w:rPr>
          <w:color w:val="000000" w:themeColor="text1"/>
        </w:rPr>
        <w:t>Document</w:t>
      </w:r>
      <w:r w:rsidR="00183BE8" w:rsidRPr="00092F34">
        <w:rPr>
          <w:rStyle w:val="Hyperlink"/>
          <w:color w:val="000000" w:themeColor="text1"/>
          <w:u w:val="none"/>
        </w:rPr>
        <w:t>s</w:t>
      </w:r>
      <w:r w:rsidR="00F0419A" w:rsidRPr="00092F34">
        <w:rPr>
          <w:rStyle w:val="Hyperlink"/>
          <w:color w:val="000000" w:themeColor="text1"/>
          <w:u w:val="none"/>
        </w:rPr>
        <w:t>.</w:t>
      </w:r>
      <w:r w:rsidR="00F0419A" w:rsidRPr="00092F34">
        <w:rPr>
          <w:rStyle w:val="Hyperlink"/>
          <w:color w:val="000000" w:themeColor="text1"/>
        </w:rPr>
        <w:t xml:space="preserve"> </w:t>
      </w:r>
    </w:p>
    <w:p w:rsidR="007E6E5C" w:rsidRPr="004A311C" w:rsidRDefault="007E6E5C" w:rsidP="007E6E5C">
      <w:pPr>
        <w:pStyle w:val="Heading2"/>
        <w:rPr>
          <w:i/>
          <w:sz w:val="24"/>
        </w:rPr>
      </w:pPr>
      <w:bookmarkStart w:id="0" w:name="_Ref491693598"/>
      <w:r w:rsidRPr="004A311C">
        <w:rPr>
          <w:i/>
          <w:sz w:val="24"/>
        </w:rPr>
        <w:t>Restriction</w:t>
      </w:r>
      <w:bookmarkEnd w:id="0"/>
    </w:p>
    <w:p w:rsidR="007E6E5C" w:rsidRDefault="007E6E5C" w:rsidP="007E6E5C">
      <w:pPr>
        <w:rPr>
          <w:rStyle w:val="Hyperlink"/>
        </w:rPr>
      </w:pPr>
      <w:r>
        <w:t>A</w:t>
      </w:r>
      <w:r w:rsidRPr="004530E4">
        <w:t xml:space="preserve">bridged PBS restrictions of </w:t>
      </w:r>
      <w:proofErr w:type="spellStart"/>
      <w:r w:rsidRPr="004530E4">
        <w:t>eculizumab</w:t>
      </w:r>
      <w:proofErr w:type="spellEnd"/>
      <w:r w:rsidRPr="004530E4">
        <w:t xml:space="preserve"> for </w:t>
      </w:r>
      <w:proofErr w:type="spellStart"/>
      <w:r w:rsidRPr="004530E4">
        <w:t>aHUS</w:t>
      </w:r>
      <w:proofErr w:type="spellEnd"/>
      <w:r>
        <w:t xml:space="preserve"> are available in </w:t>
      </w:r>
      <w:r w:rsidRPr="004356CE">
        <w:rPr>
          <w:u w:val="single"/>
        </w:rPr>
        <w:t>Appendix A</w:t>
      </w:r>
      <w:r w:rsidRPr="004530E4">
        <w:t>. For</w:t>
      </w:r>
      <w:r w:rsidRPr="006775F1">
        <w:t xml:space="preserve"> </w:t>
      </w:r>
      <w:r>
        <w:t xml:space="preserve">details of the current PBS listing, including full restriction wording, refer to the </w:t>
      </w:r>
      <w:r w:rsidRPr="00066AAD">
        <w:t>PBS website</w:t>
      </w:r>
      <w:r w:rsidRPr="00092F34">
        <w:rPr>
          <w:rStyle w:val="Hyperlink"/>
          <w:color w:val="000000" w:themeColor="text1"/>
          <w:u w:val="none"/>
        </w:rPr>
        <w:t>.</w:t>
      </w:r>
    </w:p>
    <w:p w:rsidR="007E6E5C" w:rsidRPr="004A311C" w:rsidRDefault="007E6E5C" w:rsidP="007E6E5C">
      <w:pPr>
        <w:pStyle w:val="Heading2"/>
        <w:rPr>
          <w:i/>
          <w:sz w:val="24"/>
        </w:rPr>
      </w:pPr>
      <w:bookmarkStart w:id="1" w:name="_Ref491690934"/>
      <w:r w:rsidRPr="004A311C">
        <w:rPr>
          <w:i/>
          <w:sz w:val="24"/>
        </w:rPr>
        <w:t>Changes to listing</w:t>
      </w:r>
      <w:bookmarkEnd w:id="1"/>
    </w:p>
    <w:p w:rsidR="00D2301B" w:rsidRDefault="007E6E5C" w:rsidP="007E6E5C">
      <w:r w:rsidRPr="005147BF">
        <w:t xml:space="preserve">A summary of the changes to the </w:t>
      </w:r>
      <w:proofErr w:type="spellStart"/>
      <w:r w:rsidRPr="005147BF">
        <w:t>eculizumab</w:t>
      </w:r>
      <w:proofErr w:type="spellEnd"/>
      <w:r w:rsidRPr="005147BF">
        <w:t xml:space="preserve"> PBS restrictions is availa</w:t>
      </w:r>
      <w:r w:rsidRPr="00960DDD">
        <w:t xml:space="preserve">ble in </w:t>
      </w:r>
      <w:r w:rsidRPr="004356CE">
        <w:rPr>
          <w:u w:val="single"/>
        </w:rPr>
        <w:t>Appendix B</w:t>
      </w:r>
      <w:r w:rsidRPr="00960DDD">
        <w:t>.</w:t>
      </w:r>
      <w:r w:rsidRPr="005147BF">
        <w:t xml:space="preserve"> </w:t>
      </w:r>
      <w:r>
        <w:t xml:space="preserve">The changes to restriction wording were as a result of consultation with a clinical reference group. </w:t>
      </w:r>
    </w:p>
    <w:p w:rsidR="00D2301B" w:rsidRPr="00F41F6D" w:rsidRDefault="00D2301B" w:rsidP="007E6E5C">
      <w:pPr>
        <w:rPr>
          <w:u w:val="single"/>
        </w:rPr>
      </w:pPr>
      <w:r w:rsidRPr="00F41F6D">
        <w:rPr>
          <w:u w:val="single"/>
        </w:rPr>
        <w:t>Summary of changes</w:t>
      </w:r>
    </w:p>
    <w:p w:rsidR="00D2301B" w:rsidRDefault="00D2301B" w:rsidP="00D2301B">
      <w:pPr>
        <w:pStyle w:val="NoSpacing"/>
        <w:numPr>
          <w:ilvl w:val="0"/>
          <w:numId w:val="4"/>
        </w:numPr>
      </w:pPr>
      <w:r>
        <w:t>C</w:t>
      </w:r>
      <w:r w:rsidR="007E6E5C">
        <w:t xml:space="preserve">larified terminology and administrative arrangements to better target the patient group for whom PBAC had recommended </w:t>
      </w:r>
      <w:proofErr w:type="spellStart"/>
      <w:r w:rsidR="007E6E5C">
        <w:t>eculizumab</w:t>
      </w:r>
      <w:proofErr w:type="spellEnd"/>
      <w:r w:rsidR="007E6E5C">
        <w:t xml:space="preserve">. </w:t>
      </w:r>
    </w:p>
    <w:p w:rsidR="00D2301B" w:rsidRDefault="00D2301B" w:rsidP="00D2301B">
      <w:pPr>
        <w:pStyle w:val="NoSpacing"/>
        <w:numPr>
          <w:ilvl w:val="0"/>
          <w:numId w:val="4"/>
        </w:numPr>
      </w:pPr>
      <w:r>
        <w:t>I</w:t>
      </w:r>
      <w:r w:rsidR="007E6E5C">
        <w:t xml:space="preserve">nitial treatment period was extended from 12 to 24 months. </w:t>
      </w:r>
    </w:p>
    <w:p w:rsidR="00D2301B" w:rsidRDefault="00D2301B" w:rsidP="00D2301B">
      <w:pPr>
        <w:pStyle w:val="NoSpacing"/>
        <w:numPr>
          <w:ilvl w:val="0"/>
          <w:numId w:val="4"/>
        </w:numPr>
      </w:pPr>
      <w:r>
        <w:t>I</w:t>
      </w:r>
      <w:r w:rsidR="007E6E5C" w:rsidRPr="00806530">
        <w:t>nformation provided by clinicians at the assessment period</w:t>
      </w:r>
      <w:r w:rsidR="007E6E5C">
        <w:t xml:space="preserve"> for continuing therapy</w:t>
      </w:r>
      <w:r w:rsidR="007E6E5C" w:rsidRPr="00806530">
        <w:t xml:space="preserve"> </w:t>
      </w:r>
      <w:r w:rsidR="007E6E5C">
        <w:t>was</w:t>
      </w:r>
      <w:r w:rsidR="007E6E5C" w:rsidRPr="00806530">
        <w:t xml:space="preserve"> enhanced</w:t>
      </w:r>
      <w:r w:rsidR="007E6E5C">
        <w:t xml:space="preserve"> to include</w:t>
      </w:r>
      <w:r w:rsidR="007E6E5C" w:rsidRPr="00806530">
        <w:t xml:space="preserve"> patient information on factors associated with an increased risk of recurrence and the likely clinical consequence of a recurrence</w:t>
      </w:r>
      <w:r w:rsidR="007E6E5C">
        <w:t>. These include</w:t>
      </w:r>
      <w:r w:rsidR="007E6E5C" w:rsidRPr="00806530">
        <w:t xml:space="preserve"> an identified genetic mutation, histor</w:t>
      </w:r>
      <w:r w:rsidR="007E6E5C">
        <w:t xml:space="preserve">y of multiple episodes of </w:t>
      </w:r>
      <w:proofErr w:type="spellStart"/>
      <w:r w:rsidR="007E6E5C">
        <w:t>aHUS</w:t>
      </w:r>
      <w:proofErr w:type="spellEnd"/>
      <w:r w:rsidR="007E6E5C">
        <w:t xml:space="preserve"> </w:t>
      </w:r>
      <w:r w:rsidR="007E6E5C">
        <w:lastRenderedPageBreak/>
        <w:t>(</w:t>
      </w:r>
      <w:r w:rsidR="007E6E5C" w:rsidRPr="00806530">
        <w:t xml:space="preserve">either before commencing </w:t>
      </w:r>
      <w:proofErr w:type="spellStart"/>
      <w:r w:rsidR="007E6E5C" w:rsidRPr="00806530">
        <w:t>eculizumab</w:t>
      </w:r>
      <w:proofErr w:type="spellEnd"/>
      <w:r w:rsidR="007E6E5C" w:rsidRPr="00806530">
        <w:t xml:space="preserve"> treatment or following a treatment break</w:t>
      </w:r>
      <w:r w:rsidR="007E6E5C">
        <w:t>),</w:t>
      </w:r>
      <w:r w:rsidR="007E6E5C" w:rsidRPr="00806530">
        <w:t xml:space="preserve"> and history of kidney transplant.</w:t>
      </w:r>
      <w:r w:rsidR="007E6E5C">
        <w:t xml:space="preserve"> </w:t>
      </w:r>
    </w:p>
    <w:p w:rsidR="00D2301B" w:rsidRDefault="00D2301B" w:rsidP="007E6E5C">
      <w:pPr>
        <w:pStyle w:val="NoSpacing"/>
        <w:numPr>
          <w:ilvl w:val="0"/>
          <w:numId w:val="4"/>
        </w:numPr>
      </w:pPr>
      <w:r>
        <w:t>A</w:t>
      </w:r>
      <w:r w:rsidR="007E6E5C">
        <w:t xml:space="preserve">dditional requirements for data reporting were added at 18 and 24 months. </w:t>
      </w:r>
      <w:r w:rsidR="007E6E5C" w:rsidRPr="00806530">
        <w:t xml:space="preserve">  </w:t>
      </w:r>
    </w:p>
    <w:p w:rsidR="007E6E5C" w:rsidRDefault="00D2301B" w:rsidP="007E6E5C">
      <w:pPr>
        <w:pStyle w:val="NoSpacing"/>
        <w:numPr>
          <w:ilvl w:val="0"/>
          <w:numId w:val="4"/>
        </w:numPr>
      </w:pPr>
      <w:r>
        <w:t>A</w:t>
      </w:r>
      <w:r w:rsidR="007E6E5C">
        <w:t xml:space="preserve">ll pre-existing patients were transitioned onto subsidised treatment; </w:t>
      </w:r>
      <w:r>
        <w:t xml:space="preserve">which meant the </w:t>
      </w:r>
      <w:r w:rsidR="007E6E5C">
        <w:t xml:space="preserve">grandfather restriction </w:t>
      </w:r>
      <w:r>
        <w:t xml:space="preserve">could be </w:t>
      </w:r>
      <w:r w:rsidR="007E6E5C">
        <w:t xml:space="preserve">removed. </w:t>
      </w:r>
    </w:p>
    <w:p w:rsidR="00F337DE" w:rsidRDefault="00F337DE" w:rsidP="007E6E5C"/>
    <w:p w:rsidR="007E6E5C" w:rsidRPr="002F61CA" w:rsidRDefault="007E6E5C" w:rsidP="007E6E5C">
      <w:r w:rsidRPr="002F61CA">
        <w:t xml:space="preserve">Current PBS listing details are available from </w:t>
      </w:r>
      <w:r>
        <w:t xml:space="preserve">the </w:t>
      </w:r>
      <w:r w:rsidRPr="00066AAD">
        <w:t>PBS website</w:t>
      </w:r>
      <w:r>
        <w:t>.</w:t>
      </w:r>
    </w:p>
    <w:p w:rsidR="00E677DD" w:rsidRPr="005E22C2" w:rsidRDefault="00E677DD" w:rsidP="00CF5E22">
      <w:pPr>
        <w:pStyle w:val="Heading1"/>
      </w:pPr>
      <w:r w:rsidRPr="0036261D">
        <w:t>Method</w:t>
      </w:r>
      <w:r w:rsidR="001B5D37" w:rsidRPr="0036261D">
        <w:t>s</w:t>
      </w:r>
    </w:p>
    <w:p w:rsidR="00A9246C" w:rsidRDefault="00A9246C" w:rsidP="00A9246C">
      <w:r w:rsidRPr="00042910">
        <w:t>The analyses used data from</w:t>
      </w:r>
      <w:r>
        <w:t>:</w:t>
      </w:r>
    </w:p>
    <w:p w:rsidR="00A9246C" w:rsidRDefault="00A9246C" w:rsidP="00A9246C">
      <w:pPr>
        <w:pStyle w:val="ListParagraph"/>
        <w:numPr>
          <w:ilvl w:val="0"/>
          <w:numId w:val="10"/>
        </w:numPr>
      </w:pPr>
      <w:r>
        <w:t>Services Australia</w:t>
      </w:r>
      <w:r w:rsidRPr="00042910">
        <w:t xml:space="preserve"> supplied prescriptions database for dates of supply up to and including </w:t>
      </w:r>
      <w:r>
        <w:t>31 May 2020</w:t>
      </w:r>
      <w:r w:rsidRPr="00042910">
        <w:t xml:space="preserve">; extracted </w:t>
      </w:r>
      <w:r>
        <w:t>2</w:t>
      </w:r>
      <w:r w:rsidRPr="00042910">
        <w:t> </w:t>
      </w:r>
      <w:r>
        <w:t>July 2020</w:t>
      </w:r>
      <w:r w:rsidRPr="00042910">
        <w:t xml:space="preserve">. </w:t>
      </w:r>
    </w:p>
    <w:p w:rsidR="00A9246C" w:rsidRDefault="00A9246C" w:rsidP="00A9246C">
      <w:pPr>
        <w:pStyle w:val="ListParagraph"/>
        <w:numPr>
          <w:ilvl w:val="0"/>
          <w:numId w:val="10"/>
        </w:numPr>
      </w:pPr>
      <w:r>
        <w:t>Services Australia Authority Approval database, extracted 2 July 2020</w:t>
      </w:r>
    </w:p>
    <w:p w:rsidR="00A9246C" w:rsidRDefault="00A9246C" w:rsidP="00A9246C">
      <w:pPr>
        <w:pStyle w:val="ListParagraph"/>
        <w:numPr>
          <w:ilvl w:val="0"/>
          <w:numId w:val="10"/>
        </w:numPr>
      </w:pPr>
      <w:r>
        <w:t xml:space="preserve">Services Australia – Complex Drugs (Tasmania) </w:t>
      </w:r>
      <w:proofErr w:type="spellStart"/>
      <w:r>
        <w:t>aHUS</w:t>
      </w:r>
      <w:proofErr w:type="spellEnd"/>
      <w:r>
        <w:t xml:space="preserve"> monthly reports </w:t>
      </w:r>
      <w:r w:rsidR="009E665C">
        <w:t xml:space="preserve">from </w:t>
      </w:r>
      <w:r w:rsidR="00E7265C">
        <w:t xml:space="preserve">January </w:t>
      </w:r>
      <w:r w:rsidR="003C1954">
        <w:t xml:space="preserve">2017 </w:t>
      </w:r>
      <w:r>
        <w:t xml:space="preserve">up to and including June 2020. </w:t>
      </w:r>
    </w:p>
    <w:p w:rsidR="00A9246C" w:rsidRDefault="00A9246C" w:rsidP="00F337DE">
      <w:r w:rsidRPr="00042910">
        <w:t xml:space="preserve">The </w:t>
      </w:r>
      <w:r>
        <w:t xml:space="preserve">Services Australia </w:t>
      </w:r>
      <w:r w:rsidRPr="00042910">
        <w:t xml:space="preserve">supplied prescriptions database includes data submitted to </w:t>
      </w:r>
      <w:r>
        <w:t>Services Australia</w:t>
      </w:r>
      <w:r w:rsidRPr="00042910">
        <w:t xml:space="preserve"> for payment of an R/PBS subsidy by the Government by all approved pharmacies in Australia. This dataset contains de-identified information that includes a unique patient identification number (PIN), dates and quantities of supply of all PBS listed drugs, </w:t>
      </w:r>
      <w:r>
        <w:t xml:space="preserve">including </w:t>
      </w:r>
      <w:r w:rsidRPr="00042910">
        <w:t>prescriber and pharmacy identification number</w:t>
      </w:r>
      <w:r>
        <w:t>s.</w:t>
      </w:r>
    </w:p>
    <w:p w:rsidR="00A9246C" w:rsidRDefault="00A9246C" w:rsidP="00F337DE">
      <w:r>
        <w:t>The A</w:t>
      </w:r>
      <w:r w:rsidRPr="00042910">
        <w:t xml:space="preserve">uthority </w:t>
      </w:r>
      <w:r>
        <w:t>A</w:t>
      </w:r>
      <w:r w:rsidRPr="00042910">
        <w:t>pproval database</w:t>
      </w:r>
      <w:r>
        <w:t xml:space="preserve"> contains information that is provided to Services Australia by p</w:t>
      </w:r>
      <w:r w:rsidRPr="00042910">
        <w:t xml:space="preserve">rescribers to support approval for a PBS Authority Required prescription. De-identified information is recorded by PIN and can be matched to the prescriptions database. </w:t>
      </w:r>
    </w:p>
    <w:p w:rsidR="00A9246C" w:rsidRPr="00042910" w:rsidRDefault="00A9246C" w:rsidP="00F337DE">
      <w:r>
        <w:t xml:space="preserve">The Service Australia </w:t>
      </w:r>
      <w:proofErr w:type="spellStart"/>
      <w:r>
        <w:t>aHUS</w:t>
      </w:r>
      <w:proofErr w:type="spellEnd"/>
      <w:r>
        <w:t xml:space="preserve"> monthly reports contain patient initiation and recommencement of treatment</w:t>
      </w:r>
      <w:r w:rsidRPr="005128AC">
        <w:t xml:space="preserve"> </w:t>
      </w:r>
      <w:r>
        <w:t>information.</w:t>
      </w:r>
    </w:p>
    <w:p w:rsidR="00A9246C" w:rsidRPr="001750B0" w:rsidRDefault="00A9246C" w:rsidP="00A9246C">
      <w:pPr>
        <w:spacing w:after="0"/>
      </w:pPr>
      <w:r w:rsidRPr="001750B0">
        <w:t>Analyses in the report include:</w:t>
      </w:r>
    </w:p>
    <w:p w:rsidR="00A9246C" w:rsidRPr="006948BD" w:rsidRDefault="00A9246C" w:rsidP="00A9246C">
      <w:pPr>
        <w:pStyle w:val="NoSpacing"/>
        <w:numPr>
          <w:ilvl w:val="0"/>
          <w:numId w:val="4"/>
        </w:numPr>
      </w:pPr>
      <w:r w:rsidRPr="006948BD">
        <w:t>New and prevalent patient counts by year (</w:t>
      </w:r>
      <w:r w:rsidRPr="007C2B75">
        <w:t>Figure 1</w:t>
      </w:r>
      <w:r w:rsidRPr="006948BD">
        <w:t xml:space="preserve"> and </w:t>
      </w:r>
      <w:r w:rsidRPr="007C2B75">
        <w:t>Table 1</w:t>
      </w:r>
      <w:r w:rsidRPr="006948BD">
        <w:t>)</w:t>
      </w:r>
    </w:p>
    <w:p w:rsidR="00A9246C" w:rsidRPr="006948BD" w:rsidRDefault="00A9246C" w:rsidP="00A9246C">
      <w:pPr>
        <w:pStyle w:val="NoSpacing"/>
        <w:numPr>
          <w:ilvl w:val="0"/>
          <w:numId w:val="4"/>
        </w:numPr>
      </w:pPr>
      <w:r w:rsidRPr="006948BD">
        <w:t>Prescriptions by treatment phase (</w:t>
      </w:r>
      <w:r w:rsidRPr="007C2B75">
        <w:t>Figure 2</w:t>
      </w:r>
      <w:r w:rsidRPr="006948BD">
        <w:t>)</w:t>
      </w:r>
    </w:p>
    <w:p w:rsidR="00A9246C" w:rsidRDefault="00A9246C" w:rsidP="00A9246C">
      <w:pPr>
        <w:pStyle w:val="NoSpacing"/>
        <w:numPr>
          <w:ilvl w:val="0"/>
          <w:numId w:val="4"/>
        </w:numPr>
      </w:pPr>
      <w:r w:rsidRPr="006948BD">
        <w:t>Patient age at initiation (</w:t>
      </w:r>
      <w:r w:rsidRPr="007C2B75">
        <w:t>Table 2</w:t>
      </w:r>
      <w:r w:rsidRPr="006948BD">
        <w:t>)</w:t>
      </w:r>
    </w:p>
    <w:p w:rsidR="00DF4558" w:rsidRPr="006948BD" w:rsidRDefault="00DF4558" w:rsidP="00A9246C">
      <w:pPr>
        <w:pStyle w:val="NoSpacing"/>
        <w:numPr>
          <w:ilvl w:val="0"/>
          <w:numId w:val="4"/>
        </w:numPr>
      </w:pPr>
      <w:r>
        <w:t>Length of treatment (Figure 3 and Table 3)</w:t>
      </w:r>
    </w:p>
    <w:p w:rsidR="00DF4558" w:rsidRDefault="00DF4558" w:rsidP="00E21F9A">
      <w:pPr>
        <w:pStyle w:val="NoSpacing"/>
        <w:numPr>
          <w:ilvl w:val="0"/>
          <w:numId w:val="4"/>
        </w:numPr>
        <w:ind w:right="-257"/>
      </w:pPr>
      <w:r>
        <w:t>Length of therapy pre and post February 2016 restriction change (Figure 4 and Table 4)</w:t>
      </w:r>
    </w:p>
    <w:p w:rsidR="00DF4558" w:rsidRDefault="00DF4558" w:rsidP="00A9246C">
      <w:pPr>
        <w:pStyle w:val="NoSpacing"/>
        <w:numPr>
          <w:ilvl w:val="0"/>
          <w:numId w:val="4"/>
        </w:numPr>
      </w:pPr>
      <w:r>
        <w:t>Length of treatment by top 3 initial prescribers (Figure 5 and Table 5)</w:t>
      </w:r>
    </w:p>
    <w:p w:rsidR="00E21F9A" w:rsidRDefault="00E21F9A" w:rsidP="00A9246C">
      <w:pPr>
        <w:pStyle w:val="NoSpacing"/>
        <w:numPr>
          <w:ilvl w:val="0"/>
          <w:numId w:val="4"/>
        </w:numPr>
      </w:pPr>
      <w:r>
        <w:t xml:space="preserve">Patient status (Table 6) </w:t>
      </w:r>
    </w:p>
    <w:p w:rsidR="00DF4558" w:rsidRDefault="00E21F9A" w:rsidP="00A9246C">
      <w:pPr>
        <w:pStyle w:val="NoSpacing"/>
        <w:numPr>
          <w:ilvl w:val="0"/>
          <w:numId w:val="4"/>
        </w:numPr>
      </w:pPr>
      <w:r>
        <w:t>Length of treatment using date of death data (Table 7 and Table 8)</w:t>
      </w:r>
    </w:p>
    <w:p w:rsidR="00A9246C" w:rsidRDefault="00A9246C" w:rsidP="00A9246C">
      <w:pPr>
        <w:pStyle w:val="NoSpacing"/>
        <w:numPr>
          <w:ilvl w:val="0"/>
          <w:numId w:val="4"/>
        </w:numPr>
      </w:pPr>
      <w:r w:rsidRPr="007C2B75">
        <w:t>Prescriber type</w:t>
      </w:r>
      <w:r w:rsidRPr="006948BD">
        <w:t xml:space="preserve"> (Figure </w:t>
      </w:r>
      <w:r w:rsidR="00E21F9A">
        <w:t>6</w:t>
      </w:r>
      <w:r w:rsidRPr="006948BD">
        <w:t>)</w:t>
      </w:r>
    </w:p>
    <w:p w:rsidR="00E21F9A" w:rsidRDefault="00E21F9A" w:rsidP="00A9246C">
      <w:pPr>
        <w:pStyle w:val="NoSpacing"/>
        <w:numPr>
          <w:ilvl w:val="0"/>
          <w:numId w:val="4"/>
        </w:numPr>
      </w:pPr>
      <w:r>
        <w:t>Initiating prescribers by prescriber type (Figure 7)</w:t>
      </w:r>
    </w:p>
    <w:p w:rsidR="00D556A3" w:rsidRDefault="00D556A3" w:rsidP="00A9246C">
      <w:pPr>
        <w:pStyle w:val="NoSpacing"/>
        <w:numPr>
          <w:ilvl w:val="0"/>
          <w:numId w:val="4"/>
        </w:numPr>
      </w:pPr>
      <w:r>
        <w:t>Patient count per prescribing provider (Table 9)</w:t>
      </w:r>
    </w:p>
    <w:p w:rsidR="00E21F9A" w:rsidRDefault="00E21F9A" w:rsidP="00A9246C">
      <w:pPr>
        <w:pStyle w:val="NoSpacing"/>
        <w:numPr>
          <w:ilvl w:val="0"/>
          <w:numId w:val="4"/>
        </w:numPr>
      </w:pPr>
      <w:r>
        <w:t xml:space="preserve">Approved patient affected organs (Table </w:t>
      </w:r>
      <w:r w:rsidR="00D556A3">
        <w:t>10</w:t>
      </w:r>
      <w:r>
        <w:t>)</w:t>
      </w:r>
    </w:p>
    <w:p w:rsidR="00E21F9A" w:rsidRDefault="00E21F9A" w:rsidP="00A9246C">
      <w:pPr>
        <w:pStyle w:val="NoSpacing"/>
        <w:numPr>
          <w:ilvl w:val="0"/>
          <w:numId w:val="4"/>
        </w:numPr>
      </w:pPr>
      <w:r>
        <w:t>Restriction sequence (Table 1</w:t>
      </w:r>
      <w:r w:rsidR="00D556A3">
        <w:t>1</w:t>
      </w:r>
      <w:r>
        <w:t>)</w:t>
      </w:r>
    </w:p>
    <w:p w:rsidR="00E21F9A" w:rsidRDefault="00E21F9A" w:rsidP="00A9246C">
      <w:pPr>
        <w:pStyle w:val="NoSpacing"/>
        <w:numPr>
          <w:ilvl w:val="0"/>
          <w:numId w:val="4"/>
        </w:numPr>
      </w:pPr>
      <w:r>
        <w:lastRenderedPageBreak/>
        <w:t>Patient flow from ‘Initial’ to ‘Balance of Initial’ (Figure 8)</w:t>
      </w:r>
    </w:p>
    <w:p w:rsidR="00E21F9A" w:rsidRPr="006948BD" w:rsidRDefault="00E21F9A" w:rsidP="00E21F9A">
      <w:pPr>
        <w:pStyle w:val="NoSpacing"/>
        <w:numPr>
          <w:ilvl w:val="0"/>
          <w:numId w:val="4"/>
        </w:numPr>
        <w:ind w:right="-541"/>
      </w:pPr>
      <w:r>
        <w:t>Approved patient vaccination / antibiotic evidence status (Table 1</w:t>
      </w:r>
      <w:r w:rsidR="00D556A3">
        <w:t>2</w:t>
      </w:r>
      <w:r>
        <w:t>)</w:t>
      </w:r>
    </w:p>
    <w:p w:rsidR="00A9246C" w:rsidRPr="00D2301B" w:rsidRDefault="00A9246C" w:rsidP="00D2301B">
      <w:pPr>
        <w:pStyle w:val="Heading2"/>
        <w:rPr>
          <w:i/>
          <w:sz w:val="24"/>
        </w:rPr>
      </w:pPr>
      <w:r w:rsidRPr="00D2301B">
        <w:rPr>
          <w:i/>
          <w:sz w:val="24"/>
        </w:rPr>
        <w:t>Definitions</w:t>
      </w:r>
    </w:p>
    <w:p w:rsidR="00A9246C" w:rsidRPr="00042910" w:rsidRDefault="00A9246C" w:rsidP="00A9246C">
      <w:r w:rsidRPr="00042910">
        <w:t xml:space="preserve">A patient was defined as an initiator (or ‘new patient’) based on the date of first supply of PBS subsidised </w:t>
      </w:r>
      <w:proofErr w:type="spellStart"/>
      <w:r w:rsidRPr="00042910">
        <w:t>eculizumab</w:t>
      </w:r>
      <w:proofErr w:type="spellEnd"/>
      <w:r>
        <w:t>.</w:t>
      </w:r>
      <w:r w:rsidRPr="00042910">
        <w:t xml:space="preserve"> This group contained patients who were naïve to </w:t>
      </w:r>
      <w:proofErr w:type="spellStart"/>
      <w:r w:rsidRPr="00042910">
        <w:t>eculizumab</w:t>
      </w:r>
      <w:proofErr w:type="spellEnd"/>
      <w:r w:rsidRPr="00042910">
        <w:t xml:space="preserve"> and ‘grandfathered’ patients; i.e. patients who obtained </w:t>
      </w:r>
      <w:proofErr w:type="spellStart"/>
      <w:r w:rsidRPr="00042910">
        <w:t>eculizumab</w:t>
      </w:r>
      <w:proofErr w:type="spellEnd"/>
      <w:r w:rsidRPr="00042910">
        <w:t xml:space="preserve"> through other means </w:t>
      </w:r>
      <w:r w:rsidR="00BD2C51">
        <w:t xml:space="preserve">(such as a sponsor run compassionate program) </w:t>
      </w:r>
      <w:r w:rsidRPr="00042910">
        <w:t>prior to listing on the PBS and then commenced PBS-subsidised treatment.</w:t>
      </w:r>
    </w:p>
    <w:p w:rsidR="00A9246C" w:rsidRPr="00042910" w:rsidRDefault="00A9246C" w:rsidP="00A9246C">
      <w:r w:rsidRPr="00042910">
        <w:t xml:space="preserve">To count patients by treatment phase, data from the </w:t>
      </w:r>
      <w:r>
        <w:t>Services Australia</w:t>
      </w:r>
      <w:r w:rsidRPr="00042910">
        <w:t xml:space="preserve"> supplied prescriptions database were merged with data from the </w:t>
      </w:r>
      <w:r>
        <w:t>Services Australia</w:t>
      </w:r>
      <w:r w:rsidRPr="00042910">
        <w:t xml:space="preserve"> Authority approvals database. This allowed delineation of the patient’s place in the continuum of therapy as described under the PBS item number restrictions.</w:t>
      </w:r>
    </w:p>
    <w:p w:rsidR="00A9246C" w:rsidRPr="00042910" w:rsidRDefault="00A9246C" w:rsidP="00A9246C">
      <w:r w:rsidRPr="00042910">
        <w:t>Prescriber type was attributed to the de-identified prescriber</w:t>
      </w:r>
      <w:r>
        <w:t xml:space="preserve"> number</w:t>
      </w:r>
      <w:r w:rsidRPr="00042910">
        <w:t xml:space="preserve"> by </w:t>
      </w:r>
      <w:r>
        <w:t>Services Australia</w:t>
      </w:r>
      <w:r w:rsidRPr="00042910">
        <w:t xml:space="preserve"> and was based on the major field of specialty, derived from the combination of the current registered specialty and the most Medicare services provided per quarter. Prescribers can work in several different specialties but are allocated by </w:t>
      </w:r>
      <w:r>
        <w:t>Services Australia</w:t>
      </w:r>
      <w:r w:rsidRPr="00042910">
        <w:t xml:space="preserve"> to one major field of specialty per quarter. </w:t>
      </w:r>
    </w:p>
    <w:p w:rsidR="00BD2C51" w:rsidRPr="00042910" w:rsidRDefault="00BD2C51" w:rsidP="00BD2C51">
      <w:r w:rsidRPr="00042910">
        <w:t xml:space="preserve">The </w:t>
      </w:r>
      <w:proofErr w:type="spellStart"/>
      <w:r>
        <w:t>LoT</w:t>
      </w:r>
      <w:proofErr w:type="spellEnd"/>
      <w:r>
        <w:t xml:space="preserve"> </w:t>
      </w:r>
      <w:r w:rsidRPr="00042910">
        <w:t xml:space="preserve">analyses used the Kaplan Meier (aka Product-Limit) method. Two ways of measuring </w:t>
      </w:r>
      <w:r w:rsidR="00F831A5">
        <w:t>LOT</w:t>
      </w:r>
      <w:r w:rsidRPr="00042910">
        <w:t xml:space="preserve"> were undertaken to account for patients stopping medicine for periods of time (called a ‘break’ in therapy). One analysis</w:t>
      </w:r>
      <w:r>
        <w:t xml:space="preserve"> was inclusive of breaks in treatment and reported the total time on therapy. The second analysis was exclusive of treatment breaks and only reported the total time the patient received regular supplies of the medicine.</w:t>
      </w:r>
      <w:r w:rsidRPr="00042910">
        <w:t xml:space="preserve"> A patient was deemed to have a break in treatment if the time between two of their supplied prescriptions was more than 3 times the median time to resupply (i.e. 3 x 28 days), which is an estimated break in treatment of at least 2 times the median time to resupply. </w:t>
      </w:r>
    </w:p>
    <w:p w:rsidR="00A9246C" w:rsidRPr="00EA5C2D" w:rsidRDefault="00A9246C" w:rsidP="00A9246C">
      <w:r w:rsidRPr="00EA5C2D">
        <w:t xml:space="preserve">A censoring definition was applied in the </w:t>
      </w:r>
      <w:proofErr w:type="spellStart"/>
      <w:r>
        <w:t>LoT</w:t>
      </w:r>
      <w:proofErr w:type="spellEnd"/>
      <w:r w:rsidRPr="00EA5C2D">
        <w:t xml:space="preserve"> analysis, to account for the end of the data observation period where patients who might be continuing supply appear to stop treatment (because there is no further data for supplies). A patient was deemed to be continuing treatment (classified as censored in the Product-Limit method) at the end of the data period (i.e. the end of </w:t>
      </w:r>
      <w:r>
        <w:t>May 2020</w:t>
      </w:r>
      <w:r w:rsidRPr="00EA5C2D">
        <w:t>) if their last prescription was within 3 times the median time to resupply of this end date. Otherwise, the patient was deemed to have ceased treatment with the treatment coverage end date being the supply date of their last prescription plus a median time to resupply.</w:t>
      </w:r>
    </w:p>
    <w:p w:rsidR="00A9246C" w:rsidRPr="00042910" w:rsidRDefault="00A9246C" w:rsidP="00A9246C">
      <w:r w:rsidRPr="00042910">
        <w:t xml:space="preserve">As this analysis uses date of supply prescription data, there may be small differences in total number of supplies of </w:t>
      </w:r>
      <w:proofErr w:type="spellStart"/>
      <w:r w:rsidRPr="00042910">
        <w:t>eculizumab</w:t>
      </w:r>
      <w:proofErr w:type="spellEnd"/>
      <w:r w:rsidRPr="00042910">
        <w:t xml:space="preserve"> in the same period compared with publicly available </w:t>
      </w:r>
      <w:r>
        <w:t>Services Australia</w:t>
      </w:r>
      <w:r w:rsidRPr="00042910">
        <w:t xml:space="preserve"> Medicare date of processing data.</w:t>
      </w:r>
      <w:r w:rsidRPr="00042910">
        <w:rPr>
          <w:vertAlign w:val="superscript"/>
        </w:rPr>
        <w:footnoteReference w:id="1"/>
      </w:r>
      <w:r w:rsidRPr="00042910">
        <w:t xml:space="preserve">  </w:t>
      </w:r>
    </w:p>
    <w:p w:rsidR="00A9246C" w:rsidRDefault="00A9246C" w:rsidP="00A9246C">
      <w:r>
        <w:lastRenderedPageBreak/>
        <w:t xml:space="preserve">Date of death (DoD) data was sourced from Services Australia for all patients that had been treated with </w:t>
      </w:r>
      <w:proofErr w:type="spellStart"/>
      <w:r>
        <w:t>eculizumab</w:t>
      </w:r>
      <w:proofErr w:type="spellEnd"/>
      <w:r>
        <w:t xml:space="preserve"> up until the end of March 2020 (304 patients).</w:t>
      </w:r>
    </w:p>
    <w:p w:rsidR="00A9246C" w:rsidRDefault="00A9246C" w:rsidP="00A9246C">
      <w:r>
        <w:t xml:space="preserve">Additional analyses of length of </w:t>
      </w:r>
      <w:proofErr w:type="spellStart"/>
      <w:r>
        <w:t>eculizumab</w:t>
      </w:r>
      <w:proofErr w:type="spellEnd"/>
      <w:r>
        <w:t xml:space="preserve"> treatment used the </w:t>
      </w:r>
      <w:proofErr w:type="gramStart"/>
      <w:r w:rsidR="00AD6B94">
        <w:t>DoD</w:t>
      </w:r>
      <w:proofErr w:type="gramEnd"/>
      <w:r>
        <w:t xml:space="preserve"> to adjust the coverage end date and the censoring status for patients who died on treatment. A patient was deemed to have died on treatment if their </w:t>
      </w:r>
      <w:proofErr w:type="gramStart"/>
      <w:r w:rsidR="00AD6B94">
        <w:t>DoD</w:t>
      </w:r>
      <w:proofErr w:type="gramEnd"/>
      <w:r>
        <w:t xml:space="preserve"> was within one </w:t>
      </w:r>
      <w:r w:rsidRPr="00042910">
        <w:t>median time to resupply</w:t>
      </w:r>
      <w:r>
        <w:t xml:space="preserve"> (i.e. 28 days) of their last supply of </w:t>
      </w:r>
      <w:proofErr w:type="spellStart"/>
      <w:r>
        <w:t>eculizumab</w:t>
      </w:r>
      <w:proofErr w:type="spellEnd"/>
      <w:r>
        <w:t>. If this was the case then their medication coverage end date w</w:t>
      </w:r>
      <w:r w:rsidR="00BD2C51">
        <w:t>ould</w:t>
      </w:r>
      <w:r>
        <w:t xml:space="preserve"> shorten to their </w:t>
      </w:r>
      <w:proofErr w:type="gramStart"/>
      <w:r w:rsidR="00AD6B94">
        <w:t>DoD</w:t>
      </w:r>
      <w:proofErr w:type="gramEnd"/>
      <w:r>
        <w:t xml:space="preserve">. In addition the analysis was undertaken using two different censoring schemes. Initially the censoring was not adjusted, that </w:t>
      </w:r>
      <w:r w:rsidR="00D95CBD">
        <w:t>is, a</w:t>
      </w:r>
      <w:r>
        <w:t xml:space="preserve"> patient was not censored if they stopped treatment or died on treatment and censored if they were continuing treatment at the end of the data period (i.e. end of May 20</w:t>
      </w:r>
      <w:r w:rsidR="009A434B">
        <w:t>20</w:t>
      </w:r>
      <w:r>
        <w:t>). A second “immortal world” censoring scheme was also used, that is, a patient was censored if they died on treatment or were continuing treatment at the end of the data period and not censored if they stopped treatment before death.</w:t>
      </w:r>
    </w:p>
    <w:p w:rsidR="00C714D0" w:rsidRPr="005E22C2" w:rsidRDefault="00C714D0" w:rsidP="00CF5E22">
      <w:pPr>
        <w:pStyle w:val="Heading1"/>
      </w:pPr>
      <w:r w:rsidRPr="005E22C2">
        <w:t>Results</w:t>
      </w:r>
    </w:p>
    <w:p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Pr="005E22C2" w:rsidRDefault="00736041" w:rsidP="00CF5E22">
      <w:pPr>
        <w:pStyle w:val="Heading3"/>
      </w:pPr>
      <w:bookmarkStart w:id="2" w:name="_Overall_utilisation"/>
      <w:bookmarkEnd w:id="2"/>
      <w:r w:rsidRPr="005E22C2">
        <w:t>Overall utilisation</w:t>
      </w:r>
    </w:p>
    <w:p w:rsidR="00125D4E" w:rsidRDefault="00431601" w:rsidP="001B349B">
      <w:pPr>
        <w:pStyle w:val="Figuretitle"/>
      </w:pPr>
      <w:r>
        <w:rPr>
          <w:noProof/>
          <w:lang w:val="en-AU"/>
        </w:rPr>
        <w:drawing>
          <wp:inline distT="0" distB="0" distL="0" distR="0" wp14:anchorId="79BE03FD" wp14:editId="2FCB11A3">
            <wp:extent cx="5550195" cy="3795823"/>
            <wp:effectExtent l="0" t="0" r="12700" b="14605"/>
            <wp:docPr id="3" name="Chart 3" title="Figure 1: Initiating patients and total number of patients supplied eculizumab for aHU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15CA" w:rsidRDefault="001B349B" w:rsidP="001B349B">
      <w:pPr>
        <w:pStyle w:val="Figuretitle"/>
        <w:rPr>
          <w:highlight w:val="yellow"/>
        </w:rPr>
      </w:pPr>
      <w:r w:rsidRPr="004263BD">
        <w:t>Figure 1: Initiating</w:t>
      </w:r>
      <w:r>
        <w:t xml:space="preserve"> patients and total number of p</w:t>
      </w:r>
      <w:r w:rsidRPr="00450A5E">
        <w:t xml:space="preserve">atients supplied </w:t>
      </w:r>
      <w:proofErr w:type="spellStart"/>
      <w:r w:rsidRPr="00450A5E">
        <w:t>eculizumab</w:t>
      </w:r>
      <w:proofErr w:type="spellEnd"/>
      <w:r w:rsidRPr="00450A5E">
        <w:t xml:space="preserve"> for </w:t>
      </w:r>
      <w:proofErr w:type="spellStart"/>
      <w:r w:rsidRPr="00450A5E">
        <w:t>aHUS</w:t>
      </w:r>
      <w:proofErr w:type="spellEnd"/>
    </w:p>
    <w:p w:rsidR="000215CC" w:rsidRPr="008626DC" w:rsidRDefault="001B349B" w:rsidP="008626DC">
      <w:pPr>
        <w:pStyle w:val="Figurecaption"/>
      </w:pPr>
      <w:r w:rsidRPr="008626DC">
        <w:t>Initiators are people supplied their first PBS-subsidised prescr</w:t>
      </w:r>
      <w:r w:rsidR="000215CC" w:rsidRPr="008626DC">
        <w:t>iption</w:t>
      </w:r>
      <w:r w:rsidRPr="008626DC">
        <w:t xml:space="preserve">. </w:t>
      </w:r>
    </w:p>
    <w:p w:rsidR="001B349B" w:rsidRPr="008626DC" w:rsidRDefault="000215CC" w:rsidP="008626DC">
      <w:pPr>
        <w:pStyle w:val="Figurecaption"/>
      </w:pPr>
      <w:r w:rsidRPr="008626DC">
        <w:t xml:space="preserve">Listing year is December to November. </w:t>
      </w:r>
    </w:p>
    <w:p w:rsidR="001B349B" w:rsidRPr="008626DC" w:rsidRDefault="001B349B" w:rsidP="00125D4E">
      <w:pPr>
        <w:pStyle w:val="Figurecaption"/>
        <w:ind w:right="-399"/>
      </w:pPr>
      <w:r w:rsidRPr="008626DC">
        <w:t xml:space="preserve">Source: PIN count, </w:t>
      </w:r>
      <w:r w:rsidR="005B0AF5">
        <w:t>Services Australia</w:t>
      </w:r>
      <w:r w:rsidRPr="008626DC">
        <w:t xml:space="preserve"> supplied prescriptions database to 3</w:t>
      </w:r>
      <w:r w:rsidR="004263BD" w:rsidRPr="008626DC">
        <w:t xml:space="preserve">0 </w:t>
      </w:r>
      <w:r w:rsidR="00125D4E">
        <w:t xml:space="preserve">November </w:t>
      </w:r>
      <w:r w:rsidR="004263BD" w:rsidRPr="008626DC">
        <w:t>201</w:t>
      </w:r>
      <w:r w:rsidR="00125D4E">
        <w:t>9</w:t>
      </w:r>
      <w:r w:rsidR="004263BD" w:rsidRPr="008626DC">
        <w:t xml:space="preserve">; extracted </w:t>
      </w:r>
      <w:r w:rsidR="005B0AF5">
        <w:t>2</w:t>
      </w:r>
      <w:r w:rsidRPr="008626DC">
        <w:t> </w:t>
      </w:r>
      <w:r w:rsidR="005B0AF5">
        <w:t>July</w:t>
      </w:r>
      <w:r w:rsidR="004263BD" w:rsidRPr="008626DC">
        <w:t xml:space="preserve"> 20</w:t>
      </w:r>
      <w:r w:rsidR="005B0AF5">
        <w:t>20</w:t>
      </w:r>
      <w:r w:rsidRPr="008626DC">
        <w:t>.</w:t>
      </w:r>
    </w:p>
    <w:p w:rsidR="009E7016" w:rsidRPr="005F4BDA" w:rsidRDefault="009E7016" w:rsidP="005F4BDA">
      <w:pPr>
        <w:pStyle w:val="Figurecaption"/>
        <w:rPr>
          <w:sz w:val="24"/>
          <w:szCs w:val="24"/>
        </w:rPr>
      </w:pPr>
      <w:r w:rsidRPr="005F4BDA">
        <w:rPr>
          <w:sz w:val="24"/>
          <w:szCs w:val="24"/>
        </w:rPr>
        <w:lastRenderedPageBreak/>
        <w:t xml:space="preserve">Figure 1 shows the total number of patients who were supplied </w:t>
      </w:r>
      <w:proofErr w:type="spellStart"/>
      <w:r w:rsidRPr="005F4BDA">
        <w:rPr>
          <w:sz w:val="24"/>
          <w:szCs w:val="24"/>
        </w:rPr>
        <w:t>eculizumab</w:t>
      </w:r>
      <w:proofErr w:type="spellEnd"/>
      <w:r w:rsidRPr="005F4BDA">
        <w:rPr>
          <w:sz w:val="24"/>
          <w:szCs w:val="24"/>
        </w:rPr>
        <w:t xml:space="preserve"> by listing year and of those patients how many received their first ever PBS supply of </w:t>
      </w:r>
      <w:proofErr w:type="spellStart"/>
      <w:r w:rsidRPr="005F4BDA">
        <w:rPr>
          <w:sz w:val="24"/>
          <w:szCs w:val="24"/>
        </w:rPr>
        <w:t>eculizumab</w:t>
      </w:r>
      <w:proofErr w:type="spellEnd"/>
      <w:r w:rsidRPr="005F4BDA">
        <w:rPr>
          <w:sz w:val="24"/>
          <w:szCs w:val="24"/>
        </w:rPr>
        <w:t xml:space="preserve"> in that listing year. These categories were determined from PBS supply data regardless of which restriction code (treatment phase) was used. Initiating patients include people receiving supply under the initial treatment restriction and the grandfather restriction. While grandfathered patients are continuing the</w:t>
      </w:r>
      <w:r w:rsidR="00F707D9" w:rsidRPr="005F4BDA">
        <w:rPr>
          <w:sz w:val="24"/>
          <w:szCs w:val="24"/>
        </w:rPr>
        <w:t>ir</w:t>
      </w:r>
      <w:r w:rsidRPr="005F4BDA">
        <w:rPr>
          <w:sz w:val="24"/>
          <w:szCs w:val="24"/>
        </w:rPr>
        <w:t xml:space="preserve"> </w:t>
      </w:r>
      <w:proofErr w:type="spellStart"/>
      <w:r w:rsidRPr="005F4BDA">
        <w:rPr>
          <w:sz w:val="24"/>
          <w:szCs w:val="24"/>
        </w:rPr>
        <w:t>eculizumab</w:t>
      </w:r>
      <w:proofErr w:type="spellEnd"/>
      <w:r w:rsidRPr="005F4BDA">
        <w:rPr>
          <w:sz w:val="24"/>
          <w:szCs w:val="24"/>
        </w:rPr>
        <w:t xml:space="preserve"> </w:t>
      </w:r>
      <w:r w:rsidR="002E0683" w:rsidRPr="005F4BDA">
        <w:rPr>
          <w:sz w:val="24"/>
          <w:szCs w:val="24"/>
        </w:rPr>
        <w:t>supply,</w:t>
      </w:r>
      <w:r w:rsidRPr="005F4BDA">
        <w:rPr>
          <w:sz w:val="24"/>
          <w:szCs w:val="24"/>
        </w:rPr>
        <w:t xml:space="preserve"> they are considered new to PBS supply. The </w:t>
      </w:r>
      <w:proofErr w:type="spellStart"/>
      <w:r w:rsidRPr="005F4BDA">
        <w:rPr>
          <w:sz w:val="24"/>
          <w:szCs w:val="24"/>
        </w:rPr>
        <w:t>eculizumab</w:t>
      </w:r>
      <w:proofErr w:type="spellEnd"/>
      <w:r w:rsidRPr="005F4BDA">
        <w:rPr>
          <w:sz w:val="24"/>
          <w:szCs w:val="24"/>
        </w:rPr>
        <w:t xml:space="preserve"> listings include a range of treatment phases, summarised as initial, continuing, re-commencement (see </w:t>
      </w:r>
      <w:r w:rsidR="00171EF0" w:rsidRPr="00CD6CBC">
        <w:rPr>
          <w:sz w:val="24"/>
          <w:szCs w:val="24"/>
        </w:rPr>
        <w:t>Appendix A</w:t>
      </w:r>
      <w:r w:rsidRPr="005F4BDA">
        <w:rPr>
          <w:sz w:val="24"/>
          <w:szCs w:val="24"/>
        </w:rPr>
        <w:t xml:space="preserve"> for further restriction details). </w:t>
      </w:r>
    </w:p>
    <w:p w:rsidR="002E0683" w:rsidRDefault="009E7016" w:rsidP="005F4BDA">
      <w:r w:rsidRPr="009D4EC6">
        <w:t xml:space="preserve">The number of patients supplied </w:t>
      </w:r>
      <w:proofErr w:type="spellStart"/>
      <w:r w:rsidRPr="009D4EC6">
        <w:t>eculizumab</w:t>
      </w:r>
      <w:proofErr w:type="spellEnd"/>
      <w:r w:rsidRPr="009D4EC6">
        <w:t xml:space="preserve"> has steadily increased since the time of listing, </w:t>
      </w:r>
      <w:r w:rsidR="00B8136C" w:rsidRPr="00DD4017">
        <w:t>with 69 patients in Year 1, increasing to 1</w:t>
      </w:r>
      <w:r w:rsidR="00DD4017" w:rsidRPr="00DD4017">
        <w:t>87</w:t>
      </w:r>
      <w:r w:rsidR="00B8136C" w:rsidRPr="00DD4017">
        <w:t xml:space="preserve"> patients </w:t>
      </w:r>
      <w:r w:rsidR="00DD4017" w:rsidRPr="00DD4017">
        <w:t>from December 2018 to November 2019</w:t>
      </w:r>
      <w:r w:rsidR="00B8136C" w:rsidRPr="00DD4017">
        <w:t xml:space="preserve">. </w:t>
      </w:r>
      <w:r w:rsidR="00DD4017" w:rsidRPr="00DD4017">
        <w:t>I</w:t>
      </w:r>
      <w:r w:rsidR="00B8136C" w:rsidRPr="00DD4017">
        <w:t>t appears that the number of PBS patients per year may be steadying</w:t>
      </w:r>
      <w:r w:rsidR="00DD4017" w:rsidRPr="00DD4017">
        <w:t>, with figures for December 2017 to November 2018 being 188 patients</w:t>
      </w:r>
      <w:r w:rsidR="00B8136C" w:rsidRPr="00DD4017">
        <w:t xml:space="preserve">. </w:t>
      </w:r>
      <w:r w:rsidR="00F81AB6" w:rsidRPr="00DD4017">
        <w:t xml:space="preserve">In total, </w:t>
      </w:r>
      <w:r w:rsidR="008470A5" w:rsidRPr="00DD4017">
        <w:t>3</w:t>
      </w:r>
      <w:r w:rsidR="00DD4017" w:rsidRPr="00DD4017">
        <w:t>2</w:t>
      </w:r>
      <w:r w:rsidR="008470A5" w:rsidRPr="00DD4017">
        <w:t>3</w:t>
      </w:r>
      <w:r w:rsidRPr="00DD4017">
        <w:t xml:space="preserve"> unique patients have been supplied </w:t>
      </w:r>
      <w:proofErr w:type="spellStart"/>
      <w:r w:rsidRPr="00DD4017">
        <w:t>eculizumab</w:t>
      </w:r>
      <w:proofErr w:type="spellEnd"/>
      <w:r w:rsidRPr="00DD4017">
        <w:t xml:space="preserve"> from the time of PBS listing (1 December 20</w:t>
      </w:r>
      <w:r w:rsidR="002E0683" w:rsidRPr="00DD4017">
        <w:t>14) to the most recent data (3</w:t>
      </w:r>
      <w:r w:rsidR="00AD5905">
        <w:t>1</w:t>
      </w:r>
      <w:r w:rsidR="002E0683" w:rsidRPr="00DD4017">
        <w:t> </w:t>
      </w:r>
      <w:r w:rsidR="00DD4017" w:rsidRPr="00DD4017">
        <w:t>May</w:t>
      </w:r>
      <w:r w:rsidR="00F81AB6" w:rsidRPr="00DD4017">
        <w:t xml:space="preserve"> 20</w:t>
      </w:r>
      <w:r w:rsidR="008470A5" w:rsidRPr="00DD4017">
        <w:t>20</w:t>
      </w:r>
      <w:r w:rsidRPr="00DD4017">
        <w:t>).</w:t>
      </w:r>
      <w:r>
        <w:t xml:space="preserve"> </w:t>
      </w:r>
    </w:p>
    <w:p w:rsidR="00E33582" w:rsidRPr="00945684" w:rsidRDefault="00E33582" w:rsidP="005F4BDA">
      <w:pPr>
        <w:rPr>
          <w:lang w:eastAsia="en-US"/>
        </w:rPr>
      </w:pPr>
      <w:r w:rsidRPr="00945684">
        <w:rPr>
          <w:lang w:eastAsia="en-US"/>
        </w:rPr>
        <w:t xml:space="preserve">It was estimated that </w:t>
      </w:r>
      <w:r w:rsidR="00066AAD">
        <w:rPr>
          <w:noProof/>
          <w:color w:val="000000"/>
          <w:highlight w:val="black"/>
          <w:lang w:eastAsia="en-US"/>
        </w:rPr>
        <w:t>'''''''</w:t>
      </w:r>
      <w:r w:rsidRPr="00945684">
        <w:rPr>
          <w:lang w:eastAsia="en-US"/>
        </w:rPr>
        <w:t xml:space="preserve"> patients would be supplied </w:t>
      </w:r>
      <w:proofErr w:type="spellStart"/>
      <w:r w:rsidRPr="00945684">
        <w:rPr>
          <w:lang w:eastAsia="en-US"/>
        </w:rPr>
        <w:t>eculizumab</w:t>
      </w:r>
      <w:proofErr w:type="spellEnd"/>
      <w:r w:rsidRPr="00945684">
        <w:rPr>
          <w:lang w:eastAsia="en-US"/>
        </w:rPr>
        <w:t>. This was derived as:</w:t>
      </w:r>
    </w:p>
    <w:p w:rsidR="00E33582" w:rsidRPr="00945684" w:rsidRDefault="00E33582" w:rsidP="00F075C2">
      <w:pPr>
        <w:pStyle w:val="ListParagraph"/>
        <w:numPr>
          <w:ilvl w:val="0"/>
          <w:numId w:val="16"/>
        </w:numPr>
        <w:rPr>
          <w:lang w:eastAsia="en-US"/>
        </w:rPr>
      </w:pPr>
      <w:r w:rsidRPr="00945684">
        <w:rPr>
          <w:lang w:eastAsia="en-US"/>
        </w:rPr>
        <w:t xml:space="preserve">Applying an </w:t>
      </w:r>
      <w:proofErr w:type="spellStart"/>
      <w:r w:rsidRPr="00945684">
        <w:rPr>
          <w:lang w:eastAsia="en-US"/>
        </w:rPr>
        <w:t>aHUS</w:t>
      </w:r>
      <w:proofErr w:type="spellEnd"/>
      <w:r w:rsidRPr="00945684">
        <w:rPr>
          <w:lang w:eastAsia="en-US"/>
        </w:rPr>
        <w:t xml:space="preserve"> prevalence of </w:t>
      </w:r>
      <w:r w:rsidR="00066AAD">
        <w:rPr>
          <w:noProof/>
          <w:color w:val="000000"/>
          <w:highlight w:val="black"/>
          <w:lang w:eastAsia="en-US"/>
        </w:rPr>
        <w:t>''</w:t>
      </w:r>
      <w:r w:rsidRPr="00945684">
        <w:rPr>
          <w:lang w:eastAsia="en-US"/>
        </w:rPr>
        <w:t xml:space="preserve"> persons per million (applied to the total Australian population of 26 million);</w:t>
      </w:r>
    </w:p>
    <w:p w:rsidR="00E33582" w:rsidRPr="00945684" w:rsidRDefault="00E33582" w:rsidP="00F075C2">
      <w:pPr>
        <w:pStyle w:val="ListParagraph"/>
        <w:numPr>
          <w:ilvl w:val="0"/>
          <w:numId w:val="16"/>
        </w:numPr>
        <w:rPr>
          <w:lang w:eastAsia="en-US"/>
        </w:rPr>
      </w:pPr>
      <w:r w:rsidRPr="00945684">
        <w:rPr>
          <w:lang w:eastAsia="en-US"/>
        </w:rPr>
        <w:t xml:space="preserve">Assuming </w:t>
      </w:r>
      <w:r w:rsidR="00066AAD">
        <w:rPr>
          <w:noProof/>
          <w:color w:val="000000"/>
          <w:highlight w:val="black"/>
          <w:lang w:eastAsia="en-US"/>
        </w:rPr>
        <w:t>'''''' ''''''''''''''</w:t>
      </w:r>
      <w:r w:rsidRPr="00945684">
        <w:rPr>
          <w:lang w:eastAsia="en-US"/>
        </w:rPr>
        <w:t xml:space="preserve"> of </w:t>
      </w:r>
      <w:proofErr w:type="spellStart"/>
      <w:r w:rsidRPr="00945684">
        <w:rPr>
          <w:lang w:eastAsia="en-US"/>
        </w:rPr>
        <w:t>aHUS</w:t>
      </w:r>
      <w:proofErr w:type="spellEnd"/>
      <w:r w:rsidRPr="00945684">
        <w:rPr>
          <w:lang w:eastAsia="en-US"/>
        </w:rPr>
        <w:t xml:space="preserve"> patients would be diagnosed in 2019; and</w:t>
      </w:r>
    </w:p>
    <w:p w:rsidR="00E33582" w:rsidRPr="00945684" w:rsidRDefault="00066AAD" w:rsidP="00F075C2">
      <w:pPr>
        <w:pStyle w:val="ListParagraph"/>
        <w:numPr>
          <w:ilvl w:val="0"/>
          <w:numId w:val="16"/>
        </w:numPr>
        <w:rPr>
          <w:lang w:eastAsia="en-US"/>
        </w:rPr>
      </w:pPr>
      <w:r>
        <w:rPr>
          <w:noProof/>
          <w:color w:val="000000"/>
          <w:highlight w:val="black"/>
          <w:lang w:eastAsia="en-US"/>
        </w:rPr>
        <w:t>''''' ''''''''''''''</w:t>
      </w:r>
      <w:r w:rsidR="00E33582" w:rsidRPr="00945684">
        <w:rPr>
          <w:lang w:eastAsia="en-US"/>
        </w:rPr>
        <w:t xml:space="preserve"> of diagnosed patients would be supplied </w:t>
      </w:r>
      <w:proofErr w:type="spellStart"/>
      <w:r w:rsidR="00E33582" w:rsidRPr="00945684">
        <w:rPr>
          <w:lang w:eastAsia="en-US"/>
        </w:rPr>
        <w:t>eculizumab</w:t>
      </w:r>
      <w:proofErr w:type="spellEnd"/>
      <w:r w:rsidR="00E33582" w:rsidRPr="00945684">
        <w:rPr>
          <w:lang w:eastAsia="en-US"/>
        </w:rPr>
        <w:t>.</w:t>
      </w:r>
    </w:p>
    <w:p w:rsidR="005813C1" w:rsidRDefault="005813C1" w:rsidP="005813C1">
      <w:pPr>
        <w:pStyle w:val="Tabletitle"/>
        <w:spacing w:before="200"/>
      </w:pPr>
      <w:bookmarkStart w:id="3" w:name="Table1"/>
      <w:r>
        <w:t xml:space="preserve">Table </w:t>
      </w:r>
      <w:bookmarkEnd w:id="3"/>
      <w:r>
        <w:t>1</w:t>
      </w:r>
      <w:r w:rsidRPr="004263BD">
        <w:t xml:space="preserve">: Patients supplied </w:t>
      </w:r>
      <w:proofErr w:type="spellStart"/>
      <w:r w:rsidRPr="004263BD">
        <w:t>eculizumab</w:t>
      </w:r>
      <w:proofErr w:type="spellEnd"/>
      <w:r w:rsidRPr="004263BD">
        <w:t xml:space="preserve"> for the treatment of </w:t>
      </w:r>
      <w:proofErr w:type="spellStart"/>
      <w:r w:rsidRPr="004263BD">
        <w:t>aHUS</w:t>
      </w:r>
      <w:proofErr w:type="spellEnd"/>
      <w:r w:rsidRPr="004263BD">
        <w:t xml:space="preserve"> by year</w:t>
      </w:r>
    </w:p>
    <w:tbl>
      <w:tblPr>
        <w:tblW w:w="7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281"/>
        <w:gridCol w:w="1559"/>
        <w:gridCol w:w="1560"/>
        <w:gridCol w:w="1864"/>
      </w:tblGrid>
      <w:tr w:rsidR="005F4038" w:rsidRPr="00C502DA" w:rsidTr="005F4038">
        <w:trPr>
          <w:trHeight w:val="290"/>
        </w:trPr>
        <w:tc>
          <w:tcPr>
            <w:tcW w:w="1265" w:type="dxa"/>
            <w:shd w:val="clear" w:color="auto" w:fill="BFBFBF" w:themeFill="background1" w:themeFillShade="BF"/>
            <w:noWrap/>
            <w:vAlign w:val="center"/>
            <w:hideMark/>
          </w:tcPr>
          <w:p w:rsidR="005F4038" w:rsidRPr="007904BC" w:rsidRDefault="005F4038" w:rsidP="00F075C2">
            <w:pPr>
              <w:spacing w:after="0"/>
              <w:jc w:val="center"/>
              <w:rPr>
                <w:rFonts w:ascii="Calibri" w:eastAsia="Times New Roman" w:hAnsi="Calibri" w:cs="Calibri"/>
                <w:b/>
                <w:bCs/>
                <w:color w:val="000000"/>
                <w:sz w:val="20"/>
                <w:szCs w:val="20"/>
              </w:rPr>
            </w:pPr>
            <w:r w:rsidRPr="007904BC">
              <w:rPr>
                <w:rFonts w:ascii="Calibri" w:eastAsia="Times New Roman" w:hAnsi="Calibri" w:cs="Calibri"/>
                <w:b/>
                <w:bCs/>
                <w:color w:val="000000"/>
                <w:sz w:val="20"/>
                <w:szCs w:val="20"/>
              </w:rPr>
              <w:t>Year</w:t>
            </w:r>
          </w:p>
        </w:tc>
        <w:tc>
          <w:tcPr>
            <w:tcW w:w="1281" w:type="dxa"/>
            <w:shd w:val="clear" w:color="auto" w:fill="BFBFBF" w:themeFill="background1" w:themeFillShade="BF"/>
            <w:noWrap/>
            <w:vAlign w:val="center"/>
            <w:hideMark/>
          </w:tcPr>
          <w:p w:rsidR="005F4038" w:rsidRPr="007904BC" w:rsidRDefault="005F4038" w:rsidP="00F075C2">
            <w:pPr>
              <w:spacing w:after="0"/>
              <w:jc w:val="center"/>
              <w:rPr>
                <w:rFonts w:ascii="Calibri" w:eastAsia="Times New Roman" w:hAnsi="Calibri" w:cs="Calibri"/>
                <w:b/>
                <w:bCs/>
                <w:color w:val="000000"/>
                <w:sz w:val="20"/>
                <w:szCs w:val="20"/>
              </w:rPr>
            </w:pPr>
            <w:r w:rsidRPr="007904BC">
              <w:rPr>
                <w:rFonts w:ascii="Calibri" w:eastAsia="Times New Roman" w:hAnsi="Calibri" w:cs="Calibri"/>
                <w:b/>
                <w:bCs/>
                <w:color w:val="000000"/>
                <w:sz w:val="20"/>
                <w:szCs w:val="20"/>
              </w:rPr>
              <w:t>PBS initiators</w:t>
            </w:r>
          </w:p>
        </w:tc>
        <w:tc>
          <w:tcPr>
            <w:tcW w:w="1559" w:type="dxa"/>
            <w:shd w:val="clear" w:color="auto" w:fill="BFBFBF" w:themeFill="background1" w:themeFillShade="BF"/>
            <w:vAlign w:val="center"/>
          </w:tcPr>
          <w:p w:rsidR="005F4038" w:rsidRDefault="005F4038" w:rsidP="00F075C2">
            <w:pPr>
              <w:spacing w:after="0"/>
              <w:jc w:val="center"/>
              <w:rPr>
                <w:rFonts w:ascii="Calibri" w:eastAsia="Times New Roman" w:hAnsi="Calibri" w:cs="Calibri"/>
                <w:b/>
                <w:bCs/>
                <w:color w:val="000000"/>
                <w:sz w:val="20"/>
                <w:szCs w:val="20"/>
              </w:rPr>
            </w:pPr>
            <w:r w:rsidRPr="007904BC">
              <w:rPr>
                <w:rFonts w:ascii="Calibri" w:eastAsia="Times New Roman" w:hAnsi="Calibri" w:cs="Calibri"/>
                <w:b/>
                <w:bCs/>
                <w:color w:val="000000"/>
                <w:sz w:val="20"/>
                <w:szCs w:val="20"/>
              </w:rPr>
              <w:t>Re-initiating patients</w:t>
            </w:r>
          </w:p>
        </w:tc>
        <w:tc>
          <w:tcPr>
            <w:tcW w:w="1560" w:type="dxa"/>
            <w:shd w:val="clear" w:color="auto" w:fill="BFBFBF" w:themeFill="background1" w:themeFillShade="BF"/>
            <w:noWrap/>
            <w:vAlign w:val="center"/>
            <w:hideMark/>
          </w:tcPr>
          <w:p w:rsidR="005F4038" w:rsidRPr="007904BC" w:rsidRDefault="005F4038" w:rsidP="00F075C2">
            <w:pPr>
              <w:spacing w:after="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PBS </w:t>
            </w:r>
            <w:r w:rsidRPr="007904BC">
              <w:rPr>
                <w:rFonts w:ascii="Calibri" w:eastAsia="Times New Roman" w:hAnsi="Calibri" w:cs="Calibri"/>
                <w:b/>
                <w:bCs/>
                <w:color w:val="000000"/>
                <w:sz w:val="20"/>
                <w:szCs w:val="20"/>
              </w:rPr>
              <w:t>patients</w:t>
            </w:r>
          </w:p>
        </w:tc>
        <w:tc>
          <w:tcPr>
            <w:tcW w:w="1864" w:type="dxa"/>
            <w:shd w:val="clear" w:color="auto" w:fill="BFBFBF" w:themeFill="background1" w:themeFillShade="BF"/>
          </w:tcPr>
          <w:p w:rsidR="005F4038" w:rsidRPr="007904BC" w:rsidRDefault="005F4038" w:rsidP="00F075C2">
            <w:pPr>
              <w:spacing w:after="0"/>
              <w:jc w:val="center"/>
              <w:rPr>
                <w:rFonts w:ascii="Calibri" w:eastAsia="Times New Roman" w:hAnsi="Calibri" w:cs="Calibri"/>
                <w:b/>
                <w:bCs/>
                <w:color w:val="000000"/>
                <w:sz w:val="20"/>
                <w:szCs w:val="20"/>
              </w:rPr>
            </w:pPr>
            <w:r w:rsidRPr="007904BC">
              <w:rPr>
                <w:rFonts w:ascii="Calibri" w:eastAsia="Times New Roman" w:hAnsi="Calibri" w:cs="Calibri"/>
                <w:b/>
                <w:bCs/>
                <w:color w:val="000000"/>
                <w:sz w:val="20"/>
                <w:szCs w:val="20"/>
              </w:rPr>
              <w:t>% growth in PBS patients p.a.</w:t>
            </w:r>
          </w:p>
        </w:tc>
      </w:tr>
      <w:tr w:rsidR="005F4038" w:rsidRPr="00C502DA" w:rsidTr="005F4038">
        <w:trPr>
          <w:trHeight w:val="290"/>
        </w:trPr>
        <w:tc>
          <w:tcPr>
            <w:tcW w:w="1265"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2014</w:t>
            </w:r>
          </w:p>
        </w:tc>
        <w:tc>
          <w:tcPr>
            <w:tcW w:w="1281"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28</w:t>
            </w:r>
          </w:p>
        </w:tc>
        <w:tc>
          <w:tcPr>
            <w:tcW w:w="1559" w:type="dxa"/>
            <w:shd w:val="clear" w:color="auto" w:fill="FFFFFF" w:themeFill="background1"/>
            <w:vAlign w:val="center"/>
          </w:tcPr>
          <w:p w:rsidR="005F4038" w:rsidRPr="007904BC" w:rsidRDefault="005F4038" w:rsidP="00F075C2">
            <w:pPr>
              <w:spacing w:after="0"/>
              <w:jc w:val="center"/>
              <w:rPr>
                <w:rFonts w:ascii="Calibri" w:eastAsia="Times New Roman" w:hAnsi="Calibri" w:cs="Calibri"/>
                <w:sz w:val="20"/>
                <w:szCs w:val="20"/>
              </w:rPr>
            </w:pPr>
          </w:p>
        </w:tc>
        <w:tc>
          <w:tcPr>
            <w:tcW w:w="1560"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28</w:t>
            </w:r>
          </w:p>
        </w:tc>
        <w:tc>
          <w:tcPr>
            <w:tcW w:w="1864" w:type="dxa"/>
            <w:shd w:val="clear" w:color="auto" w:fill="FFFFFF" w:themeFill="background1"/>
          </w:tcPr>
          <w:p w:rsidR="005F4038" w:rsidRPr="007904BC" w:rsidRDefault="005F4038" w:rsidP="00F075C2">
            <w:pPr>
              <w:spacing w:after="0"/>
              <w:jc w:val="center"/>
              <w:rPr>
                <w:rFonts w:ascii="Calibri" w:eastAsia="Times New Roman" w:hAnsi="Calibri" w:cs="Calibri"/>
                <w:sz w:val="20"/>
                <w:szCs w:val="20"/>
              </w:rPr>
            </w:pPr>
          </w:p>
        </w:tc>
      </w:tr>
      <w:tr w:rsidR="005F4038" w:rsidRPr="00C502DA" w:rsidTr="005F4038">
        <w:trPr>
          <w:trHeight w:val="290"/>
        </w:trPr>
        <w:tc>
          <w:tcPr>
            <w:tcW w:w="1265"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2015</w:t>
            </w:r>
          </w:p>
        </w:tc>
        <w:tc>
          <w:tcPr>
            <w:tcW w:w="1281"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48</w:t>
            </w:r>
          </w:p>
        </w:tc>
        <w:tc>
          <w:tcPr>
            <w:tcW w:w="1559" w:type="dxa"/>
            <w:shd w:val="clear" w:color="auto" w:fill="FFFFFF" w:themeFill="background1"/>
            <w:vAlign w:val="center"/>
          </w:tcPr>
          <w:p w:rsidR="005F4038" w:rsidRPr="007904BC" w:rsidRDefault="005F4038" w:rsidP="00F075C2">
            <w:pPr>
              <w:spacing w:after="0"/>
              <w:jc w:val="center"/>
              <w:rPr>
                <w:rFonts w:ascii="Calibri" w:eastAsia="Times New Roman" w:hAnsi="Calibri" w:cs="Calibri"/>
                <w:sz w:val="20"/>
                <w:szCs w:val="20"/>
              </w:rPr>
            </w:pPr>
          </w:p>
        </w:tc>
        <w:tc>
          <w:tcPr>
            <w:tcW w:w="1560"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74</w:t>
            </w:r>
          </w:p>
        </w:tc>
        <w:tc>
          <w:tcPr>
            <w:tcW w:w="1864" w:type="dxa"/>
            <w:shd w:val="clear" w:color="auto" w:fill="FFFFFF" w:themeFill="background1"/>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164%</w:t>
            </w:r>
          </w:p>
        </w:tc>
      </w:tr>
      <w:tr w:rsidR="005F4038" w:rsidRPr="00C502DA" w:rsidTr="005F4038">
        <w:trPr>
          <w:trHeight w:val="290"/>
        </w:trPr>
        <w:tc>
          <w:tcPr>
            <w:tcW w:w="1265"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2016</w:t>
            </w:r>
          </w:p>
        </w:tc>
        <w:tc>
          <w:tcPr>
            <w:tcW w:w="1281"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48</w:t>
            </w:r>
          </w:p>
        </w:tc>
        <w:tc>
          <w:tcPr>
            <w:tcW w:w="1559" w:type="dxa"/>
            <w:shd w:val="clear" w:color="auto" w:fill="FFFFFF" w:themeFill="background1"/>
            <w:vAlign w:val="center"/>
          </w:tcPr>
          <w:p w:rsidR="005F4038" w:rsidRPr="007904BC" w:rsidRDefault="005F4038" w:rsidP="00F075C2">
            <w:pPr>
              <w:spacing w:after="0"/>
              <w:jc w:val="center"/>
              <w:rPr>
                <w:rFonts w:ascii="Calibri" w:eastAsia="Times New Roman" w:hAnsi="Calibri" w:cs="Calibri"/>
                <w:sz w:val="20"/>
                <w:szCs w:val="20"/>
              </w:rPr>
            </w:pPr>
          </w:p>
        </w:tc>
        <w:tc>
          <w:tcPr>
            <w:tcW w:w="1560"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92</w:t>
            </w:r>
          </w:p>
        </w:tc>
        <w:tc>
          <w:tcPr>
            <w:tcW w:w="1864" w:type="dxa"/>
            <w:shd w:val="clear" w:color="auto" w:fill="FFFFFF" w:themeFill="background1"/>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24%</w:t>
            </w:r>
          </w:p>
        </w:tc>
      </w:tr>
      <w:tr w:rsidR="005F4038" w:rsidRPr="00C502DA" w:rsidTr="005F4038">
        <w:trPr>
          <w:trHeight w:val="290"/>
        </w:trPr>
        <w:tc>
          <w:tcPr>
            <w:tcW w:w="1265"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2017</w:t>
            </w:r>
          </w:p>
        </w:tc>
        <w:tc>
          <w:tcPr>
            <w:tcW w:w="1281"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47</w:t>
            </w:r>
          </w:p>
        </w:tc>
        <w:tc>
          <w:tcPr>
            <w:tcW w:w="1559" w:type="dxa"/>
            <w:shd w:val="clear" w:color="auto" w:fill="FFFFFF" w:themeFill="background1"/>
            <w:vAlign w:val="center"/>
          </w:tcPr>
          <w:p w:rsidR="005F4038" w:rsidRPr="007904BC" w:rsidRDefault="001536F6" w:rsidP="001536F6">
            <w:pPr>
              <w:spacing w:after="0"/>
              <w:jc w:val="center"/>
              <w:rPr>
                <w:rFonts w:ascii="Calibri" w:eastAsia="Times New Roman" w:hAnsi="Calibri" w:cs="Calibri"/>
                <w:sz w:val="20"/>
                <w:szCs w:val="20"/>
              </w:rPr>
            </w:pPr>
            <w:r>
              <w:rPr>
                <w:rFonts w:ascii="Calibri" w:eastAsia="Times New Roman" w:hAnsi="Calibri" w:cs="Calibri"/>
                <w:sz w:val="20"/>
                <w:szCs w:val="20"/>
              </w:rPr>
              <w:t>&lt;5</w:t>
            </w:r>
          </w:p>
        </w:tc>
        <w:tc>
          <w:tcPr>
            <w:tcW w:w="1560"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107</w:t>
            </w:r>
          </w:p>
        </w:tc>
        <w:tc>
          <w:tcPr>
            <w:tcW w:w="1864" w:type="dxa"/>
            <w:shd w:val="clear" w:color="auto" w:fill="FFFFFF" w:themeFill="background1"/>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16%</w:t>
            </w:r>
          </w:p>
        </w:tc>
      </w:tr>
      <w:tr w:rsidR="005F4038" w:rsidRPr="00C502DA" w:rsidTr="005F4038">
        <w:trPr>
          <w:trHeight w:val="290"/>
        </w:trPr>
        <w:tc>
          <w:tcPr>
            <w:tcW w:w="1265"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2018</w:t>
            </w:r>
          </w:p>
        </w:tc>
        <w:tc>
          <w:tcPr>
            <w:tcW w:w="1281"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64</w:t>
            </w:r>
          </w:p>
        </w:tc>
        <w:tc>
          <w:tcPr>
            <w:tcW w:w="1559" w:type="dxa"/>
            <w:shd w:val="clear" w:color="auto" w:fill="FFFFFF" w:themeFill="background1"/>
            <w:vAlign w:val="center"/>
          </w:tcPr>
          <w:p w:rsidR="005F4038" w:rsidRPr="007904BC" w:rsidRDefault="005F4038" w:rsidP="00F075C2">
            <w:pPr>
              <w:spacing w:after="0"/>
              <w:jc w:val="center"/>
              <w:rPr>
                <w:rFonts w:ascii="Calibri" w:eastAsia="Times New Roman" w:hAnsi="Calibri" w:cs="Calibri"/>
                <w:sz w:val="20"/>
                <w:szCs w:val="20"/>
              </w:rPr>
            </w:pPr>
          </w:p>
        </w:tc>
        <w:tc>
          <w:tcPr>
            <w:tcW w:w="1560"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126</w:t>
            </w:r>
          </w:p>
        </w:tc>
        <w:tc>
          <w:tcPr>
            <w:tcW w:w="1864" w:type="dxa"/>
            <w:shd w:val="clear" w:color="auto" w:fill="FFFFFF" w:themeFill="background1"/>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18%</w:t>
            </w:r>
          </w:p>
        </w:tc>
      </w:tr>
      <w:tr w:rsidR="005F4038" w:rsidRPr="00C502DA" w:rsidTr="005F4038">
        <w:trPr>
          <w:trHeight w:val="290"/>
        </w:trPr>
        <w:tc>
          <w:tcPr>
            <w:tcW w:w="1265"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2019</w:t>
            </w:r>
          </w:p>
        </w:tc>
        <w:tc>
          <w:tcPr>
            <w:tcW w:w="1281"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56</w:t>
            </w:r>
          </w:p>
        </w:tc>
        <w:tc>
          <w:tcPr>
            <w:tcW w:w="1559" w:type="dxa"/>
            <w:shd w:val="clear" w:color="auto" w:fill="FFFFFF" w:themeFill="background1"/>
            <w:vAlign w:val="center"/>
          </w:tcPr>
          <w:p w:rsidR="005F4038" w:rsidRPr="007904BC" w:rsidRDefault="001536F6" w:rsidP="00F075C2">
            <w:pPr>
              <w:spacing w:after="0"/>
              <w:jc w:val="center"/>
              <w:rPr>
                <w:rFonts w:ascii="Calibri" w:eastAsia="Times New Roman" w:hAnsi="Calibri" w:cs="Calibri"/>
                <w:sz w:val="20"/>
                <w:szCs w:val="20"/>
              </w:rPr>
            </w:pPr>
            <w:r>
              <w:rPr>
                <w:rFonts w:ascii="Calibri" w:eastAsia="Times New Roman" w:hAnsi="Calibri" w:cs="Calibri"/>
                <w:sz w:val="20"/>
                <w:szCs w:val="20"/>
              </w:rPr>
              <w:t>&lt;5</w:t>
            </w:r>
          </w:p>
        </w:tc>
        <w:tc>
          <w:tcPr>
            <w:tcW w:w="1560"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sz w:val="20"/>
                <w:szCs w:val="20"/>
              </w:rPr>
            </w:pPr>
            <w:r w:rsidRPr="007904BC">
              <w:rPr>
                <w:rFonts w:ascii="Calibri" w:eastAsia="Times New Roman" w:hAnsi="Calibri" w:cs="Calibri"/>
                <w:sz w:val="20"/>
                <w:szCs w:val="20"/>
              </w:rPr>
              <w:t>126</w:t>
            </w:r>
          </w:p>
        </w:tc>
        <w:tc>
          <w:tcPr>
            <w:tcW w:w="1864" w:type="dxa"/>
            <w:shd w:val="clear" w:color="auto" w:fill="FFFFFF" w:themeFill="background1"/>
          </w:tcPr>
          <w:p w:rsidR="005F4038" w:rsidRPr="007904BC" w:rsidRDefault="0080402B" w:rsidP="00F075C2">
            <w:pPr>
              <w:spacing w:after="0"/>
              <w:jc w:val="center"/>
              <w:rPr>
                <w:rFonts w:ascii="Calibri" w:eastAsia="Times New Roman" w:hAnsi="Calibri" w:cs="Calibri"/>
                <w:sz w:val="20"/>
                <w:szCs w:val="20"/>
              </w:rPr>
            </w:pPr>
            <w:r>
              <w:rPr>
                <w:rFonts w:ascii="Calibri" w:eastAsia="Times New Roman" w:hAnsi="Calibri" w:cs="Calibri"/>
                <w:sz w:val="20"/>
                <w:szCs w:val="20"/>
              </w:rPr>
              <w:t>0</w:t>
            </w:r>
            <w:r w:rsidR="005F4038">
              <w:rPr>
                <w:rFonts w:ascii="Calibri" w:eastAsia="Times New Roman" w:hAnsi="Calibri" w:cs="Calibri"/>
                <w:sz w:val="20"/>
                <w:szCs w:val="20"/>
              </w:rPr>
              <w:t>%</w:t>
            </w:r>
          </w:p>
        </w:tc>
      </w:tr>
      <w:tr w:rsidR="005F4038" w:rsidRPr="007904BC" w:rsidTr="005F4038">
        <w:trPr>
          <w:trHeight w:val="290"/>
        </w:trPr>
        <w:tc>
          <w:tcPr>
            <w:tcW w:w="1265"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bCs/>
                <w:color w:val="000000"/>
                <w:sz w:val="20"/>
                <w:szCs w:val="20"/>
              </w:rPr>
            </w:pPr>
            <w:r w:rsidRPr="007904BC">
              <w:rPr>
                <w:rFonts w:ascii="Calibri" w:eastAsia="Times New Roman" w:hAnsi="Calibri" w:cs="Calibri"/>
                <w:bCs/>
                <w:color w:val="000000"/>
                <w:sz w:val="20"/>
                <w:szCs w:val="20"/>
              </w:rPr>
              <w:t>Total</w:t>
            </w:r>
          </w:p>
        </w:tc>
        <w:tc>
          <w:tcPr>
            <w:tcW w:w="1281" w:type="dxa"/>
            <w:shd w:val="clear" w:color="auto" w:fill="FFFFFF" w:themeFill="background1"/>
            <w:noWrap/>
            <w:vAlign w:val="center"/>
            <w:hideMark/>
          </w:tcPr>
          <w:p w:rsidR="005F4038" w:rsidRPr="007904BC" w:rsidRDefault="005F4038" w:rsidP="00F075C2">
            <w:pPr>
              <w:spacing w:after="0"/>
              <w:jc w:val="center"/>
              <w:rPr>
                <w:rFonts w:ascii="Calibri" w:eastAsia="Times New Roman" w:hAnsi="Calibri" w:cs="Calibri"/>
                <w:bCs/>
                <w:color w:val="000000"/>
                <w:sz w:val="20"/>
                <w:szCs w:val="20"/>
              </w:rPr>
            </w:pPr>
            <w:r w:rsidRPr="007904BC">
              <w:rPr>
                <w:rFonts w:ascii="Calibri" w:eastAsia="Times New Roman" w:hAnsi="Calibri" w:cs="Calibri"/>
                <w:bCs/>
                <w:color w:val="000000"/>
                <w:sz w:val="20"/>
                <w:szCs w:val="20"/>
              </w:rPr>
              <w:t>291</w:t>
            </w:r>
          </w:p>
        </w:tc>
        <w:tc>
          <w:tcPr>
            <w:tcW w:w="1559" w:type="dxa"/>
            <w:shd w:val="clear" w:color="auto" w:fill="FFFFFF" w:themeFill="background1"/>
            <w:vAlign w:val="center"/>
          </w:tcPr>
          <w:p w:rsidR="005F4038" w:rsidRPr="007904BC" w:rsidRDefault="005F4038" w:rsidP="00F075C2">
            <w:pPr>
              <w:spacing w:after="0"/>
              <w:jc w:val="center"/>
              <w:rPr>
                <w:rFonts w:ascii="Calibri" w:eastAsia="Times New Roman" w:hAnsi="Calibri" w:cs="Calibri"/>
                <w:bCs/>
                <w:color w:val="000000"/>
                <w:sz w:val="20"/>
                <w:szCs w:val="20"/>
              </w:rPr>
            </w:pPr>
            <w:r w:rsidRPr="007904BC">
              <w:rPr>
                <w:rFonts w:ascii="Calibri" w:eastAsia="Times New Roman" w:hAnsi="Calibri" w:cs="Calibri"/>
                <w:bCs/>
                <w:color w:val="000000"/>
                <w:sz w:val="20"/>
                <w:szCs w:val="20"/>
              </w:rPr>
              <w:t>-</w:t>
            </w:r>
          </w:p>
        </w:tc>
        <w:tc>
          <w:tcPr>
            <w:tcW w:w="1560" w:type="dxa"/>
            <w:shd w:val="clear" w:color="auto" w:fill="FFFFFF" w:themeFill="background1"/>
            <w:noWrap/>
            <w:vAlign w:val="center"/>
            <w:hideMark/>
          </w:tcPr>
          <w:p w:rsidR="005F4038" w:rsidRPr="007904BC" w:rsidRDefault="00AF4D7B" w:rsidP="00F075C2">
            <w:pPr>
              <w:spacing w:after="0"/>
              <w:jc w:val="center"/>
              <w:rPr>
                <w:rFonts w:ascii="Calibri" w:eastAsia="Times New Roman" w:hAnsi="Calibri" w:cs="Calibri"/>
                <w:bCs/>
                <w:color w:val="000000"/>
                <w:sz w:val="20"/>
                <w:szCs w:val="20"/>
              </w:rPr>
            </w:pPr>
            <w:r>
              <w:rPr>
                <w:rFonts w:ascii="Calibri" w:eastAsia="Times New Roman" w:hAnsi="Calibri" w:cs="Calibri"/>
                <w:bCs/>
                <w:color w:val="000000"/>
                <w:sz w:val="20"/>
                <w:szCs w:val="20"/>
              </w:rPr>
              <w:t>-</w:t>
            </w:r>
          </w:p>
        </w:tc>
        <w:tc>
          <w:tcPr>
            <w:tcW w:w="1864" w:type="dxa"/>
            <w:shd w:val="clear" w:color="auto" w:fill="FFFFFF" w:themeFill="background1"/>
          </w:tcPr>
          <w:p w:rsidR="005F4038" w:rsidRPr="007904BC" w:rsidRDefault="005F4038" w:rsidP="00F075C2">
            <w:pPr>
              <w:spacing w:after="0"/>
              <w:jc w:val="center"/>
              <w:rPr>
                <w:rFonts w:ascii="Calibri" w:eastAsia="Times New Roman" w:hAnsi="Calibri" w:cs="Calibri"/>
                <w:bCs/>
                <w:color w:val="000000"/>
                <w:sz w:val="20"/>
                <w:szCs w:val="20"/>
              </w:rPr>
            </w:pPr>
            <w:r w:rsidRPr="007904BC">
              <w:rPr>
                <w:rFonts w:ascii="Calibri" w:eastAsia="Times New Roman" w:hAnsi="Calibri" w:cs="Calibri"/>
                <w:bCs/>
                <w:color w:val="000000"/>
                <w:sz w:val="20"/>
                <w:szCs w:val="20"/>
              </w:rPr>
              <w:t>-</w:t>
            </w:r>
          </w:p>
        </w:tc>
      </w:tr>
    </w:tbl>
    <w:p w:rsidR="007904BC" w:rsidRPr="00450A5E" w:rsidRDefault="007904BC" w:rsidP="005813C1">
      <w:pPr>
        <w:pStyle w:val="Figurecaption"/>
        <w:spacing w:after="0"/>
      </w:pPr>
      <w:r w:rsidRPr="004263BD">
        <w:t xml:space="preserve">Source: PIN count, </w:t>
      </w:r>
      <w:r>
        <w:t>Services Australia</w:t>
      </w:r>
      <w:r w:rsidRPr="004263BD">
        <w:t xml:space="preserve"> supplied prescriptions database to </w:t>
      </w:r>
      <w:r w:rsidRPr="005B0AF5">
        <w:t>3</w:t>
      </w:r>
      <w:r w:rsidR="00AD5905">
        <w:t>1</w:t>
      </w:r>
      <w:r w:rsidRPr="005B0AF5">
        <w:t xml:space="preserve"> </w:t>
      </w:r>
      <w:r>
        <w:t>May</w:t>
      </w:r>
      <w:r w:rsidRPr="005B0AF5">
        <w:t xml:space="preserve"> 20</w:t>
      </w:r>
      <w:r>
        <w:t>20</w:t>
      </w:r>
      <w:r w:rsidRPr="005B0AF5">
        <w:t xml:space="preserve">; extracted </w:t>
      </w:r>
      <w:r>
        <w:t>2 July</w:t>
      </w:r>
      <w:r w:rsidRPr="005B0AF5">
        <w:t xml:space="preserve"> 20</w:t>
      </w:r>
      <w:r>
        <w:t>20</w:t>
      </w:r>
      <w:r w:rsidRPr="005B0AF5">
        <w:t>.</w:t>
      </w:r>
    </w:p>
    <w:p w:rsidR="007904BC" w:rsidRDefault="007904BC" w:rsidP="005813C1">
      <w:pPr>
        <w:pStyle w:val="Figurecaption"/>
        <w:spacing w:after="0"/>
      </w:pPr>
      <w:r w:rsidRPr="004263BD">
        <w:t>Initiators are people supplied their first PBS-subsidised prescription</w:t>
      </w:r>
      <w:r>
        <w:t xml:space="preserve"> in that year. </w:t>
      </w:r>
    </w:p>
    <w:p w:rsidR="002F7E16" w:rsidRDefault="002F7E16" w:rsidP="005F4BDA">
      <w:pPr>
        <w:pStyle w:val="Figurecaption"/>
        <w:rPr>
          <w:sz w:val="24"/>
          <w:szCs w:val="24"/>
        </w:rPr>
      </w:pPr>
    </w:p>
    <w:p w:rsidR="005813C1" w:rsidRDefault="005813C1" w:rsidP="005F4BDA">
      <w:pPr>
        <w:pStyle w:val="Figurecaption"/>
        <w:rPr>
          <w:sz w:val="24"/>
          <w:szCs w:val="24"/>
        </w:rPr>
      </w:pPr>
      <w:r w:rsidRPr="005F4BDA">
        <w:rPr>
          <w:sz w:val="24"/>
          <w:szCs w:val="24"/>
        </w:rPr>
        <w:t xml:space="preserve">Table 1 depicts the total number of patients and number of new patients by calendar year. 2019 </w:t>
      </w:r>
      <w:r w:rsidR="00CC2401">
        <w:rPr>
          <w:sz w:val="24"/>
          <w:szCs w:val="24"/>
        </w:rPr>
        <w:t xml:space="preserve">was </w:t>
      </w:r>
      <w:r w:rsidRPr="005F4BDA">
        <w:rPr>
          <w:sz w:val="24"/>
          <w:szCs w:val="24"/>
        </w:rPr>
        <w:t xml:space="preserve">the first </w:t>
      </w:r>
      <w:r w:rsidR="00CC2401">
        <w:rPr>
          <w:sz w:val="24"/>
          <w:szCs w:val="24"/>
        </w:rPr>
        <w:t>year that there has not been an in</w:t>
      </w:r>
      <w:r w:rsidRPr="005F4BDA">
        <w:rPr>
          <w:sz w:val="24"/>
          <w:szCs w:val="24"/>
        </w:rPr>
        <w:t xml:space="preserve">crease in </w:t>
      </w:r>
      <w:r w:rsidR="00293A7C">
        <w:rPr>
          <w:sz w:val="24"/>
          <w:szCs w:val="24"/>
        </w:rPr>
        <w:t xml:space="preserve">total patients </w:t>
      </w:r>
      <w:r w:rsidRPr="005F4BDA">
        <w:rPr>
          <w:sz w:val="24"/>
          <w:szCs w:val="24"/>
        </w:rPr>
        <w:t>compared to the previous year</w:t>
      </w:r>
      <w:r w:rsidR="00CC2401">
        <w:rPr>
          <w:sz w:val="24"/>
          <w:szCs w:val="24"/>
        </w:rPr>
        <w:t>,</w:t>
      </w:r>
      <w:r w:rsidRPr="005F4BDA">
        <w:rPr>
          <w:sz w:val="24"/>
          <w:szCs w:val="24"/>
        </w:rPr>
        <w:t xml:space="preserve"> since listing on the PBS. </w:t>
      </w:r>
    </w:p>
    <w:p w:rsidR="005F4BDA" w:rsidRPr="005F4BDA" w:rsidRDefault="005F4BDA" w:rsidP="005F4BDA">
      <w:pPr>
        <w:pStyle w:val="Figurecaption"/>
        <w:rPr>
          <w:sz w:val="24"/>
          <w:szCs w:val="24"/>
        </w:rPr>
      </w:pPr>
    </w:p>
    <w:p w:rsidR="00BC6815" w:rsidRDefault="001A7A31" w:rsidP="00817586">
      <w:pPr>
        <w:spacing w:after="0"/>
      </w:pPr>
      <w:r>
        <w:rPr>
          <w:noProof/>
        </w:rPr>
        <w:lastRenderedPageBreak/>
        <w:drawing>
          <wp:inline distT="0" distB="0" distL="0" distR="0" wp14:anchorId="1EFA2051" wp14:editId="55ED293F">
            <wp:extent cx="5687695" cy="3701415"/>
            <wp:effectExtent l="0" t="0" r="8255" b="13335"/>
            <wp:docPr id="1" name="Chart 1" title="Figure 2: Prescriptions by treatment pha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6815" w:rsidRDefault="00BC6815" w:rsidP="00C502DA">
      <w:pPr>
        <w:pStyle w:val="Figuretitle"/>
      </w:pPr>
      <w:r w:rsidRPr="00B325DD">
        <w:t>Figure 2: Prescriptions by treatment phase</w:t>
      </w:r>
    </w:p>
    <w:p w:rsidR="00D46DC0" w:rsidRDefault="00D46DC0" w:rsidP="00D46DC0">
      <w:pPr>
        <w:pStyle w:val="Figurecaption"/>
      </w:pPr>
      <w:r w:rsidRPr="004263BD">
        <w:t>S</w:t>
      </w:r>
      <w:r>
        <w:t>ource: Services Australia</w:t>
      </w:r>
      <w:r w:rsidRPr="00B02AE6">
        <w:t xml:space="preserve"> supplied prescriptions database</w:t>
      </w:r>
      <w:r>
        <w:t xml:space="preserve"> and Authorities database</w:t>
      </w:r>
      <w:r w:rsidRPr="00B02AE6">
        <w:t xml:space="preserve"> to 3</w:t>
      </w:r>
      <w:r w:rsidR="00AD5905">
        <w:t>1</w:t>
      </w:r>
      <w:r w:rsidRPr="00B02AE6">
        <w:t xml:space="preserve"> </w:t>
      </w:r>
      <w:r>
        <w:t xml:space="preserve">May </w:t>
      </w:r>
      <w:r w:rsidRPr="00B02AE6">
        <w:t>20</w:t>
      </w:r>
      <w:r>
        <w:t>20</w:t>
      </w:r>
      <w:r w:rsidRPr="00B02AE6">
        <w:t xml:space="preserve">; extracted </w:t>
      </w:r>
      <w:r>
        <w:t>2 July 2020</w:t>
      </w:r>
      <w:r w:rsidRPr="00B02AE6">
        <w:t>.</w:t>
      </w:r>
    </w:p>
    <w:p w:rsidR="00F337DE" w:rsidRDefault="00F337DE" w:rsidP="000C57D2">
      <w:pPr>
        <w:pStyle w:val="Figurecaption"/>
        <w:spacing w:before="0" w:after="200"/>
        <w:rPr>
          <w:sz w:val="24"/>
          <w:szCs w:val="24"/>
          <w:lang w:eastAsia="en-AU"/>
        </w:rPr>
      </w:pPr>
    </w:p>
    <w:p w:rsidR="00967DCB" w:rsidRDefault="00967DCB" w:rsidP="000C57D2">
      <w:pPr>
        <w:pStyle w:val="Figurecaption"/>
        <w:spacing w:before="0" w:after="200"/>
        <w:rPr>
          <w:sz w:val="24"/>
          <w:szCs w:val="24"/>
          <w:lang w:eastAsia="en-AU"/>
        </w:rPr>
      </w:pPr>
      <w:r w:rsidRPr="00F85B4E">
        <w:rPr>
          <w:sz w:val="24"/>
          <w:szCs w:val="24"/>
          <w:lang w:eastAsia="en-AU"/>
        </w:rPr>
        <w:t>Figure 2</w:t>
      </w:r>
      <w:r w:rsidR="002658E3" w:rsidRPr="00F85B4E">
        <w:rPr>
          <w:sz w:val="24"/>
          <w:szCs w:val="24"/>
          <w:lang w:eastAsia="en-AU"/>
        </w:rPr>
        <w:t xml:space="preserve"> shows the number of </w:t>
      </w:r>
      <w:proofErr w:type="spellStart"/>
      <w:r w:rsidR="002658E3" w:rsidRPr="00F85B4E">
        <w:rPr>
          <w:sz w:val="24"/>
          <w:szCs w:val="24"/>
          <w:lang w:eastAsia="en-AU"/>
        </w:rPr>
        <w:t>eculizumab</w:t>
      </w:r>
      <w:proofErr w:type="spellEnd"/>
      <w:r w:rsidR="002658E3" w:rsidRPr="00F85B4E">
        <w:rPr>
          <w:sz w:val="24"/>
          <w:szCs w:val="24"/>
          <w:lang w:eastAsia="en-AU"/>
        </w:rPr>
        <w:t xml:space="preserve"> prescriptions supplied by quarter by the phase of treatment as per the Authorities database. </w:t>
      </w:r>
      <w:r w:rsidR="008D1B80" w:rsidRPr="00F85B4E">
        <w:rPr>
          <w:sz w:val="24"/>
          <w:szCs w:val="24"/>
          <w:lang w:eastAsia="en-AU"/>
        </w:rPr>
        <w:t xml:space="preserve">Overall, the number of prescriptions supplied per quarter has increased over the period, from 102 in the first complete quarter </w:t>
      </w:r>
      <w:r w:rsidR="008A5083" w:rsidRPr="00F85B4E">
        <w:rPr>
          <w:sz w:val="24"/>
          <w:szCs w:val="24"/>
          <w:lang w:eastAsia="en-AU"/>
        </w:rPr>
        <w:t xml:space="preserve">(2015Q1) </w:t>
      </w:r>
      <w:r w:rsidR="008D1B80" w:rsidRPr="00F85B4E">
        <w:rPr>
          <w:sz w:val="24"/>
          <w:szCs w:val="24"/>
          <w:lang w:eastAsia="en-AU"/>
        </w:rPr>
        <w:t xml:space="preserve">to </w:t>
      </w:r>
      <w:r w:rsidR="008D1B80" w:rsidRPr="005813C1">
        <w:rPr>
          <w:sz w:val="24"/>
          <w:szCs w:val="24"/>
          <w:lang w:eastAsia="en-AU"/>
        </w:rPr>
        <w:t>23</w:t>
      </w:r>
      <w:r w:rsidR="005813C1" w:rsidRPr="005813C1">
        <w:rPr>
          <w:sz w:val="24"/>
          <w:szCs w:val="24"/>
          <w:lang w:eastAsia="en-AU"/>
        </w:rPr>
        <w:t>6</w:t>
      </w:r>
      <w:r w:rsidR="008D1B80" w:rsidRPr="005813C1">
        <w:rPr>
          <w:sz w:val="24"/>
          <w:szCs w:val="24"/>
          <w:lang w:eastAsia="en-AU"/>
        </w:rPr>
        <w:t xml:space="preserve"> </w:t>
      </w:r>
      <w:r w:rsidR="008A5083" w:rsidRPr="005813C1">
        <w:rPr>
          <w:sz w:val="24"/>
          <w:szCs w:val="24"/>
          <w:lang w:eastAsia="en-AU"/>
        </w:rPr>
        <w:t>in the latest complete quarter (20</w:t>
      </w:r>
      <w:r w:rsidR="00D46DC0" w:rsidRPr="005813C1">
        <w:rPr>
          <w:sz w:val="24"/>
          <w:szCs w:val="24"/>
          <w:lang w:eastAsia="en-AU"/>
        </w:rPr>
        <w:t>20</w:t>
      </w:r>
      <w:r w:rsidR="008A5083" w:rsidRPr="005813C1">
        <w:rPr>
          <w:sz w:val="24"/>
          <w:szCs w:val="24"/>
          <w:lang w:eastAsia="en-AU"/>
        </w:rPr>
        <w:t>Q</w:t>
      </w:r>
      <w:r w:rsidR="00D46DC0" w:rsidRPr="005813C1">
        <w:rPr>
          <w:sz w:val="24"/>
          <w:szCs w:val="24"/>
          <w:lang w:eastAsia="en-AU"/>
        </w:rPr>
        <w:t>1</w:t>
      </w:r>
      <w:r w:rsidR="008A5083" w:rsidRPr="005813C1">
        <w:rPr>
          <w:sz w:val="24"/>
          <w:szCs w:val="24"/>
          <w:lang w:eastAsia="en-AU"/>
        </w:rPr>
        <w:t xml:space="preserve">). </w:t>
      </w:r>
      <w:r w:rsidR="00D46DC0" w:rsidRPr="005813C1">
        <w:rPr>
          <w:sz w:val="24"/>
          <w:szCs w:val="24"/>
          <w:lang w:eastAsia="en-AU"/>
        </w:rPr>
        <w:t>There</w:t>
      </w:r>
      <w:r w:rsidR="00D46DC0">
        <w:rPr>
          <w:sz w:val="24"/>
          <w:szCs w:val="24"/>
          <w:lang w:eastAsia="en-AU"/>
        </w:rPr>
        <w:t xml:space="preserve"> has been a slight drop in 2020Q1, which is similar to the drop in the first quarter of other years. The data shows low rates of prescriptions attributed to recommencement, and continuing recommencement.</w:t>
      </w:r>
      <w:r w:rsidR="00DD7C59">
        <w:rPr>
          <w:sz w:val="24"/>
          <w:szCs w:val="24"/>
          <w:lang w:eastAsia="en-AU"/>
        </w:rPr>
        <w:t xml:space="preserve"> </w:t>
      </w:r>
    </w:p>
    <w:p w:rsidR="00736041" w:rsidRDefault="00736041" w:rsidP="000C57D2">
      <w:pPr>
        <w:pStyle w:val="Heading3"/>
      </w:pPr>
      <w:bookmarkStart w:id="4" w:name="_Utilisation_by_age"/>
      <w:bookmarkEnd w:id="4"/>
      <w:r w:rsidRPr="005E22C2">
        <w:t xml:space="preserve">Utilisation by </w:t>
      </w:r>
      <w:r w:rsidR="00F53FCF">
        <w:t>age</w:t>
      </w:r>
    </w:p>
    <w:p w:rsidR="00AE1A6D" w:rsidRPr="00450A5E" w:rsidRDefault="00AE1A6D" w:rsidP="00AE1A6D">
      <w:pPr>
        <w:pStyle w:val="Tabletitle"/>
        <w:spacing w:before="200"/>
      </w:pPr>
      <w:r w:rsidRPr="00450A5E">
        <w:t xml:space="preserve">Table </w:t>
      </w:r>
      <w:r>
        <w:t>2</w:t>
      </w:r>
      <w:r w:rsidRPr="00450A5E">
        <w:t xml:space="preserve">: </w:t>
      </w:r>
      <w:r>
        <w:t>P</w:t>
      </w:r>
      <w:r w:rsidRPr="00450A5E">
        <w:t>atient age at initiation</w:t>
      </w:r>
    </w:p>
    <w:tbl>
      <w:tblPr>
        <w:tblW w:w="7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2"/>
        <w:gridCol w:w="772"/>
        <w:gridCol w:w="772"/>
        <w:gridCol w:w="772"/>
        <w:gridCol w:w="772"/>
        <w:gridCol w:w="772"/>
        <w:gridCol w:w="772"/>
        <w:gridCol w:w="792"/>
      </w:tblGrid>
      <w:tr w:rsidR="00AE1A6D" w:rsidRPr="00AE1A6D" w:rsidTr="00817586">
        <w:trPr>
          <w:trHeight w:val="290"/>
        </w:trPr>
        <w:tc>
          <w:tcPr>
            <w:tcW w:w="1271" w:type="dxa"/>
            <w:shd w:val="clear" w:color="auto" w:fill="BFBFBF" w:themeFill="background1" w:themeFillShade="BF"/>
            <w:noWrap/>
            <w:vAlign w:val="bottom"/>
          </w:tcPr>
          <w:p w:rsidR="00AE1A6D" w:rsidRPr="00817586" w:rsidRDefault="00AE1A6D" w:rsidP="00AE1A6D">
            <w:pPr>
              <w:spacing w:after="0"/>
              <w:jc w:val="center"/>
              <w:rPr>
                <w:rFonts w:ascii="Calibri" w:eastAsia="Times New Roman" w:hAnsi="Calibri" w:cs="Calibri"/>
                <w:b/>
                <w:bCs/>
                <w:color w:val="000000"/>
                <w:sz w:val="20"/>
                <w:szCs w:val="20"/>
              </w:rPr>
            </w:pPr>
            <w:bookmarkStart w:id="5" w:name="_Utilisation_by_setting"/>
            <w:bookmarkEnd w:id="5"/>
          </w:p>
        </w:tc>
        <w:tc>
          <w:tcPr>
            <w:tcW w:w="6196" w:type="dxa"/>
            <w:gridSpan w:val="8"/>
            <w:shd w:val="clear" w:color="auto" w:fill="BFBFBF" w:themeFill="background1" w:themeFillShade="BF"/>
            <w:vAlign w:val="bottom"/>
          </w:tcPr>
          <w:p w:rsidR="00AE1A6D" w:rsidRPr="00817586" w:rsidRDefault="00AE1A6D" w:rsidP="00AE1A6D">
            <w:pPr>
              <w:spacing w:after="0"/>
              <w:jc w:val="center"/>
              <w:rPr>
                <w:rFonts w:ascii="Calibri" w:eastAsia="Times New Roman" w:hAnsi="Calibri" w:cs="Calibri"/>
                <w:b/>
                <w:bCs/>
                <w:color w:val="000000"/>
                <w:sz w:val="20"/>
                <w:szCs w:val="20"/>
              </w:rPr>
            </w:pPr>
            <w:r w:rsidRPr="00817586">
              <w:rPr>
                <w:rFonts w:ascii="Calibri" w:eastAsia="Times New Roman" w:hAnsi="Calibri" w:cs="Calibri"/>
                <w:b/>
                <w:bCs/>
                <w:color w:val="000000"/>
                <w:sz w:val="20"/>
                <w:szCs w:val="20"/>
              </w:rPr>
              <w:t>Initiating patients per year</w:t>
            </w:r>
          </w:p>
        </w:tc>
      </w:tr>
      <w:tr w:rsidR="00AE1A6D" w:rsidRPr="00AE1A6D" w:rsidTr="00817586">
        <w:trPr>
          <w:trHeight w:val="290"/>
        </w:trPr>
        <w:tc>
          <w:tcPr>
            <w:tcW w:w="1271" w:type="dxa"/>
            <w:shd w:val="clear" w:color="auto" w:fill="BFBFBF" w:themeFill="background1" w:themeFillShade="BF"/>
            <w:noWrap/>
            <w:vAlign w:val="bottom"/>
            <w:hideMark/>
          </w:tcPr>
          <w:p w:rsidR="00AE1A6D" w:rsidRPr="00817586" w:rsidRDefault="00AE1A6D" w:rsidP="00AE1A6D">
            <w:pPr>
              <w:spacing w:after="0"/>
              <w:jc w:val="center"/>
              <w:rPr>
                <w:rFonts w:ascii="Calibri" w:eastAsia="Times New Roman" w:hAnsi="Calibri" w:cs="Calibri"/>
                <w:b/>
                <w:bCs/>
                <w:color w:val="000000"/>
                <w:sz w:val="20"/>
                <w:szCs w:val="20"/>
              </w:rPr>
            </w:pPr>
            <w:r w:rsidRPr="00817586">
              <w:rPr>
                <w:rFonts w:ascii="Calibri" w:eastAsia="Times New Roman" w:hAnsi="Calibri" w:cs="Calibri"/>
                <w:b/>
                <w:bCs/>
                <w:color w:val="000000"/>
                <w:sz w:val="20"/>
                <w:szCs w:val="20"/>
              </w:rPr>
              <w:t>Age range</w:t>
            </w:r>
          </w:p>
        </w:tc>
        <w:tc>
          <w:tcPr>
            <w:tcW w:w="772" w:type="dxa"/>
            <w:shd w:val="clear" w:color="auto" w:fill="BFBFBF" w:themeFill="background1" w:themeFillShade="BF"/>
            <w:noWrap/>
            <w:vAlign w:val="bottom"/>
            <w:hideMark/>
          </w:tcPr>
          <w:p w:rsidR="00AE1A6D" w:rsidRPr="00817586" w:rsidRDefault="00AE1A6D" w:rsidP="00AE1A6D">
            <w:pPr>
              <w:spacing w:after="0"/>
              <w:jc w:val="center"/>
              <w:rPr>
                <w:rFonts w:ascii="Calibri" w:eastAsia="Times New Roman" w:hAnsi="Calibri" w:cs="Calibri"/>
                <w:b/>
                <w:bCs/>
                <w:color w:val="000000"/>
                <w:sz w:val="20"/>
                <w:szCs w:val="20"/>
              </w:rPr>
            </w:pPr>
            <w:r w:rsidRPr="00817586">
              <w:rPr>
                <w:rFonts w:ascii="Calibri" w:eastAsia="Times New Roman" w:hAnsi="Calibri" w:cs="Calibri"/>
                <w:b/>
                <w:bCs/>
                <w:color w:val="000000"/>
                <w:sz w:val="20"/>
                <w:szCs w:val="20"/>
              </w:rPr>
              <w:t>2014</w:t>
            </w:r>
          </w:p>
        </w:tc>
        <w:tc>
          <w:tcPr>
            <w:tcW w:w="772" w:type="dxa"/>
            <w:shd w:val="clear" w:color="auto" w:fill="BFBFBF" w:themeFill="background1" w:themeFillShade="BF"/>
            <w:noWrap/>
            <w:vAlign w:val="bottom"/>
            <w:hideMark/>
          </w:tcPr>
          <w:p w:rsidR="00AE1A6D" w:rsidRPr="00817586" w:rsidRDefault="00AE1A6D" w:rsidP="00AE1A6D">
            <w:pPr>
              <w:spacing w:after="0"/>
              <w:jc w:val="center"/>
              <w:rPr>
                <w:rFonts w:ascii="Calibri" w:eastAsia="Times New Roman" w:hAnsi="Calibri" w:cs="Calibri"/>
                <w:b/>
                <w:bCs/>
                <w:color w:val="000000"/>
                <w:sz w:val="20"/>
                <w:szCs w:val="20"/>
              </w:rPr>
            </w:pPr>
            <w:r w:rsidRPr="00817586">
              <w:rPr>
                <w:rFonts w:ascii="Calibri" w:eastAsia="Times New Roman" w:hAnsi="Calibri" w:cs="Calibri"/>
                <w:b/>
                <w:bCs/>
                <w:color w:val="000000"/>
                <w:sz w:val="20"/>
                <w:szCs w:val="20"/>
              </w:rPr>
              <w:t>2015</w:t>
            </w:r>
          </w:p>
        </w:tc>
        <w:tc>
          <w:tcPr>
            <w:tcW w:w="772" w:type="dxa"/>
            <w:shd w:val="clear" w:color="auto" w:fill="BFBFBF" w:themeFill="background1" w:themeFillShade="BF"/>
            <w:noWrap/>
            <w:vAlign w:val="bottom"/>
            <w:hideMark/>
          </w:tcPr>
          <w:p w:rsidR="00AE1A6D" w:rsidRPr="00817586" w:rsidRDefault="00AE1A6D" w:rsidP="00AE1A6D">
            <w:pPr>
              <w:spacing w:after="0"/>
              <w:jc w:val="center"/>
              <w:rPr>
                <w:rFonts w:ascii="Calibri" w:eastAsia="Times New Roman" w:hAnsi="Calibri" w:cs="Calibri"/>
                <w:b/>
                <w:bCs/>
                <w:color w:val="000000"/>
                <w:sz w:val="20"/>
                <w:szCs w:val="20"/>
              </w:rPr>
            </w:pPr>
            <w:r w:rsidRPr="00817586">
              <w:rPr>
                <w:rFonts w:ascii="Calibri" w:eastAsia="Times New Roman" w:hAnsi="Calibri" w:cs="Calibri"/>
                <w:b/>
                <w:bCs/>
                <w:color w:val="000000"/>
                <w:sz w:val="20"/>
                <w:szCs w:val="20"/>
              </w:rPr>
              <w:t>2016</w:t>
            </w:r>
          </w:p>
        </w:tc>
        <w:tc>
          <w:tcPr>
            <w:tcW w:w="772" w:type="dxa"/>
            <w:shd w:val="clear" w:color="auto" w:fill="BFBFBF" w:themeFill="background1" w:themeFillShade="BF"/>
            <w:noWrap/>
            <w:vAlign w:val="bottom"/>
            <w:hideMark/>
          </w:tcPr>
          <w:p w:rsidR="00AE1A6D" w:rsidRPr="00817586" w:rsidRDefault="00AE1A6D" w:rsidP="00AE1A6D">
            <w:pPr>
              <w:spacing w:after="0"/>
              <w:jc w:val="center"/>
              <w:rPr>
                <w:rFonts w:ascii="Calibri" w:eastAsia="Times New Roman" w:hAnsi="Calibri" w:cs="Calibri"/>
                <w:b/>
                <w:bCs/>
                <w:color w:val="000000"/>
                <w:sz w:val="20"/>
                <w:szCs w:val="20"/>
              </w:rPr>
            </w:pPr>
            <w:r w:rsidRPr="00817586">
              <w:rPr>
                <w:rFonts w:ascii="Calibri" w:eastAsia="Times New Roman" w:hAnsi="Calibri" w:cs="Calibri"/>
                <w:b/>
                <w:bCs/>
                <w:color w:val="000000"/>
                <w:sz w:val="20"/>
                <w:szCs w:val="20"/>
              </w:rPr>
              <w:t>2017</w:t>
            </w:r>
          </w:p>
        </w:tc>
        <w:tc>
          <w:tcPr>
            <w:tcW w:w="772" w:type="dxa"/>
            <w:shd w:val="clear" w:color="auto" w:fill="BFBFBF" w:themeFill="background1" w:themeFillShade="BF"/>
            <w:noWrap/>
            <w:vAlign w:val="bottom"/>
            <w:hideMark/>
          </w:tcPr>
          <w:p w:rsidR="00AE1A6D" w:rsidRPr="00817586" w:rsidRDefault="00AE1A6D" w:rsidP="00AE1A6D">
            <w:pPr>
              <w:spacing w:after="0"/>
              <w:jc w:val="center"/>
              <w:rPr>
                <w:rFonts w:ascii="Calibri" w:eastAsia="Times New Roman" w:hAnsi="Calibri" w:cs="Calibri"/>
                <w:b/>
                <w:bCs/>
                <w:color w:val="000000"/>
                <w:sz w:val="20"/>
                <w:szCs w:val="20"/>
              </w:rPr>
            </w:pPr>
            <w:r w:rsidRPr="00817586">
              <w:rPr>
                <w:rFonts w:ascii="Calibri" w:eastAsia="Times New Roman" w:hAnsi="Calibri" w:cs="Calibri"/>
                <w:b/>
                <w:bCs/>
                <w:color w:val="000000"/>
                <w:sz w:val="20"/>
                <w:szCs w:val="20"/>
              </w:rPr>
              <w:t>2018</w:t>
            </w:r>
          </w:p>
        </w:tc>
        <w:tc>
          <w:tcPr>
            <w:tcW w:w="772" w:type="dxa"/>
            <w:shd w:val="clear" w:color="auto" w:fill="BFBFBF" w:themeFill="background1" w:themeFillShade="BF"/>
            <w:noWrap/>
            <w:vAlign w:val="bottom"/>
            <w:hideMark/>
          </w:tcPr>
          <w:p w:rsidR="00AE1A6D" w:rsidRPr="00817586" w:rsidRDefault="00AE1A6D" w:rsidP="00AE1A6D">
            <w:pPr>
              <w:spacing w:after="0"/>
              <w:jc w:val="center"/>
              <w:rPr>
                <w:rFonts w:ascii="Calibri" w:eastAsia="Times New Roman" w:hAnsi="Calibri" w:cs="Calibri"/>
                <w:b/>
                <w:bCs/>
                <w:color w:val="000000"/>
                <w:sz w:val="20"/>
                <w:szCs w:val="20"/>
              </w:rPr>
            </w:pPr>
            <w:r w:rsidRPr="00817586">
              <w:rPr>
                <w:rFonts w:ascii="Calibri" w:eastAsia="Times New Roman" w:hAnsi="Calibri" w:cs="Calibri"/>
                <w:b/>
                <w:bCs/>
                <w:color w:val="000000"/>
                <w:sz w:val="20"/>
                <w:szCs w:val="20"/>
              </w:rPr>
              <w:t>2019</w:t>
            </w:r>
          </w:p>
        </w:tc>
        <w:tc>
          <w:tcPr>
            <w:tcW w:w="772" w:type="dxa"/>
            <w:shd w:val="clear" w:color="auto" w:fill="BFBFBF" w:themeFill="background1" w:themeFillShade="BF"/>
            <w:noWrap/>
            <w:vAlign w:val="bottom"/>
            <w:hideMark/>
          </w:tcPr>
          <w:p w:rsidR="00AE1A6D" w:rsidRPr="00817586" w:rsidRDefault="00AE1A6D" w:rsidP="00AE1A6D">
            <w:pPr>
              <w:spacing w:after="0"/>
              <w:jc w:val="center"/>
              <w:rPr>
                <w:rFonts w:ascii="Calibri" w:eastAsia="Times New Roman" w:hAnsi="Calibri" w:cs="Calibri"/>
                <w:b/>
                <w:bCs/>
                <w:color w:val="000000"/>
                <w:sz w:val="20"/>
                <w:szCs w:val="20"/>
              </w:rPr>
            </w:pPr>
            <w:r w:rsidRPr="00817586">
              <w:rPr>
                <w:rFonts w:ascii="Calibri" w:eastAsia="Times New Roman" w:hAnsi="Calibri" w:cs="Calibri"/>
                <w:b/>
                <w:bCs/>
                <w:color w:val="000000"/>
                <w:sz w:val="20"/>
                <w:szCs w:val="20"/>
              </w:rPr>
              <w:t>2020</w:t>
            </w:r>
          </w:p>
        </w:tc>
        <w:tc>
          <w:tcPr>
            <w:tcW w:w="792" w:type="dxa"/>
            <w:tcBorders>
              <w:bottom w:val="single" w:sz="4" w:space="0" w:color="auto"/>
            </w:tcBorders>
            <w:shd w:val="clear" w:color="auto" w:fill="BFBFBF" w:themeFill="background1" w:themeFillShade="BF"/>
            <w:noWrap/>
            <w:vAlign w:val="bottom"/>
            <w:hideMark/>
          </w:tcPr>
          <w:p w:rsidR="00AE1A6D" w:rsidRPr="00817586" w:rsidRDefault="00AE1A6D" w:rsidP="00AE1A6D">
            <w:pPr>
              <w:spacing w:after="0"/>
              <w:jc w:val="center"/>
              <w:rPr>
                <w:rFonts w:ascii="Calibri" w:eastAsia="Times New Roman" w:hAnsi="Calibri" w:cs="Calibri"/>
                <w:b/>
                <w:bCs/>
                <w:color w:val="000000"/>
                <w:sz w:val="20"/>
                <w:szCs w:val="20"/>
              </w:rPr>
            </w:pPr>
            <w:r w:rsidRPr="00817586">
              <w:rPr>
                <w:rFonts w:ascii="Calibri" w:eastAsia="Times New Roman" w:hAnsi="Calibri" w:cs="Calibri"/>
                <w:b/>
                <w:bCs/>
                <w:color w:val="000000"/>
                <w:sz w:val="20"/>
                <w:szCs w:val="20"/>
              </w:rPr>
              <w:t>Total</w:t>
            </w:r>
          </w:p>
        </w:tc>
      </w:tr>
      <w:tr w:rsidR="0091126A" w:rsidRPr="00AE1A6D" w:rsidTr="00853314">
        <w:trPr>
          <w:trHeight w:val="290"/>
        </w:trPr>
        <w:tc>
          <w:tcPr>
            <w:tcW w:w="1271" w:type="dxa"/>
            <w:shd w:val="clear" w:color="auto" w:fill="FFFFFF" w:themeFill="background1"/>
            <w:noWrap/>
            <w:vAlign w:val="bottom"/>
            <w:hideMark/>
          </w:tcPr>
          <w:p w:rsidR="0091126A" w:rsidRPr="00817586" w:rsidRDefault="0091126A" w:rsidP="0091126A">
            <w:pPr>
              <w:spacing w:after="0"/>
              <w:jc w:val="center"/>
              <w:rPr>
                <w:rFonts w:ascii="Calibri" w:eastAsia="Times New Roman" w:hAnsi="Calibri" w:cs="Calibri"/>
                <w:sz w:val="20"/>
                <w:szCs w:val="20"/>
              </w:rPr>
            </w:pPr>
            <w:r w:rsidRPr="00817586">
              <w:rPr>
                <w:rFonts w:ascii="Calibri" w:eastAsia="Times New Roman" w:hAnsi="Calibri" w:cs="Calibri"/>
                <w:sz w:val="20"/>
                <w:szCs w:val="20"/>
              </w:rPr>
              <w:t>0-11 years</w:t>
            </w:r>
          </w:p>
        </w:tc>
        <w:tc>
          <w:tcPr>
            <w:tcW w:w="772" w:type="dxa"/>
            <w:shd w:val="clear" w:color="auto" w:fill="FFFFFF" w:themeFill="background1"/>
            <w:noWrap/>
            <w:hideMark/>
          </w:tcPr>
          <w:p w:rsidR="0091126A" w:rsidRPr="00F075C2"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F075C2"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F075C2"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F075C2"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F075C2"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F075C2"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F075C2"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9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r>
      <w:tr w:rsidR="0091126A" w:rsidRPr="00AE1A6D" w:rsidTr="00853314">
        <w:trPr>
          <w:trHeight w:val="290"/>
        </w:trPr>
        <w:tc>
          <w:tcPr>
            <w:tcW w:w="1271" w:type="dxa"/>
            <w:shd w:val="clear" w:color="auto" w:fill="FFFFFF" w:themeFill="background1"/>
            <w:noWrap/>
            <w:vAlign w:val="bottom"/>
            <w:hideMark/>
          </w:tcPr>
          <w:p w:rsidR="0091126A" w:rsidRPr="00817586" w:rsidRDefault="0091126A" w:rsidP="0091126A">
            <w:pPr>
              <w:spacing w:after="0"/>
              <w:jc w:val="center"/>
              <w:rPr>
                <w:rFonts w:ascii="Calibri" w:eastAsia="Times New Roman" w:hAnsi="Calibri" w:cs="Calibri"/>
                <w:sz w:val="20"/>
                <w:szCs w:val="20"/>
              </w:rPr>
            </w:pPr>
            <w:r w:rsidRPr="00817586">
              <w:rPr>
                <w:rFonts w:ascii="Calibri" w:eastAsia="Times New Roman" w:hAnsi="Calibri" w:cs="Calibri"/>
                <w:sz w:val="20"/>
                <w:szCs w:val="20"/>
              </w:rPr>
              <w:t>12-17 years</w:t>
            </w:r>
          </w:p>
        </w:tc>
        <w:tc>
          <w:tcPr>
            <w:tcW w:w="772" w:type="dxa"/>
            <w:shd w:val="clear" w:color="auto" w:fill="FFFFFF" w:themeFill="background1"/>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9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r>
      <w:tr w:rsidR="0091126A" w:rsidRPr="00AE1A6D" w:rsidTr="00853314">
        <w:trPr>
          <w:trHeight w:val="290"/>
        </w:trPr>
        <w:tc>
          <w:tcPr>
            <w:tcW w:w="1271" w:type="dxa"/>
            <w:shd w:val="clear" w:color="auto" w:fill="FFFFFF" w:themeFill="background1"/>
            <w:noWrap/>
            <w:vAlign w:val="bottom"/>
            <w:hideMark/>
          </w:tcPr>
          <w:p w:rsidR="0091126A" w:rsidRPr="00817586" w:rsidRDefault="0091126A" w:rsidP="0091126A">
            <w:pPr>
              <w:spacing w:after="0"/>
              <w:jc w:val="center"/>
              <w:rPr>
                <w:rFonts w:ascii="Calibri" w:eastAsia="Times New Roman" w:hAnsi="Calibri" w:cs="Calibri"/>
                <w:sz w:val="20"/>
                <w:szCs w:val="20"/>
              </w:rPr>
            </w:pPr>
            <w:r w:rsidRPr="00817586">
              <w:rPr>
                <w:rFonts w:ascii="Calibri" w:eastAsia="Times New Roman" w:hAnsi="Calibri" w:cs="Calibri"/>
                <w:sz w:val="20"/>
                <w:szCs w:val="20"/>
              </w:rPr>
              <w:t>18+ years</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7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c>
          <w:tcPr>
            <w:tcW w:w="792" w:type="dxa"/>
            <w:shd w:val="clear" w:color="auto" w:fill="FFFFFF" w:themeFill="background1"/>
            <w:noWrap/>
            <w:hideMark/>
          </w:tcPr>
          <w:p w:rsidR="0091126A" w:rsidRPr="00817586" w:rsidRDefault="0091126A" w:rsidP="0091126A">
            <w:pPr>
              <w:spacing w:after="0"/>
              <w:jc w:val="center"/>
              <w:rPr>
                <w:rFonts w:ascii="Calibri" w:eastAsia="Times New Roman" w:hAnsi="Calibri" w:cs="Calibri"/>
                <w:sz w:val="20"/>
                <w:szCs w:val="20"/>
              </w:rPr>
            </w:pPr>
            <w:r w:rsidRPr="00D01B40">
              <w:rPr>
                <w:rFonts w:ascii="Calibri" w:eastAsia="Times New Roman" w:hAnsi="Calibri" w:cs="Calibri"/>
                <w:sz w:val="20"/>
                <w:szCs w:val="20"/>
                <w:highlight w:val="black"/>
              </w:rPr>
              <w:t>XX</w:t>
            </w:r>
          </w:p>
        </w:tc>
      </w:tr>
      <w:tr w:rsidR="00AE1A6D" w:rsidRPr="00AE1A6D" w:rsidTr="00817586">
        <w:trPr>
          <w:trHeight w:val="290"/>
        </w:trPr>
        <w:tc>
          <w:tcPr>
            <w:tcW w:w="1271" w:type="dxa"/>
            <w:shd w:val="clear" w:color="auto" w:fill="FFFFFF" w:themeFill="background1"/>
            <w:noWrap/>
            <w:vAlign w:val="bottom"/>
            <w:hideMark/>
          </w:tcPr>
          <w:p w:rsidR="00AE1A6D" w:rsidRPr="00817586" w:rsidRDefault="00AE1A6D" w:rsidP="00AE1A6D">
            <w:pPr>
              <w:spacing w:after="0"/>
              <w:jc w:val="center"/>
              <w:rPr>
                <w:rFonts w:ascii="Calibri" w:eastAsia="Times New Roman" w:hAnsi="Calibri" w:cs="Calibri"/>
                <w:bCs/>
                <w:color w:val="000000"/>
                <w:sz w:val="20"/>
                <w:szCs w:val="20"/>
              </w:rPr>
            </w:pPr>
            <w:r w:rsidRPr="00817586">
              <w:rPr>
                <w:rFonts w:ascii="Calibri" w:eastAsia="Times New Roman" w:hAnsi="Calibri" w:cs="Calibri"/>
                <w:bCs/>
                <w:color w:val="000000"/>
                <w:sz w:val="20"/>
                <w:szCs w:val="20"/>
              </w:rPr>
              <w:t>Total</w:t>
            </w:r>
          </w:p>
        </w:tc>
        <w:tc>
          <w:tcPr>
            <w:tcW w:w="772" w:type="dxa"/>
            <w:shd w:val="clear" w:color="auto" w:fill="FFFFFF" w:themeFill="background1"/>
            <w:noWrap/>
            <w:vAlign w:val="bottom"/>
            <w:hideMark/>
          </w:tcPr>
          <w:p w:rsidR="00AE1A6D" w:rsidRPr="00817586" w:rsidRDefault="00AE1A6D" w:rsidP="00AE1A6D">
            <w:pPr>
              <w:spacing w:after="0"/>
              <w:jc w:val="center"/>
              <w:rPr>
                <w:rFonts w:ascii="Calibri" w:eastAsia="Times New Roman" w:hAnsi="Calibri" w:cs="Calibri"/>
                <w:bCs/>
                <w:color w:val="000000"/>
                <w:sz w:val="20"/>
                <w:szCs w:val="20"/>
              </w:rPr>
            </w:pPr>
            <w:r w:rsidRPr="00817586">
              <w:rPr>
                <w:rFonts w:ascii="Calibri" w:eastAsia="Times New Roman" w:hAnsi="Calibri" w:cs="Calibri"/>
                <w:bCs/>
                <w:color w:val="000000"/>
                <w:sz w:val="20"/>
                <w:szCs w:val="20"/>
              </w:rPr>
              <w:t>28</w:t>
            </w:r>
          </w:p>
        </w:tc>
        <w:tc>
          <w:tcPr>
            <w:tcW w:w="772" w:type="dxa"/>
            <w:shd w:val="clear" w:color="auto" w:fill="FFFFFF" w:themeFill="background1"/>
            <w:noWrap/>
            <w:vAlign w:val="bottom"/>
            <w:hideMark/>
          </w:tcPr>
          <w:p w:rsidR="00AE1A6D" w:rsidRPr="00817586" w:rsidRDefault="00AE1A6D" w:rsidP="00AE1A6D">
            <w:pPr>
              <w:spacing w:after="0"/>
              <w:jc w:val="center"/>
              <w:rPr>
                <w:rFonts w:ascii="Calibri" w:eastAsia="Times New Roman" w:hAnsi="Calibri" w:cs="Calibri"/>
                <w:bCs/>
                <w:color w:val="000000"/>
                <w:sz w:val="20"/>
                <w:szCs w:val="20"/>
              </w:rPr>
            </w:pPr>
            <w:r w:rsidRPr="00817586">
              <w:rPr>
                <w:rFonts w:ascii="Calibri" w:eastAsia="Times New Roman" w:hAnsi="Calibri" w:cs="Calibri"/>
                <w:bCs/>
                <w:color w:val="000000"/>
                <w:sz w:val="20"/>
                <w:szCs w:val="20"/>
              </w:rPr>
              <w:t>48</w:t>
            </w:r>
          </w:p>
        </w:tc>
        <w:tc>
          <w:tcPr>
            <w:tcW w:w="772" w:type="dxa"/>
            <w:shd w:val="clear" w:color="auto" w:fill="FFFFFF" w:themeFill="background1"/>
            <w:noWrap/>
            <w:vAlign w:val="bottom"/>
            <w:hideMark/>
          </w:tcPr>
          <w:p w:rsidR="00AE1A6D" w:rsidRPr="00817586" w:rsidRDefault="00AE1A6D" w:rsidP="00AE1A6D">
            <w:pPr>
              <w:spacing w:after="0"/>
              <w:jc w:val="center"/>
              <w:rPr>
                <w:rFonts w:ascii="Calibri" w:eastAsia="Times New Roman" w:hAnsi="Calibri" w:cs="Calibri"/>
                <w:bCs/>
                <w:color w:val="000000"/>
                <w:sz w:val="20"/>
                <w:szCs w:val="20"/>
              </w:rPr>
            </w:pPr>
            <w:r w:rsidRPr="00817586">
              <w:rPr>
                <w:rFonts w:ascii="Calibri" w:eastAsia="Times New Roman" w:hAnsi="Calibri" w:cs="Calibri"/>
                <w:bCs/>
                <w:color w:val="000000"/>
                <w:sz w:val="20"/>
                <w:szCs w:val="20"/>
              </w:rPr>
              <w:t>48</w:t>
            </w:r>
          </w:p>
        </w:tc>
        <w:tc>
          <w:tcPr>
            <w:tcW w:w="772" w:type="dxa"/>
            <w:shd w:val="clear" w:color="auto" w:fill="FFFFFF" w:themeFill="background1"/>
            <w:noWrap/>
            <w:vAlign w:val="bottom"/>
            <w:hideMark/>
          </w:tcPr>
          <w:p w:rsidR="00AE1A6D" w:rsidRPr="00817586" w:rsidRDefault="00AE1A6D" w:rsidP="00AE1A6D">
            <w:pPr>
              <w:spacing w:after="0"/>
              <w:jc w:val="center"/>
              <w:rPr>
                <w:rFonts w:ascii="Calibri" w:eastAsia="Times New Roman" w:hAnsi="Calibri" w:cs="Calibri"/>
                <w:bCs/>
                <w:color w:val="000000"/>
                <w:sz w:val="20"/>
                <w:szCs w:val="20"/>
              </w:rPr>
            </w:pPr>
            <w:r w:rsidRPr="00817586">
              <w:rPr>
                <w:rFonts w:ascii="Calibri" w:eastAsia="Times New Roman" w:hAnsi="Calibri" w:cs="Calibri"/>
                <w:bCs/>
                <w:color w:val="000000"/>
                <w:sz w:val="20"/>
                <w:szCs w:val="20"/>
              </w:rPr>
              <w:t>47</w:t>
            </w:r>
          </w:p>
        </w:tc>
        <w:tc>
          <w:tcPr>
            <w:tcW w:w="772" w:type="dxa"/>
            <w:shd w:val="clear" w:color="auto" w:fill="FFFFFF" w:themeFill="background1"/>
            <w:noWrap/>
            <w:vAlign w:val="bottom"/>
            <w:hideMark/>
          </w:tcPr>
          <w:p w:rsidR="00AE1A6D" w:rsidRPr="00817586" w:rsidRDefault="00AE1A6D" w:rsidP="00AE1A6D">
            <w:pPr>
              <w:spacing w:after="0"/>
              <w:jc w:val="center"/>
              <w:rPr>
                <w:rFonts w:ascii="Calibri" w:eastAsia="Times New Roman" w:hAnsi="Calibri" w:cs="Calibri"/>
                <w:bCs/>
                <w:color w:val="000000"/>
                <w:sz w:val="20"/>
                <w:szCs w:val="20"/>
              </w:rPr>
            </w:pPr>
            <w:r w:rsidRPr="00817586">
              <w:rPr>
                <w:rFonts w:ascii="Calibri" w:eastAsia="Times New Roman" w:hAnsi="Calibri" w:cs="Calibri"/>
                <w:bCs/>
                <w:color w:val="000000"/>
                <w:sz w:val="20"/>
                <w:szCs w:val="20"/>
              </w:rPr>
              <w:t>64</w:t>
            </w:r>
          </w:p>
        </w:tc>
        <w:tc>
          <w:tcPr>
            <w:tcW w:w="772" w:type="dxa"/>
            <w:shd w:val="clear" w:color="auto" w:fill="FFFFFF" w:themeFill="background1"/>
            <w:noWrap/>
            <w:vAlign w:val="bottom"/>
            <w:hideMark/>
          </w:tcPr>
          <w:p w:rsidR="00AE1A6D" w:rsidRPr="00817586" w:rsidRDefault="00AE1A6D" w:rsidP="00AE1A6D">
            <w:pPr>
              <w:spacing w:after="0"/>
              <w:jc w:val="center"/>
              <w:rPr>
                <w:rFonts w:ascii="Calibri" w:eastAsia="Times New Roman" w:hAnsi="Calibri" w:cs="Calibri"/>
                <w:bCs/>
                <w:color w:val="000000"/>
                <w:sz w:val="20"/>
                <w:szCs w:val="20"/>
              </w:rPr>
            </w:pPr>
            <w:r w:rsidRPr="00817586">
              <w:rPr>
                <w:rFonts w:ascii="Calibri" w:eastAsia="Times New Roman" w:hAnsi="Calibri" w:cs="Calibri"/>
                <w:bCs/>
                <w:color w:val="000000"/>
                <w:sz w:val="20"/>
                <w:szCs w:val="20"/>
              </w:rPr>
              <w:t>56</w:t>
            </w:r>
          </w:p>
        </w:tc>
        <w:tc>
          <w:tcPr>
            <w:tcW w:w="772" w:type="dxa"/>
            <w:shd w:val="clear" w:color="auto" w:fill="FFFFFF" w:themeFill="background1"/>
            <w:noWrap/>
            <w:vAlign w:val="bottom"/>
            <w:hideMark/>
          </w:tcPr>
          <w:p w:rsidR="00AE1A6D" w:rsidRPr="00817586" w:rsidRDefault="00AE1A6D" w:rsidP="00AE1A6D">
            <w:pPr>
              <w:spacing w:after="0"/>
              <w:jc w:val="center"/>
              <w:rPr>
                <w:rFonts w:ascii="Calibri" w:eastAsia="Times New Roman" w:hAnsi="Calibri" w:cs="Calibri"/>
                <w:bCs/>
                <w:color w:val="000000"/>
                <w:sz w:val="20"/>
                <w:szCs w:val="20"/>
              </w:rPr>
            </w:pPr>
            <w:r w:rsidRPr="00817586">
              <w:rPr>
                <w:rFonts w:ascii="Calibri" w:eastAsia="Times New Roman" w:hAnsi="Calibri" w:cs="Calibri"/>
                <w:bCs/>
                <w:color w:val="000000"/>
                <w:sz w:val="20"/>
                <w:szCs w:val="20"/>
              </w:rPr>
              <w:t>32</w:t>
            </w:r>
          </w:p>
        </w:tc>
        <w:tc>
          <w:tcPr>
            <w:tcW w:w="792" w:type="dxa"/>
            <w:shd w:val="clear" w:color="auto" w:fill="FFFFFF" w:themeFill="background1"/>
            <w:noWrap/>
            <w:vAlign w:val="bottom"/>
            <w:hideMark/>
          </w:tcPr>
          <w:p w:rsidR="00AE1A6D" w:rsidRPr="00817586" w:rsidRDefault="00AE1A6D" w:rsidP="00AE1A6D">
            <w:pPr>
              <w:spacing w:after="0"/>
              <w:jc w:val="center"/>
              <w:rPr>
                <w:rFonts w:ascii="Calibri" w:eastAsia="Times New Roman" w:hAnsi="Calibri" w:cs="Calibri"/>
                <w:bCs/>
                <w:color w:val="000000"/>
                <w:sz w:val="20"/>
                <w:szCs w:val="20"/>
              </w:rPr>
            </w:pPr>
            <w:r w:rsidRPr="00817586">
              <w:rPr>
                <w:rFonts w:ascii="Calibri" w:eastAsia="Times New Roman" w:hAnsi="Calibri" w:cs="Calibri"/>
                <w:bCs/>
                <w:color w:val="000000"/>
                <w:sz w:val="20"/>
                <w:szCs w:val="20"/>
              </w:rPr>
              <w:t>323</w:t>
            </w:r>
          </w:p>
        </w:tc>
      </w:tr>
    </w:tbl>
    <w:p w:rsidR="00005B95" w:rsidRPr="00B325DD" w:rsidRDefault="00005B95" w:rsidP="00005B95">
      <w:pPr>
        <w:pStyle w:val="Figurecaption"/>
        <w:spacing w:after="0"/>
      </w:pPr>
      <w:r w:rsidRPr="00B325DD">
        <w:t xml:space="preserve">Time period: December 2014 – May 2020. </w:t>
      </w:r>
    </w:p>
    <w:p w:rsidR="00005B95" w:rsidRDefault="00005B95" w:rsidP="00005B95">
      <w:pPr>
        <w:pStyle w:val="Figurecaption"/>
      </w:pPr>
      <w:r w:rsidRPr="00B325DD">
        <w:t>Source: PIN count, Services Australia supplied prescriptions database to 3</w:t>
      </w:r>
      <w:r w:rsidR="00A77441">
        <w:t>1</w:t>
      </w:r>
      <w:r w:rsidRPr="00B325DD">
        <w:t xml:space="preserve"> </w:t>
      </w:r>
      <w:r w:rsidR="002357B2" w:rsidRPr="00B325DD">
        <w:t>May</w:t>
      </w:r>
      <w:r w:rsidRPr="00B325DD">
        <w:t xml:space="preserve"> 20</w:t>
      </w:r>
      <w:r w:rsidR="002357B2" w:rsidRPr="00B325DD">
        <w:t>20</w:t>
      </w:r>
      <w:r w:rsidRPr="00B325DD">
        <w:t xml:space="preserve">; extracted </w:t>
      </w:r>
      <w:r w:rsidR="002357B2" w:rsidRPr="00B325DD">
        <w:t>2 July</w:t>
      </w:r>
      <w:r w:rsidRPr="00B325DD">
        <w:t xml:space="preserve"> 20</w:t>
      </w:r>
      <w:r w:rsidR="002357B2" w:rsidRPr="00B325DD">
        <w:t>20</w:t>
      </w:r>
      <w:r w:rsidRPr="00B325DD">
        <w:t>.</w:t>
      </w:r>
    </w:p>
    <w:p w:rsidR="00D35FDC" w:rsidRPr="006E3503" w:rsidRDefault="00D35FDC" w:rsidP="00F337DE"/>
    <w:p w:rsidR="002F7E16" w:rsidRDefault="002F7E16" w:rsidP="002F7E16">
      <w:r>
        <w:rPr>
          <w:rFonts w:eastAsiaTheme="minorHAnsi"/>
        </w:rPr>
        <w:lastRenderedPageBreak/>
        <w:t xml:space="preserve">Table 2 shows that, from the time of listing to the most recent data, the proportion of adult patients (18 years and over) was 90%. </w:t>
      </w:r>
    </w:p>
    <w:p w:rsidR="00CC2401" w:rsidRPr="00F337DE" w:rsidRDefault="002F7E16" w:rsidP="00F337DE">
      <w:r>
        <w:t xml:space="preserve">Since listing on the PBS paediatric patient numbers have held steady with an average of </w:t>
      </w:r>
      <w:r w:rsidR="00D35FDC">
        <w:rPr>
          <w:rFonts w:cstheme="minorHAnsi"/>
        </w:rPr>
        <w:t>≤</w:t>
      </w:r>
      <w:r w:rsidR="00D35FDC">
        <w:t xml:space="preserve">5 </w:t>
      </w:r>
      <w:r>
        <w:t xml:space="preserve">patients per year, with the highest number of </w:t>
      </w:r>
      <w:r w:rsidR="009E665C">
        <w:t xml:space="preserve">paediatric </w:t>
      </w:r>
      <w:r>
        <w:t xml:space="preserve">patients in the PBS listing year 2014. Adult patient numbers (18+) have doubled since PBS listing with a count of 24 in 2014 and an average of 48 per annum from 2015-2019.  There is a noticeable increase in initiating adult </w:t>
      </w:r>
      <w:r w:rsidRPr="00CA7474">
        <w:t xml:space="preserve">patient numbers when comparing the average over years 2015-2017 (43) to 2018-2019 (56), this represents an increase of 30% in initiations over the time cohorts. </w:t>
      </w:r>
      <w:r w:rsidR="0049316B">
        <w:t xml:space="preserve">This is probably due to the </w:t>
      </w:r>
      <w:r w:rsidR="003A74B4">
        <w:t>January</w:t>
      </w:r>
      <w:r w:rsidR="0049316B">
        <w:t xml:space="preserve"> 2017 restriction change</w:t>
      </w:r>
      <w:r w:rsidR="00BD2C51">
        <w:t>,</w:t>
      </w:r>
      <w:r w:rsidR="0049316B">
        <w:t xml:space="preserve"> which added the following clause, </w:t>
      </w:r>
      <w:r w:rsidR="00BD2C51">
        <w:t xml:space="preserve">to allow use </w:t>
      </w:r>
      <w:r w:rsidR="0049316B">
        <w:t xml:space="preserve">“in recipients of a kidney transplant for end-stage kidney disease due to </w:t>
      </w:r>
      <w:proofErr w:type="spellStart"/>
      <w:r w:rsidR="0049316B">
        <w:t>aHUS</w:t>
      </w:r>
      <w:proofErr w:type="spellEnd"/>
      <w:r w:rsidR="0049316B">
        <w:t>, a kidney biopsy confirming TMA”. This</w:t>
      </w:r>
      <w:r w:rsidR="009E665C">
        <w:t xml:space="preserve"> change</w:t>
      </w:r>
      <w:r w:rsidR="0049316B">
        <w:t xml:space="preserve"> </w:t>
      </w:r>
      <w:r w:rsidR="009E665C">
        <w:t>allowed</w:t>
      </w:r>
      <w:r w:rsidR="0049316B">
        <w:t xml:space="preserve"> another population to access treatment and may have caused the increase in patient numbers. </w:t>
      </w:r>
      <w:r w:rsidRPr="00CA7474">
        <w:t xml:space="preserve">Despite initiations increasing, the duration of therapy count </w:t>
      </w:r>
      <w:r w:rsidR="00F075C2">
        <w:t xml:space="preserve">after the February 2016 restriction change </w:t>
      </w:r>
      <w:r w:rsidRPr="00CA7474">
        <w:t>has more than halved</w:t>
      </w:r>
      <w:r>
        <w:t xml:space="preserve"> (</w:t>
      </w:r>
      <w:r w:rsidRPr="00CA7474">
        <w:t>as seen in</w:t>
      </w:r>
      <w:r w:rsidR="005F4038">
        <w:t xml:space="preserve"> </w:t>
      </w:r>
      <w:r w:rsidR="00F075C2">
        <w:t>T</w:t>
      </w:r>
      <w:r w:rsidR="00BF00A1">
        <w:t xml:space="preserve">able </w:t>
      </w:r>
      <w:r w:rsidR="00F075C2">
        <w:t>4</w:t>
      </w:r>
      <w:r>
        <w:t>)</w:t>
      </w:r>
      <w:r w:rsidRPr="00CA7474">
        <w:t>.</w:t>
      </w:r>
      <w:r>
        <w:t xml:space="preserve"> </w:t>
      </w:r>
      <w:bookmarkStart w:id="6" w:name="_Utilisation_by_prescriber"/>
      <w:bookmarkStart w:id="7" w:name="_Duration_of_therapy"/>
      <w:bookmarkEnd w:id="6"/>
      <w:bookmarkEnd w:id="7"/>
    </w:p>
    <w:p w:rsidR="00E96CB7" w:rsidRPr="002B1C94" w:rsidRDefault="00E96CB7" w:rsidP="008D2921">
      <w:pPr>
        <w:pStyle w:val="Heading3"/>
      </w:pPr>
      <w:r>
        <w:t>Duration of therapy</w:t>
      </w:r>
    </w:p>
    <w:p w:rsidR="0090532E" w:rsidRDefault="00F82351" w:rsidP="0090532E">
      <w:pPr>
        <w:rPr>
          <w:color w:val="1F497D"/>
          <w:sz w:val="22"/>
          <w:szCs w:val="22"/>
        </w:rPr>
      </w:pPr>
      <w:r>
        <w:rPr>
          <w:noProof/>
          <w:color w:val="1F497D"/>
        </w:rPr>
        <w:drawing>
          <wp:inline distT="0" distB="0" distL="0" distR="0" wp14:anchorId="56D60CE7" wp14:editId="6CB9D57A">
            <wp:extent cx="5687695" cy="4265771"/>
            <wp:effectExtent l="0" t="0" r="8255" b="1905"/>
            <wp:docPr id="8" name="Picture 8" descr="img0.png" title="Figure 3: Length of treatment (days) at initiation analysis using the Product-Limit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p>
    <w:p w:rsidR="0090532E" w:rsidRDefault="0090532E" w:rsidP="0090532E">
      <w:pPr>
        <w:pStyle w:val="Figuretitle"/>
        <w:rPr>
          <w:rFonts w:ascii="Calibri" w:hAnsi="Calibri" w:cs="Calibri"/>
        </w:rPr>
      </w:pPr>
      <w:r>
        <w:t xml:space="preserve">Figure </w:t>
      </w:r>
      <w:r w:rsidR="005C7DEA">
        <w:t>3</w:t>
      </w:r>
      <w:r>
        <w:t xml:space="preserve">: Length of treatment </w:t>
      </w:r>
      <w:r w:rsidR="009E665C">
        <w:t xml:space="preserve">(days) </w:t>
      </w:r>
      <w:r w:rsidR="006E3503">
        <w:t xml:space="preserve">at initiation </w:t>
      </w:r>
      <w:r>
        <w:t>analysis using the Product-Limit method</w:t>
      </w:r>
    </w:p>
    <w:p w:rsidR="0090532E" w:rsidRDefault="0090532E" w:rsidP="0090532E">
      <w:pPr>
        <w:pStyle w:val="Figurecaption"/>
      </w:pPr>
      <w:r>
        <w:t xml:space="preserve">Source: Services supplied prescriptions database to 31 May 2020 </w:t>
      </w:r>
      <w:r w:rsidR="00144A49">
        <w:t>extracted 2 July 2020.</w:t>
      </w:r>
    </w:p>
    <w:p w:rsidR="002F7E16" w:rsidRDefault="002F7E16" w:rsidP="002F7E16"/>
    <w:p w:rsidR="00092F34" w:rsidRDefault="00092F34" w:rsidP="002F7E16">
      <w:bookmarkStart w:id="8" w:name="_GoBack"/>
      <w:bookmarkEnd w:id="8"/>
    </w:p>
    <w:p w:rsidR="00AD5905" w:rsidRPr="00AD6B94" w:rsidRDefault="00AD5905" w:rsidP="00AD5905">
      <w:pPr>
        <w:pStyle w:val="Tabletitle"/>
        <w:spacing w:before="200"/>
        <w:rPr>
          <w:color w:val="1F497D"/>
        </w:rPr>
      </w:pPr>
      <w:r w:rsidRPr="00AD6B94">
        <w:lastRenderedPageBreak/>
        <w:t>Table</w:t>
      </w:r>
      <w:r w:rsidR="00DF4558">
        <w:t xml:space="preserve"> </w:t>
      </w:r>
      <w:r w:rsidR="005C7DEA">
        <w:t>3</w:t>
      </w:r>
      <w:r w:rsidRPr="00AD6B94">
        <w:t xml:space="preserve">: Length of treatment analysis descriptive statistics </w:t>
      </w:r>
    </w:p>
    <w:tbl>
      <w:tblPr>
        <w:tblStyle w:val="TableGrid"/>
        <w:tblW w:w="0" w:type="auto"/>
        <w:tblLook w:val="04A0" w:firstRow="1" w:lastRow="0" w:firstColumn="1" w:lastColumn="0" w:noHBand="0" w:noVBand="1"/>
        <w:tblCaption w:val="Table 3: Length of treatment analysis descriptive statistics "/>
        <w:tblDescription w:val="Descriptive statistics for the length of treatment analysis"/>
      </w:tblPr>
      <w:tblGrid>
        <w:gridCol w:w="3057"/>
        <w:gridCol w:w="1418"/>
        <w:gridCol w:w="1418"/>
      </w:tblGrid>
      <w:tr w:rsidR="00AD5905" w:rsidRPr="00AD6B94" w:rsidTr="00E7265C">
        <w:trPr>
          <w:tblHeader/>
        </w:trPr>
        <w:tc>
          <w:tcPr>
            <w:tcW w:w="3057" w:type="dxa"/>
            <w:shd w:val="clear" w:color="auto" w:fill="BFBFBF" w:themeFill="background1" w:themeFillShade="BF"/>
          </w:tcPr>
          <w:p w:rsidR="00AD5905" w:rsidRPr="00AD6B94" w:rsidRDefault="00AD5905" w:rsidP="00E7265C">
            <w:pPr>
              <w:pStyle w:val="Tablewriting"/>
              <w:rPr>
                <w:b/>
                <w:color w:val="auto"/>
              </w:rPr>
            </w:pPr>
            <w:r w:rsidRPr="00AD6B94">
              <w:rPr>
                <w:b/>
                <w:color w:val="auto"/>
              </w:rPr>
              <w:t>Length of treatment analysis</w:t>
            </w:r>
          </w:p>
        </w:tc>
        <w:tc>
          <w:tcPr>
            <w:tcW w:w="1418" w:type="dxa"/>
            <w:shd w:val="clear" w:color="auto" w:fill="BFBFBF" w:themeFill="background1" w:themeFillShade="BF"/>
          </w:tcPr>
          <w:p w:rsidR="00AD5905" w:rsidRPr="00AD6B94" w:rsidRDefault="00AD5905" w:rsidP="00E7265C">
            <w:pPr>
              <w:pStyle w:val="Tablewriting"/>
              <w:jc w:val="center"/>
              <w:rPr>
                <w:b/>
                <w:color w:val="auto"/>
              </w:rPr>
            </w:pPr>
            <w:r w:rsidRPr="00AD6B94">
              <w:rPr>
                <w:b/>
                <w:color w:val="auto"/>
              </w:rPr>
              <w:t>Mean</w:t>
            </w:r>
          </w:p>
        </w:tc>
        <w:tc>
          <w:tcPr>
            <w:tcW w:w="1418" w:type="dxa"/>
            <w:shd w:val="clear" w:color="auto" w:fill="BFBFBF" w:themeFill="background1" w:themeFillShade="BF"/>
          </w:tcPr>
          <w:p w:rsidR="00AD5905" w:rsidRPr="00AD6B94" w:rsidRDefault="00AD5905" w:rsidP="00E7265C">
            <w:pPr>
              <w:pStyle w:val="Tablewriting"/>
              <w:jc w:val="center"/>
              <w:rPr>
                <w:b/>
                <w:color w:val="auto"/>
              </w:rPr>
            </w:pPr>
            <w:r w:rsidRPr="00AD6B94">
              <w:rPr>
                <w:b/>
                <w:color w:val="auto"/>
              </w:rPr>
              <w:t>Median</w:t>
            </w:r>
          </w:p>
        </w:tc>
      </w:tr>
      <w:tr w:rsidR="00AD5905" w:rsidRPr="00AD6B94" w:rsidTr="00E7265C">
        <w:tc>
          <w:tcPr>
            <w:tcW w:w="3057" w:type="dxa"/>
          </w:tcPr>
          <w:p w:rsidR="00AD5905" w:rsidRPr="00AD6B94" w:rsidRDefault="00AD5905" w:rsidP="00E7265C">
            <w:pPr>
              <w:pStyle w:val="Tablewriting"/>
              <w:rPr>
                <w:color w:val="auto"/>
              </w:rPr>
            </w:pPr>
            <w:r w:rsidRPr="00AD6B94">
              <w:rPr>
                <w:color w:val="auto"/>
              </w:rPr>
              <w:t>Excluding breaks</w:t>
            </w:r>
          </w:p>
        </w:tc>
        <w:tc>
          <w:tcPr>
            <w:tcW w:w="1418" w:type="dxa"/>
          </w:tcPr>
          <w:p w:rsidR="00AD5905" w:rsidRPr="00AD6B94" w:rsidRDefault="00AD5905" w:rsidP="00E7265C">
            <w:pPr>
              <w:pStyle w:val="Tablewriting"/>
              <w:jc w:val="center"/>
              <w:rPr>
                <w:color w:val="auto"/>
              </w:rPr>
            </w:pPr>
            <w:r w:rsidRPr="00AD6B94">
              <w:rPr>
                <w:color w:val="auto"/>
              </w:rPr>
              <w:t>412</w:t>
            </w:r>
          </w:p>
        </w:tc>
        <w:tc>
          <w:tcPr>
            <w:tcW w:w="1418" w:type="dxa"/>
          </w:tcPr>
          <w:p w:rsidR="00AD5905" w:rsidRPr="00AD6B94" w:rsidRDefault="00AD5905" w:rsidP="00E7265C">
            <w:pPr>
              <w:pStyle w:val="Tablewriting"/>
              <w:jc w:val="center"/>
              <w:rPr>
                <w:color w:val="auto"/>
              </w:rPr>
            </w:pPr>
            <w:r w:rsidRPr="00AD6B94">
              <w:rPr>
                <w:color w:val="auto"/>
              </w:rPr>
              <w:t>323</w:t>
            </w:r>
          </w:p>
        </w:tc>
      </w:tr>
      <w:tr w:rsidR="00AD5905" w:rsidTr="00E7265C">
        <w:tc>
          <w:tcPr>
            <w:tcW w:w="3057" w:type="dxa"/>
          </w:tcPr>
          <w:p w:rsidR="00AD5905" w:rsidRPr="00AD6B94" w:rsidRDefault="00AD5905" w:rsidP="00E7265C">
            <w:pPr>
              <w:pStyle w:val="Tablewriting"/>
              <w:rPr>
                <w:color w:val="auto"/>
              </w:rPr>
            </w:pPr>
            <w:r w:rsidRPr="00AD6B94">
              <w:rPr>
                <w:color w:val="auto"/>
              </w:rPr>
              <w:t>Including breaks</w:t>
            </w:r>
          </w:p>
        </w:tc>
        <w:tc>
          <w:tcPr>
            <w:tcW w:w="1418" w:type="dxa"/>
          </w:tcPr>
          <w:p w:rsidR="00AD5905" w:rsidRPr="00AD6B94" w:rsidRDefault="00AD5905" w:rsidP="00E7265C">
            <w:pPr>
              <w:pStyle w:val="Tablewriting"/>
              <w:jc w:val="center"/>
              <w:rPr>
                <w:color w:val="auto"/>
              </w:rPr>
            </w:pPr>
            <w:r w:rsidRPr="00AD6B94">
              <w:rPr>
                <w:color w:val="auto"/>
              </w:rPr>
              <w:t>420</w:t>
            </w:r>
          </w:p>
        </w:tc>
        <w:tc>
          <w:tcPr>
            <w:tcW w:w="1418" w:type="dxa"/>
          </w:tcPr>
          <w:p w:rsidR="00AD5905" w:rsidRPr="00496172" w:rsidRDefault="00AD5905" w:rsidP="00E7265C">
            <w:pPr>
              <w:pStyle w:val="Tablewriting"/>
              <w:jc w:val="center"/>
              <w:rPr>
                <w:color w:val="auto"/>
              </w:rPr>
            </w:pPr>
            <w:r w:rsidRPr="00AD6B94">
              <w:rPr>
                <w:color w:val="auto"/>
              </w:rPr>
              <w:t>335</w:t>
            </w:r>
          </w:p>
        </w:tc>
      </w:tr>
    </w:tbl>
    <w:p w:rsidR="00AD5905" w:rsidRPr="00B325DD" w:rsidRDefault="00AD5905" w:rsidP="00AD5905">
      <w:pPr>
        <w:pStyle w:val="Figurecaption"/>
        <w:spacing w:after="0"/>
      </w:pPr>
      <w:r w:rsidRPr="00AD5905">
        <w:t xml:space="preserve"> </w:t>
      </w:r>
      <w:r w:rsidRPr="00B325DD">
        <w:t xml:space="preserve">Time period: December 2014 – May 2020. </w:t>
      </w:r>
    </w:p>
    <w:p w:rsidR="00AD5905" w:rsidRDefault="00AD5905" w:rsidP="00AD5905">
      <w:pPr>
        <w:pStyle w:val="Figurecaption"/>
      </w:pPr>
      <w:r w:rsidRPr="00B325DD">
        <w:t>Source: PIN count, Services Australia supplied prescriptions database to 3</w:t>
      </w:r>
      <w:r>
        <w:t>1</w:t>
      </w:r>
      <w:r w:rsidRPr="00B325DD">
        <w:t xml:space="preserve"> May 2020; extracted 2 July 2020.</w:t>
      </w:r>
    </w:p>
    <w:p w:rsidR="002F7E16" w:rsidRDefault="002F7E16" w:rsidP="002F7E16">
      <w:r>
        <w:t xml:space="preserve">Figure </w:t>
      </w:r>
      <w:r w:rsidR="005C7DEA">
        <w:t>3</w:t>
      </w:r>
      <w:r w:rsidRPr="00450A5E">
        <w:t xml:space="preserve"> </w:t>
      </w:r>
      <w:r w:rsidR="00AD5905">
        <w:t xml:space="preserve">and </w:t>
      </w:r>
      <w:r w:rsidR="005C7DEA">
        <w:t>T</w:t>
      </w:r>
      <w:r w:rsidR="00AD5905">
        <w:t xml:space="preserve">able </w:t>
      </w:r>
      <w:r w:rsidR="005C7DEA">
        <w:t>3</w:t>
      </w:r>
      <w:r w:rsidR="00AD5905">
        <w:t xml:space="preserve"> show </w:t>
      </w:r>
      <w:r w:rsidRPr="00450A5E">
        <w:t xml:space="preserve">the </w:t>
      </w:r>
      <w:proofErr w:type="spellStart"/>
      <w:r w:rsidR="00F831A5">
        <w:t>LoT</w:t>
      </w:r>
      <w:proofErr w:type="spellEnd"/>
      <w:r w:rsidRPr="00450A5E">
        <w:t xml:space="preserve">. </w:t>
      </w:r>
      <w:r>
        <w:t>The total period of observation of prescriptions supplied was 1 December 2014 to 31 May 2020. Prescriptions supplied for all</w:t>
      </w:r>
      <w:r w:rsidRPr="00450A5E">
        <w:t xml:space="preserve"> </w:t>
      </w:r>
      <w:r>
        <w:t>323</w:t>
      </w:r>
      <w:r w:rsidRPr="00450A5E">
        <w:t xml:space="preserve"> patients </w:t>
      </w:r>
      <w:r>
        <w:t xml:space="preserve">were included. </w:t>
      </w:r>
    </w:p>
    <w:p w:rsidR="00C270F4" w:rsidRDefault="00C270F4" w:rsidP="00C270F4">
      <w:r w:rsidRPr="005F6FD2">
        <w:t>At 3</w:t>
      </w:r>
      <w:r>
        <w:t>1</w:t>
      </w:r>
      <w:r w:rsidRPr="005F6FD2">
        <w:t xml:space="preserve"> May 2020, </w:t>
      </w:r>
      <w:r w:rsidRPr="009E665C">
        <w:t xml:space="preserve">87 people were deemed as continuing treatment and 236 were deemed to have finished treatment. </w:t>
      </w:r>
    </w:p>
    <w:p w:rsidR="00F05108" w:rsidRDefault="00FD6D77" w:rsidP="002F7E16">
      <w:r>
        <w:rPr>
          <w:noProof/>
        </w:rPr>
        <w:drawing>
          <wp:inline distT="0" distB="0" distL="0" distR="0" wp14:anchorId="29B8A79F" wp14:editId="6B3F05E1">
            <wp:extent cx="5652577" cy="4241800"/>
            <wp:effectExtent l="0" t="0" r="5715" b="6350"/>
            <wp:docPr id="9" name="Picture 9" title="Figure 4: Length of treatment (including breaks, days) pre and post February 2016 restriction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4.png"/>
                    <pic:cNvPicPr/>
                  </pic:nvPicPr>
                  <pic:blipFill>
                    <a:blip r:embed="rId12">
                      <a:extLst>
                        <a:ext uri="{28A0092B-C50C-407E-A947-70E740481C1C}">
                          <a14:useLocalDpi xmlns:a14="http://schemas.microsoft.com/office/drawing/2010/main" val="0"/>
                        </a:ext>
                      </a:extLst>
                    </a:blip>
                    <a:stretch>
                      <a:fillRect/>
                    </a:stretch>
                  </pic:blipFill>
                  <pic:spPr>
                    <a:xfrm>
                      <a:off x="0" y="0"/>
                      <a:ext cx="5663907" cy="4250302"/>
                    </a:xfrm>
                    <a:prstGeom prst="rect">
                      <a:avLst/>
                    </a:prstGeom>
                  </pic:spPr>
                </pic:pic>
              </a:graphicData>
            </a:graphic>
          </wp:inline>
        </w:drawing>
      </w:r>
    </w:p>
    <w:p w:rsidR="00F05108" w:rsidRDefault="000A7C6D" w:rsidP="00F05108">
      <w:pPr>
        <w:pStyle w:val="Tabletitle"/>
        <w:spacing w:before="200"/>
        <w:rPr>
          <w:highlight w:val="yellow"/>
        </w:rPr>
      </w:pPr>
      <w:r>
        <w:rPr>
          <w:noProof/>
          <w:color w:val="1F497D"/>
        </w:rPr>
        <mc:AlternateContent>
          <mc:Choice Requires="wps">
            <w:drawing>
              <wp:anchor distT="0" distB="0" distL="114300" distR="114300" simplePos="0" relativeHeight="251659264" behindDoc="0" locked="0" layoutInCell="1" allowOverlap="1" wp14:anchorId="7285ECB5" wp14:editId="0ECC030F">
                <wp:simplePos x="0" y="0"/>
                <wp:positionH relativeFrom="column">
                  <wp:posOffset>4179570</wp:posOffset>
                </wp:positionH>
                <wp:positionV relativeFrom="paragraph">
                  <wp:posOffset>3368675</wp:posOffset>
                </wp:positionV>
                <wp:extent cx="165100" cy="1206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165100" cy="120650"/>
                        </a:xfrm>
                        <a:prstGeom prst="rect">
                          <a:avLst/>
                        </a:prstGeom>
                        <a:solidFill>
                          <a:schemeClr val="tx1"/>
                        </a:solidFill>
                        <a:ln w="6350">
                          <a:solidFill>
                            <a:prstClr val="black"/>
                          </a:solidFill>
                        </a:ln>
                      </wps:spPr>
                      <wps:txbx>
                        <w:txbxContent>
                          <w:p w:rsidR="00853314" w:rsidRPr="000A7C6D" w:rsidRDefault="00853314">
                            <w:pPr>
                              <w:rPr>
                                <w:rFonts w:ascii="Arial Narrow" w:hAnsi="Arial Narrow"/>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5ECB5" id="_x0000_t202" coordsize="21600,21600" o:spt="202" path="m,l,21600r21600,l21600,xe">
                <v:stroke joinstyle="miter"/>
                <v:path gradientshapeok="t" o:connecttype="rect"/>
              </v:shapetype>
              <v:shape id="Text Box 6" o:spid="_x0000_s1026" type="#_x0000_t202" style="position:absolute;margin-left:329.1pt;margin-top:265.25pt;width:13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" fillcolor="black [3213]" strokeweight=".5pt">
                <v:textbox>
                  <w:txbxContent>
                    <w:p w:rsidR="00853314" w:rsidRPr="000A7C6D" w:rsidRDefault="00853314">
                      <w:pPr>
                        <w:rPr>
                          <w:rFonts w:ascii="Arial Narrow" w:hAnsi="Arial Narrow"/>
                          <w:color w:val="000000" w:themeColor="text1"/>
                          <w:sz w:val="20"/>
                          <w:szCs w:val="20"/>
                        </w:rPr>
                      </w:pPr>
                    </w:p>
                  </w:txbxContent>
                </v:textbox>
              </v:shape>
            </w:pict>
          </mc:Fallback>
        </mc:AlternateContent>
      </w:r>
    </w:p>
    <w:p w:rsidR="00F05108" w:rsidRDefault="00F05108" w:rsidP="00F05108">
      <w:pPr>
        <w:pStyle w:val="Figuretitle"/>
      </w:pPr>
      <w:r w:rsidRPr="00450A5E">
        <w:t xml:space="preserve">Figure </w:t>
      </w:r>
      <w:r w:rsidR="00DF4558">
        <w:t>4</w:t>
      </w:r>
      <w:r w:rsidRPr="00450A5E">
        <w:t>: Length</w:t>
      </w:r>
      <w:r>
        <w:t xml:space="preserve"> of treatment </w:t>
      </w:r>
      <w:r w:rsidR="00777C23">
        <w:t xml:space="preserve">(including breaks, days) </w:t>
      </w:r>
      <w:r>
        <w:t>pre and post February 2016 restriction change</w:t>
      </w:r>
    </w:p>
    <w:p w:rsidR="00F05108" w:rsidRPr="00E96CB7" w:rsidRDefault="00F05108" w:rsidP="00F05108">
      <w:pPr>
        <w:pStyle w:val="Figurecaption"/>
      </w:pPr>
      <w:r w:rsidRPr="00E96CB7">
        <w:t xml:space="preserve">Source: </w:t>
      </w:r>
      <w:r>
        <w:t>Services Australia</w:t>
      </w:r>
      <w:r w:rsidRPr="00E96CB7">
        <w:t xml:space="preserve"> supplied prescriptions database to</w:t>
      </w:r>
      <w:r>
        <w:t xml:space="preserve"> 31 May 2020</w:t>
      </w:r>
      <w:r w:rsidRPr="00E96CB7">
        <w:t xml:space="preserve"> extracted </w:t>
      </w:r>
      <w:r>
        <w:t xml:space="preserve">2 July 2020. </w:t>
      </w:r>
    </w:p>
    <w:p w:rsidR="00F05108" w:rsidRPr="00C93E13" w:rsidRDefault="00F05108" w:rsidP="00D95CBD">
      <w:pPr>
        <w:pStyle w:val="Tabletitle"/>
        <w:keepNext/>
        <w:spacing w:before="200"/>
      </w:pPr>
      <w:r w:rsidRPr="00C93E13">
        <w:lastRenderedPageBreak/>
        <w:t>Table</w:t>
      </w:r>
      <w:r w:rsidR="005C7DEA">
        <w:t xml:space="preserve"> 4</w:t>
      </w:r>
      <w:r w:rsidRPr="00C93E13">
        <w:t xml:space="preserve">: </w:t>
      </w:r>
      <w:r>
        <w:t>Length of treatment pre and post February 2016 restriction change</w:t>
      </w:r>
    </w:p>
    <w:tbl>
      <w:tblPr>
        <w:tblW w:w="0" w:type="auto"/>
        <w:tblCellMar>
          <w:left w:w="0" w:type="dxa"/>
          <w:right w:w="0" w:type="dxa"/>
        </w:tblCellMar>
        <w:tblLook w:val="04A0" w:firstRow="1" w:lastRow="0" w:firstColumn="1" w:lastColumn="0" w:noHBand="0" w:noVBand="1"/>
        <w:tblCaption w:val="Table 4: Length of treatment pre and post February 2016 restriction change"/>
      </w:tblPr>
      <w:tblGrid>
        <w:gridCol w:w="3057"/>
        <w:gridCol w:w="1418"/>
        <w:gridCol w:w="1418"/>
      </w:tblGrid>
      <w:tr w:rsidR="00F05108" w:rsidTr="009E665C">
        <w:tc>
          <w:tcPr>
            <w:tcW w:w="305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F05108" w:rsidRDefault="00F05108" w:rsidP="00D95CBD">
            <w:pPr>
              <w:pStyle w:val="Tablewriting"/>
              <w:keepNext/>
              <w:rPr>
                <w:b/>
                <w:bCs/>
                <w:color w:val="auto"/>
              </w:rPr>
            </w:pPr>
            <w:r>
              <w:rPr>
                <w:b/>
                <w:bCs/>
                <w:color w:val="auto"/>
              </w:rPr>
              <w:t>Cohort</w:t>
            </w:r>
          </w:p>
        </w:tc>
        <w:tc>
          <w:tcPr>
            <w:tcW w:w="141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05108" w:rsidRDefault="00F05108" w:rsidP="00D95CBD">
            <w:pPr>
              <w:pStyle w:val="Tablewriting"/>
              <w:keepNext/>
              <w:jc w:val="center"/>
              <w:rPr>
                <w:b/>
                <w:bCs/>
                <w:color w:val="auto"/>
              </w:rPr>
            </w:pPr>
            <w:r>
              <w:rPr>
                <w:b/>
                <w:bCs/>
                <w:color w:val="auto"/>
              </w:rPr>
              <w:t>Mean (days)</w:t>
            </w:r>
          </w:p>
        </w:tc>
        <w:tc>
          <w:tcPr>
            <w:tcW w:w="141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05108" w:rsidRDefault="00F05108" w:rsidP="00D95CBD">
            <w:pPr>
              <w:pStyle w:val="Tablewriting"/>
              <w:keepNext/>
              <w:jc w:val="center"/>
              <w:rPr>
                <w:b/>
                <w:bCs/>
                <w:color w:val="auto"/>
              </w:rPr>
            </w:pPr>
            <w:r>
              <w:rPr>
                <w:b/>
                <w:bCs/>
                <w:color w:val="auto"/>
              </w:rPr>
              <w:t>Median (days)</w:t>
            </w:r>
          </w:p>
        </w:tc>
      </w:tr>
      <w:tr w:rsidR="00F05108" w:rsidTr="009E665C">
        <w:tc>
          <w:tcPr>
            <w:tcW w:w="3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5108" w:rsidRDefault="00F05108" w:rsidP="00D95CBD">
            <w:pPr>
              <w:pStyle w:val="Tablewriting"/>
              <w:keepNext/>
              <w:rPr>
                <w:color w:val="auto"/>
              </w:rPr>
            </w:pPr>
            <w:r>
              <w:rPr>
                <w:color w:val="auto"/>
              </w:rPr>
              <w:t>Initiation pre 1 Feb 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05108" w:rsidRDefault="00F05108" w:rsidP="00D95CBD">
            <w:pPr>
              <w:pStyle w:val="Tablewriting"/>
              <w:keepNext/>
              <w:jc w:val="center"/>
              <w:rPr>
                <w:color w:val="auto"/>
              </w:rPr>
            </w:pPr>
            <w:r>
              <w:rPr>
                <w:color w:val="auto"/>
              </w:rPr>
              <w:t>745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05108" w:rsidRDefault="00F05108" w:rsidP="00D95CBD">
            <w:pPr>
              <w:pStyle w:val="Tablewriting"/>
              <w:keepNext/>
              <w:jc w:val="center"/>
              <w:rPr>
                <w:color w:val="auto"/>
              </w:rPr>
            </w:pPr>
            <w:r>
              <w:rPr>
                <w:color w:val="auto"/>
              </w:rPr>
              <w:t>406</w:t>
            </w:r>
          </w:p>
        </w:tc>
      </w:tr>
      <w:tr w:rsidR="00F05108" w:rsidTr="009E665C">
        <w:tc>
          <w:tcPr>
            <w:tcW w:w="3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5108" w:rsidRDefault="00F05108" w:rsidP="00D95CBD">
            <w:pPr>
              <w:pStyle w:val="Tablewriting"/>
              <w:keepNext/>
              <w:rPr>
                <w:color w:val="auto"/>
              </w:rPr>
            </w:pPr>
            <w:r>
              <w:rPr>
                <w:color w:val="auto"/>
              </w:rPr>
              <w:t>Initiation on or after 1 Feb 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05108" w:rsidRDefault="00F05108" w:rsidP="00D95CBD">
            <w:pPr>
              <w:pStyle w:val="Tablewriting"/>
              <w:keepNext/>
              <w:jc w:val="center"/>
              <w:rPr>
                <w:color w:val="auto"/>
              </w:rPr>
            </w:pPr>
            <w:r>
              <w:rPr>
                <w:color w:val="auto"/>
              </w:rPr>
              <w:t>359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05108" w:rsidRDefault="00F05108" w:rsidP="00D95CBD">
            <w:pPr>
              <w:pStyle w:val="Tablewriting"/>
              <w:keepNext/>
              <w:jc w:val="center"/>
              <w:rPr>
                <w:color w:val="auto"/>
              </w:rPr>
            </w:pPr>
            <w:r>
              <w:rPr>
                <w:color w:val="auto"/>
              </w:rPr>
              <w:t>161</w:t>
            </w:r>
          </w:p>
        </w:tc>
      </w:tr>
    </w:tbl>
    <w:p w:rsidR="00F05108" w:rsidRPr="00B325DD" w:rsidRDefault="00F05108" w:rsidP="00D95CBD">
      <w:pPr>
        <w:pStyle w:val="Figurecaption"/>
        <w:keepNext/>
        <w:spacing w:after="0"/>
      </w:pPr>
      <w:r w:rsidRPr="00B325DD">
        <w:t xml:space="preserve">Time period: December 2014 – May 2020. </w:t>
      </w:r>
    </w:p>
    <w:p w:rsidR="00F05108" w:rsidRDefault="00777C23" w:rsidP="00F05108">
      <w:pPr>
        <w:pStyle w:val="Figurecaption"/>
      </w:pPr>
      <w:r>
        <w:t xml:space="preserve">Source: </w:t>
      </w:r>
      <w:r w:rsidR="00F05108" w:rsidRPr="00B325DD">
        <w:t>Services Australia supplied prescriptions database to 3</w:t>
      </w:r>
      <w:r w:rsidR="00F05108">
        <w:t>1</w:t>
      </w:r>
      <w:r w:rsidR="00F05108" w:rsidRPr="00B325DD">
        <w:t xml:space="preserve"> May 2020; extracted 2 July 2020.</w:t>
      </w:r>
    </w:p>
    <w:p w:rsidR="00F05108" w:rsidRDefault="00F05108" w:rsidP="00F05108"/>
    <w:p w:rsidR="00F05108" w:rsidRDefault="00F05108" w:rsidP="00F05108">
      <w:r w:rsidRPr="00A77441">
        <w:t xml:space="preserve">Figure </w:t>
      </w:r>
      <w:r w:rsidR="005D2008">
        <w:t xml:space="preserve">4 </w:t>
      </w:r>
      <w:r w:rsidRPr="00A77441">
        <w:t xml:space="preserve">shows the total </w:t>
      </w:r>
      <w:proofErr w:type="spellStart"/>
      <w:r w:rsidR="00F831A5">
        <w:t>LoT</w:t>
      </w:r>
      <w:proofErr w:type="spellEnd"/>
      <w:r w:rsidRPr="00A77441">
        <w:t xml:space="preserve"> (including breaks) by cohorts, patients initiating treatment pre and post the restriction changes on 1 Feb 2016. The results </w:t>
      </w:r>
      <w:r>
        <w:t xml:space="preserve">in table </w:t>
      </w:r>
      <w:proofErr w:type="spellStart"/>
      <w:r w:rsidR="00BC552E">
        <w:t>Table</w:t>
      </w:r>
      <w:proofErr w:type="spellEnd"/>
      <w:r w:rsidR="00BC552E">
        <w:t xml:space="preserve"> 4</w:t>
      </w:r>
      <w:r w:rsidR="00543058">
        <w:t xml:space="preserve"> </w:t>
      </w:r>
      <w:r w:rsidRPr="00A77441">
        <w:t xml:space="preserve">are for </w:t>
      </w:r>
      <w:r>
        <w:t>t</w:t>
      </w:r>
      <w:r w:rsidRPr="00A77441">
        <w:t xml:space="preserve">otal </w:t>
      </w:r>
      <w:proofErr w:type="spellStart"/>
      <w:r w:rsidR="00F831A5">
        <w:t>LoT</w:t>
      </w:r>
      <w:proofErr w:type="spellEnd"/>
      <w:r w:rsidRPr="00A77441">
        <w:t xml:space="preserve"> (including breaks). </w:t>
      </w:r>
      <w:r>
        <w:t xml:space="preserve">The </w:t>
      </w:r>
      <w:r w:rsidRPr="00A77441">
        <w:t>results for “excluding breaks” have not been included as they are almost identical.</w:t>
      </w:r>
      <w:r w:rsidRPr="00AD5905">
        <w:t xml:space="preserve"> </w:t>
      </w:r>
    </w:p>
    <w:p w:rsidR="00F05108" w:rsidRDefault="00F05108" w:rsidP="00F05108">
      <w:r>
        <w:t xml:space="preserve">The data in </w:t>
      </w:r>
      <w:r w:rsidR="005C7DEA">
        <w:t>T</w:t>
      </w:r>
      <w:r>
        <w:t xml:space="preserve">able </w:t>
      </w:r>
      <w:r w:rsidR="005C7DEA">
        <w:t>4</w:t>
      </w:r>
      <w:r>
        <w:t xml:space="preserve"> demonstrates that the February 2016 restriction to reduce </w:t>
      </w:r>
      <w:proofErr w:type="spellStart"/>
      <w:r w:rsidR="00F831A5">
        <w:t>LoT</w:t>
      </w:r>
      <w:proofErr w:type="spellEnd"/>
      <w:r>
        <w:t xml:space="preserve"> had the desired outcome, with a 48.2% reduction in the mean days of treatment and a 39.7% reduction on the median days of treatment.</w:t>
      </w:r>
      <w:r w:rsidR="00BF00A1">
        <w:t xml:space="preserve"> See Appendix B for a list of changes to </w:t>
      </w:r>
      <w:proofErr w:type="spellStart"/>
      <w:r w:rsidR="00BF00A1">
        <w:t>eculizumab</w:t>
      </w:r>
      <w:proofErr w:type="spellEnd"/>
      <w:r w:rsidR="00BF00A1">
        <w:t xml:space="preserve"> restrictions. </w:t>
      </w:r>
    </w:p>
    <w:p w:rsidR="00ED50D5" w:rsidRPr="00A77441" w:rsidRDefault="00ED50D5" w:rsidP="00F05108">
      <w:r>
        <w:rPr>
          <w:noProof/>
        </w:rPr>
        <w:drawing>
          <wp:inline distT="0" distB="0" distL="0" distR="0" wp14:anchorId="28C9D939" wp14:editId="3C2FB3E5">
            <wp:extent cx="5384800" cy="4038600"/>
            <wp:effectExtent l="0" t="0" r="6350" b="0"/>
            <wp:docPr id="10" name="Picture 10" title="Figure 5: Length of treatment (including breaks) by top 3 specialty types who prescribed initial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5.png"/>
                    <pic:cNvPicPr/>
                  </pic:nvPicPr>
                  <pic:blipFill>
                    <a:blip r:embed="rId13">
                      <a:extLst>
                        <a:ext uri="{28A0092B-C50C-407E-A947-70E740481C1C}">
                          <a14:useLocalDpi xmlns:a14="http://schemas.microsoft.com/office/drawing/2010/main" val="0"/>
                        </a:ext>
                      </a:extLst>
                    </a:blip>
                    <a:stretch>
                      <a:fillRect/>
                    </a:stretch>
                  </pic:blipFill>
                  <pic:spPr>
                    <a:xfrm>
                      <a:off x="0" y="0"/>
                      <a:ext cx="5386596" cy="4039947"/>
                    </a:xfrm>
                    <a:prstGeom prst="rect">
                      <a:avLst/>
                    </a:prstGeom>
                  </pic:spPr>
                </pic:pic>
              </a:graphicData>
            </a:graphic>
          </wp:inline>
        </w:drawing>
      </w:r>
    </w:p>
    <w:p w:rsidR="00E7265C" w:rsidRDefault="00E7265C" w:rsidP="002F7E16"/>
    <w:p w:rsidR="00777C23" w:rsidRDefault="00777C23" w:rsidP="00777C23">
      <w:pPr>
        <w:pStyle w:val="Figuretitle"/>
      </w:pPr>
      <w:r w:rsidRPr="00450A5E">
        <w:t xml:space="preserve">Figure </w:t>
      </w:r>
      <w:r w:rsidR="00DF4558">
        <w:t>5</w:t>
      </w:r>
      <w:r w:rsidRPr="00450A5E">
        <w:t>: Length</w:t>
      </w:r>
      <w:r>
        <w:t xml:space="preserve"> of treatment (including breaks) by top 3 </w:t>
      </w:r>
      <w:r w:rsidR="00BC552E">
        <w:t xml:space="preserve">specialty </w:t>
      </w:r>
      <w:r>
        <w:t>types</w:t>
      </w:r>
      <w:r w:rsidR="00BC552E">
        <w:t xml:space="preserve"> who prescribed initial treatment</w:t>
      </w:r>
    </w:p>
    <w:p w:rsidR="00777C23" w:rsidRPr="00E96CB7" w:rsidRDefault="00777C23" w:rsidP="00777C23">
      <w:pPr>
        <w:pStyle w:val="Figurecaption"/>
      </w:pPr>
      <w:r w:rsidRPr="00E96CB7">
        <w:t xml:space="preserve">Source: </w:t>
      </w:r>
      <w:r>
        <w:t>Services Australia</w:t>
      </w:r>
      <w:r w:rsidRPr="00E96CB7">
        <w:t xml:space="preserve"> supplied prescriptions database to</w:t>
      </w:r>
      <w:r>
        <w:t xml:space="preserve"> 31 May 2020</w:t>
      </w:r>
      <w:r w:rsidRPr="00E96CB7">
        <w:t xml:space="preserve"> extracted </w:t>
      </w:r>
      <w:r>
        <w:t xml:space="preserve">2 July 2020. </w:t>
      </w:r>
    </w:p>
    <w:p w:rsidR="00777C23" w:rsidRPr="00C93E13" w:rsidRDefault="00777C23" w:rsidP="00777C23">
      <w:pPr>
        <w:pStyle w:val="Tabletitle"/>
        <w:spacing w:before="200"/>
      </w:pPr>
      <w:r w:rsidRPr="00C93E13">
        <w:lastRenderedPageBreak/>
        <w:t xml:space="preserve">Table </w:t>
      </w:r>
      <w:r w:rsidR="005C7DEA">
        <w:t>5</w:t>
      </w:r>
      <w:r w:rsidRPr="00C93E13">
        <w:t xml:space="preserve">: </w:t>
      </w:r>
      <w:r>
        <w:t>Length of treatment (including breaks) by top 3 initial prescriber types</w:t>
      </w:r>
    </w:p>
    <w:tbl>
      <w:tblPr>
        <w:tblW w:w="0" w:type="auto"/>
        <w:tblCellMar>
          <w:left w:w="0" w:type="dxa"/>
          <w:right w:w="0" w:type="dxa"/>
        </w:tblCellMar>
        <w:tblLook w:val="04A0" w:firstRow="1" w:lastRow="0" w:firstColumn="1" w:lastColumn="0" w:noHBand="0" w:noVBand="1"/>
      </w:tblPr>
      <w:tblGrid>
        <w:gridCol w:w="3057"/>
        <w:gridCol w:w="1418"/>
        <w:gridCol w:w="1418"/>
      </w:tblGrid>
      <w:tr w:rsidR="00777C23" w:rsidTr="009E665C">
        <w:tc>
          <w:tcPr>
            <w:tcW w:w="3057" w:type="dxa"/>
            <w:tcBorders>
              <w:top w:val="single" w:sz="8" w:space="0" w:color="auto"/>
              <w:left w:val="single" w:sz="8" w:space="0" w:color="auto"/>
              <w:bottom w:val="single" w:sz="4" w:space="0" w:color="auto"/>
              <w:right w:val="single" w:sz="8" w:space="0" w:color="auto"/>
            </w:tcBorders>
            <w:shd w:val="clear" w:color="auto" w:fill="BFBFBF"/>
            <w:tcMar>
              <w:top w:w="0" w:type="dxa"/>
              <w:left w:w="108" w:type="dxa"/>
              <w:bottom w:w="0" w:type="dxa"/>
              <w:right w:w="108" w:type="dxa"/>
            </w:tcMar>
            <w:hideMark/>
          </w:tcPr>
          <w:p w:rsidR="00777C23" w:rsidRDefault="00777C23" w:rsidP="009E665C">
            <w:pPr>
              <w:pStyle w:val="Tablewriting"/>
              <w:rPr>
                <w:b/>
                <w:bCs/>
                <w:color w:val="auto"/>
              </w:rPr>
            </w:pPr>
            <w:r>
              <w:t>Initial prescriber type</w:t>
            </w:r>
          </w:p>
        </w:tc>
        <w:tc>
          <w:tcPr>
            <w:tcW w:w="1418" w:type="dxa"/>
            <w:tcBorders>
              <w:top w:val="single" w:sz="8" w:space="0" w:color="auto"/>
              <w:left w:val="nil"/>
              <w:bottom w:val="single" w:sz="4" w:space="0" w:color="auto"/>
              <w:right w:val="single" w:sz="8" w:space="0" w:color="auto"/>
            </w:tcBorders>
            <w:shd w:val="clear" w:color="auto" w:fill="BFBFBF"/>
            <w:tcMar>
              <w:top w:w="0" w:type="dxa"/>
              <w:left w:w="108" w:type="dxa"/>
              <w:bottom w:w="0" w:type="dxa"/>
              <w:right w:w="108" w:type="dxa"/>
            </w:tcMar>
            <w:hideMark/>
          </w:tcPr>
          <w:p w:rsidR="00777C23" w:rsidRDefault="00777C23" w:rsidP="009E665C">
            <w:pPr>
              <w:pStyle w:val="Tablewriting"/>
              <w:jc w:val="center"/>
              <w:rPr>
                <w:b/>
                <w:bCs/>
                <w:color w:val="auto"/>
              </w:rPr>
            </w:pPr>
            <w:r>
              <w:rPr>
                <w:b/>
                <w:bCs/>
                <w:color w:val="auto"/>
              </w:rPr>
              <w:t>Mean (days)</w:t>
            </w:r>
          </w:p>
        </w:tc>
        <w:tc>
          <w:tcPr>
            <w:tcW w:w="1418" w:type="dxa"/>
            <w:tcBorders>
              <w:top w:val="single" w:sz="8" w:space="0" w:color="auto"/>
              <w:left w:val="nil"/>
              <w:bottom w:val="single" w:sz="4" w:space="0" w:color="auto"/>
              <w:right w:val="single" w:sz="8" w:space="0" w:color="auto"/>
            </w:tcBorders>
            <w:shd w:val="clear" w:color="auto" w:fill="BFBFBF"/>
            <w:tcMar>
              <w:top w:w="0" w:type="dxa"/>
              <w:left w:w="108" w:type="dxa"/>
              <w:bottom w:w="0" w:type="dxa"/>
              <w:right w:w="108" w:type="dxa"/>
            </w:tcMar>
            <w:hideMark/>
          </w:tcPr>
          <w:p w:rsidR="00777C23" w:rsidRDefault="00777C23" w:rsidP="009E665C">
            <w:pPr>
              <w:pStyle w:val="Tablewriting"/>
              <w:jc w:val="center"/>
              <w:rPr>
                <w:b/>
                <w:bCs/>
                <w:color w:val="auto"/>
              </w:rPr>
            </w:pPr>
            <w:r>
              <w:rPr>
                <w:b/>
                <w:bCs/>
                <w:color w:val="auto"/>
              </w:rPr>
              <w:t>Median (days)</w:t>
            </w:r>
          </w:p>
        </w:tc>
      </w:tr>
      <w:tr w:rsidR="00777C23" w:rsidTr="009E665C">
        <w:tc>
          <w:tcPr>
            <w:tcW w:w="3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C23" w:rsidRDefault="00777C23" w:rsidP="009E665C">
            <w:pPr>
              <w:pStyle w:val="Tablewriting"/>
              <w:rPr>
                <w:color w:val="auto"/>
              </w:rPr>
            </w:pPr>
            <w:r>
              <w:rPr>
                <w:color w:val="auto"/>
              </w:rPr>
              <w:t>GP</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C23" w:rsidRDefault="002E32E7" w:rsidP="009E665C">
            <w:pPr>
              <w:pStyle w:val="Tablewriting"/>
              <w:jc w:val="center"/>
              <w:rPr>
                <w:color w:val="auto"/>
              </w:rPr>
            </w:pPr>
            <w:r>
              <w:rPr>
                <w:color w:val="auto"/>
              </w:rPr>
              <w:t>343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C23" w:rsidRDefault="002E32E7" w:rsidP="009E665C">
            <w:pPr>
              <w:pStyle w:val="Tablewriting"/>
              <w:jc w:val="center"/>
              <w:rPr>
                <w:color w:val="auto"/>
              </w:rPr>
            </w:pPr>
            <w:r>
              <w:rPr>
                <w:color w:val="auto"/>
              </w:rPr>
              <w:t>150</w:t>
            </w:r>
          </w:p>
        </w:tc>
      </w:tr>
      <w:tr w:rsidR="00777C23" w:rsidTr="009E665C">
        <w:tc>
          <w:tcPr>
            <w:tcW w:w="3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C23" w:rsidRDefault="00777C23" w:rsidP="009E665C">
            <w:pPr>
              <w:pStyle w:val="Tablewriting"/>
              <w:rPr>
                <w:color w:val="auto"/>
              </w:rPr>
            </w:pPr>
            <w:r>
              <w:rPr>
                <w:color w:val="auto"/>
              </w:rPr>
              <w:t>Haematology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C23" w:rsidRDefault="002E32E7" w:rsidP="009E665C">
            <w:pPr>
              <w:pStyle w:val="Tablewriting"/>
              <w:jc w:val="center"/>
              <w:rPr>
                <w:color w:val="auto"/>
              </w:rPr>
            </w:pPr>
            <w:r>
              <w:rPr>
                <w:color w:val="auto"/>
              </w:rPr>
              <w:t>331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C23" w:rsidRDefault="002E32E7" w:rsidP="009E665C">
            <w:pPr>
              <w:pStyle w:val="Tablewriting"/>
              <w:jc w:val="center"/>
              <w:rPr>
                <w:color w:val="auto"/>
              </w:rPr>
            </w:pPr>
            <w:r>
              <w:rPr>
                <w:color w:val="auto"/>
              </w:rPr>
              <w:t>167</w:t>
            </w:r>
          </w:p>
        </w:tc>
      </w:tr>
      <w:tr w:rsidR="00777C23" w:rsidTr="009E665C">
        <w:tc>
          <w:tcPr>
            <w:tcW w:w="3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C23" w:rsidRDefault="00777C23" w:rsidP="009E665C">
            <w:pPr>
              <w:pStyle w:val="Tablewriting"/>
              <w:rPr>
                <w:color w:val="auto"/>
              </w:rPr>
            </w:pPr>
            <w:r>
              <w:rPr>
                <w:color w:val="auto"/>
              </w:rPr>
              <w:t>Nephrology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C23" w:rsidRDefault="002E32E7" w:rsidP="009E665C">
            <w:pPr>
              <w:pStyle w:val="Tablewriting"/>
              <w:jc w:val="center"/>
              <w:rPr>
                <w:color w:val="auto"/>
              </w:rPr>
            </w:pPr>
            <w:r>
              <w:rPr>
                <w:color w:val="auto"/>
              </w:rPr>
              <w:t>708</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C23" w:rsidRDefault="002E32E7" w:rsidP="009E665C">
            <w:pPr>
              <w:pStyle w:val="Tablewriting"/>
              <w:jc w:val="center"/>
              <w:rPr>
                <w:color w:val="auto"/>
              </w:rPr>
            </w:pPr>
            <w:r>
              <w:rPr>
                <w:color w:val="auto"/>
              </w:rPr>
              <w:t>350</w:t>
            </w:r>
          </w:p>
        </w:tc>
      </w:tr>
    </w:tbl>
    <w:p w:rsidR="00777C23" w:rsidRPr="00B325DD" w:rsidRDefault="00777C23" w:rsidP="00777C23">
      <w:pPr>
        <w:pStyle w:val="Figurecaption"/>
        <w:spacing w:after="0"/>
      </w:pPr>
      <w:r w:rsidRPr="00B325DD">
        <w:t xml:space="preserve">Time period: December 2014 – May 2020. </w:t>
      </w:r>
    </w:p>
    <w:p w:rsidR="00777C23" w:rsidRDefault="00777C23" w:rsidP="00777C23">
      <w:pPr>
        <w:pStyle w:val="Figurecaption"/>
      </w:pPr>
      <w:r>
        <w:t xml:space="preserve">Source: </w:t>
      </w:r>
      <w:r w:rsidRPr="00B325DD">
        <w:t>Services Australia supplied prescriptions database to 3</w:t>
      </w:r>
      <w:r>
        <w:t>1</w:t>
      </w:r>
      <w:r w:rsidRPr="00B325DD">
        <w:t xml:space="preserve"> May 2020; extracted 2 July 2020.</w:t>
      </w:r>
    </w:p>
    <w:p w:rsidR="00777C23" w:rsidRDefault="00777C23" w:rsidP="002F7E16"/>
    <w:p w:rsidR="00BF00A1" w:rsidRDefault="00BF00A1" w:rsidP="002F7E16">
      <w:r>
        <w:t xml:space="preserve">Figure </w:t>
      </w:r>
      <w:r w:rsidR="005D2008">
        <w:t>5</w:t>
      </w:r>
      <w:r>
        <w:t xml:space="preserve"> and Table </w:t>
      </w:r>
      <w:r w:rsidR="005C7DEA">
        <w:t>5</w:t>
      </w:r>
      <w:r>
        <w:t xml:space="preserve"> show that GPs provided the most initial prescriptions, while patients of </w:t>
      </w:r>
      <w:r w:rsidR="0092775D">
        <w:t xml:space="preserve">nephrologists and haematologists were on treatment the longest. </w:t>
      </w:r>
      <w:r w:rsidR="0080402B">
        <w:t xml:space="preserve">Further data analysis </w:t>
      </w:r>
      <w:r w:rsidR="00C9321F">
        <w:t xml:space="preserve">has shown that </w:t>
      </w:r>
      <w:r w:rsidR="00D556A3">
        <w:t>i</w:t>
      </w:r>
      <w:r w:rsidR="0092775D">
        <w:t xml:space="preserve">t is likely that </w:t>
      </w:r>
      <w:r w:rsidR="00D556A3">
        <w:t xml:space="preserve">almost all of the initiating </w:t>
      </w:r>
      <w:r w:rsidR="0092775D">
        <w:t xml:space="preserve">GPs have provided </w:t>
      </w:r>
      <w:r w:rsidR="00D556A3">
        <w:t xml:space="preserve">these </w:t>
      </w:r>
      <w:r w:rsidR="0092775D">
        <w:t>prescriptions in a hospital setting</w:t>
      </w:r>
      <w:r w:rsidR="00D556A3">
        <w:t>, more than likely</w:t>
      </w:r>
      <w:r w:rsidR="0092775D">
        <w:t xml:space="preserve"> in consultation with a specialist. </w:t>
      </w:r>
    </w:p>
    <w:p w:rsidR="0092775D" w:rsidRDefault="0092775D" w:rsidP="002F7E16">
      <w:r>
        <w:t xml:space="preserve">At 2000 days </w:t>
      </w:r>
      <w:r w:rsidR="00FA3A67">
        <w:t xml:space="preserve">since initiation </w:t>
      </w:r>
      <w:r>
        <w:t>of treatment, no patients that had an initial GP prescription remained on treatment.</w:t>
      </w:r>
    </w:p>
    <w:p w:rsidR="00C270F4" w:rsidRDefault="00C270F4" w:rsidP="009E665C">
      <w:pPr>
        <w:pStyle w:val="Heading3"/>
      </w:pPr>
      <w:r>
        <w:t>Adjusting the estimate of Length of Treatment using Date of Death</w:t>
      </w:r>
      <w:r w:rsidR="00AD6B94">
        <w:t xml:space="preserve"> (</w:t>
      </w:r>
      <w:proofErr w:type="gramStart"/>
      <w:r w:rsidR="00AD6B94">
        <w:t>DoD</w:t>
      </w:r>
      <w:proofErr w:type="gramEnd"/>
      <w:r w:rsidR="00AD6B94">
        <w:t>)</w:t>
      </w:r>
      <w:r>
        <w:t xml:space="preserve"> data</w:t>
      </w:r>
    </w:p>
    <w:p w:rsidR="00C467AF" w:rsidRPr="001D3D25" w:rsidRDefault="00C467AF" w:rsidP="00C467AF">
      <w:pPr>
        <w:pStyle w:val="Tabletitle"/>
        <w:spacing w:before="200"/>
      </w:pPr>
      <w:r w:rsidRPr="001D3D25">
        <w:t xml:space="preserve">Table </w:t>
      </w:r>
      <w:r w:rsidR="005C7DEA">
        <w:t>6</w:t>
      </w:r>
      <w:r w:rsidRPr="001D3D25">
        <w:t>: Treatment Status</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160"/>
        <w:gridCol w:w="1287"/>
      </w:tblGrid>
      <w:tr w:rsidR="00C467AF" w:rsidRPr="001D3D25" w:rsidTr="00293A7C">
        <w:trPr>
          <w:trHeight w:val="300"/>
        </w:trPr>
        <w:tc>
          <w:tcPr>
            <w:tcW w:w="3360" w:type="dxa"/>
            <w:shd w:val="clear" w:color="auto" w:fill="BFBFBF" w:themeFill="background1" w:themeFillShade="BF"/>
            <w:noWrap/>
            <w:vAlign w:val="bottom"/>
            <w:hideMark/>
          </w:tcPr>
          <w:p w:rsidR="00C467AF" w:rsidRPr="001D3D25" w:rsidRDefault="00C467AF" w:rsidP="00293A7C">
            <w:pPr>
              <w:spacing w:after="0"/>
              <w:rPr>
                <w:rFonts w:ascii="Calibri" w:eastAsia="Times New Roman" w:hAnsi="Calibri" w:cs="Calibri"/>
                <w:b/>
                <w:sz w:val="20"/>
                <w:szCs w:val="20"/>
              </w:rPr>
            </w:pPr>
            <w:r w:rsidRPr="001D3D25">
              <w:rPr>
                <w:rFonts w:ascii="Calibri" w:eastAsia="Times New Roman" w:hAnsi="Calibri" w:cs="Calibri"/>
                <w:b/>
                <w:sz w:val="20"/>
                <w:szCs w:val="20"/>
              </w:rPr>
              <w:t>Treatment status</w:t>
            </w:r>
          </w:p>
        </w:tc>
        <w:tc>
          <w:tcPr>
            <w:tcW w:w="1160" w:type="dxa"/>
            <w:shd w:val="clear" w:color="auto" w:fill="BFBFBF" w:themeFill="background1" w:themeFillShade="BF"/>
            <w:noWrap/>
            <w:hideMark/>
          </w:tcPr>
          <w:p w:rsidR="00C467AF" w:rsidRPr="001D3D25" w:rsidRDefault="00C467AF" w:rsidP="00293A7C">
            <w:pPr>
              <w:spacing w:after="0"/>
              <w:jc w:val="center"/>
              <w:rPr>
                <w:rFonts w:ascii="Calibri" w:eastAsia="Times New Roman" w:hAnsi="Calibri" w:cs="Calibri"/>
                <w:b/>
                <w:sz w:val="20"/>
                <w:szCs w:val="20"/>
              </w:rPr>
            </w:pPr>
            <w:r w:rsidRPr="001D3D25">
              <w:rPr>
                <w:rFonts w:ascii="Calibri" w:eastAsia="Times New Roman" w:hAnsi="Calibri" w:cs="Calibri"/>
                <w:b/>
                <w:sz w:val="20"/>
                <w:szCs w:val="20"/>
              </w:rPr>
              <w:t>Patients</w:t>
            </w:r>
          </w:p>
        </w:tc>
        <w:tc>
          <w:tcPr>
            <w:tcW w:w="1287" w:type="dxa"/>
            <w:shd w:val="clear" w:color="auto" w:fill="BFBFBF" w:themeFill="background1" w:themeFillShade="BF"/>
            <w:noWrap/>
            <w:hideMark/>
          </w:tcPr>
          <w:p w:rsidR="00C467AF" w:rsidRPr="001D3D25" w:rsidRDefault="00C467AF" w:rsidP="00293A7C">
            <w:pPr>
              <w:spacing w:after="0"/>
              <w:jc w:val="center"/>
              <w:rPr>
                <w:rFonts w:ascii="Calibri" w:eastAsia="Times New Roman" w:hAnsi="Calibri" w:cs="Calibri"/>
                <w:b/>
                <w:sz w:val="20"/>
                <w:szCs w:val="20"/>
              </w:rPr>
            </w:pPr>
            <w:r w:rsidRPr="001D3D25">
              <w:rPr>
                <w:rFonts w:ascii="Calibri" w:eastAsia="Times New Roman" w:hAnsi="Calibri" w:cs="Calibri"/>
                <w:b/>
                <w:sz w:val="20"/>
                <w:szCs w:val="20"/>
              </w:rPr>
              <w:t>% patients</w:t>
            </w:r>
          </w:p>
        </w:tc>
      </w:tr>
      <w:tr w:rsidR="00C467AF" w:rsidRPr="001D3D25" w:rsidTr="00293A7C">
        <w:trPr>
          <w:trHeight w:val="300"/>
        </w:trPr>
        <w:tc>
          <w:tcPr>
            <w:tcW w:w="3360" w:type="dxa"/>
            <w:shd w:val="clear" w:color="auto" w:fill="auto"/>
            <w:noWrap/>
            <w:vAlign w:val="bottom"/>
            <w:hideMark/>
          </w:tcPr>
          <w:p w:rsidR="00C467AF" w:rsidRPr="001D3D25" w:rsidRDefault="00C467AF" w:rsidP="00293A7C">
            <w:pPr>
              <w:spacing w:after="0"/>
              <w:rPr>
                <w:rFonts w:ascii="Calibri" w:eastAsia="Times New Roman" w:hAnsi="Calibri" w:cs="Calibri"/>
                <w:sz w:val="20"/>
                <w:szCs w:val="20"/>
              </w:rPr>
            </w:pPr>
            <w:r w:rsidRPr="001D3D25">
              <w:rPr>
                <w:rFonts w:ascii="Calibri" w:eastAsia="Times New Roman" w:hAnsi="Calibri" w:cs="Calibri"/>
                <w:sz w:val="20"/>
                <w:szCs w:val="20"/>
              </w:rPr>
              <w:t>Alive and not on treatment</w:t>
            </w:r>
          </w:p>
        </w:tc>
        <w:tc>
          <w:tcPr>
            <w:tcW w:w="1160" w:type="dxa"/>
            <w:shd w:val="clear" w:color="auto" w:fill="auto"/>
            <w:noWrap/>
            <w:hideMark/>
          </w:tcPr>
          <w:p w:rsidR="00C467AF" w:rsidRPr="001D3D25" w:rsidRDefault="00C467AF" w:rsidP="00293A7C">
            <w:pPr>
              <w:spacing w:after="0"/>
              <w:jc w:val="center"/>
              <w:rPr>
                <w:rFonts w:ascii="Calibri" w:eastAsia="Times New Roman" w:hAnsi="Calibri" w:cs="Calibri"/>
                <w:sz w:val="20"/>
                <w:szCs w:val="20"/>
              </w:rPr>
            </w:pPr>
            <w:r w:rsidRPr="001D3D25">
              <w:rPr>
                <w:rFonts w:ascii="Calibri" w:eastAsia="Times New Roman" w:hAnsi="Calibri" w:cs="Calibri"/>
                <w:sz w:val="20"/>
                <w:szCs w:val="20"/>
              </w:rPr>
              <w:t>156</w:t>
            </w:r>
          </w:p>
        </w:tc>
        <w:tc>
          <w:tcPr>
            <w:tcW w:w="1287" w:type="dxa"/>
            <w:shd w:val="clear" w:color="auto" w:fill="auto"/>
            <w:noWrap/>
            <w:hideMark/>
          </w:tcPr>
          <w:p w:rsidR="00C467AF" w:rsidRPr="001D3D25" w:rsidRDefault="00C467AF" w:rsidP="00293A7C">
            <w:pPr>
              <w:spacing w:after="0"/>
              <w:jc w:val="center"/>
              <w:rPr>
                <w:rFonts w:ascii="Calibri" w:eastAsia="Times New Roman" w:hAnsi="Calibri" w:cs="Calibri"/>
                <w:sz w:val="20"/>
                <w:szCs w:val="20"/>
              </w:rPr>
            </w:pPr>
            <w:r w:rsidRPr="001D3D25">
              <w:rPr>
                <w:rFonts w:ascii="Calibri" w:eastAsia="Times New Roman" w:hAnsi="Calibri" w:cs="Calibri"/>
                <w:sz w:val="20"/>
                <w:szCs w:val="20"/>
              </w:rPr>
              <w:t>52.3%</w:t>
            </w:r>
          </w:p>
        </w:tc>
      </w:tr>
      <w:tr w:rsidR="00C467AF" w:rsidRPr="001D3D25" w:rsidTr="00293A7C">
        <w:trPr>
          <w:trHeight w:val="300"/>
        </w:trPr>
        <w:tc>
          <w:tcPr>
            <w:tcW w:w="3360" w:type="dxa"/>
            <w:shd w:val="clear" w:color="auto" w:fill="auto"/>
            <w:noWrap/>
            <w:vAlign w:val="bottom"/>
            <w:hideMark/>
          </w:tcPr>
          <w:p w:rsidR="00C467AF" w:rsidRPr="001D3D25" w:rsidRDefault="00C467AF" w:rsidP="00293A7C">
            <w:pPr>
              <w:spacing w:after="0"/>
              <w:rPr>
                <w:rFonts w:ascii="Calibri" w:eastAsia="Times New Roman" w:hAnsi="Calibri" w:cs="Calibri"/>
                <w:sz w:val="20"/>
                <w:szCs w:val="20"/>
              </w:rPr>
            </w:pPr>
            <w:r w:rsidRPr="001D3D25">
              <w:rPr>
                <w:rFonts w:ascii="Calibri" w:eastAsia="Times New Roman" w:hAnsi="Calibri" w:cs="Calibri"/>
                <w:sz w:val="20"/>
                <w:szCs w:val="20"/>
              </w:rPr>
              <w:t>Alive on treatment</w:t>
            </w:r>
          </w:p>
        </w:tc>
        <w:tc>
          <w:tcPr>
            <w:tcW w:w="1160" w:type="dxa"/>
            <w:shd w:val="clear" w:color="auto" w:fill="auto"/>
            <w:noWrap/>
            <w:hideMark/>
          </w:tcPr>
          <w:p w:rsidR="00C467AF" w:rsidRPr="001D3D25" w:rsidRDefault="00C467AF" w:rsidP="00293A7C">
            <w:pPr>
              <w:spacing w:after="0"/>
              <w:jc w:val="center"/>
              <w:rPr>
                <w:rFonts w:ascii="Calibri" w:eastAsia="Times New Roman" w:hAnsi="Calibri" w:cs="Calibri"/>
                <w:sz w:val="20"/>
                <w:szCs w:val="20"/>
              </w:rPr>
            </w:pPr>
            <w:r w:rsidRPr="001D3D25">
              <w:rPr>
                <w:rFonts w:ascii="Calibri" w:eastAsia="Times New Roman" w:hAnsi="Calibri" w:cs="Calibri"/>
                <w:sz w:val="20"/>
                <w:szCs w:val="20"/>
              </w:rPr>
              <w:t>68</w:t>
            </w:r>
          </w:p>
        </w:tc>
        <w:tc>
          <w:tcPr>
            <w:tcW w:w="1287" w:type="dxa"/>
            <w:shd w:val="clear" w:color="auto" w:fill="auto"/>
            <w:noWrap/>
            <w:hideMark/>
          </w:tcPr>
          <w:p w:rsidR="00C467AF" w:rsidRPr="001D3D25" w:rsidRDefault="00C467AF" w:rsidP="00293A7C">
            <w:pPr>
              <w:spacing w:after="0"/>
              <w:jc w:val="center"/>
              <w:rPr>
                <w:rFonts w:ascii="Calibri" w:eastAsia="Times New Roman" w:hAnsi="Calibri" w:cs="Calibri"/>
                <w:sz w:val="20"/>
                <w:szCs w:val="20"/>
              </w:rPr>
            </w:pPr>
            <w:r w:rsidRPr="001D3D25">
              <w:rPr>
                <w:rFonts w:ascii="Calibri" w:eastAsia="Times New Roman" w:hAnsi="Calibri" w:cs="Calibri"/>
                <w:sz w:val="20"/>
                <w:szCs w:val="20"/>
              </w:rPr>
              <w:t>22.8%</w:t>
            </w:r>
          </w:p>
        </w:tc>
      </w:tr>
      <w:tr w:rsidR="00C467AF" w:rsidRPr="001D3D25" w:rsidTr="00293A7C">
        <w:trPr>
          <w:trHeight w:val="300"/>
        </w:trPr>
        <w:tc>
          <w:tcPr>
            <w:tcW w:w="3360" w:type="dxa"/>
            <w:shd w:val="clear" w:color="auto" w:fill="auto"/>
            <w:noWrap/>
            <w:vAlign w:val="bottom"/>
            <w:hideMark/>
          </w:tcPr>
          <w:p w:rsidR="00C467AF" w:rsidRPr="001D3D25" w:rsidRDefault="00C467AF" w:rsidP="00293A7C">
            <w:pPr>
              <w:spacing w:after="0"/>
              <w:rPr>
                <w:rFonts w:ascii="Calibri" w:eastAsia="Times New Roman" w:hAnsi="Calibri" w:cs="Calibri"/>
                <w:sz w:val="20"/>
                <w:szCs w:val="20"/>
              </w:rPr>
            </w:pPr>
            <w:r w:rsidRPr="001D3D25">
              <w:rPr>
                <w:rFonts w:ascii="Calibri" w:eastAsia="Times New Roman" w:hAnsi="Calibri" w:cs="Calibri"/>
                <w:sz w:val="20"/>
                <w:szCs w:val="20"/>
              </w:rPr>
              <w:t>Died on treatment</w:t>
            </w:r>
          </w:p>
        </w:tc>
        <w:tc>
          <w:tcPr>
            <w:tcW w:w="1160" w:type="dxa"/>
            <w:shd w:val="clear" w:color="auto" w:fill="auto"/>
            <w:noWrap/>
            <w:hideMark/>
          </w:tcPr>
          <w:p w:rsidR="00C467AF" w:rsidRPr="001D3D25" w:rsidRDefault="00C467AF" w:rsidP="00293A7C">
            <w:pPr>
              <w:spacing w:after="0"/>
              <w:jc w:val="center"/>
              <w:rPr>
                <w:rFonts w:ascii="Calibri" w:eastAsia="Times New Roman" w:hAnsi="Calibri" w:cs="Calibri"/>
                <w:sz w:val="20"/>
                <w:szCs w:val="20"/>
              </w:rPr>
            </w:pPr>
            <w:r w:rsidRPr="001D3D25">
              <w:rPr>
                <w:rFonts w:ascii="Calibri" w:eastAsia="Times New Roman" w:hAnsi="Calibri" w:cs="Calibri"/>
                <w:sz w:val="20"/>
                <w:szCs w:val="20"/>
              </w:rPr>
              <w:t>39</w:t>
            </w:r>
          </w:p>
        </w:tc>
        <w:tc>
          <w:tcPr>
            <w:tcW w:w="1287" w:type="dxa"/>
            <w:shd w:val="clear" w:color="auto" w:fill="auto"/>
            <w:noWrap/>
            <w:hideMark/>
          </w:tcPr>
          <w:p w:rsidR="00C467AF" w:rsidRPr="001D3D25" w:rsidRDefault="00C467AF" w:rsidP="00293A7C">
            <w:pPr>
              <w:spacing w:after="0"/>
              <w:jc w:val="center"/>
              <w:rPr>
                <w:rFonts w:ascii="Calibri" w:eastAsia="Times New Roman" w:hAnsi="Calibri" w:cs="Calibri"/>
                <w:sz w:val="20"/>
                <w:szCs w:val="20"/>
              </w:rPr>
            </w:pPr>
            <w:r w:rsidRPr="001D3D25">
              <w:rPr>
                <w:rFonts w:ascii="Calibri" w:eastAsia="Times New Roman" w:hAnsi="Calibri" w:cs="Calibri"/>
                <w:sz w:val="20"/>
                <w:szCs w:val="20"/>
              </w:rPr>
              <w:t>13.1%</w:t>
            </w:r>
          </w:p>
        </w:tc>
      </w:tr>
      <w:tr w:rsidR="00C467AF" w:rsidRPr="001D3D25" w:rsidTr="00293A7C">
        <w:trPr>
          <w:trHeight w:val="300"/>
        </w:trPr>
        <w:tc>
          <w:tcPr>
            <w:tcW w:w="3360" w:type="dxa"/>
            <w:shd w:val="clear" w:color="auto" w:fill="auto"/>
            <w:noWrap/>
            <w:vAlign w:val="bottom"/>
            <w:hideMark/>
          </w:tcPr>
          <w:p w:rsidR="00C467AF" w:rsidRPr="001D3D25" w:rsidRDefault="00C467AF" w:rsidP="00293A7C">
            <w:pPr>
              <w:spacing w:after="0"/>
              <w:rPr>
                <w:rFonts w:ascii="Calibri" w:eastAsia="Times New Roman" w:hAnsi="Calibri" w:cs="Calibri"/>
                <w:sz w:val="20"/>
                <w:szCs w:val="20"/>
              </w:rPr>
            </w:pPr>
            <w:r w:rsidRPr="001D3D25">
              <w:rPr>
                <w:rFonts w:ascii="Calibri" w:eastAsia="Times New Roman" w:hAnsi="Calibri" w:cs="Calibri"/>
                <w:sz w:val="20"/>
                <w:szCs w:val="20"/>
              </w:rPr>
              <w:t>Died, but did not die on treatment</w:t>
            </w:r>
          </w:p>
        </w:tc>
        <w:tc>
          <w:tcPr>
            <w:tcW w:w="1160" w:type="dxa"/>
            <w:shd w:val="clear" w:color="auto" w:fill="auto"/>
            <w:noWrap/>
            <w:hideMark/>
          </w:tcPr>
          <w:p w:rsidR="00C467AF" w:rsidRPr="001D3D25" w:rsidRDefault="00C467AF" w:rsidP="00293A7C">
            <w:pPr>
              <w:spacing w:after="0"/>
              <w:jc w:val="center"/>
              <w:rPr>
                <w:rFonts w:ascii="Calibri" w:eastAsia="Times New Roman" w:hAnsi="Calibri" w:cs="Calibri"/>
                <w:sz w:val="20"/>
                <w:szCs w:val="20"/>
              </w:rPr>
            </w:pPr>
            <w:r w:rsidRPr="001D3D25">
              <w:rPr>
                <w:rFonts w:ascii="Calibri" w:eastAsia="Times New Roman" w:hAnsi="Calibri" w:cs="Calibri"/>
                <w:sz w:val="20"/>
                <w:szCs w:val="20"/>
              </w:rPr>
              <w:t>35</w:t>
            </w:r>
          </w:p>
        </w:tc>
        <w:tc>
          <w:tcPr>
            <w:tcW w:w="1287" w:type="dxa"/>
            <w:shd w:val="clear" w:color="auto" w:fill="auto"/>
            <w:noWrap/>
            <w:hideMark/>
          </w:tcPr>
          <w:p w:rsidR="00C467AF" w:rsidRPr="001D3D25" w:rsidRDefault="00C467AF" w:rsidP="00293A7C">
            <w:pPr>
              <w:spacing w:after="0"/>
              <w:jc w:val="center"/>
              <w:rPr>
                <w:rFonts w:ascii="Calibri" w:eastAsia="Times New Roman" w:hAnsi="Calibri" w:cs="Calibri"/>
                <w:sz w:val="20"/>
                <w:szCs w:val="20"/>
              </w:rPr>
            </w:pPr>
            <w:r w:rsidRPr="001D3D25">
              <w:rPr>
                <w:rFonts w:ascii="Calibri" w:eastAsia="Times New Roman" w:hAnsi="Calibri" w:cs="Calibri"/>
                <w:sz w:val="20"/>
                <w:szCs w:val="20"/>
              </w:rPr>
              <w:t>11.7%</w:t>
            </w:r>
          </w:p>
        </w:tc>
      </w:tr>
      <w:tr w:rsidR="00C467AF" w:rsidRPr="001D3D25" w:rsidTr="00293A7C">
        <w:trPr>
          <w:trHeight w:val="300"/>
        </w:trPr>
        <w:tc>
          <w:tcPr>
            <w:tcW w:w="3360" w:type="dxa"/>
            <w:shd w:val="clear" w:color="auto" w:fill="auto"/>
            <w:noWrap/>
            <w:vAlign w:val="bottom"/>
            <w:hideMark/>
          </w:tcPr>
          <w:p w:rsidR="00C467AF" w:rsidRPr="001D3D25" w:rsidRDefault="00C467AF" w:rsidP="00293A7C">
            <w:pPr>
              <w:spacing w:after="0"/>
              <w:rPr>
                <w:rFonts w:ascii="Calibri" w:eastAsia="Times New Roman" w:hAnsi="Calibri" w:cs="Calibri"/>
                <w:sz w:val="20"/>
                <w:szCs w:val="20"/>
              </w:rPr>
            </w:pPr>
            <w:r w:rsidRPr="001D3D25">
              <w:rPr>
                <w:rFonts w:ascii="Calibri" w:eastAsia="Times New Roman" w:hAnsi="Calibri" w:cs="Calibri"/>
                <w:sz w:val="20"/>
                <w:szCs w:val="20"/>
              </w:rPr>
              <w:t>Total</w:t>
            </w:r>
          </w:p>
        </w:tc>
        <w:tc>
          <w:tcPr>
            <w:tcW w:w="1160" w:type="dxa"/>
            <w:shd w:val="clear" w:color="auto" w:fill="auto"/>
            <w:noWrap/>
            <w:hideMark/>
          </w:tcPr>
          <w:p w:rsidR="00C467AF" w:rsidRPr="001D3D25" w:rsidRDefault="00C467AF" w:rsidP="00293A7C">
            <w:pPr>
              <w:spacing w:after="0"/>
              <w:jc w:val="center"/>
              <w:rPr>
                <w:rFonts w:ascii="Calibri" w:eastAsia="Times New Roman" w:hAnsi="Calibri" w:cs="Calibri"/>
                <w:sz w:val="20"/>
                <w:szCs w:val="20"/>
              </w:rPr>
            </w:pPr>
            <w:r w:rsidRPr="001D3D25">
              <w:rPr>
                <w:rFonts w:ascii="Calibri" w:eastAsia="Times New Roman" w:hAnsi="Calibri" w:cs="Calibri"/>
                <w:sz w:val="20"/>
                <w:szCs w:val="20"/>
              </w:rPr>
              <w:t>298</w:t>
            </w:r>
          </w:p>
        </w:tc>
        <w:tc>
          <w:tcPr>
            <w:tcW w:w="1287" w:type="dxa"/>
            <w:shd w:val="clear" w:color="auto" w:fill="auto"/>
            <w:noWrap/>
            <w:hideMark/>
          </w:tcPr>
          <w:p w:rsidR="00C467AF" w:rsidRPr="001D3D25" w:rsidRDefault="00C467AF" w:rsidP="00293A7C">
            <w:pPr>
              <w:spacing w:after="0"/>
              <w:jc w:val="center"/>
              <w:rPr>
                <w:rFonts w:ascii="Calibri" w:eastAsia="Times New Roman" w:hAnsi="Calibri" w:cs="Calibri"/>
                <w:sz w:val="20"/>
                <w:szCs w:val="20"/>
              </w:rPr>
            </w:pPr>
            <w:r w:rsidRPr="00817586">
              <w:rPr>
                <w:rFonts w:ascii="Calibri" w:eastAsia="Times New Roman" w:hAnsi="Calibri" w:cs="Calibri"/>
                <w:sz w:val="20"/>
                <w:szCs w:val="20"/>
              </w:rPr>
              <w:t>100%</w:t>
            </w:r>
          </w:p>
        </w:tc>
      </w:tr>
    </w:tbl>
    <w:p w:rsidR="00F402CC" w:rsidRDefault="00C467AF" w:rsidP="00BB2CB7">
      <w:pPr>
        <w:pStyle w:val="Figurecaption"/>
        <w:spacing w:after="0"/>
      </w:pPr>
      <w:r w:rsidRPr="001D3D25">
        <w:t xml:space="preserve">Note: The data excludes 19 patients </w:t>
      </w:r>
      <w:r w:rsidR="00BC4AE8">
        <w:t>who were recent patients and had data outside of this data analysis period</w:t>
      </w:r>
      <w:r w:rsidRPr="001D3D25">
        <w:t>.</w:t>
      </w:r>
      <w:r w:rsidR="00BC4AE8">
        <w:t xml:space="preserve"> </w:t>
      </w:r>
      <w:proofErr w:type="gramStart"/>
      <w:r w:rsidR="00BC4AE8">
        <w:t>D</w:t>
      </w:r>
      <w:r w:rsidR="00AD6B94">
        <w:t>oD</w:t>
      </w:r>
      <w:proofErr w:type="gramEnd"/>
      <w:r w:rsidR="00BC4AE8">
        <w:t xml:space="preserve"> data is only complete until 31 December 2019 and partially complete until 20/3/2020. There is the </w:t>
      </w:r>
      <w:r w:rsidR="00854A61">
        <w:t>possibility that some of the 224 alive patients might have died since the time this data was obtained.</w:t>
      </w:r>
    </w:p>
    <w:p w:rsidR="00BB2CB7" w:rsidRPr="00B325DD" w:rsidRDefault="00BB2CB7" w:rsidP="00BB2CB7">
      <w:pPr>
        <w:pStyle w:val="Figurecaption"/>
        <w:spacing w:after="0"/>
      </w:pPr>
      <w:r w:rsidRPr="00B325DD">
        <w:t xml:space="preserve">Time period: </w:t>
      </w:r>
      <w:r w:rsidRPr="009E665C">
        <w:t>December 2014 – 20 March 2020.</w:t>
      </w:r>
      <w:r w:rsidRPr="00B325DD">
        <w:t xml:space="preserve"> </w:t>
      </w:r>
    </w:p>
    <w:p w:rsidR="00BB2CB7" w:rsidRDefault="00BB2CB7" w:rsidP="00BB2CB7">
      <w:pPr>
        <w:pStyle w:val="Figurecaption"/>
      </w:pPr>
      <w:r w:rsidRPr="00B325DD">
        <w:t>Source: PIN count, Services Australia supplied prescriptions database to 3</w:t>
      </w:r>
      <w:r>
        <w:t>1</w:t>
      </w:r>
      <w:r w:rsidRPr="00B325DD">
        <w:t xml:space="preserve"> May 2020; extracted 2 July 2020.</w:t>
      </w:r>
    </w:p>
    <w:p w:rsidR="00D95CBD" w:rsidRDefault="00D95CBD" w:rsidP="00C467AF"/>
    <w:p w:rsidR="00C467AF" w:rsidRDefault="00BB2CB7" w:rsidP="00C467AF">
      <w:r>
        <w:t xml:space="preserve">During the time period </w:t>
      </w:r>
      <w:r w:rsidRPr="009E665C">
        <w:t>(December 2014 to 3</w:t>
      </w:r>
      <w:r w:rsidR="00AD5905" w:rsidRPr="009E665C">
        <w:t>1</w:t>
      </w:r>
      <w:r w:rsidRPr="009E665C">
        <w:t xml:space="preserve"> May 2020)</w:t>
      </w:r>
      <w:r>
        <w:t xml:space="preserve"> 74 (24.8%) of the 298 people who received </w:t>
      </w:r>
      <w:proofErr w:type="spellStart"/>
      <w:r>
        <w:t>eculizumab</w:t>
      </w:r>
      <w:proofErr w:type="spellEnd"/>
      <w:r>
        <w:t xml:space="preserve"> had died</w:t>
      </w:r>
      <w:r w:rsidR="006C4E86">
        <w:t>.</w:t>
      </w:r>
      <w:r w:rsidR="00573F55">
        <w:t xml:space="preserve"> </w:t>
      </w:r>
      <w:r w:rsidR="006C4E86">
        <w:t>T</w:t>
      </w:r>
      <w:r w:rsidR="00573F55">
        <w:t xml:space="preserve">his averages out to 4.1% per annum, </w:t>
      </w:r>
      <w:r w:rsidR="006C4E86">
        <w:t xml:space="preserve">and is </w:t>
      </w:r>
      <w:r w:rsidR="00573F55">
        <w:t xml:space="preserve">less than the 1 year mortality rate of 13% using supportive care as reported by the TMA registry in the 2014 </w:t>
      </w:r>
      <w:proofErr w:type="gramStart"/>
      <w:r w:rsidR="00573F55">
        <w:t xml:space="preserve">submission </w:t>
      </w:r>
      <w:r>
        <w:t>.</w:t>
      </w:r>
      <w:proofErr w:type="gramEnd"/>
      <w:r>
        <w:t xml:space="preserve"> Of these patients, 39 (13.1%) died whilst receiving </w:t>
      </w:r>
      <w:proofErr w:type="spellStart"/>
      <w:r>
        <w:t>eculizumab</w:t>
      </w:r>
      <w:proofErr w:type="spellEnd"/>
      <w:r>
        <w:t xml:space="preserve"> treatment. This may indicate that some patients were treated beyond disease </w:t>
      </w:r>
      <w:r w:rsidR="00E7206C">
        <w:t>progression</w:t>
      </w:r>
      <w:r w:rsidR="00F935EC">
        <w:t>,</w:t>
      </w:r>
      <w:r w:rsidR="00E7206C">
        <w:t xml:space="preserve"> which</w:t>
      </w:r>
      <w:r>
        <w:t xml:space="preserve"> </w:t>
      </w:r>
      <w:r w:rsidR="001E2725">
        <w:t>i</w:t>
      </w:r>
      <w:r>
        <w:t xml:space="preserve">s outside the PBS restriction. </w:t>
      </w:r>
      <w:r w:rsidR="00C467AF">
        <w:t xml:space="preserve"> </w:t>
      </w:r>
    </w:p>
    <w:p w:rsidR="00F402CC" w:rsidRPr="00F402CC" w:rsidRDefault="00F402CC" w:rsidP="00C467AF">
      <w:pPr>
        <w:pStyle w:val="Tabletitle"/>
        <w:spacing w:before="200"/>
        <w:rPr>
          <w:b w:val="0"/>
        </w:rPr>
      </w:pPr>
    </w:p>
    <w:p w:rsidR="003B6934" w:rsidRPr="00C93E13" w:rsidRDefault="003B6934" w:rsidP="00D95CBD">
      <w:pPr>
        <w:pStyle w:val="Tabletitle"/>
        <w:keepNext/>
        <w:spacing w:before="200"/>
      </w:pPr>
      <w:r w:rsidRPr="00C93E13">
        <w:lastRenderedPageBreak/>
        <w:t>Table</w:t>
      </w:r>
      <w:r w:rsidR="005D2008">
        <w:t xml:space="preserve"> </w:t>
      </w:r>
      <w:r w:rsidR="005C7DEA">
        <w:t>7</w:t>
      </w:r>
      <w:r w:rsidRPr="00C93E13">
        <w:t xml:space="preserve">: </w:t>
      </w:r>
      <w:r w:rsidR="00E7265C">
        <w:t xml:space="preserve">Comparison of </w:t>
      </w:r>
      <w:r>
        <w:t xml:space="preserve">Length of treatment </w:t>
      </w:r>
      <w:r w:rsidR="00E7265C">
        <w:t xml:space="preserve">with and without adjustment for </w:t>
      </w:r>
      <w:proofErr w:type="gramStart"/>
      <w:r w:rsidR="00E7265C">
        <w:t>DoD</w:t>
      </w:r>
      <w:proofErr w:type="gramEnd"/>
      <w:r w:rsidR="00E7265C">
        <w:t xml:space="preserve"> (standard censoring)</w:t>
      </w:r>
    </w:p>
    <w:tbl>
      <w:tblPr>
        <w:tblW w:w="0" w:type="auto"/>
        <w:tblCellMar>
          <w:left w:w="0" w:type="dxa"/>
          <w:right w:w="0" w:type="dxa"/>
        </w:tblCellMar>
        <w:tblLook w:val="04A0" w:firstRow="1" w:lastRow="0" w:firstColumn="1" w:lastColumn="0" w:noHBand="0" w:noVBand="1"/>
      </w:tblPr>
      <w:tblGrid>
        <w:gridCol w:w="5243"/>
        <w:gridCol w:w="898"/>
        <w:gridCol w:w="1282"/>
        <w:gridCol w:w="1514"/>
      </w:tblGrid>
      <w:tr w:rsidR="00FB4446" w:rsidTr="003B6934">
        <w:tc>
          <w:tcPr>
            <w:tcW w:w="524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FB4446" w:rsidRDefault="00FB4446" w:rsidP="00D95CBD">
            <w:pPr>
              <w:pStyle w:val="Tablewriting"/>
              <w:keepNext/>
              <w:rPr>
                <w:b/>
                <w:bCs/>
                <w:color w:val="auto"/>
              </w:rPr>
            </w:pPr>
            <w:r>
              <w:rPr>
                <w:b/>
                <w:bCs/>
                <w:color w:val="auto"/>
              </w:rPr>
              <w:t>Length of treatment measure</w:t>
            </w:r>
          </w:p>
        </w:tc>
        <w:tc>
          <w:tcPr>
            <w:tcW w:w="89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B4446" w:rsidRDefault="00431601" w:rsidP="00D95CBD">
            <w:pPr>
              <w:pStyle w:val="Tablewriting"/>
              <w:keepNext/>
              <w:jc w:val="center"/>
              <w:rPr>
                <w:b/>
                <w:bCs/>
                <w:color w:val="auto"/>
              </w:rPr>
            </w:pPr>
            <w:r>
              <w:rPr>
                <w:b/>
                <w:bCs/>
                <w:color w:val="auto"/>
              </w:rPr>
              <w:t>P</w:t>
            </w:r>
            <w:r w:rsidR="00FB4446">
              <w:rPr>
                <w:b/>
                <w:bCs/>
                <w:color w:val="auto"/>
              </w:rPr>
              <w:t>atients</w:t>
            </w:r>
          </w:p>
        </w:tc>
        <w:tc>
          <w:tcPr>
            <w:tcW w:w="12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B4446" w:rsidRDefault="00FB4446" w:rsidP="00D95CBD">
            <w:pPr>
              <w:pStyle w:val="Tablewriting"/>
              <w:keepNext/>
              <w:jc w:val="center"/>
              <w:rPr>
                <w:b/>
                <w:bCs/>
                <w:color w:val="auto"/>
              </w:rPr>
            </w:pPr>
            <w:r>
              <w:rPr>
                <w:b/>
                <w:bCs/>
                <w:color w:val="auto"/>
              </w:rPr>
              <w:t>Mean (days)</w:t>
            </w:r>
          </w:p>
        </w:tc>
        <w:tc>
          <w:tcPr>
            <w:tcW w:w="15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B4446" w:rsidRDefault="00FB4446" w:rsidP="00D95CBD">
            <w:pPr>
              <w:pStyle w:val="Tablewriting"/>
              <w:keepNext/>
              <w:jc w:val="center"/>
              <w:rPr>
                <w:b/>
                <w:bCs/>
                <w:color w:val="auto"/>
              </w:rPr>
            </w:pPr>
            <w:r>
              <w:rPr>
                <w:b/>
                <w:bCs/>
                <w:color w:val="auto"/>
              </w:rPr>
              <w:t>Median (days)</w:t>
            </w:r>
          </w:p>
        </w:tc>
      </w:tr>
      <w:tr w:rsidR="00FB4446" w:rsidTr="003B6934">
        <w:tc>
          <w:tcPr>
            <w:tcW w:w="5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46" w:rsidRDefault="00FB4446" w:rsidP="00D95CBD">
            <w:pPr>
              <w:pStyle w:val="Tablewriting"/>
              <w:keepNext/>
              <w:rPr>
                <w:color w:val="auto"/>
              </w:rPr>
            </w:pPr>
            <w:r>
              <w:rPr>
                <w:color w:val="auto"/>
              </w:rPr>
              <w:t>Total length of treatment (including breaks)</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rsidR="00FB4446" w:rsidRDefault="00FB4446" w:rsidP="00D95CBD">
            <w:pPr>
              <w:pStyle w:val="Tablewriting"/>
              <w:keepNext/>
              <w:jc w:val="center"/>
              <w:rPr>
                <w:color w:val="auto"/>
              </w:rPr>
            </w:pPr>
            <w:r>
              <w:rPr>
                <w:color w:val="auto"/>
              </w:rPr>
              <w:t>298</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FB4446" w:rsidRDefault="00FB4446" w:rsidP="00D95CBD">
            <w:pPr>
              <w:pStyle w:val="Tablewriting"/>
              <w:keepNext/>
              <w:jc w:val="center"/>
              <w:rPr>
                <w:color w:val="auto"/>
              </w:rPr>
            </w:pPr>
            <w:r>
              <w:rPr>
                <w:color w:val="auto"/>
              </w:rPr>
              <w:t>529.6</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FB4446" w:rsidRDefault="00FB4446" w:rsidP="00D95CBD">
            <w:pPr>
              <w:pStyle w:val="Tablewriting"/>
              <w:keepNext/>
              <w:jc w:val="center"/>
              <w:rPr>
                <w:color w:val="auto"/>
              </w:rPr>
            </w:pPr>
            <w:r>
              <w:rPr>
                <w:color w:val="auto"/>
              </w:rPr>
              <w:t>154</w:t>
            </w:r>
          </w:p>
        </w:tc>
      </w:tr>
      <w:tr w:rsidR="00FB4446" w:rsidTr="003B6934">
        <w:tc>
          <w:tcPr>
            <w:tcW w:w="5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46" w:rsidRDefault="00FB4446" w:rsidP="00D95CBD">
            <w:pPr>
              <w:pStyle w:val="Tablewriting"/>
              <w:keepNext/>
              <w:rPr>
                <w:color w:val="auto"/>
              </w:rPr>
            </w:pPr>
            <w:r>
              <w:rPr>
                <w:color w:val="auto"/>
              </w:rPr>
              <w:t>Total length of treatment (including breaks, adjusted for DoD)</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rsidR="00FB4446" w:rsidRDefault="00FB4446" w:rsidP="00D95CBD">
            <w:pPr>
              <w:pStyle w:val="Tablewriting"/>
              <w:keepNext/>
              <w:jc w:val="center"/>
              <w:rPr>
                <w:color w:val="auto"/>
              </w:rPr>
            </w:pPr>
            <w:r>
              <w:rPr>
                <w:color w:val="auto"/>
              </w:rPr>
              <w:t>298</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FB4446" w:rsidRDefault="00FB4446" w:rsidP="00D95CBD">
            <w:pPr>
              <w:pStyle w:val="Tablewriting"/>
              <w:keepNext/>
              <w:jc w:val="center"/>
              <w:rPr>
                <w:color w:val="auto"/>
              </w:rPr>
            </w:pPr>
            <w:r>
              <w:rPr>
                <w:color w:val="auto"/>
              </w:rPr>
              <w:t>527.5</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FB4446" w:rsidRDefault="00FB4446" w:rsidP="00D95CBD">
            <w:pPr>
              <w:pStyle w:val="Tablewriting"/>
              <w:keepNext/>
              <w:jc w:val="center"/>
              <w:rPr>
                <w:color w:val="auto"/>
              </w:rPr>
            </w:pPr>
            <w:r>
              <w:rPr>
                <w:color w:val="auto"/>
              </w:rPr>
              <w:t>151</w:t>
            </w:r>
          </w:p>
        </w:tc>
      </w:tr>
    </w:tbl>
    <w:p w:rsidR="003B6934" w:rsidRDefault="003B6934" w:rsidP="00D95CBD">
      <w:pPr>
        <w:pStyle w:val="Figurecaption"/>
        <w:keepNext/>
        <w:spacing w:after="0"/>
      </w:pPr>
      <w:r>
        <w:t xml:space="preserve">Note: This table has been calculated using standard censoring where </w:t>
      </w:r>
      <w:r w:rsidR="00CA7F1E">
        <w:t>death</w:t>
      </w:r>
      <w:r>
        <w:t xml:space="preserve"> </w:t>
      </w:r>
      <w:r w:rsidR="009E7478">
        <w:t xml:space="preserve">whilst on treatment </w:t>
      </w:r>
      <w:r w:rsidR="00E7265C">
        <w:t xml:space="preserve">is </w:t>
      </w:r>
      <w:r w:rsidR="009E7478">
        <w:t xml:space="preserve">a </w:t>
      </w:r>
      <w:r w:rsidR="00E7265C">
        <w:t>no</w:t>
      </w:r>
      <w:r w:rsidR="009E7478">
        <w:t>n-</w:t>
      </w:r>
      <w:r w:rsidR="00E7265C">
        <w:t xml:space="preserve">censored </w:t>
      </w:r>
      <w:r w:rsidR="009E7478">
        <w:t xml:space="preserve">observation </w:t>
      </w:r>
      <w:r w:rsidR="00E7265C">
        <w:t>(i</w:t>
      </w:r>
      <w:r w:rsidR="009E7478">
        <w:t>.</w:t>
      </w:r>
      <w:r w:rsidR="00E7265C">
        <w:t>e. patient is assumed to have ceased treatment</w:t>
      </w:r>
      <w:r w:rsidR="009E7478">
        <w:t xml:space="preserve"> at the </w:t>
      </w:r>
      <w:proofErr w:type="gramStart"/>
      <w:r w:rsidR="00AD6B94">
        <w:t>DoD</w:t>
      </w:r>
      <w:proofErr w:type="gramEnd"/>
      <w:r w:rsidR="00E7265C">
        <w:t xml:space="preserve">) </w:t>
      </w:r>
    </w:p>
    <w:p w:rsidR="003B6934" w:rsidRPr="00B325DD" w:rsidRDefault="003B6934" w:rsidP="00D95CBD">
      <w:pPr>
        <w:pStyle w:val="Figurecaption"/>
        <w:keepNext/>
        <w:spacing w:after="0"/>
      </w:pPr>
      <w:r w:rsidRPr="00B325DD">
        <w:t xml:space="preserve">Time period: December 2014 – </w:t>
      </w:r>
      <w:r w:rsidRPr="00573F55">
        <w:t>May 2020.</w:t>
      </w:r>
      <w:r w:rsidRPr="00B325DD">
        <w:t xml:space="preserve"> </w:t>
      </w:r>
    </w:p>
    <w:p w:rsidR="003B6934" w:rsidRDefault="003B6934" w:rsidP="003B6934">
      <w:pPr>
        <w:pStyle w:val="Figurecaption"/>
      </w:pPr>
      <w:r w:rsidRPr="00B325DD">
        <w:t>Source: PIN count, Services Australia supplied prescriptions database to 3</w:t>
      </w:r>
      <w:r>
        <w:t>1</w:t>
      </w:r>
      <w:r w:rsidRPr="00B325DD">
        <w:t xml:space="preserve"> May 2020; extracted 2 July 2020.</w:t>
      </w:r>
    </w:p>
    <w:p w:rsidR="003B6934" w:rsidRPr="00C93E13" w:rsidRDefault="003B6934" w:rsidP="003B6934">
      <w:pPr>
        <w:pStyle w:val="Tabletitle"/>
        <w:spacing w:before="200"/>
      </w:pPr>
      <w:r w:rsidRPr="00C93E13">
        <w:t xml:space="preserve">Table </w:t>
      </w:r>
      <w:r w:rsidR="005C7DEA">
        <w:t>8</w:t>
      </w:r>
      <w:r w:rsidRPr="00C93E13">
        <w:t xml:space="preserve">: </w:t>
      </w:r>
      <w:r>
        <w:t xml:space="preserve">Length of treatment </w:t>
      </w:r>
      <w:r w:rsidR="00E7265C">
        <w:t xml:space="preserve">adjusted for </w:t>
      </w:r>
      <w:proofErr w:type="gramStart"/>
      <w:r w:rsidR="00E7265C">
        <w:t>DoD</w:t>
      </w:r>
      <w:proofErr w:type="gramEnd"/>
      <w:r w:rsidR="00E7265C">
        <w:t xml:space="preserve"> and using “immor</w:t>
      </w:r>
      <w:r w:rsidR="00FA57CD">
        <w:t>t</w:t>
      </w:r>
      <w:r w:rsidR="00E7265C">
        <w:t>al world” censoring</w:t>
      </w:r>
    </w:p>
    <w:tbl>
      <w:tblPr>
        <w:tblpPr w:leftFromText="180" w:rightFromText="180" w:vertAnchor="text" w:horzAnchor="margin" w:tblpY="143"/>
        <w:tblW w:w="0" w:type="auto"/>
        <w:tblCellMar>
          <w:left w:w="0" w:type="dxa"/>
          <w:right w:w="0" w:type="dxa"/>
        </w:tblCellMar>
        <w:tblLook w:val="04A0" w:firstRow="1" w:lastRow="0" w:firstColumn="1" w:lastColumn="0" w:noHBand="0" w:noVBand="1"/>
      </w:tblPr>
      <w:tblGrid>
        <w:gridCol w:w="5243"/>
        <w:gridCol w:w="898"/>
        <w:gridCol w:w="1254"/>
        <w:gridCol w:w="1542"/>
      </w:tblGrid>
      <w:tr w:rsidR="003B6934" w:rsidTr="003B6934">
        <w:tc>
          <w:tcPr>
            <w:tcW w:w="524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3B6934" w:rsidRDefault="003B6934" w:rsidP="003B6934">
            <w:pPr>
              <w:pStyle w:val="Tablewriting"/>
              <w:rPr>
                <w:b/>
                <w:bCs/>
                <w:color w:val="auto"/>
              </w:rPr>
            </w:pPr>
            <w:r>
              <w:rPr>
                <w:b/>
                <w:bCs/>
                <w:color w:val="auto"/>
              </w:rPr>
              <w:t>Length of treatment measure</w:t>
            </w:r>
          </w:p>
        </w:tc>
        <w:tc>
          <w:tcPr>
            <w:tcW w:w="89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3B6934" w:rsidRDefault="00431601" w:rsidP="003B6934">
            <w:pPr>
              <w:pStyle w:val="Tablewriting"/>
              <w:jc w:val="center"/>
              <w:rPr>
                <w:b/>
                <w:bCs/>
                <w:color w:val="auto"/>
              </w:rPr>
            </w:pPr>
            <w:r>
              <w:rPr>
                <w:b/>
                <w:bCs/>
                <w:color w:val="auto"/>
              </w:rPr>
              <w:t>P</w:t>
            </w:r>
            <w:r w:rsidR="003B6934">
              <w:rPr>
                <w:b/>
                <w:bCs/>
                <w:color w:val="auto"/>
              </w:rPr>
              <w:t>atients</w:t>
            </w:r>
          </w:p>
        </w:tc>
        <w:tc>
          <w:tcPr>
            <w:tcW w:w="12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3B6934" w:rsidRDefault="003B6934" w:rsidP="003B6934">
            <w:pPr>
              <w:pStyle w:val="Tablewriting"/>
              <w:jc w:val="center"/>
              <w:rPr>
                <w:b/>
                <w:bCs/>
                <w:color w:val="auto"/>
              </w:rPr>
            </w:pPr>
            <w:r>
              <w:rPr>
                <w:b/>
                <w:bCs/>
                <w:color w:val="auto"/>
              </w:rPr>
              <w:t>Mean (days)</w:t>
            </w:r>
          </w:p>
        </w:tc>
        <w:tc>
          <w:tcPr>
            <w:tcW w:w="154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3B6934" w:rsidRDefault="003B6934" w:rsidP="003B6934">
            <w:pPr>
              <w:pStyle w:val="Tablewriting"/>
              <w:jc w:val="center"/>
              <w:rPr>
                <w:b/>
                <w:bCs/>
                <w:color w:val="auto"/>
              </w:rPr>
            </w:pPr>
            <w:r>
              <w:rPr>
                <w:b/>
                <w:bCs/>
                <w:color w:val="auto"/>
              </w:rPr>
              <w:t>Median (days)</w:t>
            </w:r>
          </w:p>
        </w:tc>
      </w:tr>
      <w:tr w:rsidR="003B6934" w:rsidTr="003B6934">
        <w:tc>
          <w:tcPr>
            <w:tcW w:w="5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934" w:rsidRDefault="003B6934" w:rsidP="003B6934">
            <w:pPr>
              <w:pStyle w:val="Tablewriting"/>
              <w:rPr>
                <w:color w:val="auto"/>
              </w:rPr>
            </w:pPr>
            <w:r>
              <w:rPr>
                <w:color w:val="auto"/>
              </w:rPr>
              <w:t>Total length of treatment (including breaks, adjusted for DoD)</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rsidR="003B6934" w:rsidRDefault="003B6934" w:rsidP="003B6934">
            <w:pPr>
              <w:pStyle w:val="Tablewriting"/>
              <w:jc w:val="center"/>
              <w:rPr>
                <w:color w:val="auto"/>
              </w:rPr>
            </w:pPr>
            <w:r>
              <w:rPr>
                <w:color w:val="auto"/>
              </w:rPr>
              <w:t>298</w:t>
            </w:r>
          </w:p>
        </w:tc>
        <w:tc>
          <w:tcPr>
            <w:tcW w:w="1254" w:type="dxa"/>
            <w:tcBorders>
              <w:top w:val="nil"/>
              <w:left w:val="nil"/>
              <w:bottom w:val="single" w:sz="8" w:space="0" w:color="auto"/>
              <w:right w:val="single" w:sz="8" w:space="0" w:color="auto"/>
            </w:tcBorders>
            <w:tcMar>
              <w:top w:w="0" w:type="dxa"/>
              <w:left w:w="108" w:type="dxa"/>
              <w:bottom w:w="0" w:type="dxa"/>
              <w:right w:w="108" w:type="dxa"/>
            </w:tcMar>
            <w:hideMark/>
          </w:tcPr>
          <w:p w:rsidR="003B6934" w:rsidRDefault="003B6934" w:rsidP="003B6934">
            <w:pPr>
              <w:pStyle w:val="Tablewriting"/>
              <w:jc w:val="center"/>
              <w:rPr>
                <w:color w:val="auto"/>
              </w:rPr>
            </w:pPr>
            <w:r>
              <w:rPr>
                <w:color w:val="auto"/>
              </w:rPr>
              <w:t>611.5</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3B6934" w:rsidRDefault="003B6934" w:rsidP="003B6934">
            <w:pPr>
              <w:pStyle w:val="Tablewriting"/>
              <w:jc w:val="center"/>
              <w:rPr>
                <w:color w:val="auto"/>
              </w:rPr>
            </w:pPr>
            <w:r>
              <w:rPr>
                <w:color w:val="auto"/>
              </w:rPr>
              <w:t>183</w:t>
            </w:r>
          </w:p>
        </w:tc>
      </w:tr>
    </w:tbl>
    <w:p w:rsidR="003B6934" w:rsidRDefault="003B6934" w:rsidP="003B6934">
      <w:pPr>
        <w:pStyle w:val="Figurecaption"/>
        <w:spacing w:after="0"/>
      </w:pPr>
      <w:r>
        <w:t>Note: This table has been calculated using “immortal world” censoring where death whil</w:t>
      </w:r>
      <w:r w:rsidR="009E7478">
        <w:t>st</w:t>
      </w:r>
      <w:r>
        <w:t xml:space="preserve"> on treatment </w:t>
      </w:r>
      <w:r w:rsidR="009E7478">
        <w:t xml:space="preserve">is a censored observation (i.e. the patient is regarded as continuing </w:t>
      </w:r>
      <w:r w:rsidR="00F05108">
        <w:t xml:space="preserve">treatment </w:t>
      </w:r>
      <w:r w:rsidR="009E7478">
        <w:t xml:space="preserve">at the </w:t>
      </w:r>
      <w:proofErr w:type="gramStart"/>
      <w:r w:rsidR="00AD6B94">
        <w:t>DoD</w:t>
      </w:r>
      <w:proofErr w:type="gramEnd"/>
      <w:r w:rsidR="009E7478">
        <w:t>)</w:t>
      </w:r>
      <w:r>
        <w:t xml:space="preserve"> Death on treatment is defined </w:t>
      </w:r>
      <w:r w:rsidR="00CA7F1E">
        <w:t xml:space="preserve">if their </w:t>
      </w:r>
      <w:r w:rsidR="00AD6B94">
        <w:t>DoD</w:t>
      </w:r>
      <w:r w:rsidR="00CA7F1E">
        <w:t xml:space="preserve"> was within one </w:t>
      </w:r>
      <w:r w:rsidR="00CA7F1E" w:rsidRPr="00042910">
        <w:t>median time to resupply</w:t>
      </w:r>
      <w:r w:rsidR="00CA7F1E">
        <w:t xml:space="preserve"> (i.e. 28 days) of their last supply of </w:t>
      </w:r>
      <w:proofErr w:type="spellStart"/>
      <w:r w:rsidR="00CA7F1E">
        <w:t>eculizumab</w:t>
      </w:r>
      <w:proofErr w:type="spellEnd"/>
      <w:r w:rsidR="00CA7F1E">
        <w:t>.</w:t>
      </w:r>
    </w:p>
    <w:p w:rsidR="003B6934" w:rsidRPr="00B325DD" w:rsidRDefault="003B6934" w:rsidP="003B6934">
      <w:pPr>
        <w:pStyle w:val="Figurecaption"/>
        <w:spacing w:after="0"/>
      </w:pPr>
      <w:r w:rsidRPr="00B325DD">
        <w:t xml:space="preserve">Time period: December 2014 </w:t>
      </w:r>
      <w:r w:rsidRPr="00573F55">
        <w:t>– May 2020.</w:t>
      </w:r>
      <w:r w:rsidRPr="00B325DD">
        <w:t xml:space="preserve"> </w:t>
      </w:r>
    </w:p>
    <w:p w:rsidR="003B6934" w:rsidRDefault="003B6934" w:rsidP="003B6934">
      <w:pPr>
        <w:pStyle w:val="Figurecaption"/>
      </w:pPr>
      <w:r w:rsidRPr="00B325DD">
        <w:t>Source: PIN count, Services Australia supplied prescriptions database to 3</w:t>
      </w:r>
      <w:r>
        <w:t>1</w:t>
      </w:r>
      <w:r w:rsidRPr="00B325DD">
        <w:t xml:space="preserve"> May 2020; extracted 2 July 2020.</w:t>
      </w:r>
    </w:p>
    <w:p w:rsidR="00D95CBD" w:rsidRDefault="00D95CBD" w:rsidP="00FB4446"/>
    <w:p w:rsidR="00AD5905" w:rsidRPr="00AD5905" w:rsidRDefault="00CA7F1E" w:rsidP="00AD5905">
      <w:r>
        <w:t xml:space="preserve">If using the standard censoring model (Table </w:t>
      </w:r>
      <w:r w:rsidR="005C7DEA">
        <w:t>7</w:t>
      </w:r>
      <w:r>
        <w:t xml:space="preserve">) the </w:t>
      </w:r>
      <w:proofErr w:type="gramStart"/>
      <w:r w:rsidR="00AD6B94">
        <w:t>DoD</w:t>
      </w:r>
      <w:proofErr w:type="gramEnd"/>
      <w:r>
        <w:t xml:space="preserve"> adjustment shows a slight decrease to the estimated </w:t>
      </w:r>
      <w:proofErr w:type="spellStart"/>
      <w:r w:rsidR="00F831A5">
        <w:t>LoT</w:t>
      </w:r>
      <w:proofErr w:type="spellEnd"/>
      <w:r>
        <w:t xml:space="preserve">. Using the “immortal world” censoring model (Table </w:t>
      </w:r>
      <w:r w:rsidR="005C7DEA">
        <w:t>8</w:t>
      </w:r>
      <w:r>
        <w:t xml:space="preserve">) the </w:t>
      </w:r>
      <w:proofErr w:type="gramStart"/>
      <w:r w:rsidR="00AD6B94">
        <w:t>DoD</w:t>
      </w:r>
      <w:proofErr w:type="gramEnd"/>
      <w:r w:rsidR="00AD6B94">
        <w:t xml:space="preserve"> adjustment slightly increases the estimated </w:t>
      </w:r>
      <w:proofErr w:type="spellStart"/>
      <w:r w:rsidR="00F831A5">
        <w:t>LoT</w:t>
      </w:r>
      <w:proofErr w:type="spellEnd"/>
      <w:r w:rsidR="00AD6B94">
        <w:t>.</w:t>
      </w:r>
    </w:p>
    <w:p w:rsidR="00BE6C74" w:rsidRPr="003F6117" w:rsidRDefault="00BE6C74" w:rsidP="00BE6C74">
      <w:pPr>
        <w:pStyle w:val="Heading3"/>
      </w:pPr>
      <w:r w:rsidRPr="003F6117">
        <w:t>Utilisation by prescriber type</w:t>
      </w:r>
    </w:p>
    <w:p w:rsidR="003C1954" w:rsidRDefault="003C1954" w:rsidP="003C1954">
      <w:pPr>
        <w:pStyle w:val="Figuretitle"/>
      </w:pPr>
      <w:r>
        <w:rPr>
          <w:noProof/>
          <w:lang w:val="en-AU"/>
        </w:rPr>
        <w:drawing>
          <wp:inline distT="0" distB="0" distL="0" distR="0" wp14:anchorId="1C47AB16" wp14:editId="47250D3A">
            <wp:extent cx="5324475" cy="2743200"/>
            <wp:effectExtent l="0" t="0" r="9525" b="0"/>
            <wp:docPr id="4" name="Chart 4" title="Figure 6: Prescriptions supplied listing by prescriber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1954" w:rsidRDefault="003C1954" w:rsidP="003C1954">
      <w:pPr>
        <w:pStyle w:val="Figuretitle"/>
      </w:pPr>
      <w:r w:rsidRPr="005C7DEA">
        <w:t xml:space="preserve">Figure </w:t>
      </w:r>
      <w:r w:rsidR="00DF4558">
        <w:t>6</w:t>
      </w:r>
      <w:r w:rsidRPr="005C7DEA">
        <w:t>:</w:t>
      </w:r>
      <w:r w:rsidRPr="00450A5E">
        <w:t xml:space="preserve"> Prescriptions</w:t>
      </w:r>
      <w:r>
        <w:t xml:space="preserve"> supplied listing by prescriber type</w:t>
      </w:r>
    </w:p>
    <w:p w:rsidR="003C1954" w:rsidRPr="008B3B9E" w:rsidRDefault="003C1954" w:rsidP="003C1954">
      <w:pPr>
        <w:pStyle w:val="Figurecaption"/>
      </w:pPr>
      <w:r w:rsidRPr="008B3B9E">
        <w:t>Data are presented as aggregate over the listing period.</w:t>
      </w:r>
      <w:r>
        <w:t xml:space="preserve"> Other includes unknown, medical oncology, cardiology, immunology and respiratory specialties. </w:t>
      </w:r>
    </w:p>
    <w:p w:rsidR="003C1954" w:rsidRPr="008B3B9E" w:rsidRDefault="003C1954" w:rsidP="003C1954">
      <w:pPr>
        <w:pStyle w:val="Figurecaption"/>
      </w:pPr>
      <w:r w:rsidRPr="008B3B9E">
        <w:t xml:space="preserve">Source: </w:t>
      </w:r>
      <w:r>
        <w:t>Services Australia</w:t>
      </w:r>
      <w:r w:rsidRPr="008B3B9E">
        <w:t xml:space="preserve"> supplied prescriptions database to </w:t>
      </w:r>
      <w:r w:rsidRPr="00AD6B94">
        <w:t>3</w:t>
      </w:r>
      <w:r w:rsidR="00AD5905" w:rsidRPr="00AD6B94">
        <w:t>1</w:t>
      </w:r>
      <w:r w:rsidRPr="00AD6B94">
        <w:t xml:space="preserve"> May 2020; extracted 2 July 2020.</w:t>
      </w:r>
    </w:p>
    <w:p w:rsidR="00DB0722" w:rsidRPr="003F6117" w:rsidRDefault="00DB0722" w:rsidP="00DB0722">
      <w:r w:rsidRPr="005C7DEA">
        <w:lastRenderedPageBreak/>
        <w:t xml:space="preserve">Figure </w:t>
      </w:r>
      <w:r w:rsidR="005D2008">
        <w:t>6</w:t>
      </w:r>
      <w:r w:rsidRPr="003F6117">
        <w:t xml:space="preserve"> presents prescriptions by prescriber type over the PBS listing period to the most recent data </w:t>
      </w:r>
      <w:r w:rsidRPr="00573F55">
        <w:t>available (December </w:t>
      </w:r>
      <w:r w:rsidRPr="00AD6B94">
        <w:t>2014 to May 2020</w:t>
      </w:r>
      <w:r w:rsidR="006C4E86">
        <w:t>)</w:t>
      </w:r>
      <w:r w:rsidRPr="00AD6B94">
        <w:t>.</w:t>
      </w:r>
      <w:r w:rsidRPr="003F6117">
        <w:t xml:space="preserve"> In this period, </w:t>
      </w:r>
      <w:r>
        <w:t>s</w:t>
      </w:r>
      <w:r w:rsidRPr="003F6117">
        <w:t>pecialists wrote the majority of supplied prescriptions</w:t>
      </w:r>
      <w:r>
        <w:t xml:space="preserve"> with </w:t>
      </w:r>
      <w:r w:rsidRPr="003F6117">
        <w:t xml:space="preserve">nephrologists </w:t>
      </w:r>
      <w:r>
        <w:t xml:space="preserve">supplying the highest amount </w:t>
      </w:r>
      <w:r w:rsidRPr="003F6117">
        <w:t>(1,</w:t>
      </w:r>
      <w:r>
        <w:t>818</w:t>
      </w:r>
      <w:r w:rsidRPr="003F6117">
        <w:t xml:space="preserve"> prescriptions; 4</w:t>
      </w:r>
      <w:r>
        <w:t>2</w:t>
      </w:r>
      <w:r w:rsidRPr="003F6117">
        <w:t xml:space="preserve">% of prescriptions supplied). This was followed by </w:t>
      </w:r>
      <w:r>
        <w:t>GPs</w:t>
      </w:r>
      <w:r w:rsidRPr="003F6117">
        <w:t xml:space="preserve"> (</w:t>
      </w:r>
      <w:r>
        <w:t>1328</w:t>
      </w:r>
      <w:r w:rsidRPr="003F6117">
        <w:t xml:space="preserve"> prescriptions; </w:t>
      </w:r>
      <w:r>
        <w:t>31</w:t>
      </w:r>
      <w:r w:rsidRPr="003F6117">
        <w:t>%) and haematologists (5</w:t>
      </w:r>
      <w:r>
        <w:t>88</w:t>
      </w:r>
      <w:r w:rsidRPr="003F6117">
        <w:t xml:space="preserve"> prescriptions; 1</w:t>
      </w:r>
      <w:r>
        <w:t>4</w:t>
      </w:r>
      <w:r w:rsidRPr="003F6117">
        <w:t>%).</w:t>
      </w:r>
      <w:r w:rsidR="00543058">
        <w:t xml:space="preserve"> </w:t>
      </w:r>
      <w:r w:rsidRPr="003F6117">
        <w:t xml:space="preserve">These results are similar to the previous reports. The </w:t>
      </w:r>
      <w:r w:rsidRPr="006E3503">
        <w:t>restriction states that the patient ‘Must be treated by a paediatric nephrologist, a nephrologist, a paediatric haematologist or a haematologist, or, must be in consultation with a paediatric nephrologist, a nephrologist, a paediatric haematologist or a haematologist.’</w:t>
      </w:r>
      <w:r w:rsidRPr="003F6117">
        <w:t xml:space="preserve"> Therefore, it is possible for non-specialist medical doctors (e.g. </w:t>
      </w:r>
      <w:r>
        <w:t>GPs</w:t>
      </w:r>
      <w:r w:rsidRPr="003F6117">
        <w:t xml:space="preserve">) to prescribe </w:t>
      </w:r>
      <w:proofErr w:type="spellStart"/>
      <w:r w:rsidRPr="003F6117">
        <w:t>eculizumab</w:t>
      </w:r>
      <w:proofErr w:type="spellEnd"/>
      <w:r w:rsidRPr="003F6117">
        <w:t xml:space="preserve"> in consultation with the primary specialist managing the patient care. </w:t>
      </w:r>
    </w:p>
    <w:p w:rsidR="00B24DC9" w:rsidRDefault="00B24DC9" w:rsidP="00950162"/>
    <w:p w:rsidR="00573F55" w:rsidRDefault="00573F55" w:rsidP="00950162">
      <w:r>
        <w:rPr>
          <w:noProof/>
        </w:rPr>
        <w:drawing>
          <wp:inline distT="0" distB="0" distL="0" distR="0" wp14:anchorId="47C75137" wp14:editId="567F28A8">
            <wp:extent cx="5324475" cy="2743200"/>
            <wp:effectExtent l="0" t="0" r="9525" b="0"/>
            <wp:docPr id="7" name="Chart 7" title="Figure 7: Initiating prescribers by prescriber typ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3F55" w:rsidRPr="00573F55" w:rsidRDefault="00573F55" w:rsidP="00573F55">
      <w:pPr>
        <w:pStyle w:val="Figuretitle"/>
      </w:pPr>
      <w:r w:rsidRPr="00573F55">
        <w:t xml:space="preserve">Figure </w:t>
      </w:r>
      <w:r w:rsidR="00DF4558">
        <w:t>7</w:t>
      </w:r>
      <w:r w:rsidRPr="00573F55">
        <w:t xml:space="preserve">: Initiating prescribers by prescriber type </w:t>
      </w:r>
    </w:p>
    <w:p w:rsidR="00573F55" w:rsidRPr="008B3B9E" w:rsidRDefault="00573F55" w:rsidP="00573F55">
      <w:pPr>
        <w:pStyle w:val="Figurecaption"/>
      </w:pPr>
      <w:r w:rsidRPr="008B3B9E">
        <w:t>Data are presented as aggregate over the listing period.</w:t>
      </w:r>
      <w:r>
        <w:t xml:space="preserve"> Other includes unknown, medical oncology, cardiology, immunology and respiratory specialties. </w:t>
      </w:r>
    </w:p>
    <w:p w:rsidR="00573F55" w:rsidRDefault="00573F55" w:rsidP="00573F55">
      <w:pPr>
        <w:pStyle w:val="Figurecaption"/>
      </w:pPr>
      <w:r w:rsidRPr="008B3B9E">
        <w:t xml:space="preserve">Source: </w:t>
      </w:r>
      <w:r>
        <w:t>Services Australia</w:t>
      </w:r>
      <w:r w:rsidRPr="008B3B9E">
        <w:t xml:space="preserve"> supplied prescriptions database to </w:t>
      </w:r>
      <w:r w:rsidRPr="0002194F">
        <w:t>3</w:t>
      </w:r>
      <w:r w:rsidR="00AD5905" w:rsidRPr="0002194F">
        <w:t>1</w:t>
      </w:r>
      <w:r w:rsidRPr="0002194F">
        <w:t xml:space="preserve"> May 2020; extracted 2 July 2020.</w:t>
      </w:r>
    </w:p>
    <w:p w:rsidR="00CC2401" w:rsidRDefault="00CC2401" w:rsidP="00DB0722"/>
    <w:p w:rsidR="00DB0722" w:rsidRDefault="00DB0722" w:rsidP="00DB0722">
      <w:r>
        <w:t xml:space="preserve">Figure </w:t>
      </w:r>
      <w:r w:rsidR="005D2008">
        <w:t>7</w:t>
      </w:r>
      <w:r>
        <w:t xml:space="preserve"> shows that GPs prescribe the majority of prescriptions (138 prescriptions; 43%) at the initiating stage, followed by nephrologists (90; 28%) and haematologists (56; 17%). </w:t>
      </w:r>
      <w:r w:rsidR="0092775D">
        <w:t>As mentioned previously this</w:t>
      </w:r>
      <w:r w:rsidR="00FE4D75">
        <w:t xml:space="preserve"> is likely</w:t>
      </w:r>
      <w:r w:rsidR="0092775D">
        <w:t xml:space="preserve"> due to GPs writing prescriptions within a hospital setting in consultation with a specialist. </w:t>
      </w:r>
    </w:p>
    <w:p w:rsidR="00BD722A" w:rsidRDefault="00BD722A" w:rsidP="00BD722A">
      <w:pPr>
        <w:pStyle w:val="Tabletitle"/>
        <w:spacing w:before="200"/>
      </w:pPr>
      <w:r>
        <w:t>Table 9: Patient</w:t>
      </w:r>
      <w:r w:rsidR="00D556A3">
        <w:t xml:space="preserve"> count</w:t>
      </w:r>
      <w:r>
        <w:t xml:space="preserve"> per prescribing provider</w:t>
      </w:r>
    </w:p>
    <w:tbl>
      <w:tblPr>
        <w:tblW w:w="0" w:type="auto"/>
        <w:tblCellMar>
          <w:left w:w="0" w:type="dxa"/>
          <w:right w:w="0" w:type="dxa"/>
        </w:tblCellMar>
        <w:tblLook w:val="04A0" w:firstRow="1" w:lastRow="0" w:firstColumn="1" w:lastColumn="0" w:noHBand="0" w:noVBand="1"/>
      </w:tblPr>
      <w:tblGrid>
        <w:gridCol w:w="2500"/>
        <w:gridCol w:w="2780"/>
        <w:gridCol w:w="967"/>
      </w:tblGrid>
      <w:tr w:rsidR="00BD722A" w:rsidRPr="00BD722A" w:rsidTr="00BD722A">
        <w:trPr>
          <w:trHeight w:val="323"/>
        </w:trPr>
        <w:tc>
          <w:tcPr>
            <w:tcW w:w="25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b/>
                <w:sz w:val="20"/>
                <w:szCs w:val="20"/>
              </w:rPr>
            </w:pPr>
            <w:r w:rsidRPr="00BD722A">
              <w:rPr>
                <w:rFonts w:ascii="Calibri" w:eastAsia="Times New Roman" w:hAnsi="Calibri" w:cs="Calibri"/>
                <w:b/>
                <w:sz w:val="20"/>
                <w:szCs w:val="20"/>
              </w:rPr>
              <w:t>Patients per prescribers</w:t>
            </w:r>
          </w:p>
        </w:tc>
        <w:tc>
          <w:tcPr>
            <w:tcW w:w="278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b/>
                <w:sz w:val="20"/>
                <w:szCs w:val="20"/>
              </w:rPr>
            </w:pPr>
            <w:r w:rsidRPr="00BD722A">
              <w:rPr>
                <w:rFonts w:ascii="Calibri" w:eastAsia="Times New Roman" w:hAnsi="Calibri" w:cs="Calibri"/>
                <w:b/>
                <w:sz w:val="20"/>
                <w:szCs w:val="20"/>
              </w:rPr>
              <w:t>Initiating prescribers</w:t>
            </w:r>
          </w:p>
        </w:tc>
        <w:tc>
          <w:tcPr>
            <w:tcW w:w="967"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b/>
                <w:sz w:val="20"/>
                <w:szCs w:val="20"/>
              </w:rPr>
            </w:pPr>
            <w:r w:rsidRPr="00BD722A">
              <w:rPr>
                <w:rFonts w:ascii="Calibri" w:eastAsia="Times New Roman" w:hAnsi="Calibri" w:cs="Calibri"/>
                <w:b/>
                <w:sz w:val="20"/>
                <w:szCs w:val="20"/>
              </w:rPr>
              <w:t>PERCENT</w:t>
            </w:r>
          </w:p>
        </w:tc>
      </w:tr>
      <w:tr w:rsidR="00BD722A" w:rsidTr="00431601">
        <w:trPr>
          <w:trHeight w:val="300"/>
        </w:trPr>
        <w:tc>
          <w:tcPr>
            <w:tcW w:w="2500" w:type="dxa"/>
            <w:tcBorders>
              <w:top w:val="nil"/>
              <w:left w:val="single" w:sz="8" w:space="0" w:color="auto"/>
              <w:bottom w:val="single" w:sz="4" w:space="0" w:color="auto"/>
              <w:right w:val="single" w:sz="8" w:space="0" w:color="auto"/>
            </w:tcBorders>
            <w:shd w:val="clear" w:color="auto" w:fill="FFFFFF" w:themeFill="background1"/>
            <w:noWrap/>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sz w:val="20"/>
                <w:szCs w:val="20"/>
              </w:rPr>
            </w:pPr>
            <w:r w:rsidRPr="00BD722A">
              <w:rPr>
                <w:rFonts w:ascii="Calibri" w:eastAsia="Times New Roman" w:hAnsi="Calibri" w:cs="Calibri"/>
                <w:sz w:val="20"/>
                <w:szCs w:val="20"/>
              </w:rPr>
              <w:t>1</w:t>
            </w:r>
          </w:p>
        </w:tc>
        <w:tc>
          <w:tcPr>
            <w:tcW w:w="2780" w:type="dxa"/>
            <w:tcBorders>
              <w:top w:val="nil"/>
              <w:left w:val="nil"/>
              <w:bottom w:val="single" w:sz="4" w:space="0" w:color="auto"/>
              <w:right w:val="single" w:sz="8" w:space="0" w:color="auto"/>
            </w:tcBorders>
            <w:shd w:val="clear" w:color="auto" w:fill="FFFFFF" w:themeFill="background1"/>
            <w:noWrap/>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sz w:val="20"/>
                <w:szCs w:val="20"/>
              </w:rPr>
            </w:pPr>
            <w:r w:rsidRPr="00BD722A">
              <w:rPr>
                <w:rFonts w:ascii="Calibri" w:eastAsia="Times New Roman" w:hAnsi="Calibri" w:cs="Calibri"/>
                <w:sz w:val="20"/>
                <w:szCs w:val="20"/>
              </w:rPr>
              <w:t>189</w:t>
            </w:r>
          </w:p>
        </w:tc>
        <w:tc>
          <w:tcPr>
            <w:tcW w:w="967" w:type="dxa"/>
            <w:tcBorders>
              <w:top w:val="nil"/>
              <w:left w:val="nil"/>
              <w:bottom w:val="single" w:sz="4" w:space="0" w:color="auto"/>
              <w:right w:val="single" w:sz="8" w:space="0" w:color="auto"/>
            </w:tcBorders>
            <w:shd w:val="clear" w:color="auto" w:fill="FFFFFF" w:themeFill="background1"/>
            <w:noWrap/>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sz w:val="20"/>
                <w:szCs w:val="20"/>
              </w:rPr>
            </w:pPr>
            <w:r w:rsidRPr="00BD722A">
              <w:rPr>
                <w:rFonts w:ascii="Calibri" w:eastAsia="Times New Roman" w:hAnsi="Calibri" w:cs="Calibri"/>
                <w:sz w:val="20"/>
                <w:szCs w:val="20"/>
              </w:rPr>
              <w:t>76.8</w:t>
            </w:r>
          </w:p>
        </w:tc>
      </w:tr>
      <w:tr w:rsidR="00BD722A" w:rsidTr="00431601">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sz w:val="20"/>
                <w:szCs w:val="20"/>
              </w:rPr>
            </w:pPr>
            <w:r w:rsidRPr="00BD722A">
              <w:rPr>
                <w:rFonts w:ascii="Calibri" w:eastAsia="Times New Roman" w:hAnsi="Calibri" w:cs="Calibri"/>
                <w:sz w:val="20"/>
                <w:szCs w:val="20"/>
              </w:rPr>
              <w:t>2</w:t>
            </w:r>
          </w:p>
        </w:tc>
        <w:tc>
          <w:tcPr>
            <w:tcW w:w="278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sz w:val="20"/>
                <w:szCs w:val="20"/>
              </w:rPr>
            </w:pPr>
            <w:r w:rsidRPr="00BD722A">
              <w:rPr>
                <w:rFonts w:ascii="Calibri" w:eastAsia="Times New Roman" w:hAnsi="Calibri" w:cs="Calibri"/>
                <w:sz w:val="20"/>
                <w:szCs w:val="20"/>
              </w:rPr>
              <w:t>44</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sz w:val="20"/>
                <w:szCs w:val="20"/>
              </w:rPr>
            </w:pPr>
            <w:r w:rsidRPr="00BD722A">
              <w:rPr>
                <w:rFonts w:ascii="Calibri" w:eastAsia="Times New Roman" w:hAnsi="Calibri" w:cs="Calibri"/>
                <w:sz w:val="20"/>
                <w:szCs w:val="20"/>
              </w:rPr>
              <w:t>17.9</w:t>
            </w:r>
          </w:p>
        </w:tc>
      </w:tr>
      <w:tr w:rsidR="00BD722A" w:rsidTr="00431601">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sz w:val="20"/>
                <w:szCs w:val="20"/>
              </w:rPr>
            </w:pPr>
            <w:r w:rsidRPr="00BD722A">
              <w:rPr>
                <w:rFonts w:ascii="Calibri" w:eastAsia="Times New Roman" w:hAnsi="Calibri" w:cs="Calibri"/>
                <w:sz w:val="20"/>
                <w:szCs w:val="20"/>
              </w:rPr>
              <w:t>3</w:t>
            </w:r>
            <w:r>
              <w:rPr>
                <w:rFonts w:ascii="Calibri" w:eastAsia="Times New Roman" w:hAnsi="Calibri" w:cs="Calibri"/>
                <w:sz w:val="20"/>
                <w:szCs w:val="20"/>
              </w:rPr>
              <w:t>+</w:t>
            </w:r>
          </w:p>
        </w:tc>
        <w:tc>
          <w:tcPr>
            <w:tcW w:w="278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sz w:val="20"/>
                <w:szCs w:val="20"/>
              </w:rPr>
            </w:pPr>
            <w:r>
              <w:rPr>
                <w:rFonts w:ascii="Calibri" w:eastAsia="Times New Roman" w:hAnsi="Calibri" w:cs="Calibri"/>
                <w:sz w:val="20"/>
                <w:szCs w:val="20"/>
              </w:rPr>
              <w:t>13</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p w:rsidR="00BD722A" w:rsidRPr="00BD722A" w:rsidRDefault="00BD722A" w:rsidP="00BD722A">
            <w:pPr>
              <w:spacing w:after="0"/>
              <w:rPr>
                <w:rFonts w:ascii="Calibri" w:eastAsia="Times New Roman" w:hAnsi="Calibri" w:cs="Calibri"/>
                <w:sz w:val="20"/>
                <w:szCs w:val="20"/>
              </w:rPr>
            </w:pPr>
            <w:r>
              <w:rPr>
                <w:rFonts w:ascii="Calibri" w:eastAsia="Times New Roman" w:hAnsi="Calibri" w:cs="Calibri"/>
                <w:sz w:val="20"/>
                <w:szCs w:val="20"/>
              </w:rPr>
              <w:t>5.3</w:t>
            </w:r>
          </w:p>
        </w:tc>
      </w:tr>
      <w:tr w:rsidR="00BD722A" w:rsidTr="00431601">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rsidR="00BD722A" w:rsidRPr="00BD722A" w:rsidRDefault="00BD722A" w:rsidP="00BD722A">
            <w:pPr>
              <w:spacing w:after="0"/>
              <w:rPr>
                <w:rFonts w:ascii="Calibri" w:eastAsia="Times New Roman" w:hAnsi="Calibri" w:cs="Calibri"/>
                <w:sz w:val="20"/>
                <w:szCs w:val="20"/>
              </w:rPr>
            </w:pPr>
            <w:r>
              <w:rPr>
                <w:rFonts w:ascii="Calibri" w:eastAsia="Times New Roman" w:hAnsi="Calibri" w:cs="Calibri"/>
                <w:sz w:val="20"/>
                <w:szCs w:val="20"/>
              </w:rPr>
              <w:t>Total</w:t>
            </w:r>
          </w:p>
        </w:tc>
        <w:tc>
          <w:tcPr>
            <w:tcW w:w="278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rsidR="00BD722A" w:rsidRDefault="00BD722A" w:rsidP="00BD722A">
            <w:pPr>
              <w:spacing w:after="0"/>
              <w:rPr>
                <w:rFonts w:ascii="Calibri" w:eastAsia="Times New Roman" w:hAnsi="Calibri" w:cs="Calibri"/>
                <w:sz w:val="20"/>
                <w:szCs w:val="20"/>
              </w:rPr>
            </w:pPr>
            <w:r>
              <w:rPr>
                <w:rFonts w:ascii="Calibri" w:eastAsia="Times New Roman" w:hAnsi="Calibri" w:cs="Calibri"/>
                <w:sz w:val="20"/>
                <w:szCs w:val="20"/>
              </w:rPr>
              <w:t>246</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rsidR="00BD722A" w:rsidRDefault="00BD722A" w:rsidP="00BD722A">
            <w:pPr>
              <w:spacing w:after="0"/>
              <w:rPr>
                <w:rFonts w:ascii="Calibri" w:eastAsia="Times New Roman" w:hAnsi="Calibri" w:cs="Calibri"/>
                <w:sz w:val="20"/>
                <w:szCs w:val="20"/>
              </w:rPr>
            </w:pPr>
            <w:r>
              <w:rPr>
                <w:rFonts w:ascii="Calibri" w:eastAsia="Times New Roman" w:hAnsi="Calibri" w:cs="Calibri"/>
                <w:sz w:val="20"/>
                <w:szCs w:val="20"/>
              </w:rPr>
              <w:t>100</w:t>
            </w:r>
          </w:p>
        </w:tc>
      </w:tr>
    </w:tbl>
    <w:p w:rsidR="00D556A3" w:rsidRDefault="00D556A3" w:rsidP="00D556A3">
      <w:pPr>
        <w:pStyle w:val="Figurecaption"/>
      </w:pPr>
      <w:r w:rsidRPr="008B3B9E">
        <w:t xml:space="preserve">Source: </w:t>
      </w:r>
      <w:r>
        <w:t>Services Australia</w:t>
      </w:r>
      <w:r w:rsidRPr="008B3B9E">
        <w:t xml:space="preserve"> supplied prescriptions database to </w:t>
      </w:r>
      <w:r w:rsidRPr="0002194F">
        <w:t>31 May 2020; extracted 2 July 2020.</w:t>
      </w:r>
    </w:p>
    <w:p w:rsidR="00FE4D75" w:rsidRDefault="00FE4D75" w:rsidP="00D95CBD">
      <w:pPr>
        <w:ind w:right="-399"/>
      </w:pPr>
      <w:r w:rsidRPr="00D556A3">
        <w:lastRenderedPageBreak/>
        <w:t xml:space="preserve">The Services Australia supplied prescription database </w:t>
      </w:r>
      <w:r w:rsidR="00543058" w:rsidRPr="00D556A3">
        <w:t>shows that t</w:t>
      </w:r>
      <w:r w:rsidRPr="00D556A3">
        <w:t>here were 391 distinct prescribers that</w:t>
      </w:r>
      <w:r w:rsidR="00BC4031">
        <w:t xml:space="preserve"> </w:t>
      </w:r>
      <w:r w:rsidRPr="00D556A3">
        <w:t>pr</w:t>
      </w:r>
      <w:r w:rsidR="00543058" w:rsidRPr="00D556A3">
        <w:t>escribed prescriptions for 323</w:t>
      </w:r>
      <w:r w:rsidRPr="00D556A3">
        <w:t xml:space="preserve"> patients</w:t>
      </w:r>
      <w:r w:rsidR="00543058" w:rsidRPr="00D556A3">
        <w:t>,</w:t>
      </w:r>
      <w:r w:rsidRPr="00D556A3">
        <w:t xml:space="preserve"> and 246 distinct prescribers that prescribed the initial prescription for these patients. Thus</w:t>
      </w:r>
      <w:r w:rsidR="00543058" w:rsidRPr="00D556A3">
        <w:t>,</w:t>
      </w:r>
      <w:r w:rsidRPr="00D556A3">
        <w:t xml:space="preserve"> there was on average less than 2 patients per initiating prescriber</w:t>
      </w:r>
      <w:r w:rsidR="00D556A3" w:rsidRPr="00D556A3">
        <w:t xml:space="preserve"> and 95% of initiating prescribers</w:t>
      </w:r>
      <w:r w:rsidR="00D95CBD">
        <w:t xml:space="preserve"> have had only 1 or 2 patients.</w:t>
      </w:r>
    </w:p>
    <w:p w:rsidR="00AD6B94" w:rsidRDefault="00AD6B94" w:rsidP="00AD6B94">
      <w:pPr>
        <w:pStyle w:val="Tabletitle"/>
        <w:spacing w:before="200"/>
      </w:pPr>
      <w:r>
        <w:t xml:space="preserve">Table </w:t>
      </w:r>
      <w:r w:rsidR="00D556A3">
        <w:t>10</w:t>
      </w:r>
      <w:r>
        <w:t xml:space="preserve">: Approved </w:t>
      </w:r>
      <w:proofErr w:type="spellStart"/>
      <w:r>
        <w:t>aHUS</w:t>
      </w:r>
      <w:proofErr w:type="spellEnd"/>
      <w:r>
        <w:t xml:space="preserve"> patients affected organs</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99"/>
        <w:gridCol w:w="1134"/>
      </w:tblGrid>
      <w:tr w:rsidR="00AD6B94" w:rsidRPr="00B24DC9" w:rsidTr="00411856">
        <w:trPr>
          <w:trHeight w:val="300"/>
        </w:trPr>
        <w:tc>
          <w:tcPr>
            <w:tcW w:w="2340" w:type="dxa"/>
            <w:shd w:val="clear" w:color="auto" w:fill="BFBFBF" w:themeFill="background1" w:themeFillShade="BF"/>
            <w:noWrap/>
            <w:vAlign w:val="bottom"/>
            <w:hideMark/>
          </w:tcPr>
          <w:p w:rsidR="00AD6B94" w:rsidRPr="00B24DC9" w:rsidRDefault="00AD6B94" w:rsidP="00411856">
            <w:pPr>
              <w:spacing w:after="0"/>
              <w:rPr>
                <w:rFonts w:ascii="Calibri" w:eastAsia="Times New Roman" w:hAnsi="Calibri" w:cs="Calibri"/>
                <w:b/>
                <w:sz w:val="20"/>
                <w:szCs w:val="20"/>
              </w:rPr>
            </w:pPr>
            <w:r w:rsidRPr="00B24DC9">
              <w:rPr>
                <w:rFonts w:ascii="Calibri" w:eastAsia="Times New Roman" w:hAnsi="Calibri" w:cs="Calibri"/>
                <w:b/>
                <w:sz w:val="20"/>
                <w:szCs w:val="20"/>
              </w:rPr>
              <w:t>Affected Organ</w:t>
            </w:r>
          </w:p>
        </w:tc>
        <w:tc>
          <w:tcPr>
            <w:tcW w:w="1199" w:type="dxa"/>
            <w:shd w:val="clear" w:color="auto" w:fill="BFBFBF" w:themeFill="background1" w:themeFillShade="BF"/>
            <w:noWrap/>
            <w:vAlign w:val="bottom"/>
            <w:hideMark/>
          </w:tcPr>
          <w:p w:rsidR="00AD6B94" w:rsidRPr="00B24DC9" w:rsidRDefault="00AD6B94" w:rsidP="00411856">
            <w:pPr>
              <w:spacing w:after="0"/>
              <w:rPr>
                <w:rFonts w:ascii="Calibri" w:eastAsia="Times New Roman" w:hAnsi="Calibri" w:cs="Calibri"/>
                <w:b/>
                <w:sz w:val="20"/>
                <w:szCs w:val="20"/>
              </w:rPr>
            </w:pPr>
            <w:r>
              <w:rPr>
                <w:rFonts w:ascii="Calibri" w:eastAsia="Times New Roman" w:hAnsi="Calibri" w:cs="Calibri"/>
                <w:b/>
                <w:sz w:val="20"/>
                <w:szCs w:val="20"/>
              </w:rPr>
              <w:t>Patients</w:t>
            </w:r>
          </w:p>
        </w:tc>
        <w:tc>
          <w:tcPr>
            <w:tcW w:w="1134" w:type="dxa"/>
            <w:shd w:val="clear" w:color="auto" w:fill="BFBFBF" w:themeFill="background1" w:themeFillShade="BF"/>
            <w:noWrap/>
            <w:vAlign w:val="bottom"/>
            <w:hideMark/>
          </w:tcPr>
          <w:p w:rsidR="00AD6B94" w:rsidRPr="00B24DC9" w:rsidRDefault="00AD6B94" w:rsidP="00411856">
            <w:pPr>
              <w:spacing w:after="0"/>
              <w:rPr>
                <w:rFonts w:ascii="Calibri" w:eastAsia="Times New Roman" w:hAnsi="Calibri" w:cs="Calibri"/>
                <w:b/>
                <w:sz w:val="20"/>
                <w:szCs w:val="20"/>
              </w:rPr>
            </w:pPr>
            <w:r>
              <w:rPr>
                <w:rFonts w:ascii="Calibri" w:eastAsia="Times New Roman" w:hAnsi="Calibri" w:cs="Calibri"/>
                <w:b/>
                <w:sz w:val="20"/>
                <w:szCs w:val="20"/>
              </w:rPr>
              <w:t>% Patients</w:t>
            </w:r>
          </w:p>
        </w:tc>
      </w:tr>
      <w:tr w:rsidR="00AD6B94" w:rsidRPr="00B24DC9" w:rsidTr="00411856">
        <w:trPr>
          <w:trHeight w:val="300"/>
        </w:trPr>
        <w:tc>
          <w:tcPr>
            <w:tcW w:w="2340" w:type="dxa"/>
            <w:shd w:val="clear" w:color="auto" w:fill="auto"/>
            <w:noWrap/>
            <w:vAlign w:val="bottom"/>
            <w:hideMark/>
          </w:tcPr>
          <w:p w:rsidR="00AD6B94" w:rsidRPr="00B24DC9" w:rsidRDefault="00AD6B94" w:rsidP="00411856">
            <w:pPr>
              <w:spacing w:after="0"/>
              <w:rPr>
                <w:rFonts w:ascii="Calibri" w:eastAsia="Times New Roman" w:hAnsi="Calibri" w:cs="Calibri"/>
                <w:sz w:val="20"/>
                <w:szCs w:val="20"/>
              </w:rPr>
            </w:pPr>
            <w:r w:rsidRPr="00B24DC9">
              <w:rPr>
                <w:rFonts w:ascii="Calibri" w:eastAsia="Times New Roman" w:hAnsi="Calibri" w:cs="Calibri"/>
                <w:sz w:val="20"/>
                <w:szCs w:val="20"/>
              </w:rPr>
              <w:t>Kidney</w:t>
            </w:r>
          </w:p>
        </w:tc>
        <w:tc>
          <w:tcPr>
            <w:tcW w:w="1199"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153</w:t>
            </w:r>
          </w:p>
        </w:tc>
        <w:tc>
          <w:tcPr>
            <w:tcW w:w="1134"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73.9%</w:t>
            </w:r>
          </w:p>
        </w:tc>
      </w:tr>
      <w:tr w:rsidR="00AD6B94" w:rsidRPr="00B24DC9" w:rsidTr="00411856">
        <w:trPr>
          <w:trHeight w:val="300"/>
        </w:trPr>
        <w:tc>
          <w:tcPr>
            <w:tcW w:w="2340" w:type="dxa"/>
            <w:shd w:val="clear" w:color="auto" w:fill="auto"/>
            <w:noWrap/>
            <w:vAlign w:val="bottom"/>
            <w:hideMark/>
          </w:tcPr>
          <w:p w:rsidR="00AD6B94" w:rsidRPr="00B24DC9" w:rsidRDefault="00AD6B94" w:rsidP="00411856">
            <w:pPr>
              <w:spacing w:after="0"/>
              <w:rPr>
                <w:rFonts w:ascii="Calibri" w:eastAsia="Times New Roman" w:hAnsi="Calibri" w:cs="Calibri"/>
                <w:sz w:val="20"/>
                <w:szCs w:val="20"/>
              </w:rPr>
            </w:pPr>
            <w:proofErr w:type="spellStart"/>
            <w:r w:rsidRPr="00B24DC9">
              <w:rPr>
                <w:rFonts w:ascii="Calibri" w:eastAsia="Times New Roman" w:hAnsi="Calibri" w:cs="Calibri"/>
                <w:sz w:val="20"/>
                <w:szCs w:val="20"/>
              </w:rPr>
              <w:t>Kidney</w:t>
            </w:r>
            <w:r>
              <w:rPr>
                <w:rFonts w:ascii="Calibri" w:eastAsia="Times New Roman" w:hAnsi="Calibri" w:cs="Calibri"/>
                <w:sz w:val="20"/>
                <w:szCs w:val="20"/>
              </w:rPr>
              <w:t>;</w:t>
            </w:r>
            <w:r w:rsidRPr="00B24DC9">
              <w:rPr>
                <w:rFonts w:ascii="Calibri" w:eastAsia="Times New Roman" w:hAnsi="Calibri" w:cs="Calibri"/>
                <w:sz w:val="20"/>
                <w:szCs w:val="20"/>
              </w:rPr>
              <w:t>Other</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organ</w:t>
            </w:r>
            <w:r w:rsidRPr="0043782D">
              <w:rPr>
                <w:rFonts w:ascii="Calibri" w:eastAsia="Times New Roman" w:hAnsi="Calibri" w:cs="Calibri"/>
                <w:sz w:val="20"/>
                <w:szCs w:val="20"/>
                <w:vertAlign w:val="superscript"/>
              </w:rPr>
              <w:t>a</w:t>
            </w:r>
            <w:proofErr w:type="spellEnd"/>
          </w:p>
        </w:tc>
        <w:tc>
          <w:tcPr>
            <w:tcW w:w="1199"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15</w:t>
            </w:r>
          </w:p>
        </w:tc>
        <w:tc>
          <w:tcPr>
            <w:tcW w:w="1134"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7.2%</w:t>
            </w:r>
          </w:p>
        </w:tc>
      </w:tr>
      <w:tr w:rsidR="00AD6B94" w:rsidRPr="00B24DC9" w:rsidTr="00411856">
        <w:trPr>
          <w:trHeight w:val="300"/>
        </w:trPr>
        <w:tc>
          <w:tcPr>
            <w:tcW w:w="2340" w:type="dxa"/>
            <w:shd w:val="clear" w:color="auto" w:fill="auto"/>
            <w:noWrap/>
            <w:vAlign w:val="bottom"/>
            <w:hideMark/>
          </w:tcPr>
          <w:p w:rsidR="00AD6B94" w:rsidRPr="00B24DC9" w:rsidRDefault="00AD6B94" w:rsidP="00411856">
            <w:pPr>
              <w:spacing w:after="0"/>
              <w:rPr>
                <w:rFonts w:ascii="Calibri" w:eastAsia="Times New Roman" w:hAnsi="Calibri" w:cs="Calibri"/>
                <w:sz w:val="20"/>
                <w:szCs w:val="20"/>
              </w:rPr>
            </w:pPr>
            <w:proofErr w:type="spellStart"/>
            <w:r w:rsidRPr="00B24DC9">
              <w:rPr>
                <w:rFonts w:ascii="Calibri" w:eastAsia="Times New Roman" w:hAnsi="Calibri" w:cs="Calibri"/>
                <w:sz w:val="20"/>
                <w:szCs w:val="20"/>
              </w:rPr>
              <w:t>Kidney;Neurological</w:t>
            </w:r>
            <w:proofErr w:type="spellEnd"/>
          </w:p>
        </w:tc>
        <w:tc>
          <w:tcPr>
            <w:tcW w:w="1199"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12</w:t>
            </w:r>
          </w:p>
        </w:tc>
        <w:tc>
          <w:tcPr>
            <w:tcW w:w="1134"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5.8%</w:t>
            </w:r>
          </w:p>
        </w:tc>
      </w:tr>
      <w:tr w:rsidR="00AD6B94" w:rsidRPr="00B24DC9" w:rsidTr="00411856">
        <w:trPr>
          <w:trHeight w:val="300"/>
        </w:trPr>
        <w:tc>
          <w:tcPr>
            <w:tcW w:w="2340" w:type="dxa"/>
            <w:shd w:val="clear" w:color="auto" w:fill="auto"/>
            <w:noWrap/>
            <w:vAlign w:val="bottom"/>
            <w:hideMark/>
          </w:tcPr>
          <w:p w:rsidR="00AD6B94" w:rsidRPr="00B24DC9" w:rsidRDefault="00AD6B94" w:rsidP="00411856">
            <w:pPr>
              <w:spacing w:after="0"/>
              <w:rPr>
                <w:rFonts w:ascii="Calibri" w:eastAsia="Times New Roman" w:hAnsi="Calibri" w:cs="Calibri"/>
                <w:sz w:val="20"/>
                <w:szCs w:val="20"/>
              </w:rPr>
            </w:pPr>
            <w:proofErr w:type="spellStart"/>
            <w:r w:rsidRPr="00B24DC9">
              <w:rPr>
                <w:rFonts w:ascii="Calibri" w:eastAsia="Times New Roman" w:hAnsi="Calibri" w:cs="Calibri"/>
                <w:sz w:val="20"/>
                <w:szCs w:val="20"/>
              </w:rPr>
              <w:t>Kidney;Cardiac</w:t>
            </w:r>
            <w:proofErr w:type="spellEnd"/>
          </w:p>
        </w:tc>
        <w:tc>
          <w:tcPr>
            <w:tcW w:w="1199"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8</w:t>
            </w:r>
          </w:p>
        </w:tc>
        <w:tc>
          <w:tcPr>
            <w:tcW w:w="1134"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3.9%</w:t>
            </w:r>
          </w:p>
        </w:tc>
      </w:tr>
      <w:tr w:rsidR="00AD6B94" w:rsidRPr="00B24DC9" w:rsidTr="00411856">
        <w:trPr>
          <w:trHeight w:val="300"/>
        </w:trPr>
        <w:tc>
          <w:tcPr>
            <w:tcW w:w="2340" w:type="dxa"/>
            <w:shd w:val="clear" w:color="auto" w:fill="auto"/>
            <w:noWrap/>
            <w:vAlign w:val="bottom"/>
            <w:hideMark/>
          </w:tcPr>
          <w:p w:rsidR="00AD6B94" w:rsidRPr="00B24DC9" w:rsidRDefault="00AD6B94" w:rsidP="00411856">
            <w:pPr>
              <w:spacing w:after="0"/>
              <w:rPr>
                <w:rFonts w:ascii="Calibri" w:eastAsia="Times New Roman" w:hAnsi="Calibri" w:cs="Calibri"/>
                <w:sz w:val="20"/>
                <w:szCs w:val="20"/>
              </w:rPr>
            </w:pPr>
            <w:proofErr w:type="spellStart"/>
            <w:r w:rsidRPr="00B24DC9">
              <w:rPr>
                <w:rFonts w:ascii="Calibri" w:eastAsia="Times New Roman" w:hAnsi="Calibri" w:cs="Calibri"/>
                <w:sz w:val="20"/>
                <w:szCs w:val="20"/>
              </w:rPr>
              <w:t>Kidney;Gastrointestinal</w:t>
            </w:r>
            <w:proofErr w:type="spellEnd"/>
          </w:p>
        </w:tc>
        <w:tc>
          <w:tcPr>
            <w:tcW w:w="1199"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6</w:t>
            </w:r>
          </w:p>
        </w:tc>
        <w:tc>
          <w:tcPr>
            <w:tcW w:w="1134"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2.9%</w:t>
            </w:r>
          </w:p>
        </w:tc>
      </w:tr>
      <w:tr w:rsidR="00AD6B94" w:rsidRPr="00B24DC9" w:rsidTr="00411856">
        <w:trPr>
          <w:trHeight w:val="300"/>
        </w:trPr>
        <w:tc>
          <w:tcPr>
            <w:tcW w:w="2340" w:type="dxa"/>
            <w:shd w:val="clear" w:color="auto" w:fill="auto"/>
            <w:noWrap/>
            <w:vAlign w:val="bottom"/>
            <w:hideMark/>
          </w:tcPr>
          <w:p w:rsidR="00AD6B94" w:rsidRPr="00B24DC9" w:rsidRDefault="00AD6B94" w:rsidP="00411856">
            <w:pPr>
              <w:spacing w:after="0"/>
              <w:rPr>
                <w:rFonts w:ascii="Calibri" w:eastAsia="Times New Roman" w:hAnsi="Calibri" w:cs="Calibri"/>
                <w:sz w:val="20"/>
                <w:szCs w:val="20"/>
              </w:rPr>
            </w:pPr>
            <w:r w:rsidRPr="00B24DC9">
              <w:rPr>
                <w:rFonts w:ascii="Calibri" w:eastAsia="Times New Roman" w:hAnsi="Calibri" w:cs="Calibri"/>
                <w:sz w:val="20"/>
                <w:szCs w:val="20"/>
              </w:rPr>
              <w:t>Neurological</w:t>
            </w:r>
          </w:p>
        </w:tc>
        <w:tc>
          <w:tcPr>
            <w:tcW w:w="1199"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6</w:t>
            </w:r>
          </w:p>
        </w:tc>
        <w:tc>
          <w:tcPr>
            <w:tcW w:w="1134"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2.9%</w:t>
            </w:r>
          </w:p>
        </w:tc>
      </w:tr>
      <w:tr w:rsidR="00AD6B94" w:rsidRPr="00B24DC9" w:rsidTr="00411856">
        <w:trPr>
          <w:trHeight w:val="300"/>
        </w:trPr>
        <w:tc>
          <w:tcPr>
            <w:tcW w:w="2340" w:type="dxa"/>
            <w:shd w:val="clear" w:color="auto" w:fill="auto"/>
            <w:noWrap/>
            <w:vAlign w:val="bottom"/>
            <w:hideMark/>
          </w:tcPr>
          <w:p w:rsidR="00AD6B94" w:rsidRPr="00B24DC9" w:rsidRDefault="00AD6B94" w:rsidP="00411856">
            <w:pPr>
              <w:spacing w:after="0"/>
              <w:rPr>
                <w:rFonts w:ascii="Calibri" w:eastAsia="Times New Roman" w:hAnsi="Calibri" w:cs="Calibri"/>
                <w:sz w:val="20"/>
                <w:szCs w:val="20"/>
              </w:rPr>
            </w:pPr>
            <w:proofErr w:type="spellStart"/>
            <w:r w:rsidRPr="00B24DC9">
              <w:rPr>
                <w:rFonts w:ascii="Calibri" w:eastAsia="Times New Roman" w:hAnsi="Calibri" w:cs="Calibri"/>
                <w:sz w:val="20"/>
                <w:szCs w:val="20"/>
              </w:rPr>
              <w:t>Other</w:t>
            </w:r>
            <w:r w:rsidRPr="0043782D">
              <w:rPr>
                <w:rFonts w:ascii="Calibri" w:eastAsia="Times New Roman" w:hAnsi="Calibri" w:cs="Calibri"/>
                <w:sz w:val="20"/>
                <w:szCs w:val="20"/>
                <w:vertAlign w:val="superscript"/>
              </w:rPr>
              <w:t>b</w:t>
            </w:r>
            <w:proofErr w:type="spellEnd"/>
          </w:p>
        </w:tc>
        <w:tc>
          <w:tcPr>
            <w:tcW w:w="1199"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7</w:t>
            </w:r>
          </w:p>
        </w:tc>
        <w:tc>
          <w:tcPr>
            <w:tcW w:w="1134" w:type="dxa"/>
            <w:shd w:val="clear" w:color="auto" w:fill="auto"/>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3.4%</w:t>
            </w:r>
          </w:p>
        </w:tc>
      </w:tr>
      <w:tr w:rsidR="00AD6B94" w:rsidRPr="00B24DC9" w:rsidTr="00411856">
        <w:trPr>
          <w:trHeight w:val="300"/>
        </w:trPr>
        <w:tc>
          <w:tcPr>
            <w:tcW w:w="2340" w:type="dxa"/>
            <w:shd w:val="clear" w:color="auto" w:fill="FFFFFF" w:themeFill="background1"/>
            <w:noWrap/>
            <w:vAlign w:val="bottom"/>
            <w:hideMark/>
          </w:tcPr>
          <w:p w:rsidR="00AD6B94" w:rsidRPr="00B24DC9" w:rsidRDefault="00AD6B94" w:rsidP="00411856">
            <w:pPr>
              <w:spacing w:after="0"/>
              <w:rPr>
                <w:rFonts w:ascii="Calibri" w:eastAsia="Times New Roman" w:hAnsi="Calibri" w:cs="Calibri"/>
                <w:sz w:val="20"/>
                <w:szCs w:val="20"/>
              </w:rPr>
            </w:pPr>
            <w:r w:rsidRPr="00B24DC9">
              <w:rPr>
                <w:rFonts w:ascii="Calibri" w:eastAsia="Times New Roman" w:hAnsi="Calibri" w:cs="Calibri"/>
                <w:sz w:val="20"/>
                <w:szCs w:val="20"/>
              </w:rPr>
              <w:t>Total</w:t>
            </w:r>
          </w:p>
        </w:tc>
        <w:tc>
          <w:tcPr>
            <w:tcW w:w="1199" w:type="dxa"/>
            <w:shd w:val="clear" w:color="auto" w:fill="FFFFFF" w:themeFill="background1"/>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207</w:t>
            </w:r>
          </w:p>
        </w:tc>
        <w:tc>
          <w:tcPr>
            <w:tcW w:w="1134" w:type="dxa"/>
            <w:shd w:val="clear" w:color="auto" w:fill="FFFFFF" w:themeFill="background1"/>
            <w:noWrap/>
            <w:vAlign w:val="bottom"/>
            <w:hideMark/>
          </w:tcPr>
          <w:p w:rsidR="00AD6B94" w:rsidRPr="00B24DC9" w:rsidRDefault="00AD6B94" w:rsidP="00411856">
            <w:pPr>
              <w:spacing w:after="0"/>
              <w:jc w:val="right"/>
              <w:rPr>
                <w:rFonts w:ascii="Calibri" w:eastAsia="Times New Roman" w:hAnsi="Calibri" w:cs="Calibri"/>
                <w:sz w:val="20"/>
                <w:szCs w:val="20"/>
              </w:rPr>
            </w:pPr>
            <w:r w:rsidRPr="00B24DC9">
              <w:rPr>
                <w:rFonts w:ascii="Calibri" w:eastAsia="Times New Roman" w:hAnsi="Calibri" w:cs="Calibri"/>
                <w:sz w:val="20"/>
                <w:szCs w:val="20"/>
              </w:rPr>
              <w:t>100.0%</w:t>
            </w:r>
          </w:p>
        </w:tc>
      </w:tr>
    </w:tbl>
    <w:p w:rsidR="00AD6B94" w:rsidRDefault="00AD6B94" w:rsidP="00D95CBD">
      <w:pPr>
        <w:pStyle w:val="Figurecaption"/>
      </w:pPr>
      <w:r>
        <w:t xml:space="preserve">Note: 2 </w:t>
      </w:r>
      <w:proofErr w:type="gramStart"/>
      <w:r>
        <w:t>patients</w:t>
      </w:r>
      <w:proofErr w:type="gramEnd"/>
      <w:r>
        <w:t xml:space="preserve"> records in the report did not have any organ damage information recorded. This count has not been included in this table.</w:t>
      </w:r>
    </w:p>
    <w:p w:rsidR="00AD6B94" w:rsidRPr="00E377F0" w:rsidRDefault="00AD6B94" w:rsidP="00D95CBD">
      <w:pPr>
        <w:pStyle w:val="Figurecaption"/>
      </w:pPr>
      <w:proofErr w:type="spellStart"/>
      <w:r w:rsidRPr="0043782D">
        <w:rPr>
          <w:vertAlign w:val="superscript"/>
        </w:rPr>
        <w:t>a</w:t>
      </w:r>
      <w:r>
        <w:t>Includes</w:t>
      </w:r>
      <w:proofErr w:type="spellEnd"/>
      <w:r>
        <w:t xml:space="preserve"> </w:t>
      </w:r>
      <w:proofErr w:type="spellStart"/>
      <w:r>
        <w:t>Kidney;Pulmonary</w:t>
      </w:r>
      <w:proofErr w:type="spellEnd"/>
      <w:r>
        <w:t xml:space="preserve">, </w:t>
      </w:r>
      <w:proofErr w:type="spellStart"/>
      <w:r>
        <w:t>Kidney;Neurological;Gastrointestinal</w:t>
      </w:r>
      <w:proofErr w:type="spellEnd"/>
      <w:r>
        <w:t xml:space="preserve">, </w:t>
      </w:r>
      <w:proofErr w:type="spellStart"/>
      <w:r>
        <w:t>Kidney;Neurological;Cardiac</w:t>
      </w:r>
      <w:proofErr w:type="spellEnd"/>
      <w:r>
        <w:t xml:space="preserve">, </w:t>
      </w:r>
      <w:proofErr w:type="spellStart"/>
      <w:r>
        <w:t>Kidney;Neurological;Gastrointestinal;Pulomonary</w:t>
      </w:r>
      <w:proofErr w:type="spellEnd"/>
      <w:r>
        <w:t xml:space="preserve">, </w:t>
      </w:r>
      <w:proofErr w:type="spellStart"/>
      <w:r>
        <w:t>Kidney;Neurological;Pulmonary</w:t>
      </w:r>
      <w:proofErr w:type="spellEnd"/>
      <w:r>
        <w:t xml:space="preserve">, </w:t>
      </w:r>
      <w:proofErr w:type="spellStart"/>
      <w:r>
        <w:t>Kidney;Neurological;Cardiac</w:t>
      </w:r>
      <w:proofErr w:type="spellEnd"/>
      <w:r>
        <w:t xml:space="preserve">; </w:t>
      </w:r>
      <w:proofErr w:type="spellStart"/>
      <w:r>
        <w:t>Gastrintestinal</w:t>
      </w:r>
      <w:proofErr w:type="spellEnd"/>
      <w:r>
        <w:t xml:space="preserve">, </w:t>
      </w:r>
      <w:proofErr w:type="spellStart"/>
      <w:r>
        <w:t>Kidney;Cardiac;Gastrointestinal</w:t>
      </w:r>
      <w:proofErr w:type="spellEnd"/>
      <w:r>
        <w:t xml:space="preserve">, and </w:t>
      </w:r>
      <w:proofErr w:type="spellStart"/>
      <w:r>
        <w:t>Kidney;Neurological;Cardiac;Pulmonary</w:t>
      </w:r>
      <w:proofErr w:type="spellEnd"/>
      <w:r>
        <w:br/>
      </w:r>
      <w:r w:rsidRPr="0043782D">
        <w:rPr>
          <w:vertAlign w:val="superscript"/>
        </w:rPr>
        <w:t>b</w:t>
      </w:r>
      <w:r>
        <w:t xml:space="preserve"> Includes gastrointestinal, </w:t>
      </w:r>
      <w:proofErr w:type="spellStart"/>
      <w:r>
        <w:t>neurological;cardiac</w:t>
      </w:r>
      <w:proofErr w:type="spellEnd"/>
      <w:r>
        <w:t xml:space="preserve">, </w:t>
      </w:r>
      <w:proofErr w:type="spellStart"/>
      <w:r>
        <w:t>neurological;pulmonary</w:t>
      </w:r>
      <w:proofErr w:type="spellEnd"/>
      <w:r>
        <w:t>, and pulmonary</w:t>
      </w:r>
    </w:p>
    <w:p w:rsidR="00AD6B94" w:rsidRPr="00B325DD" w:rsidRDefault="00AD6B94" w:rsidP="00D95CBD">
      <w:pPr>
        <w:pStyle w:val="Figurecaption"/>
      </w:pPr>
      <w:r w:rsidRPr="00B325DD">
        <w:t xml:space="preserve">Time period: </w:t>
      </w:r>
      <w:r>
        <w:t>January</w:t>
      </w:r>
      <w:r w:rsidRPr="00B325DD">
        <w:t xml:space="preserve"> 201</w:t>
      </w:r>
      <w:r>
        <w:t>7</w:t>
      </w:r>
      <w:r w:rsidRPr="00B325DD">
        <w:t xml:space="preserve"> – </w:t>
      </w:r>
      <w:r w:rsidRPr="00B81B1C">
        <w:t>June 2020.</w:t>
      </w:r>
      <w:r w:rsidRPr="00B325DD">
        <w:t xml:space="preserve"> </w:t>
      </w:r>
    </w:p>
    <w:p w:rsidR="00AD6B94" w:rsidRDefault="00AD6B94" w:rsidP="00D95CBD">
      <w:pPr>
        <w:pStyle w:val="Figurecaption"/>
      </w:pPr>
      <w:r w:rsidRPr="00B325DD">
        <w:t xml:space="preserve">Source: Services Australia </w:t>
      </w:r>
      <w:r>
        <w:t xml:space="preserve">Complex Drugs (Tasmania) </w:t>
      </w:r>
      <w:proofErr w:type="spellStart"/>
      <w:r>
        <w:t>aHUS</w:t>
      </w:r>
      <w:proofErr w:type="spellEnd"/>
      <w:r>
        <w:t xml:space="preserve"> monthly </w:t>
      </w:r>
      <w:r w:rsidRPr="0043782D">
        <w:t>report January 2017</w:t>
      </w:r>
      <w:r>
        <w:t xml:space="preserve"> to 30 June </w:t>
      </w:r>
      <w:r w:rsidRPr="00B325DD">
        <w:t>2020.</w:t>
      </w:r>
    </w:p>
    <w:p w:rsidR="00F04394" w:rsidRDefault="00F04394" w:rsidP="00D95CBD">
      <w:pPr>
        <w:pStyle w:val="Figurecaption"/>
      </w:pPr>
      <w:r w:rsidRPr="00B325DD">
        <w:t xml:space="preserve">Source: Services Australia </w:t>
      </w:r>
      <w:r>
        <w:t xml:space="preserve">Complex Drugs (Tasmania) </w:t>
      </w:r>
      <w:proofErr w:type="spellStart"/>
      <w:r>
        <w:t>aHUS</w:t>
      </w:r>
      <w:proofErr w:type="spellEnd"/>
      <w:r>
        <w:t xml:space="preserve"> monthly report </w:t>
      </w:r>
      <w:r w:rsidR="0002194F">
        <w:t xml:space="preserve">January 2017 </w:t>
      </w:r>
      <w:r>
        <w:t xml:space="preserve">to 30 June </w:t>
      </w:r>
      <w:r w:rsidRPr="00B325DD">
        <w:t>2020.</w:t>
      </w:r>
    </w:p>
    <w:p w:rsidR="00D556A3" w:rsidRDefault="00D556A3" w:rsidP="00DB0722"/>
    <w:p w:rsidR="00DB0722" w:rsidRPr="008B3B9E" w:rsidRDefault="00DB0722" w:rsidP="00D556A3">
      <w:pPr>
        <w:ind w:right="-257"/>
      </w:pPr>
      <w:r>
        <w:t xml:space="preserve">Table </w:t>
      </w:r>
      <w:r w:rsidR="006C4E86">
        <w:t>10</w:t>
      </w:r>
      <w:r>
        <w:t xml:space="preserve"> shows the breakdown of affected organs in applications for </w:t>
      </w:r>
      <w:proofErr w:type="spellStart"/>
      <w:r>
        <w:t>eculizumab</w:t>
      </w:r>
      <w:proofErr w:type="spellEnd"/>
      <w:r>
        <w:t>. As expected</w:t>
      </w:r>
      <w:r w:rsidR="00AD6B94">
        <w:t xml:space="preserve"> the majority (</w:t>
      </w:r>
      <w:r>
        <w:t>97.1%</w:t>
      </w:r>
      <w:r w:rsidR="00AD6B94">
        <w:t>)</w:t>
      </w:r>
      <w:r>
        <w:t xml:space="preserve"> of approved applications note the kidney as an affected organ. </w:t>
      </w:r>
    </w:p>
    <w:p w:rsidR="00950162" w:rsidRPr="00D91C82" w:rsidRDefault="00950162" w:rsidP="00950162">
      <w:pPr>
        <w:pStyle w:val="Heading3"/>
      </w:pPr>
      <w:r w:rsidRPr="003C1954">
        <w:t>Utilisation by authority</w:t>
      </w:r>
    </w:p>
    <w:p w:rsidR="0074311C" w:rsidRDefault="0074311C" w:rsidP="0074311C">
      <w:pPr>
        <w:pStyle w:val="Tabletitle"/>
        <w:spacing w:before="200"/>
      </w:pPr>
      <w:r>
        <w:t xml:space="preserve">Table </w:t>
      </w:r>
      <w:r w:rsidR="005C7DEA">
        <w:t>1</w:t>
      </w:r>
      <w:r w:rsidR="00D556A3">
        <w:t>1</w:t>
      </w:r>
      <w:r>
        <w:t>: Restriction sequence - applications by restriction type</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965"/>
        <w:gridCol w:w="1210"/>
      </w:tblGrid>
      <w:tr w:rsidR="0074311C" w:rsidRPr="00D2301B" w:rsidTr="009951A5">
        <w:trPr>
          <w:trHeight w:val="300"/>
        </w:trPr>
        <w:tc>
          <w:tcPr>
            <w:tcW w:w="5900" w:type="dxa"/>
            <w:shd w:val="clear" w:color="auto" w:fill="BFBFBF" w:themeFill="background1" w:themeFillShade="BF"/>
            <w:noWrap/>
            <w:vAlign w:val="bottom"/>
            <w:hideMark/>
          </w:tcPr>
          <w:p w:rsidR="0074311C" w:rsidRPr="00D2301B" w:rsidRDefault="0074311C" w:rsidP="009951A5">
            <w:pPr>
              <w:spacing w:after="0"/>
              <w:rPr>
                <w:rFonts w:ascii="Times New Roman" w:eastAsia="Times New Roman" w:hAnsi="Times New Roman" w:cs="Times New Roman"/>
                <w:sz w:val="20"/>
                <w:szCs w:val="20"/>
              </w:rPr>
            </w:pPr>
            <w:r w:rsidRPr="00817586">
              <w:rPr>
                <w:rFonts w:ascii="Calibri" w:eastAsia="Times New Roman" w:hAnsi="Calibri" w:cs="Calibri"/>
                <w:b/>
                <w:bCs/>
                <w:color w:val="000000"/>
                <w:sz w:val="20"/>
                <w:szCs w:val="20"/>
              </w:rPr>
              <w:t>T</w:t>
            </w:r>
            <w:r w:rsidRPr="00D2301B">
              <w:rPr>
                <w:rFonts w:ascii="Calibri" w:eastAsia="Times New Roman" w:hAnsi="Calibri" w:cs="Calibri"/>
                <w:b/>
                <w:bCs/>
                <w:color w:val="000000"/>
                <w:sz w:val="20"/>
                <w:szCs w:val="20"/>
              </w:rPr>
              <w:t>reatment phase sequence</w:t>
            </w:r>
          </w:p>
        </w:tc>
        <w:tc>
          <w:tcPr>
            <w:tcW w:w="965" w:type="dxa"/>
            <w:shd w:val="clear" w:color="auto" w:fill="BFBFBF" w:themeFill="background1" w:themeFillShade="BF"/>
            <w:noWrap/>
            <w:vAlign w:val="bottom"/>
            <w:hideMark/>
          </w:tcPr>
          <w:p w:rsidR="0074311C" w:rsidRPr="00D2301B" w:rsidRDefault="0074311C" w:rsidP="009951A5">
            <w:pPr>
              <w:spacing w:after="0"/>
              <w:rPr>
                <w:rFonts w:ascii="Calibri" w:eastAsia="Times New Roman" w:hAnsi="Calibri" w:cs="Calibri"/>
                <w:b/>
                <w:bCs/>
                <w:color w:val="000000"/>
                <w:sz w:val="20"/>
                <w:szCs w:val="20"/>
              </w:rPr>
            </w:pPr>
            <w:r w:rsidRPr="00D2301B">
              <w:rPr>
                <w:rFonts w:ascii="Calibri" w:eastAsia="Times New Roman" w:hAnsi="Calibri" w:cs="Calibri"/>
                <w:b/>
                <w:bCs/>
                <w:color w:val="000000"/>
                <w:sz w:val="20"/>
                <w:szCs w:val="20"/>
              </w:rPr>
              <w:t>Patients</w:t>
            </w:r>
          </w:p>
        </w:tc>
        <w:tc>
          <w:tcPr>
            <w:tcW w:w="1210" w:type="dxa"/>
            <w:shd w:val="clear" w:color="auto" w:fill="BFBFBF" w:themeFill="background1" w:themeFillShade="BF"/>
            <w:noWrap/>
            <w:vAlign w:val="bottom"/>
            <w:hideMark/>
          </w:tcPr>
          <w:p w:rsidR="0074311C" w:rsidRPr="00D2301B" w:rsidRDefault="0074311C" w:rsidP="00813BB1">
            <w:pPr>
              <w:spacing w:after="0"/>
              <w:rPr>
                <w:rFonts w:ascii="Calibri" w:eastAsia="Times New Roman" w:hAnsi="Calibri" w:cs="Calibri"/>
                <w:b/>
                <w:bCs/>
                <w:color w:val="000000"/>
                <w:sz w:val="20"/>
                <w:szCs w:val="20"/>
              </w:rPr>
            </w:pPr>
            <w:r w:rsidRPr="00D2301B">
              <w:rPr>
                <w:rFonts w:ascii="Calibri" w:eastAsia="Times New Roman" w:hAnsi="Calibri" w:cs="Calibri"/>
                <w:b/>
                <w:bCs/>
                <w:color w:val="000000"/>
                <w:sz w:val="20"/>
                <w:szCs w:val="20"/>
              </w:rPr>
              <w:t xml:space="preserve">% </w:t>
            </w:r>
            <w:r w:rsidR="00813BB1">
              <w:rPr>
                <w:rFonts w:ascii="Calibri" w:eastAsia="Times New Roman" w:hAnsi="Calibri" w:cs="Calibri"/>
                <w:b/>
                <w:bCs/>
                <w:color w:val="000000"/>
                <w:sz w:val="20"/>
                <w:szCs w:val="20"/>
              </w:rPr>
              <w:t>P</w:t>
            </w:r>
            <w:r w:rsidRPr="00D2301B">
              <w:rPr>
                <w:rFonts w:ascii="Calibri" w:eastAsia="Times New Roman" w:hAnsi="Calibri" w:cs="Calibri"/>
                <w:b/>
                <w:bCs/>
                <w:color w:val="000000"/>
                <w:sz w:val="20"/>
                <w:szCs w:val="20"/>
              </w:rPr>
              <w:t>atients</w:t>
            </w:r>
          </w:p>
        </w:tc>
      </w:tr>
      <w:tr w:rsidR="0074311C" w:rsidRPr="00D2301B" w:rsidTr="009951A5">
        <w:trPr>
          <w:trHeight w:val="300"/>
        </w:trPr>
        <w:tc>
          <w:tcPr>
            <w:tcW w:w="5900" w:type="dxa"/>
            <w:shd w:val="clear" w:color="auto" w:fill="auto"/>
            <w:noWrap/>
            <w:vAlign w:val="bottom"/>
            <w:hideMark/>
          </w:tcPr>
          <w:p w:rsidR="0074311C" w:rsidRPr="00D2301B" w:rsidRDefault="0074311C" w:rsidP="009951A5">
            <w:pPr>
              <w:spacing w:after="0"/>
              <w:rPr>
                <w:rFonts w:ascii="Calibri" w:eastAsia="Times New Roman" w:hAnsi="Calibri" w:cs="Calibri"/>
                <w:b/>
                <w:bCs/>
                <w:color w:val="000000"/>
                <w:sz w:val="20"/>
                <w:szCs w:val="20"/>
              </w:rPr>
            </w:pPr>
            <w:r w:rsidRPr="00D2301B">
              <w:rPr>
                <w:rFonts w:ascii="Calibri" w:eastAsia="Times New Roman" w:hAnsi="Calibri" w:cs="Calibri"/>
                <w:sz w:val="20"/>
                <w:szCs w:val="20"/>
              </w:rPr>
              <w:t>Initial -&gt; Initial - balance</w:t>
            </w:r>
          </w:p>
        </w:tc>
        <w:tc>
          <w:tcPr>
            <w:tcW w:w="965" w:type="dxa"/>
            <w:shd w:val="clear" w:color="auto" w:fill="auto"/>
            <w:noWrap/>
            <w:vAlign w:val="bottom"/>
            <w:hideMark/>
          </w:tcPr>
          <w:p w:rsidR="0074311C" w:rsidRPr="00D2301B" w:rsidRDefault="0074311C" w:rsidP="009951A5">
            <w:pPr>
              <w:spacing w:after="0"/>
              <w:jc w:val="right"/>
              <w:rPr>
                <w:rFonts w:ascii="Calibri" w:eastAsia="Times New Roman" w:hAnsi="Calibri" w:cs="Calibri"/>
                <w:sz w:val="20"/>
                <w:szCs w:val="20"/>
              </w:rPr>
            </w:pPr>
            <w:r>
              <w:rPr>
                <w:rFonts w:ascii="Calibri" w:eastAsia="Times New Roman" w:hAnsi="Calibri" w:cs="Calibri"/>
                <w:sz w:val="20"/>
                <w:szCs w:val="20"/>
              </w:rPr>
              <w:t>59</w:t>
            </w:r>
          </w:p>
        </w:tc>
        <w:tc>
          <w:tcPr>
            <w:tcW w:w="1210" w:type="dxa"/>
            <w:shd w:val="clear" w:color="auto" w:fill="auto"/>
            <w:noWrap/>
            <w:vAlign w:val="bottom"/>
            <w:hideMark/>
          </w:tcPr>
          <w:p w:rsidR="0074311C" w:rsidRPr="00D2301B" w:rsidRDefault="0074311C" w:rsidP="009951A5">
            <w:pPr>
              <w:spacing w:after="0"/>
              <w:jc w:val="right"/>
              <w:rPr>
                <w:rFonts w:ascii="Calibri" w:eastAsia="Times New Roman" w:hAnsi="Calibri" w:cs="Calibri"/>
                <w:sz w:val="20"/>
                <w:szCs w:val="20"/>
              </w:rPr>
            </w:pPr>
            <w:r>
              <w:rPr>
                <w:rFonts w:ascii="Calibri" w:eastAsia="Times New Roman" w:hAnsi="Calibri" w:cs="Calibri"/>
                <w:sz w:val="20"/>
                <w:szCs w:val="20"/>
              </w:rPr>
              <w:t>35</w:t>
            </w:r>
            <w:r w:rsidRPr="00D2301B">
              <w:rPr>
                <w:rFonts w:ascii="Calibri" w:eastAsia="Times New Roman" w:hAnsi="Calibri" w:cs="Calibri"/>
                <w:sz w:val="20"/>
                <w:szCs w:val="20"/>
              </w:rPr>
              <w:t>.</w:t>
            </w:r>
            <w:r>
              <w:rPr>
                <w:rFonts w:ascii="Calibri" w:eastAsia="Times New Roman" w:hAnsi="Calibri" w:cs="Calibri"/>
                <w:sz w:val="20"/>
                <w:szCs w:val="20"/>
              </w:rPr>
              <w:t>3</w:t>
            </w:r>
            <w:r w:rsidRPr="00D2301B">
              <w:rPr>
                <w:rFonts w:ascii="Calibri" w:eastAsia="Times New Roman" w:hAnsi="Calibri" w:cs="Calibri"/>
                <w:sz w:val="20"/>
                <w:szCs w:val="20"/>
              </w:rPr>
              <w:t>%</w:t>
            </w:r>
          </w:p>
        </w:tc>
      </w:tr>
      <w:tr w:rsidR="0074311C" w:rsidRPr="00D2301B" w:rsidTr="009951A5">
        <w:trPr>
          <w:trHeight w:val="300"/>
        </w:trPr>
        <w:tc>
          <w:tcPr>
            <w:tcW w:w="5900" w:type="dxa"/>
            <w:shd w:val="clear" w:color="auto" w:fill="auto"/>
            <w:noWrap/>
            <w:vAlign w:val="bottom"/>
            <w:hideMark/>
          </w:tcPr>
          <w:p w:rsidR="0074311C" w:rsidRPr="00D2301B" w:rsidRDefault="0074311C" w:rsidP="009951A5">
            <w:pPr>
              <w:spacing w:after="0"/>
              <w:rPr>
                <w:rFonts w:ascii="Calibri" w:eastAsia="Times New Roman" w:hAnsi="Calibri" w:cs="Calibri"/>
                <w:sz w:val="20"/>
                <w:szCs w:val="20"/>
              </w:rPr>
            </w:pPr>
            <w:r w:rsidRPr="00D2301B">
              <w:rPr>
                <w:rFonts w:ascii="Calibri" w:eastAsia="Times New Roman" w:hAnsi="Calibri" w:cs="Calibri"/>
                <w:sz w:val="20"/>
                <w:szCs w:val="20"/>
              </w:rPr>
              <w:t>Initial</w:t>
            </w:r>
          </w:p>
        </w:tc>
        <w:tc>
          <w:tcPr>
            <w:tcW w:w="965" w:type="dxa"/>
            <w:shd w:val="clear" w:color="auto" w:fill="auto"/>
            <w:noWrap/>
            <w:vAlign w:val="bottom"/>
            <w:hideMark/>
          </w:tcPr>
          <w:p w:rsidR="0074311C" w:rsidRPr="00D2301B" w:rsidRDefault="0074311C" w:rsidP="009951A5">
            <w:pPr>
              <w:spacing w:after="0"/>
              <w:jc w:val="right"/>
              <w:rPr>
                <w:rFonts w:ascii="Calibri" w:eastAsia="Times New Roman" w:hAnsi="Calibri" w:cs="Calibri"/>
                <w:sz w:val="20"/>
                <w:szCs w:val="20"/>
              </w:rPr>
            </w:pPr>
            <w:r w:rsidRPr="00D2301B">
              <w:rPr>
                <w:rFonts w:ascii="Calibri" w:eastAsia="Times New Roman" w:hAnsi="Calibri" w:cs="Calibri"/>
                <w:sz w:val="20"/>
                <w:szCs w:val="20"/>
              </w:rPr>
              <w:t>48</w:t>
            </w:r>
          </w:p>
        </w:tc>
        <w:tc>
          <w:tcPr>
            <w:tcW w:w="1210" w:type="dxa"/>
            <w:shd w:val="clear" w:color="auto" w:fill="auto"/>
            <w:noWrap/>
            <w:vAlign w:val="bottom"/>
            <w:hideMark/>
          </w:tcPr>
          <w:p w:rsidR="0074311C" w:rsidRPr="00D2301B" w:rsidRDefault="0074311C" w:rsidP="009951A5">
            <w:pPr>
              <w:spacing w:after="0"/>
              <w:jc w:val="right"/>
              <w:rPr>
                <w:rFonts w:ascii="Calibri" w:eastAsia="Times New Roman" w:hAnsi="Calibri" w:cs="Calibri"/>
                <w:sz w:val="20"/>
                <w:szCs w:val="20"/>
              </w:rPr>
            </w:pPr>
            <w:r w:rsidRPr="00D2301B">
              <w:rPr>
                <w:rFonts w:ascii="Calibri" w:eastAsia="Times New Roman" w:hAnsi="Calibri" w:cs="Calibri"/>
                <w:sz w:val="20"/>
                <w:szCs w:val="20"/>
              </w:rPr>
              <w:t>28.7%</w:t>
            </w:r>
          </w:p>
        </w:tc>
      </w:tr>
      <w:tr w:rsidR="0074311C" w:rsidRPr="00D2301B" w:rsidTr="009951A5">
        <w:trPr>
          <w:trHeight w:val="300"/>
        </w:trPr>
        <w:tc>
          <w:tcPr>
            <w:tcW w:w="5900" w:type="dxa"/>
            <w:shd w:val="clear" w:color="auto" w:fill="auto"/>
            <w:noWrap/>
            <w:vAlign w:val="bottom"/>
            <w:hideMark/>
          </w:tcPr>
          <w:p w:rsidR="0074311C" w:rsidRPr="00D2301B" w:rsidRDefault="0074311C" w:rsidP="009951A5">
            <w:pPr>
              <w:spacing w:after="0"/>
              <w:rPr>
                <w:rFonts w:ascii="Calibri" w:eastAsia="Times New Roman" w:hAnsi="Calibri" w:cs="Calibri"/>
                <w:sz w:val="20"/>
                <w:szCs w:val="20"/>
              </w:rPr>
            </w:pPr>
            <w:r w:rsidRPr="00D2301B">
              <w:rPr>
                <w:rFonts w:ascii="Calibri" w:eastAsia="Times New Roman" w:hAnsi="Calibri" w:cs="Calibri"/>
                <w:sz w:val="20"/>
                <w:szCs w:val="20"/>
              </w:rPr>
              <w:t>Initial -&gt; Initial - balance -&gt; Extended Initial</w:t>
            </w:r>
          </w:p>
        </w:tc>
        <w:tc>
          <w:tcPr>
            <w:tcW w:w="965" w:type="dxa"/>
            <w:shd w:val="clear" w:color="auto" w:fill="auto"/>
            <w:noWrap/>
            <w:vAlign w:val="bottom"/>
            <w:hideMark/>
          </w:tcPr>
          <w:p w:rsidR="0074311C" w:rsidRPr="00D2301B" w:rsidRDefault="0074311C" w:rsidP="009951A5">
            <w:pPr>
              <w:spacing w:after="0"/>
              <w:jc w:val="right"/>
              <w:rPr>
                <w:rFonts w:ascii="Calibri" w:eastAsia="Times New Roman" w:hAnsi="Calibri" w:cs="Calibri"/>
                <w:sz w:val="20"/>
                <w:szCs w:val="20"/>
              </w:rPr>
            </w:pPr>
            <w:r w:rsidRPr="00D2301B">
              <w:rPr>
                <w:rFonts w:ascii="Calibri" w:eastAsia="Times New Roman" w:hAnsi="Calibri" w:cs="Calibri"/>
                <w:sz w:val="20"/>
                <w:szCs w:val="20"/>
              </w:rPr>
              <w:t>29</w:t>
            </w:r>
          </w:p>
        </w:tc>
        <w:tc>
          <w:tcPr>
            <w:tcW w:w="1210" w:type="dxa"/>
            <w:shd w:val="clear" w:color="auto" w:fill="auto"/>
            <w:noWrap/>
            <w:vAlign w:val="bottom"/>
            <w:hideMark/>
          </w:tcPr>
          <w:p w:rsidR="0074311C" w:rsidRPr="00D2301B" w:rsidRDefault="0074311C" w:rsidP="009951A5">
            <w:pPr>
              <w:spacing w:after="0"/>
              <w:jc w:val="right"/>
              <w:rPr>
                <w:rFonts w:ascii="Calibri" w:eastAsia="Times New Roman" w:hAnsi="Calibri" w:cs="Calibri"/>
                <w:sz w:val="20"/>
                <w:szCs w:val="20"/>
              </w:rPr>
            </w:pPr>
            <w:r w:rsidRPr="00D2301B">
              <w:rPr>
                <w:rFonts w:ascii="Calibri" w:eastAsia="Times New Roman" w:hAnsi="Calibri" w:cs="Calibri"/>
                <w:sz w:val="20"/>
                <w:szCs w:val="20"/>
              </w:rPr>
              <w:t>17.4%</w:t>
            </w:r>
          </w:p>
        </w:tc>
      </w:tr>
      <w:tr w:rsidR="0074311C" w:rsidRPr="00D2301B" w:rsidTr="009951A5">
        <w:trPr>
          <w:trHeight w:val="300"/>
        </w:trPr>
        <w:tc>
          <w:tcPr>
            <w:tcW w:w="5900" w:type="dxa"/>
            <w:shd w:val="clear" w:color="auto" w:fill="auto"/>
            <w:noWrap/>
            <w:vAlign w:val="bottom"/>
            <w:hideMark/>
          </w:tcPr>
          <w:p w:rsidR="0074311C" w:rsidRPr="00D2301B" w:rsidRDefault="0074311C" w:rsidP="009951A5">
            <w:pPr>
              <w:spacing w:after="0"/>
              <w:rPr>
                <w:rFonts w:ascii="Calibri" w:eastAsia="Times New Roman" w:hAnsi="Calibri" w:cs="Calibri"/>
                <w:sz w:val="20"/>
                <w:szCs w:val="20"/>
              </w:rPr>
            </w:pPr>
            <w:r w:rsidRPr="00D2301B">
              <w:rPr>
                <w:rFonts w:ascii="Calibri" w:eastAsia="Times New Roman" w:hAnsi="Calibri" w:cs="Calibri"/>
                <w:sz w:val="20"/>
                <w:szCs w:val="20"/>
              </w:rPr>
              <w:t>Initial -&gt; Initial - balance -&gt; Extended Initial -&gt; Continuing</w:t>
            </w:r>
          </w:p>
        </w:tc>
        <w:tc>
          <w:tcPr>
            <w:tcW w:w="965" w:type="dxa"/>
            <w:shd w:val="clear" w:color="auto" w:fill="auto"/>
            <w:noWrap/>
            <w:vAlign w:val="bottom"/>
            <w:hideMark/>
          </w:tcPr>
          <w:p w:rsidR="0074311C" w:rsidRPr="00D2301B" w:rsidRDefault="0074311C" w:rsidP="009951A5">
            <w:pPr>
              <w:spacing w:after="0"/>
              <w:jc w:val="right"/>
              <w:rPr>
                <w:rFonts w:ascii="Calibri" w:eastAsia="Times New Roman" w:hAnsi="Calibri" w:cs="Calibri"/>
                <w:sz w:val="20"/>
                <w:szCs w:val="20"/>
              </w:rPr>
            </w:pPr>
            <w:r>
              <w:rPr>
                <w:rFonts w:ascii="Calibri" w:eastAsia="Times New Roman" w:hAnsi="Calibri" w:cs="Calibri"/>
                <w:sz w:val="20"/>
                <w:szCs w:val="20"/>
              </w:rPr>
              <w:t>25</w:t>
            </w:r>
          </w:p>
        </w:tc>
        <w:tc>
          <w:tcPr>
            <w:tcW w:w="1210" w:type="dxa"/>
            <w:shd w:val="clear" w:color="auto" w:fill="auto"/>
            <w:noWrap/>
            <w:vAlign w:val="bottom"/>
            <w:hideMark/>
          </w:tcPr>
          <w:p w:rsidR="0074311C" w:rsidRPr="00D2301B" w:rsidRDefault="0074311C" w:rsidP="009951A5">
            <w:pPr>
              <w:spacing w:after="0"/>
              <w:jc w:val="right"/>
              <w:rPr>
                <w:rFonts w:ascii="Calibri" w:eastAsia="Times New Roman" w:hAnsi="Calibri" w:cs="Calibri"/>
                <w:sz w:val="20"/>
                <w:szCs w:val="20"/>
              </w:rPr>
            </w:pPr>
            <w:r w:rsidRPr="00D2301B">
              <w:rPr>
                <w:rFonts w:ascii="Calibri" w:eastAsia="Times New Roman" w:hAnsi="Calibri" w:cs="Calibri"/>
                <w:sz w:val="20"/>
                <w:szCs w:val="20"/>
              </w:rPr>
              <w:t>1</w:t>
            </w:r>
            <w:r>
              <w:rPr>
                <w:rFonts w:ascii="Calibri" w:eastAsia="Times New Roman" w:hAnsi="Calibri" w:cs="Calibri"/>
                <w:sz w:val="20"/>
                <w:szCs w:val="20"/>
              </w:rPr>
              <w:t>5</w:t>
            </w:r>
            <w:r w:rsidRPr="00D2301B">
              <w:rPr>
                <w:rFonts w:ascii="Calibri" w:eastAsia="Times New Roman" w:hAnsi="Calibri" w:cs="Calibri"/>
                <w:sz w:val="20"/>
                <w:szCs w:val="20"/>
              </w:rPr>
              <w:t>.</w:t>
            </w:r>
            <w:r>
              <w:rPr>
                <w:rFonts w:ascii="Calibri" w:eastAsia="Times New Roman" w:hAnsi="Calibri" w:cs="Calibri"/>
                <w:sz w:val="20"/>
                <w:szCs w:val="20"/>
              </w:rPr>
              <w:t>0</w:t>
            </w:r>
            <w:r w:rsidRPr="00D2301B">
              <w:rPr>
                <w:rFonts w:ascii="Calibri" w:eastAsia="Times New Roman" w:hAnsi="Calibri" w:cs="Calibri"/>
                <w:sz w:val="20"/>
                <w:szCs w:val="20"/>
              </w:rPr>
              <w:t>%</w:t>
            </w:r>
          </w:p>
        </w:tc>
      </w:tr>
      <w:tr w:rsidR="0074311C" w:rsidRPr="00D2301B" w:rsidTr="009951A5">
        <w:trPr>
          <w:trHeight w:val="300"/>
        </w:trPr>
        <w:tc>
          <w:tcPr>
            <w:tcW w:w="5900" w:type="dxa"/>
            <w:shd w:val="clear" w:color="auto" w:fill="auto"/>
            <w:noWrap/>
            <w:vAlign w:val="bottom"/>
            <w:hideMark/>
          </w:tcPr>
          <w:p w:rsidR="0074311C" w:rsidRPr="00D2301B" w:rsidRDefault="0074311C" w:rsidP="009951A5">
            <w:pPr>
              <w:spacing w:after="0"/>
              <w:rPr>
                <w:rFonts w:ascii="Calibri" w:eastAsia="Times New Roman" w:hAnsi="Calibri" w:cs="Calibri"/>
                <w:sz w:val="20"/>
                <w:szCs w:val="20"/>
              </w:rPr>
            </w:pPr>
            <w:r>
              <w:rPr>
                <w:rFonts w:ascii="Calibri" w:eastAsia="Times New Roman" w:hAnsi="Calibri" w:cs="Calibri"/>
                <w:sz w:val="20"/>
                <w:szCs w:val="20"/>
              </w:rPr>
              <w:t>Other</w:t>
            </w:r>
          </w:p>
        </w:tc>
        <w:tc>
          <w:tcPr>
            <w:tcW w:w="965" w:type="dxa"/>
            <w:shd w:val="clear" w:color="auto" w:fill="auto"/>
            <w:noWrap/>
            <w:vAlign w:val="bottom"/>
            <w:hideMark/>
          </w:tcPr>
          <w:p w:rsidR="0074311C" w:rsidRPr="00D2301B" w:rsidRDefault="0074311C" w:rsidP="009951A5">
            <w:pPr>
              <w:spacing w:after="0"/>
              <w:jc w:val="right"/>
              <w:rPr>
                <w:rFonts w:ascii="Calibri" w:eastAsia="Times New Roman" w:hAnsi="Calibri" w:cs="Calibri"/>
                <w:sz w:val="20"/>
                <w:szCs w:val="20"/>
              </w:rPr>
            </w:pPr>
            <w:r>
              <w:rPr>
                <w:rFonts w:ascii="Calibri" w:eastAsia="Times New Roman" w:hAnsi="Calibri" w:cs="Calibri"/>
                <w:sz w:val="20"/>
                <w:szCs w:val="20"/>
              </w:rPr>
              <w:t>6</w:t>
            </w:r>
          </w:p>
        </w:tc>
        <w:tc>
          <w:tcPr>
            <w:tcW w:w="1210" w:type="dxa"/>
            <w:shd w:val="clear" w:color="auto" w:fill="auto"/>
            <w:noWrap/>
            <w:vAlign w:val="bottom"/>
            <w:hideMark/>
          </w:tcPr>
          <w:p w:rsidR="0074311C" w:rsidRPr="00D2301B" w:rsidRDefault="0074311C" w:rsidP="009951A5">
            <w:pPr>
              <w:spacing w:after="0"/>
              <w:jc w:val="right"/>
              <w:rPr>
                <w:rFonts w:ascii="Calibri" w:eastAsia="Times New Roman" w:hAnsi="Calibri" w:cs="Calibri"/>
                <w:sz w:val="20"/>
                <w:szCs w:val="20"/>
              </w:rPr>
            </w:pPr>
            <w:r>
              <w:rPr>
                <w:rFonts w:ascii="Calibri" w:eastAsia="Times New Roman" w:hAnsi="Calibri" w:cs="Calibri"/>
                <w:sz w:val="20"/>
                <w:szCs w:val="20"/>
              </w:rPr>
              <w:t>3</w:t>
            </w:r>
            <w:r w:rsidRPr="00D2301B">
              <w:rPr>
                <w:rFonts w:ascii="Calibri" w:eastAsia="Times New Roman" w:hAnsi="Calibri" w:cs="Calibri"/>
                <w:sz w:val="20"/>
                <w:szCs w:val="20"/>
              </w:rPr>
              <w:t>.6%</w:t>
            </w:r>
          </w:p>
        </w:tc>
      </w:tr>
      <w:tr w:rsidR="0074311C" w:rsidRPr="00D2301B" w:rsidTr="009951A5">
        <w:trPr>
          <w:trHeight w:val="300"/>
        </w:trPr>
        <w:tc>
          <w:tcPr>
            <w:tcW w:w="5900" w:type="dxa"/>
            <w:shd w:val="clear" w:color="auto" w:fill="FFFFFF" w:themeFill="background1"/>
            <w:noWrap/>
            <w:vAlign w:val="bottom"/>
            <w:hideMark/>
          </w:tcPr>
          <w:p w:rsidR="0074311C" w:rsidRPr="00D2301B" w:rsidRDefault="0074311C" w:rsidP="009951A5">
            <w:pPr>
              <w:spacing w:after="0"/>
              <w:rPr>
                <w:rFonts w:ascii="Calibri" w:eastAsia="Times New Roman" w:hAnsi="Calibri" w:cs="Calibri"/>
                <w:sz w:val="20"/>
                <w:szCs w:val="20"/>
              </w:rPr>
            </w:pPr>
            <w:r w:rsidRPr="00D2301B">
              <w:rPr>
                <w:rFonts w:ascii="Calibri" w:eastAsia="Times New Roman" w:hAnsi="Calibri" w:cs="Calibri"/>
                <w:bCs/>
                <w:color w:val="000000"/>
                <w:sz w:val="20"/>
                <w:szCs w:val="20"/>
              </w:rPr>
              <w:t>Grand Total</w:t>
            </w:r>
          </w:p>
        </w:tc>
        <w:tc>
          <w:tcPr>
            <w:tcW w:w="965" w:type="dxa"/>
            <w:shd w:val="clear" w:color="auto" w:fill="FFFFFF" w:themeFill="background1"/>
            <w:noWrap/>
            <w:vAlign w:val="bottom"/>
            <w:hideMark/>
          </w:tcPr>
          <w:p w:rsidR="0074311C" w:rsidRPr="00D2301B" w:rsidRDefault="0074311C" w:rsidP="009951A5">
            <w:pPr>
              <w:spacing w:after="0"/>
              <w:jc w:val="right"/>
              <w:rPr>
                <w:rFonts w:ascii="Calibri" w:eastAsia="Times New Roman" w:hAnsi="Calibri" w:cs="Calibri"/>
                <w:sz w:val="20"/>
                <w:szCs w:val="20"/>
              </w:rPr>
            </w:pPr>
            <w:r w:rsidRPr="00D2301B">
              <w:rPr>
                <w:rFonts w:ascii="Calibri" w:eastAsia="Times New Roman" w:hAnsi="Calibri" w:cs="Calibri"/>
                <w:bCs/>
                <w:color w:val="000000"/>
                <w:sz w:val="20"/>
                <w:szCs w:val="20"/>
              </w:rPr>
              <w:t>167</w:t>
            </w:r>
          </w:p>
        </w:tc>
        <w:tc>
          <w:tcPr>
            <w:tcW w:w="1210" w:type="dxa"/>
            <w:shd w:val="clear" w:color="auto" w:fill="FFFFFF" w:themeFill="background1"/>
            <w:noWrap/>
            <w:vAlign w:val="bottom"/>
            <w:hideMark/>
          </w:tcPr>
          <w:p w:rsidR="0074311C" w:rsidRPr="00D2301B" w:rsidRDefault="0074311C" w:rsidP="009951A5">
            <w:pPr>
              <w:spacing w:after="0"/>
              <w:jc w:val="right"/>
              <w:rPr>
                <w:rFonts w:ascii="Calibri" w:eastAsia="Times New Roman" w:hAnsi="Calibri" w:cs="Calibri"/>
                <w:sz w:val="20"/>
                <w:szCs w:val="20"/>
              </w:rPr>
            </w:pPr>
            <w:r w:rsidRPr="00D2301B">
              <w:rPr>
                <w:rFonts w:ascii="Calibri" w:eastAsia="Times New Roman" w:hAnsi="Calibri" w:cs="Calibri"/>
                <w:bCs/>
                <w:color w:val="000000"/>
                <w:sz w:val="20"/>
                <w:szCs w:val="20"/>
              </w:rPr>
              <w:t>100.0%</w:t>
            </w:r>
          </w:p>
        </w:tc>
      </w:tr>
    </w:tbl>
    <w:p w:rsidR="0074311C" w:rsidRPr="006760F6" w:rsidRDefault="0074311C" w:rsidP="0074311C">
      <w:pPr>
        <w:pStyle w:val="Figurecaption"/>
        <w:spacing w:after="0"/>
      </w:pPr>
      <w:r w:rsidRPr="006760F6">
        <w:t xml:space="preserve">Time period: December 2017 – November 2019. </w:t>
      </w:r>
    </w:p>
    <w:p w:rsidR="0074311C" w:rsidRDefault="0074311C" w:rsidP="0074311C">
      <w:pPr>
        <w:pStyle w:val="Figurecaption"/>
      </w:pPr>
      <w:r w:rsidRPr="006760F6">
        <w:t>Source: PIN count, Services Australia supplied prescriptions database to 31 May 2020; extracted 2 July 2020.</w:t>
      </w:r>
    </w:p>
    <w:p w:rsidR="00D95CBD" w:rsidRDefault="00D95CBD" w:rsidP="0074311C">
      <w:pPr>
        <w:pStyle w:val="Figurecaption"/>
        <w:spacing w:before="0" w:after="200"/>
        <w:rPr>
          <w:sz w:val="24"/>
          <w:szCs w:val="24"/>
          <w:lang w:eastAsia="en-AU"/>
        </w:rPr>
      </w:pPr>
    </w:p>
    <w:p w:rsidR="0074311C" w:rsidRPr="005F4BDA" w:rsidRDefault="0074311C" w:rsidP="0074311C">
      <w:pPr>
        <w:pStyle w:val="Figurecaption"/>
        <w:spacing w:before="0" w:after="200"/>
        <w:rPr>
          <w:sz w:val="24"/>
          <w:szCs w:val="24"/>
          <w:lang w:eastAsia="en-AU"/>
        </w:rPr>
      </w:pPr>
      <w:r w:rsidRPr="005F4BDA">
        <w:rPr>
          <w:sz w:val="24"/>
          <w:szCs w:val="24"/>
          <w:lang w:eastAsia="en-AU"/>
        </w:rPr>
        <w:lastRenderedPageBreak/>
        <w:t xml:space="preserve">The </w:t>
      </w:r>
      <w:r>
        <w:rPr>
          <w:sz w:val="24"/>
          <w:szCs w:val="24"/>
          <w:lang w:eastAsia="en-AU"/>
        </w:rPr>
        <w:t xml:space="preserve">top four restriction sequences represent </w:t>
      </w:r>
      <w:r w:rsidRPr="005F4BDA">
        <w:rPr>
          <w:sz w:val="24"/>
          <w:szCs w:val="24"/>
          <w:lang w:eastAsia="en-AU"/>
        </w:rPr>
        <w:t>9</w:t>
      </w:r>
      <w:r>
        <w:rPr>
          <w:sz w:val="24"/>
          <w:szCs w:val="24"/>
          <w:lang w:eastAsia="en-AU"/>
        </w:rPr>
        <w:t>6</w:t>
      </w:r>
      <w:r w:rsidRPr="005F4BDA">
        <w:rPr>
          <w:sz w:val="24"/>
          <w:szCs w:val="24"/>
          <w:lang w:eastAsia="en-AU"/>
        </w:rPr>
        <w:t>.</w:t>
      </w:r>
      <w:r>
        <w:rPr>
          <w:sz w:val="24"/>
          <w:szCs w:val="24"/>
          <w:lang w:eastAsia="en-AU"/>
        </w:rPr>
        <w:t>4</w:t>
      </w:r>
      <w:r w:rsidRPr="005F4BDA">
        <w:rPr>
          <w:sz w:val="24"/>
          <w:szCs w:val="24"/>
          <w:lang w:eastAsia="en-AU"/>
        </w:rPr>
        <w:t xml:space="preserve">% of </w:t>
      </w:r>
      <w:r>
        <w:rPr>
          <w:sz w:val="24"/>
          <w:szCs w:val="24"/>
          <w:lang w:eastAsia="en-AU"/>
        </w:rPr>
        <w:t xml:space="preserve">total initiators </w:t>
      </w:r>
      <w:r w:rsidRPr="005F4BDA">
        <w:rPr>
          <w:sz w:val="24"/>
          <w:szCs w:val="24"/>
          <w:lang w:eastAsia="en-AU"/>
        </w:rPr>
        <w:t xml:space="preserve">for </w:t>
      </w:r>
      <w:proofErr w:type="spellStart"/>
      <w:r w:rsidRPr="005F4BDA">
        <w:rPr>
          <w:sz w:val="24"/>
          <w:szCs w:val="24"/>
          <w:lang w:eastAsia="en-AU"/>
        </w:rPr>
        <w:t>eculizumab</w:t>
      </w:r>
      <w:proofErr w:type="spellEnd"/>
      <w:r>
        <w:rPr>
          <w:sz w:val="24"/>
          <w:szCs w:val="24"/>
          <w:lang w:eastAsia="en-AU"/>
        </w:rPr>
        <w:t xml:space="preserve">. </w:t>
      </w:r>
      <w:r w:rsidRPr="005F4BDA">
        <w:rPr>
          <w:sz w:val="24"/>
          <w:szCs w:val="24"/>
          <w:lang w:eastAsia="en-AU"/>
        </w:rPr>
        <w:t xml:space="preserve">Of the 167 patients that initiated in 2017 to 2019, </w:t>
      </w:r>
      <w:r w:rsidR="00AD6B94">
        <w:rPr>
          <w:sz w:val="24"/>
          <w:szCs w:val="24"/>
          <w:lang w:eastAsia="en-AU"/>
        </w:rPr>
        <w:t xml:space="preserve">only </w:t>
      </w:r>
      <w:r>
        <w:rPr>
          <w:sz w:val="24"/>
          <w:szCs w:val="24"/>
          <w:lang w:eastAsia="en-AU"/>
        </w:rPr>
        <w:t>48</w:t>
      </w:r>
      <w:r w:rsidRPr="005F4BDA">
        <w:rPr>
          <w:sz w:val="24"/>
          <w:szCs w:val="24"/>
          <w:lang w:eastAsia="en-AU"/>
        </w:rPr>
        <w:t xml:space="preserve"> </w:t>
      </w:r>
      <w:r>
        <w:rPr>
          <w:sz w:val="24"/>
          <w:szCs w:val="24"/>
          <w:lang w:eastAsia="en-AU"/>
        </w:rPr>
        <w:t xml:space="preserve">patients received an initial </w:t>
      </w:r>
      <w:proofErr w:type="spellStart"/>
      <w:r>
        <w:rPr>
          <w:sz w:val="24"/>
          <w:szCs w:val="24"/>
          <w:lang w:eastAsia="en-AU"/>
        </w:rPr>
        <w:t>eculizumab</w:t>
      </w:r>
      <w:proofErr w:type="spellEnd"/>
      <w:r>
        <w:rPr>
          <w:sz w:val="24"/>
          <w:szCs w:val="24"/>
          <w:lang w:eastAsia="en-AU"/>
        </w:rPr>
        <w:t xml:space="preserve"> prescription</w:t>
      </w:r>
      <w:r w:rsidRPr="005F4BDA">
        <w:rPr>
          <w:sz w:val="24"/>
          <w:szCs w:val="24"/>
          <w:lang w:eastAsia="en-AU"/>
        </w:rPr>
        <w:t xml:space="preserve"> </w:t>
      </w:r>
      <w:r>
        <w:rPr>
          <w:sz w:val="24"/>
          <w:szCs w:val="24"/>
          <w:lang w:eastAsia="en-AU"/>
        </w:rPr>
        <w:t xml:space="preserve">and did not continue </w:t>
      </w:r>
      <w:r w:rsidRPr="005F4BDA">
        <w:rPr>
          <w:sz w:val="24"/>
          <w:szCs w:val="24"/>
          <w:lang w:eastAsia="en-AU"/>
        </w:rPr>
        <w:t xml:space="preserve">through </w:t>
      </w:r>
      <w:r>
        <w:rPr>
          <w:sz w:val="24"/>
          <w:szCs w:val="24"/>
          <w:lang w:eastAsia="en-AU"/>
        </w:rPr>
        <w:t>to further treatment</w:t>
      </w:r>
      <w:r w:rsidRPr="005F4BDA">
        <w:rPr>
          <w:sz w:val="24"/>
          <w:szCs w:val="24"/>
          <w:lang w:eastAsia="en-AU"/>
        </w:rPr>
        <w:t xml:space="preserve">. </w:t>
      </w:r>
    </w:p>
    <w:p w:rsidR="00CC2401" w:rsidRPr="00D95CBD" w:rsidRDefault="0074311C" w:rsidP="00D95CBD">
      <w:pPr>
        <w:pStyle w:val="Heading3"/>
      </w:pPr>
      <w:r>
        <w:t>Authorities linked claims data</w:t>
      </w:r>
    </w:p>
    <w:p w:rsidR="0074311C" w:rsidRPr="006D3F9C" w:rsidRDefault="005276FD" w:rsidP="0074311C">
      <w:pPr>
        <w:pStyle w:val="Tabletitle"/>
        <w:spacing w:before="200"/>
      </w:pPr>
      <w:r w:rsidRPr="006D3F9C">
        <w:t>Patient flow from ‘Initial’ to ‘Balance of Initial’ approval</w:t>
      </w:r>
    </w:p>
    <w:p w:rsidR="005276FD" w:rsidRDefault="001B07E8" w:rsidP="001B07E8">
      <w:pPr>
        <w:pStyle w:val="Figurecaption"/>
        <w:spacing w:after="0"/>
        <w:ind w:left="1701"/>
      </w:pPr>
      <w:r>
        <w:rPr>
          <w:noProof/>
          <w:lang w:eastAsia="en-AU"/>
        </w:rPr>
        <w:drawing>
          <wp:inline distT="0" distB="0" distL="0" distR="0" wp14:anchorId="357B0A2C" wp14:editId="6EF7A317">
            <wp:extent cx="3193366" cy="3150429"/>
            <wp:effectExtent l="0" t="0" r="7620" b="0"/>
            <wp:docPr id="5" name="Picture 5" title="Figure 8: Flow chart depicting timing and extent of ADAMTS-13 testing during the treatment approval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6628" cy="3163513"/>
                    </a:xfrm>
                    <a:prstGeom prst="rect">
                      <a:avLst/>
                    </a:prstGeom>
                  </pic:spPr>
                </pic:pic>
              </a:graphicData>
            </a:graphic>
          </wp:inline>
        </w:drawing>
      </w:r>
    </w:p>
    <w:p w:rsidR="00C2659E" w:rsidRDefault="00C2659E" w:rsidP="00837D7E">
      <w:pPr>
        <w:pStyle w:val="Figurecaption"/>
        <w:spacing w:after="0"/>
        <w:ind w:left="851"/>
      </w:pPr>
    </w:p>
    <w:p w:rsidR="005276FD" w:rsidRPr="00DF4558" w:rsidRDefault="007E4F6C" w:rsidP="00DF4558">
      <w:pPr>
        <w:pStyle w:val="Figuretitle"/>
      </w:pPr>
      <w:r>
        <w:t xml:space="preserve">Figure </w:t>
      </w:r>
      <w:r w:rsidR="00DF4558" w:rsidRPr="00DF4558">
        <w:t>8</w:t>
      </w:r>
      <w:r>
        <w:t>: Flow chart depicting timing and extent of ADAMTS</w:t>
      </w:r>
      <w:r w:rsidR="002A3556">
        <w:t>-13</w:t>
      </w:r>
      <w:r>
        <w:t xml:space="preserve"> testing during the treatment approval process</w:t>
      </w:r>
    </w:p>
    <w:p w:rsidR="0074311C" w:rsidRPr="00B325DD" w:rsidRDefault="0074311C" w:rsidP="0074311C">
      <w:pPr>
        <w:pStyle w:val="Figurecaption"/>
        <w:spacing w:after="0"/>
      </w:pPr>
      <w:r w:rsidRPr="00B325DD">
        <w:t xml:space="preserve">Time period: </w:t>
      </w:r>
      <w:r w:rsidR="005276FD">
        <w:t>January</w:t>
      </w:r>
      <w:r w:rsidRPr="00B325DD">
        <w:t xml:space="preserve"> 201</w:t>
      </w:r>
      <w:r w:rsidR="005276FD">
        <w:t>7</w:t>
      </w:r>
      <w:r w:rsidRPr="00B325DD">
        <w:t xml:space="preserve"> – </w:t>
      </w:r>
      <w:r w:rsidRPr="00B81B1C">
        <w:t>June 2020.</w:t>
      </w:r>
      <w:r w:rsidRPr="00B325DD">
        <w:t xml:space="preserve"> </w:t>
      </w:r>
    </w:p>
    <w:p w:rsidR="0074311C" w:rsidRDefault="0074311C" w:rsidP="0074311C">
      <w:pPr>
        <w:pStyle w:val="Figurecaption"/>
      </w:pPr>
      <w:r w:rsidRPr="00B325DD">
        <w:t xml:space="preserve">Source: Services Australia </w:t>
      </w:r>
      <w:r>
        <w:t xml:space="preserve">Complex Drugs (Tasmania) </w:t>
      </w:r>
      <w:proofErr w:type="spellStart"/>
      <w:r>
        <w:t>aHUS</w:t>
      </w:r>
      <w:proofErr w:type="spellEnd"/>
      <w:r>
        <w:t xml:space="preserve"> monthly report </w:t>
      </w:r>
      <w:r w:rsidRPr="00AD6B94">
        <w:t>201</w:t>
      </w:r>
      <w:r w:rsidR="00837D7E" w:rsidRPr="00AD6B94">
        <w:t>7</w:t>
      </w:r>
      <w:r>
        <w:t xml:space="preserve"> to 30 June </w:t>
      </w:r>
      <w:r w:rsidRPr="00B325DD">
        <w:t>2020.</w:t>
      </w:r>
    </w:p>
    <w:p w:rsidR="00D95CBD" w:rsidRDefault="00D95CBD" w:rsidP="00CC2401">
      <w:pPr>
        <w:spacing w:after="0"/>
        <w:ind w:right="-115"/>
      </w:pPr>
    </w:p>
    <w:p w:rsidR="007E4F6C" w:rsidRDefault="0048673E" w:rsidP="00CC2401">
      <w:pPr>
        <w:spacing w:after="0"/>
        <w:ind w:right="-115"/>
      </w:pPr>
      <w:r>
        <w:t xml:space="preserve">Of the 209 patients </w:t>
      </w:r>
      <w:r w:rsidR="006C4E86">
        <w:t xml:space="preserve">who were </w:t>
      </w:r>
      <w:r>
        <w:t>approv</w:t>
      </w:r>
      <w:r w:rsidR="006C4E86">
        <w:t xml:space="preserve">ed to receive </w:t>
      </w:r>
      <w:r>
        <w:t>initial therapy, 142 had a record of an ADAMTS</w:t>
      </w:r>
      <w:r w:rsidR="002A3556">
        <w:t>-13</w:t>
      </w:r>
      <w:r>
        <w:t xml:space="preserve"> score. Of the 67 patients who were approved initial treatment without an ADAMTS</w:t>
      </w:r>
      <w:r w:rsidR="002A3556">
        <w:t>-13</w:t>
      </w:r>
      <w:r>
        <w:t xml:space="preserve"> score, 47 patients had their ADAMTS</w:t>
      </w:r>
      <w:r w:rsidR="002A3556">
        <w:t>-13</w:t>
      </w:r>
      <w:r>
        <w:t xml:space="preserve"> test score recorded when approved a Balance of Initial supply. </w:t>
      </w:r>
      <w:r w:rsidR="00AA4FC4">
        <w:t>All patients approved a Balance of Initial supply had a</w:t>
      </w:r>
      <w:r w:rsidR="001B07E8">
        <w:t>n</w:t>
      </w:r>
      <w:r w:rsidR="00AA4FC4">
        <w:t xml:space="preserve"> ADAMTS</w:t>
      </w:r>
      <w:r w:rsidR="002A3556">
        <w:t>-13</w:t>
      </w:r>
      <w:r w:rsidR="00AA4FC4">
        <w:t xml:space="preserve"> score recorded.</w:t>
      </w:r>
    </w:p>
    <w:p w:rsidR="0048673E" w:rsidRDefault="0048673E" w:rsidP="00AD6B94">
      <w:pPr>
        <w:spacing w:after="0"/>
      </w:pPr>
    </w:p>
    <w:p w:rsidR="00AD6B94" w:rsidRDefault="00AD6B94" w:rsidP="00AD6B94">
      <w:pPr>
        <w:spacing w:after="0"/>
      </w:pPr>
      <w:r>
        <w:t xml:space="preserve">A high proportion of patients can be found on extended continuing therapy. Based on the authorities data there were </w:t>
      </w:r>
      <w:r>
        <w:rPr>
          <w:rFonts w:cstheme="minorHAnsi"/>
        </w:rPr>
        <w:t>≤</w:t>
      </w:r>
      <w:r>
        <w:t xml:space="preserve">5 rejected applications </w:t>
      </w:r>
      <w:r w:rsidR="001E2725">
        <w:t>due to</w:t>
      </w:r>
      <w:r>
        <w:t xml:space="preserve"> administrative errors. There were no cases of rejected applications due to clinical reasons in patients continuing with therapy after receiving an initial supply.</w:t>
      </w:r>
    </w:p>
    <w:p w:rsidR="00134AE8" w:rsidRDefault="00134AE8" w:rsidP="00D95CBD">
      <w:pPr>
        <w:pStyle w:val="Tabletitle"/>
        <w:keepNext/>
        <w:spacing w:before="200"/>
      </w:pPr>
      <w:r>
        <w:lastRenderedPageBreak/>
        <w:t xml:space="preserve">Table </w:t>
      </w:r>
      <w:r w:rsidR="005C7DEA">
        <w:t>1</w:t>
      </w:r>
      <w:r w:rsidR="00D556A3">
        <w:t>2</w:t>
      </w:r>
      <w:r>
        <w:t>: Approved patients vaccination / antibiotic evidence status</w:t>
      </w:r>
    </w:p>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985"/>
      </w:tblGrid>
      <w:tr w:rsidR="00134AE8" w:rsidRPr="00134AE8" w:rsidTr="00134AE8">
        <w:trPr>
          <w:trHeight w:val="300"/>
        </w:trPr>
        <w:tc>
          <w:tcPr>
            <w:tcW w:w="1838" w:type="dxa"/>
            <w:shd w:val="clear" w:color="auto" w:fill="BFBFBF" w:themeFill="background1" w:themeFillShade="BF"/>
            <w:noWrap/>
            <w:vAlign w:val="bottom"/>
            <w:hideMark/>
          </w:tcPr>
          <w:p w:rsidR="00134AE8" w:rsidRPr="00134AE8" w:rsidRDefault="00134AE8" w:rsidP="00D95CBD">
            <w:pPr>
              <w:keepNext/>
              <w:spacing w:after="0"/>
              <w:rPr>
                <w:rFonts w:ascii="Calibri" w:eastAsia="Times New Roman" w:hAnsi="Calibri" w:cs="Calibri"/>
                <w:b/>
                <w:sz w:val="20"/>
                <w:szCs w:val="20"/>
              </w:rPr>
            </w:pPr>
            <w:r>
              <w:rPr>
                <w:rFonts w:ascii="Calibri" w:eastAsia="Times New Roman" w:hAnsi="Calibri" w:cs="Calibri"/>
                <w:b/>
                <w:sz w:val="20"/>
                <w:szCs w:val="20"/>
              </w:rPr>
              <w:t xml:space="preserve">Vaccination / Antibiotic Data </w:t>
            </w:r>
          </w:p>
        </w:tc>
        <w:tc>
          <w:tcPr>
            <w:tcW w:w="1701" w:type="dxa"/>
            <w:shd w:val="clear" w:color="auto" w:fill="BFBFBF" w:themeFill="background1" w:themeFillShade="BF"/>
            <w:noWrap/>
            <w:vAlign w:val="bottom"/>
            <w:hideMark/>
          </w:tcPr>
          <w:p w:rsidR="00134AE8" w:rsidRPr="00134AE8" w:rsidRDefault="00134AE8" w:rsidP="00D95CBD">
            <w:pPr>
              <w:keepNext/>
              <w:spacing w:after="0"/>
              <w:rPr>
                <w:rFonts w:ascii="Calibri" w:eastAsia="Times New Roman" w:hAnsi="Calibri" w:cs="Calibri"/>
                <w:b/>
                <w:sz w:val="20"/>
                <w:szCs w:val="20"/>
              </w:rPr>
            </w:pPr>
            <w:r w:rsidRPr="00134AE8">
              <w:rPr>
                <w:rFonts w:ascii="Calibri" w:eastAsia="Times New Roman" w:hAnsi="Calibri" w:cs="Calibri"/>
                <w:b/>
                <w:sz w:val="20"/>
                <w:szCs w:val="20"/>
              </w:rPr>
              <w:t>Patient count</w:t>
            </w:r>
          </w:p>
        </w:tc>
        <w:tc>
          <w:tcPr>
            <w:tcW w:w="1985" w:type="dxa"/>
            <w:shd w:val="clear" w:color="auto" w:fill="BFBFBF" w:themeFill="background1" w:themeFillShade="BF"/>
            <w:noWrap/>
            <w:vAlign w:val="bottom"/>
          </w:tcPr>
          <w:p w:rsidR="00134AE8" w:rsidRPr="00134AE8" w:rsidRDefault="00134AE8" w:rsidP="00D95CBD">
            <w:pPr>
              <w:keepNext/>
              <w:spacing w:after="0"/>
              <w:rPr>
                <w:rFonts w:ascii="Calibri" w:eastAsia="Times New Roman" w:hAnsi="Calibri" w:cs="Calibri"/>
                <w:b/>
                <w:sz w:val="20"/>
                <w:szCs w:val="20"/>
              </w:rPr>
            </w:pPr>
            <w:r w:rsidRPr="00134AE8">
              <w:rPr>
                <w:rFonts w:ascii="Calibri" w:eastAsia="Times New Roman" w:hAnsi="Calibri" w:cs="Calibri"/>
                <w:b/>
                <w:sz w:val="20"/>
                <w:szCs w:val="20"/>
              </w:rPr>
              <w:t>Patient Count %</w:t>
            </w:r>
          </w:p>
        </w:tc>
      </w:tr>
      <w:tr w:rsidR="00134AE8" w:rsidRPr="00134AE8" w:rsidTr="00134AE8">
        <w:trPr>
          <w:trHeight w:val="300"/>
        </w:trPr>
        <w:tc>
          <w:tcPr>
            <w:tcW w:w="1838" w:type="dxa"/>
            <w:shd w:val="clear" w:color="auto" w:fill="auto"/>
            <w:noWrap/>
            <w:vAlign w:val="bottom"/>
            <w:hideMark/>
          </w:tcPr>
          <w:p w:rsidR="00134AE8" w:rsidRPr="00134AE8" w:rsidRDefault="00D556A3" w:rsidP="00D95CBD">
            <w:pPr>
              <w:keepNext/>
              <w:spacing w:after="0"/>
              <w:rPr>
                <w:rFonts w:ascii="Calibri" w:eastAsia="Times New Roman" w:hAnsi="Calibri" w:cs="Calibri"/>
                <w:sz w:val="20"/>
                <w:szCs w:val="20"/>
              </w:rPr>
            </w:pPr>
            <w:r w:rsidRPr="00134AE8">
              <w:rPr>
                <w:rFonts w:ascii="Calibri" w:eastAsia="Times New Roman" w:hAnsi="Calibri" w:cs="Calibri"/>
                <w:sz w:val="20"/>
                <w:szCs w:val="20"/>
              </w:rPr>
              <w:t>A</w:t>
            </w:r>
            <w:r w:rsidR="00134AE8" w:rsidRPr="00134AE8">
              <w:rPr>
                <w:rFonts w:ascii="Calibri" w:eastAsia="Times New Roman" w:hAnsi="Calibri" w:cs="Calibri"/>
                <w:sz w:val="20"/>
                <w:szCs w:val="20"/>
              </w:rPr>
              <w:t>ntibiotics</w:t>
            </w:r>
          </w:p>
        </w:tc>
        <w:tc>
          <w:tcPr>
            <w:tcW w:w="1701" w:type="dxa"/>
            <w:shd w:val="clear" w:color="auto" w:fill="auto"/>
            <w:noWrap/>
            <w:vAlign w:val="bottom"/>
            <w:hideMark/>
          </w:tcPr>
          <w:p w:rsidR="00134AE8" w:rsidRPr="00134AE8" w:rsidRDefault="00134AE8" w:rsidP="00D95CBD">
            <w:pPr>
              <w:keepNext/>
              <w:spacing w:after="0"/>
              <w:jc w:val="right"/>
              <w:rPr>
                <w:rFonts w:ascii="Calibri" w:eastAsia="Times New Roman" w:hAnsi="Calibri" w:cs="Calibri"/>
                <w:sz w:val="20"/>
                <w:szCs w:val="20"/>
              </w:rPr>
            </w:pPr>
            <w:r w:rsidRPr="00134AE8">
              <w:rPr>
                <w:rFonts w:ascii="Calibri" w:eastAsia="Times New Roman" w:hAnsi="Calibri" w:cs="Calibri"/>
                <w:sz w:val="20"/>
                <w:szCs w:val="20"/>
              </w:rPr>
              <w:t>41</w:t>
            </w:r>
          </w:p>
        </w:tc>
        <w:tc>
          <w:tcPr>
            <w:tcW w:w="1985" w:type="dxa"/>
            <w:shd w:val="clear" w:color="auto" w:fill="auto"/>
            <w:noWrap/>
            <w:vAlign w:val="bottom"/>
            <w:hideMark/>
          </w:tcPr>
          <w:p w:rsidR="00134AE8" w:rsidRPr="00134AE8" w:rsidRDefault="00134AE8" w:rsidP="00D95CBD">
            <w:pPr>
              <w:keepNext/>
              <w:spacing w:after="0"/>
              <w:jc w:val="right"/>
              <w:rPr>
                <w:rFonts w:ascii="Calibri" w:eastAsia="Times New Roman" w:hAnsi="Calibri" w:cs="Calibri"/>
                <w:sz w:val="20"/>
                <w:szCs w:val="20"/>
              </w:rPr>
            </w:pPr>
            <w:r w:rsidRPr="00134AE8">
              <w:rPr>
                <w:rFonts w:ascii="Calibri" w:eastAsia="Times New Roman" w:hAnsi="Calibri" w:cs="Calibri"/>
                <w:sz w:val="20"/>
                <w:szCs w:val="20"/>
              </w:rPr>
              <w:t>19.6%</w:t>
            </w:r>
          </w:p>
        </w:tc>
      </w:tr>
      <w:tr w:rsidR="00134AE8" w:rsidRPr="00134AE8" w:rsidTr="00134AE8">
        <w:trPr>
          <w:trHeight w:val="300"/>
        </w:trPr>
        <w:tc>
          <w:tcPr>
            <w:tcW w:w="1838" w:type="dxa"/>
            <w:shd w:val="clear" w:color="auto" w:fill="auto"/>
            <w:noWrap/>
            <w:vAlign w:val="bottom"/>
            <w:hideMark/>
          </w:tcPr>
          <w:p w:rsidR="00134AE8" w:rsidRPr="00134AE8" w:rsidRDefault="00134AE8" w:rsidP="00D95CBD">
            <w:pPr>
              <w:keepNext/>
              <w:spacing w:after="0"/>
              <w:rPr>
                <w:rFonts w:ascii="Calibri" w:eastAsia="Times New Roman" w:hAnsi="Calibri" w:cs="Calibri"/>
                <w:sz w:val="20"/>
                <w:szCs w:val="20"/>
              </w:rPr>
            </w:pPr>
            <w:r w:rsidRPr="00134AE8">
              <w:rPr>
                <w:rFonts w:ascii="Calibri" w:eastAsia="Times New Roman" w:hAnsi="Calibri" w:cs="Calibri"/>
                <w:sz w:val="20"/>
                <w:szCs w:val="20"/>
              </w:rPr>
              <w:t>No</w:t>
            </w:r>
          </w:p>
        </w:tc>
        <w:tc>
          <w:tcPr>
            <w:tcW w:w="1701" w:type="dxa"/>
            <w:shd w:val="clear" w:color="auto" w:fill="auto"/>
            <w:noWrap/>
            <w:vAlign w:val="bottom"/>
            <w:hideMark/>
          </w:tcPr>
          <w:p w:rsidR="00134AE8" w:rsidRPr="00134AE8" w:rsidRDefault="00134AE8" w:rsidP="00D95CBD">
            <w:pPr>
              <w:keepNext/>
              <w:spacing w:after="0"/>
              <w:jc w:val="right"/>
              <w:rPr>
                <w:rFonts w:ascii="Calibri" w:eastAsia="Times New Roman" w:hAnsi="Calibri" w:cs="Calibri"/>
                <w:sz w:val="20"/>
                <w:szCs w:val="20"/>
              </w:rPr>
            </w:pPr>
            <w:r>
              <w:rPr>
                <w:rFonts w:ascii="Calibri" w:eastAsia="Times New Roman" w:hAnsi="Calibri" w:cs="Calibri"/>
                <w:sz w:val="20"/>
                <w:szCs w:val="20"/>
              </w:rPr>
              <w:t>13</w:t>
            </w:r>
          </w:p>
        </w:tc>
        <w:tc>
          <w:tcPr>
            <w:tcW w:w="1985" w:type="dxa"/>
            <w:shd w:val="clear" w:color="auto" w:fill="auto"/>
            <w:noWrap/>
            <w:vAlign w:val="bottom"/>
            <w:hideMark/>
          </w:tcPr>
          <w:p w:rsidR="00134AE8" w:rsidRPr="00134AE8" w:rsidRDefault="00134AE8" w:rsidP="00D95CBD">
            <w:pPr>
              <w:keepNext/>
              <w:spacing w:after="0"/>
              <w:jc w:val="right"/>
              <w:rPr>
                <w:rFonts w:ascii="Calibri" w:eastAsia="Times New Roman" w:hAnsi="Calibri" w:cs="Calibri"/>
                <w:sz w:val="20"/>
                <w:szCs w:val="20"/>
              </w:rPr>
            </w:pPr>
            <w:r>
              <w:rPr>
                <w:rFonts w:ascii="Calibri" w:eastAsia="Times New Roman" w:hAnsi="Calibri" w:cs="Calibri"/>
                <w:sz w:val="20"/>
                <w:szCs w:val="20"/>
              </w:rPr>
              <w:t>6.2</w:t>
            </w:r>
            <w:r w:rsidRPr="00134AE8">
              <w:rPr>
                <w:rFonts w:ascii="Calibri" w:eastAsia="Times New Roman" w:hAnsi="Calibri" w:cs="Calibri"/>
                <w:sz w:val="20"/>
                <w:szCs w:val="20"/>
              </w:rPr>
              <w:t>%</w:t>
            </w:r>
          </w:p>
        </w:tc>
      </w:tr>
      <w:tr w:rsidR="00134AE8" w:rsidRPr="00134AE8" w:rsidTr="00134AE8">
        <w:trPr>
          <w:trHeight w:val="300"/>
        </w:trPr>
        <w:tc>
          <w:tcPr>
            <w:tcW w:w="1838" w:type="dxa"/>
            <w:shd w:val="clear" w:color="auto" w:fill="auto"/>
            <w:noWrap/>
            <w:vAlign w:val="bottom"/>
            <w:hideMark/>
          </w:tcPr>
          <w:p w:rsidR="00134AE8" w:rsidRPr="00134AE8" w:rsidRDefault="00134AE8" w:rsidP="00D95CBD">
            <w:pPr>
              <w:keepNext/>
              <w:spacing w:after="0"/>
              <w:rPr>
                <w:rFonts w:ascii="Calibri" w:eastAsia="Times New Roman" w:hAnsi="Calibri" w:cs="Calibri"/>
                <w:sz w:val="20"/>
                <w:szCs w:val="20"/>
              </w:rPr>
            </w:pPr>
            <w:r w:rsidRPr="00134AE8">
              <w:rPr>
                <w:rFonts w:ascii="Calibri" w:eastAsia="Times New Roman" w:hAnsi="Calibri" w:cs="Calibri"/>
                <w:sz w:val="20"/>
                <w:szCs w:val="20"/>
              </w:rPr>
              <w:t>Yes</w:t>
            </w:r>
          </w:p>
        </w:tc>
        <w:tc>
          <w:tcPr>
            <w:tcW w:w="1701" w:type="dxa"/>
            <w:shd w:val="clear" w:color="auto" w:fill="auto"/>
            <w:noWrap/>
            <w:vAlign w:val="bottom"/>
            <w:hideMark/>
          </w:tcPr>
          <w:p w:rsidR="00134AE8" w:rsidRPr="00134AE8" w:rsidRDefault="00134AE8" w:rsidP="00D95CBD">
            <w:pPr>
              <w:keepNext/>
              <w:spacing w:after="0"/>
              <w:jc w:val="right"/>
              <w:rPr>
                <w:rFonts w:ascii="Calibri" w:eastAsia="Times New Roman" w:hAnsi="Calibri" w:cs="Calibri"/>
                <w:sz w:val="20"/>
                <w:szCs w:val="20"/>
              </w:rPr>
            </w:pPr>
            <w:r w:rsidRPr="00134AE8">
              <w:rPr>
                <w:rFonts w:ascii="Calibri" w:eastAsia="Times New Roman" w:hAnsi="Calibri" w:cs="Calibri"/>
                <w:sz w:val="20"/>
                <w:szCs w:val="20"/>
              </w:rPr>
              <w:t>155</w:t>
            </w:r>
          </w:p>
        </w:tc>
        <w:tc>
          <w:tcPr>
            <w:tcW w:w="1985" w:type="dxa"/>
            <w:shd w:val="clear" w:color="auto" w:fill="auto"/>
            <w:noWrap/>
            <w:vAlign w:val="bottom"/>
            <w:hideMark/>
          </w:tcPr>
          <w:p w:rsidR="00134AE8" w:rsidRPr="00134AE8" w:rsidRDefault="00134AE8" w:rsidP="00D95CBD">
            <w:pPr>
              <w:keepNext/>
              <w:spacing w:after="0"/>
              <w:jc w:val="right"/>
              <w:rPr>
                <w:rFonts w:ascii="Calibri" w:eastAsia="Times New Roman" w:hAnsi="Calibri" w:cs="Calibri"/>
                <w:sz w:val="20"/>
                <w:szCs w:val="20"/>
              </w:rPr>
            </w:pPr>
            <w:r w:rsidRPr="00134AE8">
              <w:rPr>
                <w:rFonts w:ascii="Calibri" w:eastAsia="Times New Roman" w:hAnsi="Calibri" w:cs="Calibri"/>
                <w:sz w:val="20"/>
                <w:szCs w:val="20"/>
              </w:rPr>
              <w:t>74.2%</w:t>
            </w:r>
          </w:p>
        </w:tc>
      </w:tr>
      <w:tr w:rsidR="00134AE8" w:rsidRPr="00134AE8" w:rsidTr="00134AE8">
        <w:trPr>
          <w:trHeight w:val="300"/>
        </w:trPr>
        <w:tc>
          <w:tcPr>
            <w:tcW w:w="1838" w:type="dxa"/>
            <w:shd w:val="clear" w:color="auto" w:fill="FFFFFF" w:themeFill="background1"/>
            <w:noWrap/>
            <w:vAlign w:val="bottom"/>
            <w:hideMark/>
          </w:tcPr>
          <w:p w:rsidR="00134AE8" w:rsidRPr="00134AE8" w:rsidRDefault="00134AE8" w:rsidP="00D95CBD">
            <w:pPr>
              <w:keepNext/>
              <w:spacing w:after="0"/>
              <w:rPr>
                <w:rFonts w:ascii="Calibri" w:eastAsia="Times New Roman" w:hAnsi="Calibri" w:cs="Calibri"/>
                <w:sz w:val="20"/>
                <w:szCs w:val="20"/>
              </w:rPr>
            </w:pPr>
            <w:r w:rsidRPr="00134AE8">
              <w:rPr>
                <w:rFonts w:ascii="Calibri" w:eastAsia="Times New Roman" w:hAnsi="Calibri" w:cs="Calibri"/>
                <w:sz w:val="20"/>
                <w:szCs w:val="20"/>
              </w:rPr>
              <w:t>Total</w:t>
            </w:r>
          </w:p>
        </w:tc>
        <w:tc>
          <w:tcPr>
            <w:tcW w:w="1701" w:type="dxa"/>
            <w:shd w:val="clear" w:color="auto" w:fill="FFFFFF" w:themeFill="background1"/>
            <w:noWrap/>
            <w:vAlign w:val="bottom"/>
            <w:hideMark/>
          </w:tcPr>
          <w:p w:rsidR="00134AE8" w:rsidRPr="00134AE8" w:rsidRDefault="00134AE8" w:rsidP="00D95CBD">
            <w:pPr>
              <w:keepNext/>
              <w:spacing w:after="0"/>
              <w:jc w:val="right"/>
              <w:rPr>
                <w:rFonts w:ascii="Calibri" w:eastAsia="Times New Roman" w:hAnsi="Calibri" w:cs="Calibri"/>
                <w:sz w:val="20"/>
                <w:szCs w:val="20"/>
              </w:rPr>
            </w:pPr>
            <w:r w:rsidRPr="00134AE8">
              <w:rPr>
                <w:rFonts w:ascii="Calibri" w:eastAsia="Times New Roman" w:hAnsi="Calibri" w:cs="Calibri"/>
                <w:sz w:val="20"/>
                <w:szCs w:val="20"/>
              </w:rPr>
              <w:t>209</w:t>
            </w:r>
          </w:p>
        </w:tc>
        <w:tc>
          <w:tcPr>
            <w:tcW w:w="1985" w:type="dxa"/>
            <w:shd w:val="clear" w:color="auto" w:fill="FFFFFF" w:themeFill="background1"/>
            <w:noWrap/>
            <w:vAlign w:val="bottom"/>
            <w:hideMark/>
          </w:tcPr>
          <w:p w:rsidR="00134AE8" w:rsidRPr="00134AE8" w:rsidRDefault="00134AE8" w:rsidP="00D95CBD">
            <w:pPr>
              <w:keepNext/>
              <w:spacing w:after="0"/>
              <w:jc w:val="right"/>
              <w:rPr>
                <w:rFonts w:ascii="Calibri" w:eastAsia="Times New Roman" w:hAnsi="Calibri" w:cs="Calibri"/>
                <w:sz w:val="20"/>
                <w:szCs w:val="20"/>
              </w:rPr>
            </w:pPr>
            <w:r w:rsidRPr="00134AE8">
              <w:rPr>
                <w:rFonts w:ascii="Calibri" w:eastAsia="Times New Roman" w:hAnsi="Calibri" w:cs="Calibri"/>
                <w:sz w:val="20"/>
                <w:szCs w:val="20"/>
              </w:rPr>
              <w:t>100.0%</w:t>
            </w:r>
          </w:p>
        </w:tc>
      </w:tr>
    </w:tbl>
    <w:p w:rsidR="00134AE8" w:rsidRPr="00B325DD" w:rsidRDefault="00134AE8" w:rsidP="00D95CBD">
      <w:pPr>
        <w:pStyle w:val="Figurecaption"/>
        <w:keepNext/>
        <w:spacing w:after="0"/>
      </w:pPr>
      <w:r w:rsidRPr="00B325DD">
        <w:t xml:space="preserve">Time period: </w:t>
      </w:r>
      <w:r>
        <w:t>January</w:t>
      </w:r>
      <w:r w:rsidRPr="00B325DD">
        <w:t xml:space="preserve"> 201</w:t>
      </w:r>
      <w:r>
        <w:t>7</w:t>
      </w:r>
      <w:r w:rsidRPr="00B325DD">
        <w:t xml:space="preserve"> – </w:t>
      </w:r>
      <w:r w:rsidRPr="00B81B1C">
        <w:t>June 2020.</w:t>
      </w:r>
      <w:r w:rsidRPr="00B325DD">
        <w:t xml:space="preserve"> </w:t>
      </w:r>
    </w:p>
    <w:p w:rsidR="00134AE8" w:rsidRDefault="00134AE8" w:rsidP="00134AE8">
      <w:pPr>
        <w:pStyle w:val="Figurecaption"/>
      </w:pPr>
      <w:r w:rsidRPr="00B325DD">
        <w:t xml:space="preserve">Source: Services Australia </w:t>
      </w:r>
      <w:r>
        <w:t xml:space="preserve">Complex Drugs (Tasmania) </w:t>
      </w:r>
      <w:proofErr w:type="spellStart"/>
      <w:r>
        <w:t>aHUS</w:t>
      </w:r>
      <w:proofErr w:type="spellEnd"/>
      <w:r>
        <w:t xml:space="preserve"> monthly report </w:t>
      </w:r>
      <w:r w:rsidRPr="00837D7E">
        <w:t>201</w:t>
      </w:r>
      <w:r w:rsidR="00837D7E" w:rsidRPr="00837D7E">
        <w:t>7</w:t>
      </w:r>
      <w:r>
        <w:t xml:space="preserve"> to 30 June </w:t>
      </w:r>
      <w:r w:rsidRPr="00B325DD">
        <w:t>2020.</w:t>
      </w:r>
    </w:p>
    <w:p w:rsidR="00D95CBD" w:rsidRDefault="00D95CBD" w:rsidP="00D556A3">
      <w:pPr>
        <w:ind w:right="-257"/>
      </w:pPr>
    </w:p>
    <w:p w:rsidR="00134AE8" w:rsidRDefault="009C25DA" w:rsidP="00D556A3">
      <w:pPr>
        <w:ind w:right="-257"/>
      </w:pPr>
      <w:r>
        <w:t xml:space="preserve">Amongst patients approved for treatment, evidence of vaccination for </w:t>
      </w:r>
      <w:r w:rsidR="001E2725">
        <w:t>m</w:t>
      </w:r>
      <w:r>
        <w:t>eningococcal was</w:t>
      </w:r>
      <w:r w:rsidR="002A3556">
        <w:t xml:space="preserve"> </w:t>
      </w:r>
      <w:r w:rsidR="003C1954">
        <w:t>p</w:t>
      </w:r>
      <w:r>
        <w:t xml:space="preserve">rovided in most cases. </w:t>
      </w:r>
      <w:r w:rsidR="00813BB1">
        <w:t>However, there is no recorded vaccination information provided for 12 (5.7%) of the approved patients, despite this being a requirement under the restrictions.</w:t>
      </w:r>
      <w:r>
        <w:t xml:space="preserve"> </w:t>
      </w:r>
    </w:p>
    <w:p w:rsidR="00591512" w:rsidRDefault="00AB3733" w:rsidP="000A328F">
      <w:pPr>
        <w:pStyle w:val="Heading1"/>
      </w:pPr>
      <w:r>
        <w:t>D</w:t>
      </w:r>
      <w:r w:rsidR="00D83354">
        <w:t>USC Consideration</w:t>
      </w:r>
      <w:r w:rsidR="008774F5">
        <w:t xml:space="preserve"> </w:t>
      </w:r>
    </w:p>
    <w:p w:rsidR="00D83354" w:rsidRPr="00D83354" w:rsidRDefault="00D83354" w:rsidP="00D83354">
      <w:r w:rsidRPr="00D83354">
        <w:t xml:space="preserve">DUSC recalled that at the time of first listing, the utilisation of </w:t>
      </w:r>
      <w:proofErr w:type="spellStart"/>
      <w:r w:rsidRPr="00D83354">
        <w:t>eculizumab</w:t>
      </w:r>
      <w:proofErr w:type="spellEnd"/>
      <w:r w:rsidRPr="00D83354">
        <w:t xml:space="preserve"> was considered to be highly uncertain due to the rarity of </w:t>
      </w:r>
      <w:proofErr w:type="spellStart"/>
      <w:r w:rsidRPr="00D83354">
        <w:t>aHUS</w:t>
      </w:r>
      <w:proofErr w:type="spellEnd"/>
      <w:r w:rsidRPr="00D83354">
        <w:t xml:space="preserve">, the lack of reliable epidemiological data for the disease in Australia and the inconsistent use of diagnostic criteria to confirm </w:t>
      </w:r>
      <w:proofErr w:type="spellStart"/>
      <w:r w:rsidRPr="00D83354">
        <w:t>aHUS</w:t>
      </w:r>
      <w:proofErr w:type="spellEnd"/>
      <w:r w:rsidRPr="00D83354">
        <w:t xml:space="preserve"> from other conditions causing TMA. </w:t>
      </w:r>
    </w:p>
    <w:p w:rsidR="00D83354" w:rsidRPr="00D83354" w:rsidRDefault="00D83354" w:rsidP="00D83354">
      <w:r w:rsidRPr="00D83354">
        <w:t xml:space="preserve">DUSC noted that restriction changes implemented in February 2016 and January 2017 had a direct effect on the utilisation of </w:t>
      </w:r>
      <w:proofErr w:type="spellStart"/>
      <w:r w:rsidRPr="00D83354">
        <w:t>eculizumab</w:t>
      </w:r>
      <w:proofErr w:type="spellEnd"/>
      <w:r w:rsidRPr="00D83354">
        <w:t xml:space="preserve">. The February 2016 restriction changes required further information on serial haematological results every three months while on treatment; evidence of an identifiable genetic mutation, and prior history of </w:t>
      </w:r>
      <w:proofErr w:type="spellStart"/>
      <w:r w:rsidRPr="00D83354">
        <w:t>aHUS</w:t>
      </w:r>
      <w:proofErr w:type="spellEnd"/>
      <w:r w:rsidRPr="00D83354">
        <w:t xml:space="preserve">, there was a reduction. DUSC noted that these listing changes resulted in a reduction in the time on </w:t>
      </w:r>
      <w:proofErr w:type="spellStart"/>
      <w:r w:rsidRPr="00D83354">
        <w:t>eculizumab</w:t>
      </w:r>
      <w:proofErr w:type="spellEnd"/>
      <w:r w:rsidRPr="00D83354">
        <w:t xml:space="preserve">, from a mean of 745 days before to 359 days after the changes. Further restriction changes implemented from January 2017 included eligibility for treatment when non-renal TMA related organ damage is present and clarification that the progressing TMA must be caused by </w:t>
      </w:r>
      <w:proofErr w:type="spellStart"/>
      <w:r w:rsidRPr="00D83354">
        <w:t>aHUS</w:t>
      </w:r>
      <w:proofErr w:type="spellEnd"/>
      <w:r w:rsidRPr="00D83354">
        <w:t xml:space="preserve">. DUSC noted there was a noticeable increase in the number of initiating patients, particularly adults, following these listing changes. </w:t>
      </w:r>
    </w:p>
    <w:p w:rsidR="00D83354" w:rsidRPr="00D83354" w:rsidRDefault="00D83354" w:rsidP="00D83354">
      <w:r w:rsidRPr="00D83354">
        <w:t xml:space="preserve">DUSC considered that the analysis showed there was potential overprescribing for treatment beyond disease progression and in patients initiating treatment without an ADAMTS-13 score. </w:t>
      </w:r>
    </w:p>
    <w:p w:rsidR="00D83354" w:rsidRPr="00D83354" w:rsidRDefault="00D83354" w:rsidP="00D83354">
      <w:pPr>
        <w:pStyle w:val="ListParagraph"/>
        <w:numPr>
          <w:ilvl w:val="0"/>
          <w:numId w:val="17"/>
        </w:numPr>
        <w:spacing w:line="276" w:lineRule="auto"/>
      </w:pPr>
      <w:r w:rsidRPr="00D83354">
        <w:t xml:space="preserve">DUSC noted that since listing in December 2014 to May 2020, there was a total of 323 patients supplied </w:t>
      </w:r>
      <w:proofErr w:type="spellStart"/>
      <w:r w:rsidRPr="00D83354">
        <w:t>eculizumab</w:t>
      </w:r>
      <w:proofErr w:type="spellEnd"/>
      <w:r w:rsidRPr="00D83354">
        <w:t xml:space="preserve"> under its </w:t>
      </w:r>
      <w:proofErr w:type="spellStart"/>
      <w:r w:rsidRPr="00D83354">
        <w:t>aHUS</w:t>
      </w:r>
      <w:proofErr w:type="spellEnd"/>
      <w:r w:rsidRPr="00D83354">
        <w:t xml:space="preserve"> restrictions. Of these patients, 73 percent (n=236) had stopped treatment including from 74 patient deaths in the period to March 2020. DUSC noted 39 patients died while on treatment which may indicate treatment beyond disease progression, which is outside the restriction. In its response to the review, the sponsor stated that as the analysis did not</w:t>
      </w:r>
      <w:r w:rsidRPr="00D83354">
        <w:rPr>
          <w:rFonts w:cs="Calibri"/>
        </w:rPr>
        <w:t xml:space="preserve"> take cause of death into consideration, it cannot be conclusively stated that these patients were treated beyond disease progression. The sponsor further noted that death from TMA can be sudden.</w:t>
      </w:r>
    </w:p>
    <w:p w:rsidR="00D83354" w:rsidRPr="00D83354" w:rsidRDefault="00D83354" w:rsidP="00D83354">
      <w:pPr>
        <w:pStyle w:val="ListParagraph"/>
        <w:numPr>
          <w:ilvl w:val="0"/>
          <w:numId w:val="17"/>
        </w:numPr>
        <w:spacing w:line="276" w:lineRule="auto"/>
      </w:pPr>
      <w:r w:rsidRPr="00D83354">
        <w:lastRenderedPageBreak/>
        <w:t xml:space="preserve">DUSC noted that 32 percent of patients did not have an ADAMTS-13 score recorded for their initial application, and of these patients, 30 percent did not apply for further treatment and their ADAMTS-13 status was therefore not verified. In its response, the sponsor argued that for patients who do not receive their balance of supply, the reason for their discontinuation of treatment cannot be determined from the available PBS administrative data. The sponsor further stated that the literature supports initiation to </w:t>
      </w:r>
      <w:proofErr w:type="spellStart"/>
      <w:r w:rsidRPr="00D83354">
        <w:t>eculizumab</w:t>
      </w:r>
      <w:proofErr w:type="spellEnd"/>
      <w:r w:rsidRPr="00D83354">
        <w:t xml:space="preserve"> based on predictive factors while waiting for ADAMTS-13 results, citing </w:t>
      </w:r>
      <w:proofErr w:type="spellStart"/>
      <w:r w:rsidRPr="00D83354">
        <w:t>Schonermarck</w:t>
      </w:r>
      <w:proofErr w:type="spellEnd"/>
      <w:r w:rsidRPr="00D83354">
        <w:t xml:space="preserve"> 2020 </w:t>
      </w:r>
      <w:r w:rsidRPr="00D83354">
        <w:rPr>
          <w:rFonts w:cs="Calibri"/>
        </w:rPr>
        <w:t>Clinical Kidney Journal, 2020; 13 (2): 208–216.</w:t>
      </w:r>
      <w:r w:rsidRPr="00D83354">
        <w:rPr>
          <w:rFonts w:ascii="Times New Roman" w:hAnsi="Times New Roman"/>
        </w:rPr>
        <w:t xml:space="preserve"> </w:t>
      </w:r>
    </w:p>
    <w:p w:rsidR="00D83354" w:rsidRPr="00D83354" w:rsidRDefault="00D83354" w:rsidP="00D83354">
      <w:r w:rsidRPr="00D83354">
        <w:t xml:space="preserve">DUSC noted that while the number of initiating patients has increased, the growth in the number of prevalent patients had declined which was likely from patients having shorter treatment times since the February 2016 restriction changes. In its response, the sponsor stated that continued market growth in the longer-term could be expected based on the number of patients diagnosed and accessing </w:t>
      </w:r>
      <w:proofErr w:type="spellStart"/>
      <w:r w:rsidRPr="00D83354">
        <w:t>eculizumab</w:t>
      </w:r>
      <w:proofErr w:type="spellEnd"/>
      <w:r w:rsidRPr="00D83354">
        <w:t>. The sponsor emphasised the need to retain the recommencement criteria in the restriction.</w:t>
      </w:r>
    </w:p>
    <w:p w:rsidR="00D83354" w:rsidRPr="00D83354" w:rsidRDefault="00D83354" w:rsidP="00D83354">
      <w:r w:rsidRPr="00D83354">
        <w:t>DUSC noted that based on the PBS data the number of re-initiating patients was low. The sponsor commented in its response that based on hospital orders, the number of re-initiating patients reported was below its supply numbers.</w:t>
      </w:r>
    </w:p>
    <w:p w:rsidR="00D83354" w:rsidRPr="00D83354" w:rsidRDefault="00D83354" w:rsidP="00D83354">
      <w:r w:rsidRPr="00D83354">
        <w:t>DUSC noted that general practitioners were identified as prescribing the majority of prescriptions at initiation. DUSC considered that it was likely that the GP prescribing was done in consultation with a specialist within a hospital setting.</w:t>
      </w:r>
    </w:p>
    <w:p w:rsidR="00D83354" w:rsidRPr="00D83354" w:rsidRDefault="00D83354" w:rsidP="00D83354"/>
    <w:p w:rsidR="00D83354" w:rsidRPr="00D83354" w:rsidRDefault="00D83354" w:rsidP="00D83354">
      <w:pPr>
        <w:rPr>
          <w:b/>
          <w:sz w:val="32"/>
        </w:rPr>
      </w:pPr>
      <w:r w:rsidRPr="00D83354">
        <w:rPr>
          <w:b/>
          <w:sz w:val="32"/>
        </w:rPr>
        <w:t>DUSC Actions</w:t>
      </w:r>
    </w:p>
    <w:p w:rsidR="00D83354" w:rsidRPr="00D83354" w:rsidRDefault="00D83354" w:rsidP="00D83354">
      <w:pPr>
        <w:rPr>
          <w:rFonts w:eastAsia="Calibri"/>
        </w:rPr>
      </w:pPr>
      <w:r w:rsidRPr="00D83354">
        <w:rPr>
          <w:rFonts w:eastAsia="Calibri"/>
        </w:rPr>
        <w:t xml:space="preserve">DUSC requested that the report be provided to the PBAC for consideration. </w:t>
      </w:r>
    </w:p>
    <w:p w:rsidR="00D83354" w:rsidRDefault="00D83354" w:rsidP="00D83354">
      <w:pPr>
        <w:pStyle w:val="Heading1"/>
      </w:pPr>
      <w:bookmarkStart w:id="9" w:name="_Ref491349204"/>
      <w:r w:rsidRPr="0092516A">
        <w:t>Context for analysis</w:t>
      </w:r>
    </w:p>
    <w:p w:rsidR="00D83354" w:rsidRDefault="00D83354" w:rsidP="00D83354">
      <w:r>
        <w:t>The DUSC is a Sub Committee of the Pharmaceutical Benefits Advisory Committee (PBAC). The DUSC assesses estimates on projected usage and financial cost of medicines.</w:t>
      </w:r>
    </w:p>
    <w:p w:rsidR="00D83354" w:rsidRDefault="00D83354" w:rsidP="00D83354">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D83354" w:rsidRDefault="00D83354" w:rsidP="00D83354">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D83354" w:rsidRDefault="00D83354" w:rsidP="00D83354">
      <w:r>
        <w:lastRenderedPageBreak/>
        <w:t>The utilisation analysis report was provided to the pharmaceutical sponsors of each drug and comments on the report were provided to DUSC prior to its consideration of the analysis.</w:t>
      </w:r>
    </w:p>
    <w:p w:rsidR="00D83354" w:rsidRDefault="00D83354" w:rsidP="00D83354">
      <w:pPr>
        <w:pStyle w:val="Heading1"/>
      </w:pPr>
      <w:r>
        <w:t>Sponsor</w:t>
      </w:r>
      <w:r w:rsidRPr="0092516A">
        <w:t>s</w:t>
      </w:r>
      <w:r>
        <w:t>’</w:t>
      </w:r>
      <w:r w:rsidRPr="0092516A">
        <w:t xml:space="preserve"> comments</w:t>
      </w:r>
    </w:p>
    <w:p w:rsidR="00A77581" w:rsidRPr="007B2559" w:rsidRDefault="00F83A76" w:rsidP="00A77581">
      <w:r w:rsidRPr="00F83A76">
        <w:t>Alexion Pharmaceuticals Australasia Pty Ltd</w:t>
      </w:r>
      <w:r>
        <w:t>:</w:t>
      </w:r>
      <w:r w:rsidRPr="00F83A76">
        <w:t xml:space="preserve"> </w:t>
      </w:r>
      <w:r w:rsidR="00A2130C">
        <w:rPr>
          <w:bCs/>
          <w:iCs/>
          <w:lang w:val="en-US"/>
        </w:rPr>
        <w:t>The</w:t>
      </w:r>
      <w:r w:rsidR="00A77581" w:rsidRPr="007B2559">
        <w:rPr>
          <w:bCs/>
          <w:iCs/>
          <w:lang w:val="en-US"/>
        </w:rPr>
        <w:t xml:space="preserve"> DUSC </w:t>
      </w:r>
      <w:proofErr w:type="spellStart"/>
      <w:r w:rsidR="00A77581">
        <w:rPr>
          <w:bCs/>
          <w:iCs/>
          <w:lang w:val="en-US"/>
        </w:rPr>
        <w:t>utili</w:t>
      </w:r>
      <w:r w:rsidR="00EE55DE">
        <w:rPr>
          <w:bCs/>
          <w:iCs/>
          <w:lang w:val="en-US"/>
        </w:rPr>
        <w:t>s</w:t>
      </w:r>
      <w:r w:rsidR="00A77581">
        <w:rPr>
          <w:bCs/>
          <w:iCs/>
          <w:lang w:val="en-US"/>
        </w:rPr>
        <w:t>ation</w:t>
      </w:r>
      <w:proofErr w:type="spellEnd"/>
      <w:r w:rsidR="00A77581">
        <w:rPr>
          <w:bCs/>
          <w:iCs/>
          <w:lang w:val="en-US"/>
        </w:rPr>
        <w:t xml:space="preserve"> update</w:t>
      </w:r>
      <w:r w:rsidR="00A77581" w:rsidRPr="007B2559">
        <w:rPr>
          <w:bCs/>
          <w:iCs/>
          <w:lang w:val="en-US"/>
        </w:rPr>
        <w:t xml:space="preserve"> </w:t>
      </w:r>
      <w:r w:rsidR="00A2130C">
        <w:rPr>
          <w:bCs/>
          <w:iCs/>
          <w:lang w:val="en-US"/>
        </w:rPr>
        <w:t>shows</w:t>
      </w:r>
      <w:r w:rsidR="00A77581" w:rsidRPr="007B2559">
        <w:rPr>
          <w:bCs/>
          <w:iCs/>
          <w:lang w:val="en-US"/>
        </w:rPr>
        <w:t xml:space="preserve"> that patients are benefiting from appropriate and effective arrangements that have been </w:t>
      </w:r>
      <w:r w:rsidR="0036319A">
        <w:rPr>
          <w:bCs/>
          <w:iCs/>
          <w:lang w:val="en-US"/>
        </w:rPr>
        <w:t xml:space="preserve">implemented </w:t>
      </w:r>
      <w:r w:rsidR="00A77581" w:rsidRPr="007B2559">
        <w:rPr>
          <w:bCs/>
          <w:iCs/>
          <w:lang w:val="en-US"/>
        </w:rPr>
        <w:t xml:space="preserve">to ensure rapid initiation of </w:t>
      </w:r>
      <w:proofErr w:type="spellStart"/>
      <w:r w:rsidR="00A77581" w:rsidRPr="007B2559">
        <w:rPr>
          <w:bCs/>
          <w:iCs/>
          <w:lang w:val="en-US"/>
        </w:rPr>
        <w:t>eculizumab</w:t>
      </w:r>
      <w:proofErr w:type="spellEnd"/>
      <w:r w:rsidR="00A77581" w:rsidRPr="007B2559">
        <w:rPr>
          <w:bCs/>
          <w:iCs/>
          <w:lang w:val="en-US"/>
        </w:rPr>
        <w:t xml:space="preserve"> to patients presenting with </w:t>
      </w:r>
      <w:proofErr w:type="spellStart"/>
      <w:r w:rsidR="00A77581" w:rsidRPr="007B2559">
        <w:rPr>
          <w:bCs/>
          <w:iCs/>
          <w:lang w:val="en-US"/>
        </w:rPr>
        <w:t>aHUS</w:t>
      </w:r>
      <w:proofErr w:type="spellEnd"/>
      <w:r w:rsidR="00A77581" w:rsidRPr="007B2559">
        <w:rPr>
          <w:bCs/>
          <w:iCs/>
          <w:lang w:val="en-US"/>
        </w:rPr>
        <w:t xml:space="preserve"> as a medical emergency. </w:t>
      </w:r>
    </w:p>
    <w:p w:rsidR="00D83354" w:rsidRDefault="00D83354" w:rsidP="00D83354">
      <w:pPr>
        <w:pStyle w:val="Heading1"/>
      </w:pPr>
      <w:r w:rsidRPr="00A4020E">
        <w:t>Disclaimer</w:t>
      </w:r>
    </w:p>
    <w:p w:rsidR="00D83354" w:rsidRDefault="00D83354" w:rsidP="00D83354">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D83354" w:rsidRDefault="00D83354" w:rsidP="00D83354">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D83354" w:rsidRDefault="00D83354" w:rsidP="00D83354">
      <w:r>
        <w:t xml:space="preserve">To the extent provided by law, </w:t>
      </w:r>
      <w:proofErr w:type="spellStart"/>
      <w:r>
        <w:t>DoH</w:t>
      </w:r>
      <w:proofErr w:type="spellEnd"/>
      <w:r>
        <w:t xml:space="preserve"> makes no warranties or representations as to accuracy or completeness of information contained in this report. </w:t>
      </w:r>
    </w:p>
    <w:p w:rsidR="00D83354" w:rsidRDefault="00D83354" w:rsidP="00D83354">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D83354" w:rsidRDefault="00D83354">
      <w:pPr>
        <w:spacing w:line="276" w:lineRule="auto"/>
        <w:rPr>
          <w:b/>
          <w:sz w:val="28"/>
        </w:rPr>
      </w:pPr>
      <w:r>
        <w:br w:type="page"/>
      </w:r>
    </w:p>
    <w:p w:rsidR="00CF24D1" w:rsidRDefault="00CF24D1" w:rsidP="00CF24D1">
      <w:pPr>
        <w:pStyle w:val="Heading2"/>
      </w:pPr>
      <w:r w:rsidRPr="00701F07">
        <w:lastRenderedPageBreak/>
        <w:t>Appendix A</w:t>
      </w:r>
      <w:bookmarkEnd w:id="9"/>
    </w:p>
    <w:p w:rsidR="00A54AD0" w:rsidRPr="00701F07" w:rsidRDefault="00A54AD0" w:rsidP="00A54AD0">
      <w:pPr>
        <w:pStyle w:val="Tabletitle"/>
      </w:pPr>
      <w:r w:rsidRPr="00701F07">
        <w:t xml:space="preserve">Table A1: </w:t>
      </w:r>
      <w:r>
        <w:t>abridged</w:t>
      </w:r>
      <w:r w:rsidRPr="00701F07">
        <w:t xml:space="preserve"> </w:t>
      </w:r>
      <w:proofErr w:type="spellStart"/>
      <w:r w:rsidRPr="00701F07">
        <w:t>eculizumab</w:t>
      </w:r>
      <w:proofErr w:type="spellEnd"/>
      <w:r w:rsidRPr="00701F07">
        <w:t xml:space="preserve"> restrictions</w:t>
      </w:r>
      <w:r>
        <w:t xml:space="preserve"> (December 2018)</w:t>
      </w:r>
    </w:p>
    <w:tbl>
      <w:tblPr>
        <w:tblStyle w:val="TableGrid"/>
        <w:tblW w:w="0" w:type="auto"/>
        <w:tblLook w:val="04A0" w:firstRow="1" w:lastRow="0" w:firstColumn="1" w:lastColumn="0" w:noHBand="0" w:noVBand="1"/>
        <w:tblCaption w:val="Table A1: abridged eculizumab restrictions (December 2018)"/>
        <w:tblDescription w:val="summary of the eculizumab restrictions"/>
      </w:tblPr>
      <w:tblGrid>
        <w:gridCol w:w="1264"/>
        <w:gridCol w:w="7683"/>
      </w:tblGrid>
      <w:tr w:rsidR="00A54AD0" w:rsidRPr="00E707E6" w:rsidTr="008F4189">
        <w:trPr>
          <w:tblHeader/>
        </w:trPr>
        <w:tc>
          <w:tcPr>
            <w:tcW w:w="9173" w:type="dxa"/>
            <w:gridSpan w:val="2"/>
          </w:tcPr>
          <w:p w:rsidR="00A54AD0" w:rsidRPr="00E707E6" w:rsidRDefault="00A54AD0" w:rsidP="00183BE8">
            <w:pPr>
              <w:rPr>
                <w:sz w:val="20"/>
                <w:szCs w:val="20"/>
              </w:rPr>
            </w:pPr>
            <w:r w:rsidRPr="00E707E6">
              <w:rPr>
                <w:b/>
                <w:sz w:val="20"/>
                <w:szCs w:val="20"/>
              </w:rPr>
              <w:t>Condition:</w:t>
            </w:r>
            <w:r w:rsidRPr="00E707E6">
              <w:rPr>
                <w:sz w:val="20"/>
                <w:szCs w:val="20"/>
              </w:rPr>
              <w:t xml:space="preserve"> </w:t>
            </w:r>
            <w:proofErr w:type="spellStart"/>
            <w:r w:rsidRPr="00E707E6">
              <w:rPr>
                <w:sz w:val="20"/>
                <w:szCs w:val="20"/>
              </w:rPr>
              <w:t>aHUS</w:t>
            </w:r>
            <w:proofErr w:type="spellEnd"/>
          </w:p>
        </w:tc>
      </w:tr>
      <w:tr w:rsidR="00A54AD0" w:rsidRPr="00E707E6" w:rsidTr="00183BE8">
        <w:tc>
          <w:tcPr>
            <w:tcW w:w="9173" w:type="dxa"/>
            <w:gridSpan w:val="2"/>
          </w:tcPr>
          <w:p w:rsidR="00A54AD0" w:rsidRPr="00E707E6" w:rsidRDefault="00A54AD0" w:rsidP="00183BE8">
            <w:pPr>
              <w:rPr>
                <w:b/>
                <w:sz w:val="20"/>
                <w:szCs w:val="20"/>
              </w:rPr>
            </w:pPr>
            <w:r w:rsidRPr="00E707E6">
              <w:rPr>
                <w:b/>
                <w:sz w:val="20"/>
                <w:szCs w:val="20"/>
              </w:rPr>
              <w:t>Treatment phase:</w:t>
            </w:r>
            <w:r w:rsidRPr="00E707E6">
              <w:rPr>
                <w:sz w:val="20"/>
                <w:szCs w:val="20"/>
              </w:rPr>
              <w:t xml:space="preserve"> Initial treatment</w:t>
            </w:r>
          </w:p>
        </w:tc>
      </w:tr>
      <w:tr w:rsidR="00A54AD0" w:rsidRPr="00E707E6" w:rsidTr="00183BE8">
        <w:tc>
          <w:tcPr>
            <w:tcW w:w="1271" w:type="dxa"/>
          </w:tcPr>
          <w:p w:rsidR="00A54AD0" w:rsidRPr="00E707E6" w:rsidRDefault="00A54AD0" w:rsidP="00183BE8">
            <w:pPr>
              <w:spacing w:after="200"/>
              <w:rPr>
                <w:sz w:val="20"/>
                <w:szCs w:val="20"/>
              </w:rPr>
            </w:pPr>
            <w:r w:rsidRPr="00E707E6">
              <w:rPr>
                <w:b/>
                <w:bCs/>
                <w:sz w:val="20"/>
                <w:szCs w:val="20"/>
              </w:rPr>
              <w:t xml:space="preserve">Clinical criteria </w:t>
            </w:r>
          </w:p>
          <w:p w:rsidR="00A54AD0" w:rsidRPr="00E707E6" w:rsidRDefault="00A54AD0" w:rsidP="00183BE8">
            <w:pPr>
              <w:rPr>
                <w:b/>
                <w:sz w:val="20"/>
                <w:szCs w:val="20"/>
              </w:rPr>
            </w:pPr>
          </w:p>
        </w:tc>
        <w:tc>
          <w:tcPr>
            <w:tcW w:w="7902" w:type="dxa"/>
          </w:tcPr>
          <w:p w:rsidR="00A54AD0" w:rsidRPr="00E707E6" w:rsidRDefault="00A54AD0" w:rsidP="00183BE8">
            <w:pPr>
              <w:pStyle w:val="ListParagraph"/>
              <w:numPr>
                <w:ilvl w:val="0"/>
                <w:numId w:val="1"/>
              </w:numPr>
              <w:rPr>
                <w:sz w:val="20"/>
                <w:szCs w:val="20"/>
              </w:rPr>
            </w:pPr>
            <w:r w:rsidRPr="00E707E6">
              <w:rPr>
                <w:sz w:val="20"/>
                <w:szCs w:val="20"/>
              </w:rPr>
              <w:t xml:space="preserve">Patient must have active and progressing thrombotic </w:t>
            </w:r>
            <w:proofErr w:type="spellStart"/>
            <w:r w:rsidRPr="00E707E6">
              <w:rPr>
                <w:sz w:val="20"/>
                <w:szCs w:val="20"/>
              </w:rPr>
              <w:t>microangiopathy</w:t>
            </w:r>
            <w:proofErr w:type="spellEnd"/>
            <w:r w:rsidRPr="00E707E6">
              <w:rPr>
                <w:sz w:val="20"/>
                <w:szCs w:val="20"/>
              </w:rPr>
              <w:t xml:space="preserve"> (TMA) caused by </w:t>
            </w:r>
            <w:proofErr w:type="spellStart"/>
            <w:r w:rsidRPr="00E707E6">
              <w:rPr>
                <w:sz w:val="20"/>
                <w:szCs w:val="20"/>
              </w:rPr>
              <w:t>aHUS</w:t>
            </w:r>
            <w:proofErr w:type="spellEnd"/>
            <w:r w:rsidRPr="00E707E6">
              <w:rPr>
                <w:sz w:val="20"/>
                <w:szCs w:val="20"/>
              </w:rPr>
              <w:t xml:space="preserve">, </w:t>
            </w:r>
            <w:r w:rsidRPr="00E707E6">
              <w:rPr>
                <w:b/>
                <w:bCs/>
                <w:sz w:val="20"/>
                <w:szCs w:val="20"/>
              </w:rPr>
              <w:t xml:space="preserve">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ADAMTS-13 activity of greater than or equal to 10% on a blood sample taken prior to plasma exchange or infusion; or, if ADAMTS-13 activity was not collected prior to plasma exchange or infusion, patient must have platelet counts of greater than 30x10^9/L and a serum creatinine of greater than 150 </w:t>
            </w:r>
            <w:proofErr w:type="spellStart"/>
            <w:r w:rsidRPr="00E707E6">
              <w:rPr>
                <w:sz w:val="20"/>
                <w:szCs w:val="20"/>
              </w:rPr>
              <w:t>mol</w:t>
            </w:r>
            <w:proofErr w:type="spellEnd"/>
            <w:r w:rsidRPr="00E707E6">
              <w:rPr>
                <w:sz w:val="20"/>
                <w:szCs w:val="20"/>
              </w:rPr>
              <w:t xml:space="preserve">/L, </w:t>
            </w:r>
            <w:r w:rsidRPr="00E707E6">
              <w:rPr>
                <w:b/>
                <w:bCs/>
                <w:sz w:val="20"/>
                <w:szCs w:val="20"/>
              </w:rPr>
              <w:t xml:space="preserve">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a confirmed negative STEC (Shiga toxin-producing </w:t>
            </w:r>
            <w:proofErr w:type="spellStart"/>
            <w:r w:rsidRPr="00E707E6">
              <w:rPr>
                <w:sz w:val="20"/>
                <w:szCs w:val="20"/>
              </w:rPr>
              <w:t>E.Coli</w:t>
            </w:r>
            <w:proofErr w:type="spellEnd"/>
            <w:r w:rsidRPr="00E707E6">
              <w:rPr>
                <w:sz w:val="20"/>
                <w:szCs w:val="20"/>
              </w:rPr>
              <w:t xml:space="preserve">) result if the patient has had diarrhoea in the preceding 14 days, </w:t>
            </w:r>
            <w:r w:rsidRPr="00E707E6">
              <w:rPr>
                <w:b/>
                <w:bCs/>
                <w:sz w:val="20"/>
                <w:szCs w:val="20"/>
              </w:rPr>
              <w:t xml:space="preserve">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clinical features of active organ damage or impairment, </w:t>
            </w:r>
            <w:r w:rsidRPr="00E707E6">
              <w:rPr>
                <w:b/>
                <w:bCs/>
                <w:sz w:val="20"/>
                <w:szCs w:val="20"/>
              </w:rPr>
              <w:t xml:space="preserve">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receive more than 4 weeks of treatment under this restriction. </w:t>
            </w:r>
          </w:p>
          <w:p w:rsidR="00A54AD0" w:rsidRPr="00E707E6" w:rsidRDefault="00A54AD0" w:rsidP="00183BE8">
            <w:pPr>
              <w:rPr>
                <w:sz w:val="20"/>
                <w:szCs w:val="20"/>
              </w:rPr>
            </w:pPr>
          </w:p>
          <w:p w:rsidR="00A54AD0" w:rsidRPr="00E707E6" w:rsidRDefault="00A54AD0" w:rsidP="00183BE8">
            <w:pPr>
              <w:rPr>
                <w:sz w:val="20"/>
                <w:szCs w:val="20"/>
              </w:rPr>
            </w:pPr>
            <w:r w:rsidRPr="00E707E6">
              <w:rPr>
                <w:sz w:val="20"/>
                <w:szCs w:val="20"/>
              </w:rPr>
              <w:t>The restriction provides definitions for evidence of active and progressing TMA.</w:t>
            </w:r>
          </w:p>
          <w:p w:rsidR="00A54AD0" w:rsidRPr="00E707E6" w:rsidRDefault="00A54AD0" w:rsidP="00183BE8">
            <w:pPr>
              <w:rPr>
                <w:sz w:val="20"/>
                <w:szCs w:val="20"/>
              </w:rPr>
            </w:pPr>
          </w:p>
        </w:tc>
      </w:tr>
      <w:tr w:rsidR="00A54AD0" w:rsidRPr="00E707E6" w:rsidTr="00183BE8">
        <w:tc>
          <w:tcPr>
            <w:tcW w:w="1271" w:type="dxa"/>
          </w:tcPr>
          <w:p w:rsidR="00A54AD0" w:rsidRPr="00E707E6" w:rsidRDefault="00A54AD0" w:rsidP="00183BE8">
            <w:pPr>
              <w:rPr>
                <w:b/>
                <w:sz w:val="20"/>
                <w:szCs w:val="20"/>
              </w:rPr>
            </w:pPr>
            <w:r w:rsidRPr="00E707E6">
              <w:rPr>
                <w:b/>
                <w:bCs/>
                <w:sz w:val="20"/>
                <w:szCs w:val="20"/>
              </w:rPr>
              <w:t>Treatment criteria</w:t>
            </w:r>
          </w:p>
        </w:tc>
        <w:tc>
          <w:tcPr>
            <w:tcW w:w="7902" w:type="dxa"/>
          </w:tcPr>
          <w:p w:rsidR="00A54AD0" w:rsidRPr="00E707E6" w:rsidRDefault="00A54AD0" w:rsidP="00183BE8">
            <w:pPr>
              <w:rPr>
                <w:sz w:val="20"/>
                <w:szCs w:val="20"/>
              </w:rPr>
            </w:pPr>
            <w:r w:rsidRPr="00E707E6">
              <w:rPr>
                <w:sz w:val="20"/>
                <w:szCs w:val="20"/>
              </w:rPr>
              <w:t>Must be treated by a paediatric nephrologist, a nephrologist, a paediatric haematologist or a haematologist, or, must be in consultation with a paediatric nephrologist, a nephrologist, a paediatric haematologist or a haematologist.</w:t>
            </w:r>
          </w:p>
          <w:p w:rsidR="00A54AD0" w:rsidRPr="00E707E6" w:rsidRDefault="00A54AD0" w:rsidP="00183BE8">
            <w:pPr>
              <w:rPr>
                <w:b/>
                <w:sz w:val="20"/>
                <w:szCs w:val="20"/>
              </w:rPr>
            </w:pPr>
          </w:p>
        </w:tc>
      </w:tr>
      <w:tr w:rsidR="00A54AD0" w:rsidRPr="00E707E6" w:rsidTr="00183BE8">
        <w:tc>
          <w:tcPr>
            <w:tcW w:w="9173" w:type="dxa"/>
            <w:gridSpan w:val="2"/>
          </w:tcPr>
          <w:p w:rsidR="00A54AD0" w:rsidRPr="00E707E6" w:rsidRDefault="00A54AD0" w:rsidP="00183BE8">
            <w:pPr>
              <w:rPr>
                <w:b/>
                <w:sz w:val="20"/>
                <w:szCs w:val="20"/>
              </w:rPr>
            </w:pPr>
            <w:r w:rsidRPr="00E707E6">
              <w:rPr>
                <w:b/>
                <w:sz w:val="20"/>
                <w:szCs w:val="20"/>
              </w:rPr>
              <w:t>Treatment phase:</w:t>
            </w:r>
            <w:r w:rsidRPr="00E707E6">
              <w:rPr>
                <w:sz w:val="20"/>
                <w:szCs w:val="20"/>
              </w:rPr>
              <w:t xml:space="preserve"> Initial treatment – balance of supply</w:t>
            </w:r>
          </w:p>
        </w:tc>
      </w:tr>
      <w:tr w:rsidR="00A54AD0" w:rsidRPr="00E707E6" w:rsidTr="00183BE8">
        <w:tc>
          <w:tcPr>
            <w:tcW w:w="1271" w:type="dxa"/>
          </w:tcPr>
          <w:p w:rsidR="00A54AD0" w:rsidRPr="00E707E6" w:rsidRDefault="00A54AD0" w:rsidP="00183BE8">
            <w:pPr>
              <w:spacing w:after="200"/>
              <w:rPr>
                <w:sz w:val="20"/>
                <w:szCs w:val="20"/>
              </w:rPr>
            </w:pPr>
            <w:r w:rsidRPr="00E707E6">
              <w:rPr>
                <w:b/>
                <w:bCs/>
                <w:sz w:val="20"/>
                <w:szCs w:val="20"/>
              </w:rPr>
              <w:t xml:space="preserve">Clinical criteria </w:t>
            </w:r>
          </w:p>
          <w:p w:rsidR="00A54AD0" w:rsidRPr="00E707E6" w:rsidRDefault="00A54AD0" w:rsidP="00183BE8">
            <w:pPr>
              <w:rPr>
                <w:b/>
                <w:sz w:val="20"/>
                <w:szCs w:val="20"/>
              </w:rPr>
            </w:pPr>
          </w:p>
        </w:tc>
        <w:tc>
          <w:tcPr>
            <w:tcW w:w="7902" w:type="dxa"/>
          </w:tcPr>
          <w:p w:rsidR="00A54AD0" w:rsidRPr="00E707E6" w:rsidRDefault="00A54AD0" w:rsidP="00183BE8">
            <w:pPr>
              <w:pStyle w:val="ListParagraph"/>
              <w:numPr>
                <w:ilvl w:val="0"/>
                <w:numId w:val="1"/>
              </w:numPr>
              <w:rPr>
                <w:sz w:val="20"/>
                <w:szCs w:val="20"/>
              </w:rPr>
            </w:pPr>
            <w:r w:rsidRPr="00E707E6">
              <w:rPr>
                <w:sz w:val="20"/>
                <w:szCs w:val="20"/>
              </w:rPr>
              <w:t xml:space="preserve">Patient must have received PBS-subsidised initial supply of </w:t>
            </w:r>
            <w:proofErr w:type="spellStart"/>
            <w:r w:rsidRPr="00E707E6">
              <w:rPr>
                <w:sz w:val="20"/>
                <w:szCs w:val="20"/>
              </w:rPr>
              <w:t>eculizumab</w:t>
            </w:r>
            <w:proofErr w:type="spellEnd"/>
            <w:r w:rsidRPr="00E707E6">
              <w:rPr>
                <w:sz w:val="20"/>
                <w:szCs w:val="20"/>
              </w:rPr>
              <w:t xml:space="preserve"> for this condition, 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ADAMTS-13 activity of greater than or equal to 10% on a blood sample, 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receive more than 20 weeks supply under this restriction. </w:t>
            </w:r>
          </w:p>
          <w:p w:rsidR="00A54AD0" w:rsidRPr="00E707E6" w:rsidRDefault="00A54AD0" w:rsidP="00183BE8">
            <w:pPr>
              <w:pStyle w:val="ListParagraph"/>
              <w:ind w:left="360"/>
              <w:rPr>
                <w:sz w:val="20"/>
                <w:szCs w:val="20"/>
              </w:rPr>
            </w:pPr>
          </w:p>
        </w:tc>
      </w:tr>
      <w:tr w:rsidR="00A54AD0" w:rsidRPr="00E707E6" w:rsidTr="00183BE8">
        <w:tc>
          <w:tcPr>
            <w:tcW w:w="9173" w:type="dxa"/>
            <w:gridSpan w:val="2"/>
          </w:tcPr>
          <w:p w:rsidR="00A54AD0" w:rsidRPr="00E707E6" w:rsidRDefault="00A54AD0" w:rsidP="00183BE8">
            <w:pPr>
              <w:autoSpaceDE w:val="0"/>
              <w:autoSpaceDN w:val="0"/>
              <w:adjustRightInd w:val="0"/>
              <w:rPr>
                <w:sz w:val="20"/>
                <w:szCs w:val="20"/>
              </w:rPr>
            </w:pPr>
            <w:r w:rsidRPr="00E707E6">
              <w:rPr>
                <w:b/>
                <w:sz w:val="20"/>
                <w:szCs w:val="20"/>
              </w:rPr>
              <w:t>Treatment Phase:</w:t>
            </w:r>
            <w:r w:rsidRPr="00E707E6">
              <w:rPr>
                <w:sz w:val="20"/>
                <w:szCs w:val="20"/>
              </w:rPr>
              <w:t xml:space="preserve"> Extended initial treatment - Assessment phase </w:t>
            </w:r>
          </w:p>
        </w:tc>
      </w:tr>
      <w:tr w:rsidR="00A54AD0" w:rsidRPr="00E707E6" w:rsidTr="00183BE8">
        <w:tc>
          <w:tcPr>
            <w:tcW w:w="1271" w:type="dxa"/>
          </w:tcPr>
          <w:p w:rsidR="00A54AD0" w:rsidRPr="00E707E6" w:rsidRDefault="00A54AD0" w:rsidP="00183BE8">
            <w:pPr>
              <w:spacing w:after="200"/>
              <w:rPr>
                <w:sz w:val="20"/>
                <w:szCs w:val="20"/>
              </w:rPr>
            </w:pPr>
            <w:r w:rsidRPr="00E707E6">
              <w:rPr>
                <w:b/>
                <w:bCs/>
                <w:sz w:val="20"/>
                <w:szCs w:val="20"/>
              </w:rPr>
              <w:t xml:space="preserve">Clinical criteria </w:t>
            </w:r>
          </w:p>
          <w:p w:rsidR="00A54AD0" w:rsidRPr="00E707E6" w:rsidRDefault="00A54AD0" w:rsidP="00183BE8">
            <w:pPr>
              <w:rPr>
                <w:b/>
                <w:sz w:val="20"/>
                <w:szCs w:val="20"/>
              </w:rPr>
            </w:pPr>
          </w:p>
        </w:tc>
        <w:tc>
          <w:tcPr>
            <w:tcW w:w="7902" w:type="dxa"/>
          </w:tcPr>
          <w:p w:rsidR="00A54AD0" w:rsidRPr="00E707E6" w:rsidRDefault="00A54AD0" w:rsidP="00183BE8">
            <w:pPr>
              <w:pStyle w:val="ListParagraph"/>
              <w:numPr>
                <w:ilvl w:val="0"/>
                <w:numId w:val="1"/>
              </w:numPr>
              <w:rPr>
                <w:sz w:val="20"/>
                <w:szCs w:val="20"/>
              </w:rPr>
            </w:pPr>
            <w:r w:rsidRPr="00E707E6">
              <w:rPr>
                <w:sz w:val="20"/>
                <w:szCs w:val="20"/>
              </w:rPr>
              <w:t xml:space="preserve">Patient must have received treatment under the initial restriction with PBS subsidised </w:t>
            </w:r>
            <w:proofErr w:type="spellStart"/>
            <w:r w:rsidRPr="00E707E6">
              <w:rPr>
                <w:sz w:val="20"/>
                <w:szCs w:val="20"/>
              </w:rPr>
              <w:t>eculizumab</w:t>
            </w:r>
            <w:proofErr w:type="spellEnd"/>
            <w:r w:rsidRPr="00E707E6">
              <w:rPr>
                <w:sz w:val="20"/>
                <w:szCs w:val="20"/>
              </w:rPr>
              <w:t xml:space="preserve"> for this condition, </w:t>
            </w:r>
            <w:r w:rsidRPr="00E707E6">
              <w:rPr>
                <w:b/>
                <w:sz w:val="20"/>
                <w:szCs w:val="20"/>
              </w:rPr>
              <w:t>AND</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demonstrated on-going treatment response of PBS-subsidised </w:t>
            </w:r>
            <w:proofErr w:type="spellStart"/>
            <w:r w:rsidRPr="00E707E6">
              <w:rPr>
                <w:sz w:val="20"/>
                <w:szCs w:val="20"/>
              </w:rPr>
              <w:t>eculizumab</w:t>
            </w:r>
            <w:proofErr w:type="spellEnd"/>
            <w:r w:rsidRPr="00E707E6">
              <w:rPr>
                <w:sz w:val="20"/>
                <w:szCs w:val="20"/>
              </w:rPr>
              <w:t xml:space="preserve"> treatment for this condition, </w:t>
            </w:r>
            <w:r w:rsidRPr="00E707E6">
              <w:rPr>
                <w:b/>
                <w:sz w:val="20"/>
                <w:szCs w:val="20"/>
              </w:rPr>
              <w:t>AND</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have experienced treatment failure with </w:t>
            </w:r>
            <w:proofErr w:type="spellStart"/>
            <w:r w:rsidRPr="00E707E6">
              <w:rPr>
                <w:sz w:val="20"/>
                <w:szCs w:val="20"/>
              </w:rPr>
              <w:t>eculizumab</w:t>
            </w:r>
            <w:proofErr w:type="spellEnd"/>
            <w:r w:rsidRPr="00E707E6">
              <w:rPr>
                <w:sz w:val="20"/>
                <w:szCs w:val="20"/>
              </w:rPr>
              <w:t xml:space="preserve"> including PBS-subsidised </w:t>
            </w:r>
            <w:proofErr w:type="spellStart"/>
            <w:r w:rsidRPr="00E707E6">
              <w:rPr>
                <w:sz w:val="20"/>
                <w:szCs w:val="20"/>
              </w:rPr>
              <w:t>eculizumab</w:t>
            </w:r>
            <w:proofErr w:type="spellEnd"/>
            <w:r w:rsidRPr="00E707E6">
              <w:rPr>
                <w:sz w:val="20"/>
                <w:szCs w:val="20"/>
              </w:rPr>
              <w:t xml:space="preserve"> for this condition, </w:t>
            </w:r>
            <w:r w:rsidRPr="00E707E6">
              <w:rPr>
                <w:b/>
                <w:sz w:val="20"/>
                <w:szCs w:val="20"/>
              </w:rPr>
              <w:t>AND</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receive more than 56 weeks of treatment under this restriction. </w:t>
            </w:r>
          </w:p>
          <w:p w:rsidR="00A54AD0" w:rsidRPr="00E707E6" w:rsidRDefault="00A54AD0" w:rsidP="00183BE8">
            <w:pPr>
              <w:rPr>
                <w:sz w:val="20"/>
                <w:szCs w:val="20"/>
              </w:rPr>
            </w:pPr>
          </w:p>
          <w:p w:rsidR="00A54AD0" w:rsidRPr="00E707E6" w:rsidRDefault="00A54AD0" w:rsidP="00183BE8">
            <w:pPr>
              <w:rPr>
                <w:sz w:val="20"/>
                <w:szCs w:val="20"/>
              </w:rPr>
            </w:pPr>
            <w:r w:rsidRPr="00E707E6">
              <w:rPr>
                <w:sz w:val="20"/>
                <w:szCs w:val="20"/>
              </w:rPr>
              <w:t xml:space="preserve">The restriction provides definitions of treatment response. </w:t>
            </w:r>
          </w:p>
          <w:p w:rsidR="00A54AD0" w:rsidRPr="00E707E6" w:rsidRDefault="00A54AD0" w:rsidP="00183BE8">
            <w:pPr>
              <w:rPr>
                <w:b/>
                <w:sz w:val="20"/>
                <w:szCs w:val="20"/>
              </w:rPr>
            </w:pPr>
          </w:p>
        </w:tc>
      </w:tr>
      <w:tr w:rsidR="00A54AD0" w:rsidRPr="00E707E6" w:rsidTr="00183BE8">
        <w:tc>
          <w:tcPr>
            <w:tcW w:w="9173" w:type="dxa"/>
            <w:gridSpan w:val="2"/>
          </w:tcPr>
          <w:p w:rsidR="00A54AD0" w:rsidRPr="00E707E6" w:rsidRDefault="00A54AD0" w:rsidP="00183BE8">
            <w:pPr>
              <w:rPr>
                <w:b/>
                <w:sz w:val="20"/>
                <w:szCs w:val="20"/>
              </w:rPr>
            </w:pPr>
            <w:r w:rsidRPr="00E707E6">
              <w:rPr>
                <w:b/>
                <w:sz w:val="20"/>
                <w:szCs w:val="20"/>
              </w:rPr>
              <w:t xml:space="preserve">Treatment Phase: </w:t>
            </w:r>
            <w:r w:rsidRPr="00E707E6">
              <w:rPr>
                <w:sz w:val="20"/>
                <w:szCs w:val="20"/>
              </w:rPr>
              <w:t>Continuing treatment</w:t>
            </w:r>
            <w:r w:rsidRPr="00E707E6">
              <w:rPr>
                <w:b/>
                <w:sz w:val="20"/>
                <w:szCs w:val="20"/>
              </w:rPr>
              <w:t xml:space="preserve"> </w:t>
            </w:r>
          </w:p>
        </w:tc>
      </w:tr>
      <w:tr w:rsidR="00A54AD0" w:rsidRPr="00E707E6" w:rsidTr="00183BE8">
        <w:tc>
          <w:tcPr>
            <w:tcW w:w="1271" w:type="dxa"/>
          </w:tcPr>
          <w:p w:rsidR="00A54AD0" w:rsidRPr="00E707E6" w:rsidRDefault="00A54AD0" w:rsidP="00183BE8">
            <w:pPr>
              <w:spacing w:after="200"/>
              <w:rPr>
                <w:sz w:val="20"/>
                <w:szCs w:val="20"/>
              </w:rPr>
            </w:pPr>
            <w:r w:rsidRPr="00E707E6">
              <w:rPr>
                <w:b/>
                <w:bCs/>
                <w:sz w:val="20"/>
                <w:szCs w:val="20"/>
              </w:rPr>
              <w:t xml:space="preserve">Clinical criteria </w:t>
            </w:r>
          </w:p>
          <w:p w:rsidR="00A54AD0" w:rsidRPr="00E707E6" w:rsidRDefault="00A54AD0" w:rsidP="00183BE8">
            <w:pPr>
              <w:rPr>
                <w:b/>
                <w:sz w:val="20"/>
                <w:szCs w:val="20"/>
              </w:rPr>
            </w:pPr>
          </w:p>
        </w:tc>
        <w:tc>
          <w:tcPr>
            <w:tcW w:w="7902" w:type="dxa"/>
          </w:tcPr>
          <w:p w:rsidR="00A54AD0" w:rsidRPr="00E707E6" w:rsidRDefault="00A54AD0" w:rsidP="00183BE8">
            <w:pPr>
              <w:pStyle w:val="ListParagraph"/>
              <w:numPr>
                <w:ilvl w:val="0"/>
                <w:numId w:val="1"/>
              </w:numPr>
              <w:rPr>
                <w:sz w:val="20"/>
                <w:szCs w:val="20"/>
              </w:rPr>
            </w:pPr>
            <w:r w:rsidRPr="00E707E6">
              <w:rPr>
                <w:sz w:val="20"/>
                <w:szCs w:val="20"/>
              </w:rPr>
              <w:t xml:space="preserve">Patient must have received treatment under Extended Initial restriction with PBS subsidised </w:t>
            </w:r>
            <w:proofErr w:type="spellStart"/>
            <w:r w:rsidRPr="00E707E6">
              <w:rPr>
                <w:sz w:val="20"/>
                <w:szCs w:val="20"/>
              </w:rPr>
              <w:t>eculizumab</w:t>
            </w:r>
            <w:proofErr w:type="spellEnd"/>
            <w:r w:rsidRPr="00E707E6">
              <w:rPr>
                <w:sz w:val="20"/>
                <w:szCs w:val="20"/>
              </w:rPr>
              <w:t xml:space="preserve"> for this condition, </w:t>
            </w:r>
            <w:r w:rsidRPr="00E707E6">
              <w:rPr>
                <w:b/>
                <w:sz w:val="20"/>
                <w:szCs w:val="20"/>
              </w:rPr>
              <w:t>AND</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demonstrated on-going treatment response of PBS-subsidised </w:t>
            </w:r>
            <w:proofErr w:type="spellStart"/>
            <w:r w:rsidRPr="00E707E6">
              <w:rPr>
                <w:sz w:val="20"/>
                <w:szCs w:val="20"/>
              </w:rPr>
              <w:t>eculizumab</w:t>
            </w:r>
            <w:proofErr w:type="spellEnd"/>
            <w:r w:rsidRPr="00E707E6">
              <w:rPr>
                <w:sz w:val="20"/>
                <w:szCs w:val="20"/>
              </w:rPr>
              <w:t xml:space="preserve"> treatment for this condition, </w:t>
            </w:r>
            <w:r w:rsidRPr="00E707E6">
              <w:rPr>
                <w:b/>
                <w:sz w:val="20"/>
                <w:szCs w:val="20"/>
              </w:rPr>
              <w:t>AND</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have experienced treatment failure with </w:t>
            </w:r>
            <w:proofErr w:type="spellStart"/>
            <w:r w:rsidRPr="00E707E6">
              <w:rPr>
                <w:sz w:val="20"/>
                <w:szCs w:val="20"/>
              </w:rPr>
              <w:t>eculizumab</w:t>
            </w:r>
            <w:proofErr w:type="spellEnd"/>
            <w:r w:rsidRPr="00E707E6">
              <w:rPr>
                <w:sz w:val="20"/>
                <w:szCs w:val="20"/>
              </w:rPr>
              <w:t xml:space="preserve"> including PBS-subsidised </w:t>
            </w:r>
            <w:proofErr w:type="spellStart"/>
            <w:r w:rsidRPr="00E707E6">
              <w:rPr>
                <w:sz w:val="20"/>
                <w:szCs w:val="20"/>
              </w:rPr>
              <w:t>eculizumab</w:t>
            </w:r>
            <w:proofErr w:type="spellEnd"/>
            <w:r w:rsidRPr="00E707E6">
              <w:rPr>
                <w:sz w:val="20"/>
                <w:szCs w:val="20"/>
              </w:rPr>
              <w:t xml:space="preserve"> for this condition, </w:t>
            </w:r>
            <w:r w:rsidRPr="00E707E6">
              <w:rPr>
                <w:b/>
                <w:sz w:val="20"/>
                <w:szCs w:val="20"/>
              </w:rPr>
              <w:t>AND</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receive more than 24 weeks of treatment under this restriction. </w:t>
            </w:r>
          </w:p>
          <w:p w:rsidR="00A54AD0" w:rsidRPr="00E707E6" w:rsidRDefault="00A54AD0" w:rsidP="00183BE8">
            <w:pPr>
              <w:rPr>
                <w:sz w:val="20"/>
                <w:szCs w:val="20"/>
              </w:rPr>
            </w:pPr>
          </w:p>
          <w:p w:rsidR="00A54AD0" w:rsidRPr="00E707E6" w:rsidRDefault="00A54AD0" w:rsidP="00183BE8">
            <w:pPr>
              <w:rPr>
                <w:sz w:val="20"/>
                <w:szCs w:val="20"/>
              </w:rPr>
            </w:pPr>
            <w:r w:rsidRPr="00E707E6">
              <w:rPr>
                <w:sz w:val="20"/>
                <w:szCs w:val="20"/>
              </w:rPr>
              <w:t xml:space="preserve">The restriction provides definitions of treatment response. </w:t>
            </w:r>
          </w:p>
          <w:p w:rsidR="00A54AD0" w:rsidRPr="00E707E6" w:rsidRDefault="00A54AD0" w:rsidP="00183BE8">
            <w:pPr>
              <w:rPr>
                <w:b/>
                <w:sz w:val="20"/>
                <w:szCs w:val="20"/>
              </w:rPr>
            </w:pPr>
          </w:p>
        </w:tc>
      </w:tr>
      <w:tr w:rsidR="00A54AD0" w:rsidRPr="00E707E6" w:rsidTr="00183BE8">
        <w:tc>
          <w:tcPr>
            <w:tcW w:w="9173" w:type="dxa"/>
            <w:gridSpan w:val="2"/>
          </w:tcPr>
          <w:p w:rsidR="00A54AD0" w:rsidRPr="00E707E6" w:rsidRDefault="00A54AD0" w:rsidP="00183BE8">
            <w:pPr>
              <w:rPr>
                <w:b/>
                <w:sz w:val="20"/>
                <w:szCs w:val="20"/>
              </w:rPr>
            </w:pPr>
            <w:r w:rsidRPr="00E707E6">
              <w:rPr>
                <w:b/>
                <w:sz w:val="20"/>
                <w:szCs w:val="20"/>
              </w:rPr>
              <w:t xml:space="preserve">Treatment Phase: </w:t>
            </w:r>
            <w:r w:rsidRPr="00E707E6">
              <w:rPr>
                <w:sz w:val="20"/>
                <w:szCs w:val="20"/>
              </w:rPr>
              <w:t>Extended</w:t>
            </w:r>
            <w:r w:rsidRPr="00E707E6">
              <w:rPr>
                <w:b/>
                <w:sz w:val="20"/>
                <w:szCs w:val="20"/>
              </w:rPr>
              <w:t xml:space="preserve"> </w:t>
            </w:r>
            <w:r w:rsidRPr="00E707E6">
              <w:rPr>
                <w:sz w:val="20"/>
                <w:szCs w:val="20"/>
              </w:rPr>
              <w:t>Continuing treatment</w:t>
            </w:r>
          </w:p>
        </w:tc>
      </w:tr>
      <w:tr w:rsidR="00A54AD0" w:rsidRPr="00E707E6" w:rsidTr="00183BE8">
        <w:tc>
          <w:tcPr>
            <w:tcW w:w="1271" w:type="dxa"/>
          </w:tcPr>
          <w:p w:rsidR="00A54AD0" w:rsidRPr="00E707E6" w:rsidRDefault="00A54AD0" w:rsidP="00183BE8">
            <w:pPr>
              <w:spacing w:after="200"/>
              <w:rPr>
                <w:sz w:val="20"/>
                <w:szCs w:val="20"/>
              </w:rPr>
            </w:pPr>
            <w:r w:rsidRPr="00E707E6">
              <w:rPr>
                <w:b/>
                <w:bCs/>
                <w:sz w:val="20"/>
                <w:szCs w:val="20"/>
              </w:rPr>
              <w:lastRenderedPageBreak/>
              <w:t xml:space="preserve">Clinical criteria </w:t>
            </w:r>
          </w:p>
          <w:p w:rsidR="00A54AD0" w:rsidRPr="00E707E6" w:rsidRDefault="00A54AD0" w:rsidP="00183BE8">
            <w:pPr>
              <w:rPr>
                <w:b/>
                <w:sz w:val="20"/>
                <w:szCs w:val="20"/>
              </w:rPr>
            </w:pPr>
          </w:p>
        </w:tc>
        <w:tc>
          <w:tcPr>
            <w:tcW w:w="7902" w:type="dxa"/>
          </w:tcPr>
          <w:p w:rsidR="00A54AD0" w:rsidRPr="00E707E6" w:rsidRDefault="00A54AD0" w:rsidP="00183BE8">
            <w:pPr>
              <w:pStyle w:val="ListParagraph"/>
              <w:numPr>
                <w:ilvl w:val="0"/>
                <w:numId w:val="1"/>
              </w:numPr>
              <w:rPr>
                <w:sz w:val="20"/>
                <w:szCs w:val="20"/>
              </w:rPr>
            </w:pPr>
            <w:r w:rsidRPr="00E707E6">
              <w:rPr>
                <w:sz w:val="20"/>
                <w:szCs w:val="20"/>
              </w:rPr>
              <w:t xml:space="preserve">Patient must have received treatment under the Continuing treatment with PBS-subsidised </w:t>
            </w:r>
            <w:proofErr w:type="spellStart"/>
            <w:r w:rsidRPr="00E707E6">
              <w:rPr>
                <w:sz w:val="20"/>
                <w:szCs w:val="20"/>
              </w:rPr>
              <w:t>eculizumab</w:t>
            </w:r>
            <w:proofErr w:type="spellEnd"/>
            <w:r w:rsidRPr="00E707E6">
              <w:rPr>
                <w:sz w:val="20"/>
                <w:szCs w:val="20"/>
              </w:rPr>
              <w:t xml:space="preserve"> for this condition, </w:t>
            </w:r>
            <w:r w:rsidRPr="00E707E6">
              <w:rPr>
                <w:b/>
                <w:sz w:val="20"/>
                <w:szCs w:val="20"/>
              </w:rPr>
              <w:t>AND</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demonstrated on-going treatment response with PBS-subsidised </w:t>
            </w:r>
            <w:proofErr w:type="spellStart"/>
            <w:r w:rsidRPr="00E707E6">
              <w:rPr>
                <w:sz w:val="20"/>
                <w:szCs w:val="20"/>
              </w:rPr>
              <w:t>eculizumab</w:t>
            </w:r>
            <w:proofErr w:type="spellEnd"/>
            <w:r w:rsidRPr="00E707E6">
              <w:rPr>
                <w:sz w:val="20"/>
                <w:szCs w:val="20"/>
              </w:rPr>
              <w:t xml:space="preserve"> for this condition, </w:t>
            </w:r>
            <w:r w:rsidRPr="00E707E6">
              <w:rPr>
                <w:b/>
                <w:sz w:val="20"/>
                <w:szCs w:val="20"/>
              </w:rPr>
              <w:t>AND</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have ever experienced treatment failure with </w:t>
            </w:r>
            <w:proofErr w:type="spellStart"/>
            <w:r w:rsidRPr="00E707E6">
              <w:rPr>
                <w:sz w:val="20"/>
                <w:szCs w:val="20"/>
              </w:rPr>
              <w:t>eculizumab</w:t>
            </w:r>
            <w:proofErr w:type="spellEnd"/>
            <w:r w:rsidRPr="00E707E6">
              <w:rPr>
                <w:sz w:val="20"/>
                <w:szCs w:val="20"/>
              </w:rPr>
              <w:t xml:space="preserve"> including PBS-subsidised </w:t>
            </w:r>
            <w:proofErr w:type="spellStart"/>
            <w:r w:rsidRPr="00E707E6">
              <w:rPr>
                <w:sz w:val="20"/>
                <w:szCs w:val="20"/>
              </w:rPr>
              <w:t>eculizumab</w:t>
            </w:r>
            <w:proofErr w:type="spellEnd"/>
            <w:r w:rsidRPr="00E707E6">
              <w:rPr>
                <w:sz w:val="20"/>
                <w:szCs w:val="20"/>
              </w:rPr>
              <w:t xml:space="preserve"> for this condition, </w:t>
            </w:r>
            <w:r w:rsidRPr="00E707E6">
              <w:rPr>
                <w:b/>
                <w:sz w:val="20"/>
                <w:szCs w:val="20"/>
              </w:rPr>
              <w:t>AND</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a TMA-related cardiomyopathy as evidenced by left ventricular ejection fraction &lt; 40% on current objective measurement; </w:t>
            </w:r>
            <w:r w:rsidRPr="00E707E6">
              <w:rPr>
                <w:b/>
                <w:sz w:val="20"/>
                <w:szCs w:val="20"/>
              </w:rPr>
              <w:t>OR</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severe TMA-related neurological impairment; </w:t>
            </w:r>
            <w:r w:rsidRPr="00E707E6">
              <w:rPr>
                <w:b/>
                <w:sz w:val="20"/>
                <w:szCs w:val="20"/>
              </w:rPr>
              <w:t>OR</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severe TMA-related gastrointestinal impairment; </w:t>
            </w:r>
            <w:r w:rsidRPr="00E707E6">
              <w:rPr>
                <w:b/>
                <w:sz w:val="20"/>
                <w:szCs w:val="20"/>
              </w:rPr>
              <w:t>OR</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severe TMA-related pulmonary impairment on current objective measurement; </w:t>
            </w:r>
            <w:r w:rsidRPr="00E707E6">
              <w:rPr>
                <w:b/>
                <w:sz w:val="20"/>
                <w:szCs w:val="20"/>
              </w:rPr>
              <w:t>OR</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Patient must have grade 4 or 5 chronic kidney disease (</w:t>
            </w:r>
            <w:proofErr w:type="spellStart"/>
            <w:r w:rsidRPr="00E707E6">
              <w:rPr>
                <w:sz w:val="20"/>
                <w:szCs w:val="20"/>
              </w:rPr>
              <w:t>eGFR</w:t>
            </w:r>
            <w:proofErr w:type="spellEnd"/>
            <w:r w:rsidRPr="00E707E6">
              <w:rPr>
                <w:sz w:val="20"/>
                <w:szCs w:val="20"/>
              </w:rPr>
              <w:t xml:space="preserve"> of less than 30 mL/min); </w:t>
            </w:r>
            <w:r w:rsidRPr="00E707E6">
              <w:rPr>
                <w:b/>
                <w:sz w:val="20"/>
                <w:szCs w:val="20"/>
              </w:rPr>
              <w:t>OR</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a high risk of </w:t>
            </w:r>
            <w:proofErr w:type="spellStart"/>
            <w:r w:rsidRPr="00E707E6">
              <w:rPr>
                <w:sz w:val="20"/>
                <w:szCs w:val="20"/>
              </w:rPr>
              <w:t>aHUS</w:t>
            </w:r>
            <w:proofErr w:type="spellEnd"/>
            <w:r w:rsidRPr="00E707E6">
              <w:rPr>
                <w:sz w:val="20"/>
                <w:szCs w:val="20"/>
              </w:rPr>
              <w:t xml:space="preserve"> recurrence in the short term in the absence of continued treatment with </w:t>
            </w:r>
            <w:proofErr w:type="spellStart"/>
            <w:r w:rsidRPr="00E707E6">
              <w:rPr>
                <w:sz w:val="20"/>
                <w:szCs w:val="20"/>
              </w:rPr>
              <w:t>eculizumab</w:t>
            </w:r>
            <w:proofErr w:type="spellEnd"/>
            <w:r w:rsidRPr="00E707E6">
              <w:rPr>
                <w:sz w:val="20"/>
                <w:szCs w:val="20"/>
              </w:rPr>
              <w:t xml:space="preserve">, </w:t>
            </w:r>
            <w:r w:rsidRPr="00E707E6">
              <w:rPr>
                <w:b/>
                <w:sz w:val="20"/>
                <w:szCs w:val="20"/>
              </w:rPr>
              <w:t>AND</w:t>
            </w:r>
            <w:r w:rsidRPr="00E707E6">
              <w:rPr>
                <w:sz w:val="20"/>
                <w:szCs w:val="20"/>
              </w:rPr>
              <w:t xml:space="preserve">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receive more than 24 weeks of treatment per continuing treatment course authorised under this restriction. </w:t>
            </w:r>
          </w:p>
          <w:p w:rsidR="00A54AD0" w:rsidRPr="00E707E6" w:rsidRDefault="00A54AD0" w:rsidP="00183BE8">
            <w:pPr>
              <w:rPr>
                <w:b/>
                <w:sz w:val="20"/>
                <w:szCs w:val="20"/>
              </w:rPr>
            </w:pPr>
          </w:p>
          <w:p w:rsidR="00A54AD0" w:rsidRPr="00E707E6" w:rsidRDefault="00A54AD0" w:rsidP="00183BE8">
            <w:pPr>
              <w:rPr>
                <w:sz w:val="20"/>
                <w:szCs w:val="20"/>
              </w:rPr>
            </w:pPr>
            <w:r w:rsidRPr="00E707E6">
              <w:rPr>
                <w:sz w:val="20"/>
                <w:szCs w:val="20"/>
              </w:rPr>
              <w:t xml:space="preserve">The restriction provides definitions of treatment response. </w:t>
            </w:r>
          </w:p>
          <w:p w:rsidR="00A54AD0" w:rsidRPr="00E707E6" w:rsidRDefault="00A54AD0" w:rsidP="00183BE8">
            <w:pPr>
              <w:rPr>
                <w:b/>
                <w:sz w:val="20"/>
                <w:szCs w:val="20"/>
              </w:rPr>
            </w:pPr>
          </w:p>
        </w:tc>
      </w:tr>
      <w:tr w:rsidR="00A54AD0" w:rsidRPr="00E707E6" w:rsidTr="00183BE8">
        <w:tc>
          <w:tcPr>
            <w:tcW w:w="9173" w:type="dxa"/>
            <w:gridSpan w:val="2"/>
          </w:tcPr>
          <w:p w:rsidR="00A54AD0" w:rsidRPr="00E707E6" w:rsidRDefault="00A54AD0" w:rsidP="00183BE8">
            <w:pPr>
              <w:rPr>
                <w:sz w:val="20"/>
                <w:szCs w:val="20"/>
              </w:rPr>
            </w:pPr>
            <w:r w:rsidRPr="00E707E6">
              <w:rPr>
                <w:b/>
                <w:sz w:val="20"/>
                <w:szCs w:val="20"/>
              </w:rPr>
              <w:t>Treatment Phase:</w:t>
            </w:r>
            <w:r w:rsidRPr="00E707E6">
              <w:rPr>
                <w:sz w:val="20"/>
                <w:szCs w:val="20"/>
              </w:rPr>
              <w:t xml:space="preserve"> Recommencement of treatment</w:t>
            </w:r>
          </w:p>
        </w:tc>
      </w:tr>
      <w:tr w:rsidR="00A54AD0" w:rsidRPr="00E707E6" w:rsidTr="00183BE8">
        <w:tc>
          <w:tcPr>
            <w:tcW w:w="1271" w:type="dxa"/>
          </w:tcPr>
          <w:p w:rsidR="00A54AD0" w:rsidRPr="00E707E6" w:rsidRDefault="00A54AD0" w:rsidP="00183BE8">
            <w:pPr>
              <w:spacing w:after="200"/>
              <w:rPr>
                <w:sz w:val="20"/>
                <w:szCs w:val="20"/>
              </w:rPr>
            </w:pPr>
            <w:r w:rsidRPr="00E707E6">
              <w:rPr>
                <w:b/>
                <w:bCs/>
                <w:sz w:val="20"/>
                <w:szCs w:val="20"/>
              </w:rPr>
              <w:t xml:space="preserve">Clinical criteria </w:t>
            </w:r>
          </w:p>
          <w:p w:rsidR="00A54AD0" w:rsidRPr="00E707E6" w:rsidRDefault="00A54AD0" w:rsidP="00183BE8">
            <w:pPr>
              <w:rPr>
                <w:b/>
                <w:bCs/>
                <w:sz w:val="20"/>
                <w:szCs w:val="20"/>
              </w:rPr>
            </w:pPr>
          </w:p>
        </w:tc>
        <w:tc>
          <w:tcPr>
            <w:tcW w:w="7902" w:type="dxa"/>
          </w:tcPr>
          <w:p w:rsidR="00A54AD0" w:rsidRPr="00E707E6" w:rsidRDefault="00A54AD0" w:rsidP="00183BE8">
            <w:pPr>
              <w:pStyle w:val="ListParagraph"/>
              <w:numPr>
                <w:ilvl w:val="0"/>
                <w:numId w:val="1"/>
              </w:numPr>
              <w:rPr>
                <w:sz w:val="20"/>
                <w:szCs w:val="20"/>
              </w:rPr>
            </w:pPr>
            <w:r w:rsidRPr="00E707E6">
              <w:rPr>
                <w:sz w:val="20"/>
                <w:szCs w:val="20"/>
              </w:rPr>
              <w:t xml:space="preserve">Patient must have demonstrated treatment response to previous treatment with PBS-subsidised </w:t>
            </w:r>
            <w:proofErr w:type="spellStart"/>
            <w:r w:rsidRPr="00E707E6">
              <w:rPr>
                <w:sz w:val="20"/>
                <w:szCs w:val="20"/>
              </w:rPr>
              <w:t>eculizumab</w:t>
            </w:r>
            <w:proofErr w:type="spellEnd"/>
            <w:r w:rsidRPr="00E707E6">
              <w:rPr>
                <w:sz w:val="20"/>
                <w:szCs w:val="20"/>
              </w:rPr>
              <w:t xml:space="preserve"> for this condition, </w:t>
            </w:r>
            <w:r w:rsidRPr="00E707E6">
              <w:rPr>
                <w:b/>
                <w:bCs/>
                <w:sz w:val="20"/>
                <w:szCs w:val="20"/>
              </w:rPr>
              <w:t xml:space="preserve">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have ever experienced treatment failure with </w:t>
            </w:r>
            <w:proofErr w:type="spellStart"/>
            <w:r w:rsidRPr="00E707E6">
              <w:rPr>
                <w:sz w:val="20"/>
                <w:szCs w:val="20"/>
              </w:rPr>
              <w:t>eculizumab</w:t>
            </w:r>
            <w:proofErr w:type="spellEnd"/>
            <w:r w:rsidRPr="00E707E6">
              <w:rPr>
                <w:sz w:val="20"/>
                <w:szCs w:val="20"/>
              </w:rPr>
              <w:t xml:space="preserve"> including PBS-subsidised </w:t>
            </w:r>
            <w:proofErr w:type="spellStart"/>
            <w:r w:rsidRPr="00E707E6">
              <w:rPr>
                <w:sz w:val="20"/>
                <w:szCs w:val="20"/>
              </w:rPr>
              <w:t>eculizumab</w:t>
            </w:r>
            <w:proofErr w:type="spellEnd"/>
            <w:r w:rsidRPr="00E707E6">
              <w:rPr>
                <w:sz w:val="20"/>
                <w:szCs w:val="20"/>
              </w:rPr>
              <w:t xml:space="preserve"> for this condition, </w:t>
            </w:r>
            <w:r w:rsidRPr="00E707E6">
              <w:rPr>
                <w:b/>
                <w:bCs/>
                <w:sz w:val="20"/>
                <w:szCs w:val="20"/>
              </w:rPr>
              <w:t xml:space="preserve">AND </w:t>
            </w:r>
          </w:p>
          <w:p w:rsidR="00A54AD0" w:rsidRPr="00E707E6" w:rsidRDefault="00A54AD0" w:rsidP="00183BE8">
            <w:pPr>
              <w:pStyle w:val="ListParagraph"/>
              <w:numPr>
                <w:ilvl w:val="0"/>
                <w:numId w:val="1"/>
              </w:numPr>
              <w:rPr>
                <w:sz w:val="20"/>
                <w:szCs w:val="20"/>
              </w:rPr>
            </w:pPr>
            <w:r w:rsidRPr="00E707E6">
              <w:rPr>
                <w:sz w:val="20"/>
                <w:szCs w:val="20"/>
              </w:rPr>
              <w:t>Patient must have the following clinical conditions:(</w:t>
            </w:r>
            <w:proofErr w:type="spellStart"/>
            <w:r w:rsidRPr="00E707E6">
              <w:rPr>
                <w:sz w:val="20"/>
                <w:szCs w:val="20"/>
              </w:rPr>
              <w:t>i</w:t>
            </w:r>
            <w:proofErr w:type="spellEnd"/>
            <w:r w:rsidRPr="00E707E6">
              <w:rPr>
                <w:sz w:val="20"/>
                <w:szCs w:val="20"/>
              </w:rPr>
              <w:t xml:space="preserve">) either significant haemolysis as measured by low/absent </w:t>
            </w:r>
            <w:proofErr w:type="spellStart"/>
            <w:r w:rsidRPr="00E707E6">
              <w:rPr>
                <w:sz w:val="20"/>
                <w:szCs w:val="20"/>
              </w:rPr>
              <w:t>haptoglobin</w:t>
            </w:r>
            <w:proofErr w:type="spellEnd"/>
            <w:r w:rsidRPr="00E707E6">
              <w:rPr>
                <w:sz w:val="20"/>
                <w:szCs w:val="20"/>
              </w:rPr>
              <w:t xml:space="preserve">; or presence of </w:t>
            </w:r>
            <w:proofErr w:type="spellStart"/>
            <w:r w:rsidRPr="00E707E6">
              <w:rPr>
                <w:sz w:val="20"/>
                <w:szCs w:val="20"/>
              </w:rPr>
              <w:t>schistocytes</w:t>
            </w:r>
            <w:proofErr w:type="spellEnd"/>
            <w:r w:rsidRPr="00E707E6">
              <w:rPr>
                <w:sz w:val="20"/>
                <w:szCs w:val="20"/>
              </w:rPr>
              <w:t xml:space="preserve"> on the blood film; or lactate dehydrogenase (LDH) above normal; AND(ii) either platelet consumption as measured by either 25% decline from patient baseline or thrombocytopenia (platelet count &lt;150 x 10^9/L);OR(iii) TMA-related organ impairment including on recent biopsy, </w:t>
            </w:r>
            <w:r w:rsidRPr="00E707E6">
              <w:rPr>
                <w:b/>
                <w:bCs/>
                <w:sz w:val="20"/>
                <w:szCs w:val="20"/>
              </w:rPr>
              <w:t xml:space="preserve">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receive more than 24 weeks of treatment under this restriction. </w:t>
            </w:r>
          </w:p>
          <w:p w:rsidR="00A54AD0" w:rsidRPr="00E707E6" w:rsidRDefault="00A54AD0" w:rsidP="00183BE8">
            <w:pPr>
              <w:rPr>
                <w:sz w:val="20"/>
                <w:szCs w:val="20"/>
              </w:rPr>
            </w:pPr>
          </w:p>
          <w:p w:rsidR="00A54AD0" w:rsidRPr="00E707E6" w:rsidRDefault="00A54AD0" w:rsidP="00183BE8">
            <w:pPr>
              <w:rPr>
                <w:sz w:val="20"/>
                <w:szCs w:val="20"/>
              </w:rPr>
            </w:pPr>
            <w:r w:rsidRPr="00E707E6">
              <w:rPr>
                <w:sz w:val="20"/>
                <w:szCs w:val="20"/>
              </w:rPr>
              <w:t xml:space="preserve">The restriction provides definitions of treatment response. </w:t>
            </w:r>
          </w:p>
          <w:p w:rsidR="00A54AD0" w:rsidRPr="00E707E6" w:rsidRDefault="00A54AD0" w:rsidP="00183BE8">
            <w:pPr>
              <w:rPr>
                <w:sz w:val="20"/>
                <w:szCs w:val="20"/>
              </w:rPr>
            </w:pPr>
          </w:p>
        </w:tc>
      </w:tr>
      <w:tr w:rsidR="00A54AD0" w:rsidRPr="00E707E6" w:rsidTr="00183BE8">
        <w:tc>
          <w:tcPr>
            <w:tcW w:w="9173" w:type="dxa"/>
            <w:gridSpan w:val="2"/>
          </w:tcPr>
          <w:p w:rsidR="00A54AD0" w:rsidRPr="00E707E6" w:rsidRDefault="00A54AD0" w:rsidP="00183BE8">
            <w:pPr>
              <w:rPr>
                <w:sz w:val="20"/>
                <w:szCs w:val="20"/>
              </w:rPr>
            </w:pPr>
            <w:r w:rsidRPr="00E707E6">
              <w:rPr>
                <w:b/>
                <w:sz w:val="20"/>
                <w:szCs w:val="20"/>
              </w:rPr>
              <w:t>Treatment Phase:</w:t>
            </w:r>
            <w:r w:rsidRPr="00E707E6">
              <w:rPr>
                <w:sz w:val="20"/>
                <w:szCs w:val="20"/>
              </w:rPr>
              <w:t xml:space="preserve"> Continuing recommencement of treatment</w:t>
            </w:r>
          </w:p>
        </w:tc>
      </w:tr>
      <w:tr w:rsidR="00A54AD0" w:rsidRPr="00E707E6" w:rsidTr="00183BE8">
        <w:tc>
          <w:tcPr>
            <w:tcW w:w="1271" w:type="dxa"/>
          </w:tcPr>
          <w:p w:rsidR="00A54AD0" w:rsidRPr="00E707E6" w:rsidRDefault="00A54AD0" w:rsidP="00183BE8">
            <w:pPr>
              <w:spacing w:after="200"/>
              <w:rPr>
                <w:sz w:val="20"/>
                <w:szCs w:val="20"/>
              </w:rPr>
            </w:pPr>
            <w:r w:rsidRPr="00E707E6">
              <w:rPr>
                <w:b/>
                <w:bCs/>
                <w:sz w:val="20"/>
                <w:szCs w:val="20"/>
              </w:rPr>
              <w:t xml:space="preserve">Clinical criteria </w:t>
            </w:r>
          </w:p>
          <w:p w:rsidR="00A54AD0" w:rsidRPr="00E707E6" w:rsidRDefault="00A54AD0" w:rsidP="00183BE8">
            <w:pPr>
              <w:rPr>
                <w:b/>
                <w:bCs/>
                <w:sz w:val="20"/>
                <w:szCs w:val="20"/>
              </w:rPr>
            </w:pPr>
          </w:p>
        </w:tc>
        <w:tc>
          <w:tcPr>
            <w:tcW w:w="7902" w:type="dxa"/>
          </w:tcPr>
          <w:p w:rsidR="00A54AD0" w:rsidRPr="00E707E6" w:rsidRDefault="00A54AD0" w:rsidP="00183BE8">
            <w:pPr>
              <w:pStyle w:val="ListParagraph"/>
              <w:numPr>
                <w:ilvl w:val="0"/>
                <w:numId w:val="1"/>
              </w:numPr>
              <w:rPr>
                <w:sz w:val="20"/>
                <w:szCs w:val="20"/>
              </w:rPr>
            </w:pPr>
            <w:r w:rsidRPr="00E707E6">
              <w:rPr>
                <w:sz w:val="20"/>
                <w:szCs w:val="20"/>
              </w:rPr>
              <w:t xml:space="preserve">Patient must have received treatment under Recommencement of treatment restriction with PBS-subsidised </w:t>
            </w:r>
            <w:proofErr w:type="spellStart"/>
            <w:r w:rsidRPr="00E707E6">
              <w:rPr>
                <w:sz w:val="20"/>
                <w:szCs w:val="20"/>
              </w:rPr>
              <w:t>eculizumab</w:t>
            </w:r>
            <w:proofErr w:type="spellEnd"/>
            <w:r w:rsidRPr="00E707E6">
              <w:rPr>
                <w:sz w:val="20"/>
                <w:szCs w:val="20"/>
              </w:rPr>
              <w:t xml:space="preserve"> for this condition, </w:t>
            </w:r>
            <w:r w:rsidRPr="00E707E6">
              <w:rPr>
                <w:b/>
                <w:bCs/>
                <w:sz w:val="20"/>
                <w:szCs w:val="20"/>
              </w:rPr>
              <w:t xml:space="preserve">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have demonstrated ongoing treatment response to the previous 24 weeks of PBS-subsidised </w:t>
            </w:r>
            <w:proofErr w:type="spellStart"/>
            <w:r w:rsidRPr="00E707E6">
              <w:rPr>
                <w:sz w:val="20"/>
                <w:szCs w:val="20"/>
              </w:rPr>
              <w:t>eculizumab</w:t>
            </w:r>
            <w:proofErr w:type="spellEnd"/>
            <w:r w:rsidRPr="00E707E6">
              <w:rPr>
                <w:sz w:val="20"/>
                <w:szCs w:val="20"/>
              </w:rPr>
              <w:t xml:space="preserve"> for this condition, </w:t>
            </w:r>
            <w:r w:rsidRPr="00E707E6">
              <w:rPr>
                <w:b/>
                <w:bCs/>
                <w:sz w:val="20"/>
                <w:szCs w:val="20"/>
              </w:rPr>
              <w:t xml:space="preserve">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have experienced treatment failure with </w:t>
            </w:r>
            <w:proofErr w:type="spellStart"/>
            <w:r w:rsidRPr="00E707E6">
              <w:rPr>
                <w:sz w:val="20"/>
                <w:szCs w:val="20"/>
              </w:rPr>
              <w:t>eculizumab</w:t>
            </w:r>
            <w:proofErr w:type="spellEnd"/>
            <w:r w:rsidRPr="00E707E6">
              <w:rPr>
                <w:sz w:val="20"/>
                <w:szCs w:val="20"/>
              </w:rPr>
              <w:t xml:space="preserve"> including PBS-subsidised </w:t>
            </w:r>
            <w:proofErr w:type="spellStart"/>
            <w:r w:rsidRPr="00E707E6">
              <w:rPr>
                <w:sz w:val="20"/>
                <w:szCs w:val="20"/>
              </w:rPr>
              <w:t>eculizumab</w:t>
            </w:r>
            <w:proofErr w:type="spellEnd"/>
            <w:r w:rsidRPr="00E707E6">
              <w:rPr>
                <w:sz w:val="20"/>
                <w:szCs w:val="20"/>
              </w:rPr>
              <w:t xml:space="preserve"> for this condition, </w:t>
            </w:r>
            <w:r w:rsidRPr="00E707E6">
              <w:rPr>
                <w:b/>
                <w:bCs/>
                <w:sz w:val="20"/>
                <w:szCs w:val="20"/>
              </w:rPr>
              <w:t xml:space="preserve">AND </w:t>
            </w:r>
          </w:p>
          <w:p w:rsidR="00A54AD0" w:rsidRPr="00E707E6" w:rsidRDefault="00A54AD0" w:rsidP="00183BE8">
            <w:pPr>
              <w:pStyle w:val="ListParagraph"/>
              <w:numPr>
                <w:ilvl w:val="0"/>
                <w:numId w:val="1"/>
              </w:numPr>
              <w:rPr>
                <w:sz w:val="20"/>
                <w:szCs w:val="20"/>
              </w:rPr>
            </w:pPr>
            <w:r w:rsidRPr="00E707E6">
              <w:rPr>
                <w:sz w:val="20"/>
                <w:szCs w:val="20"/>
              </w:rPr>
              <w:t xml:space="preserve">Patient must not receive more than 24 weeks of treatment under this restriction. </w:t>
            </w:r>
          </w:p>
          <w:p w:rsidR="00A54AD0" w:rsidRPr="00E707E6" w:rsidRDefault="00A54AD0" w:rsidP="00183BE8">
            <w:pPr>
              <w:rPr>
                <w:sz w:val="20"/>
                <w:szCs w:val="20"/>
              </w:rPr>
            </w:pPr>
          </w:p>
          <w:p w:rsidR="00A54AD0" w:rsidRPr="00E707E6" w:rsidRDefault="00A54AD0" w:rsidP="00183BE8">
            <w:pPr>
              <w:rPr>
                <w:sz w:val="20"/>
                <w:szCs w:val="20"/>
              </w:rPr>
            </w:pPr>
            <w:r w:rsidRPr="00E707E6">
              <w:rPr>
                <w:sz w:val="20"/>
                <w:szCs w:val="20"/>
              </w:rPr>
              <w:t xml:space="preserve">The restriction provides definitions of treatment response. </w:t>
            </w:r>
          </w:p>
          <w:p w:rsidR="00A54AD0" w:rsidRPr="00E707E6" w:rsidRDefault="00A54AD0" w:rsidP="00183BE8">
            <w:pPr>
              <w:rPr>
                <w:sz w:val="20"/>
                <w:szCs w:val="20"/>
              </w:rPr>
            </w:pPr>
          </w:p>
        </w:tc>
      </w:tr>
    </w:tbl>
    <w:p w:rsidR="00A54AD0" w:rsidRPr="00A54AD0" w:rsidRDefault="00A54AD0" w:rsidP="00A54AD0">
      <w:r w:rsidRPr="00A50AC0">
        <w:rPr>
          <w:sz w:val="22"/>
        </w:rPr>
        <w:t xml:space="preserve">Source: </w:t>
      </w:r>
      <w:r w:rsidRPr="00066AAD">
        <w:rPr>
          <w:sz w:val="22"/>
        </w:rPr>
        <w:t>PBS website</w:t>
      </w:r>
      <w:r>
        <w:rPr>
          <w:sz w:val="22"/>
        </w:rPr>
        <w:t xml:space="preserve">. </w:t>
      </w:r>
      <w:r w:rsidRPr="00427B8A">
        <w:rPr>
          <w:sz w:val="22"/>
        </w:rPr>
        <w:t xml:space="preserve">Current at </w:t>
      </w:r>
      <w:r w:rsidR="003A74B4">
        <w:rPr>
          <w:sz w:val="22"/>
        </w:rPr>
        <w:t>August 2020</w:t>
      </w:r>
      <w:r w:rsidRPr="00427B8A">
        <w:rPr>
          <w:sz w:val="22"/>
        </w:rPr>
        <w:t xml:space="preserve">.  </w:t>
      </w:r>
    </w:p>
    <w:p w:rsidR="007E6E5C" w:rsidRDefault="007E6E5C" w:rsidP="00D95CBD">
      <w:bookmarkStart w:id="10" w:name="_Ref491684697"/>
    </w:p>
    <w:p w:rsidR="007E6E5C" w:rsidRDefault="007E6E5C" w:rsidP="00D95CBD"/>
    <w:p w:rsidR="007E6E5C" w:rsidRPr="0045293F" w:rsidRDefault="007E6E5C" w:rsidP="007E6E5C">
      <w:pPr>
        <w:pStyle w:val="Heading2"/>
      </w:pPr>
      <w:r>
        <w:lastRenderedPageBreak/>
        <w:t>Appendix B</w:t>
      </w:r>
      <w:bookmarkEnd w:id="10"/>
    </w:p>
    <w:p w:rsidR="007E6E5C" w:rsidRPr="00701F07" w:rsidRDefault="007E6E5C" w:rsidP="007E6E5C">
      <w:pPr>
        <w:pStyle w:val="Tabletitle"/>
      </w:pPr>
      <w:r w:rsidRPr="00701F07">
        <w:t xml:space="preserve">Table </w:t>
      </w:r>
      <w:r>
        <w:t>B</w:t>
      </w:r>
      <w:r w:rsidRPr="00701F07">
        <w:t xml:space="preserve">1: changes to </w:t>
      </w:r>
      <w:proofErr w:type="spellStart"/>
      <w:r w:rsidRPr="00701F07">
        <w:t>eculizumab</w:t>
      </w:r>
      <w:proofErr w:type="spellEnd"/>
      <w:r w:rsidRPr="00701F07">
        <w:t xml:space="preserve"> restrictions</w:t>
      </w:r>
    </w:p>
    <w:tbl>
      <w:tblPr>
        <w:tblStyle w:val="TableGrid"/>
        <w:tblW w:w="9180" w:type="dxa"/>
        <w:tblLook w:val="04A0" w:firstRow="1" w:lastRow="0" w:firstColumn="1" w:lastColumn="0" w:noHBand="0" w:noVBand="1"/>
        <w:tblCaption w:val="Table B1: changes to eculizumab restrictions"/>
      </w:tblPr>
      <w:tblGrid>
        <w:gridCol w:w="2062"/>
        <w:gridCol w:w="7118"/>
      </w:tblGrid>
      <w:tr w:rsidR="007E6E5C" w:rsidRPr="00E707E6" w:rsidTr="00AE1D6B">
        <w:trPr>
          <w:tblHeader/>
        </w:trPr>
        <w:tc>
          <w:tcPr>
            <w:tcW w:w="2062" w:type="dxa"/>
            <w:shd w:val="clear" w:color="auto" w:fill="BFBFBF" w:themeFill="background1" w:themeFillShade="BF"/>
          </w:tcPr>
          <w:p w:rsidR="007E6E5C" w:rsidRPr="00E707E6" w:rsidRDefault="007E6E5C" w:rsidP="00DD4017">
            <w:pPr>
              <w:rPr>
                <w:b/>
                <w:sz w:val="20"/>
                <w:szCs w:val="20"/>
              </w:rPr>
            </w:pPr>
            <w:r w:rsidRPr="00E707E6">
              <w:rPr>
                <w:b/>
                <w:sz w:val="20"/>
                <w:szCs w:val="20"/>
              </w:rPr>
              <w:t xml:space="preserve">Date </w:t>
            </w:r>
          </w:p>
        </w:tc>
        <w:tc>
          <w:tcPr>
            <w:tcW w:w="7118" w:type="dxa"/>
            <w:shd w:val="clear" w:color="auto" w:fill="BFBFBF" w:themeFill="background1" w:themeFillShade="BF"/>
          </w:tcPr>
          <w:p w:rsidR="007E6E5C" w:rsidRPr="00E707E6" w:rsidRDefault="007E6E5C" w:rsidP="00DD4017">
            <w:pPr>
              <w:rPr>
                <w:b/>
                <w:sz w:val="20"/>
                <w:szCs w:val="20"/>
              </w:rPr>
            </w:pPr>
            <w:r w:rsidRPr="00E707E6">
              <w:rPr>
                <w:b/>
                <w:sz w:val="20"/>
                <w:szCs w:val="20"/>
              </w:rPr>
              <w:t>Changes to restriction</w:t>
            </w:r>
          </w:p>
        </w:tc>
      </w:tr>
      <w:tr w:rsidR="007E6E5C" w:rsidRPr="00E707E6" w:rsidTr="00DD4017">
        <w:tc>
          <w:tcPr>
            <w:tcW w:w="9180" w:type="dxa"/>
            <w:gridSpan w:val="2"/>
          </w:tcPr>
          <w:p w:rsidR="007E6E5C" w:rsidRPr="00E707E6" w:rsidRDefault="007E6E5C" w:rsidP="00DD4017">
            <w:pPr>
              <w:rPr>
                <w:sz w:val="20"/>
                <w:szCs w:val="20"/>
              </w:rPr>
            </w:pPr>
            <w:r w:rsidRPr="00E707E6">
              <w:rPr>
                <w:b/>
                <w:sz w:val="20"/>
                <w:szCs w:val="20"/>
              </w:rPr>
              <w:t>Initial</w:t>
            </w:r>
          </w:p>
        </w:tc>
      </w:tr>
      <w:tr w:rsidR="007E6E5C" w:rsidRPr="00E707E6" w:rsidTr="00DD4017">
        <w:tc>
          <w:tcPr>
            <w:tcW w:w="2062" w:type="dxa"/>
          </w:tcPr>
          <w:p w:rsidR="007E6E5C" w:rsidRPr="00E707E6" w:rsidRDefault="007E6E5C" w:rsidP="00DD4017">
            <w:pPr>
              <w:rPr>
                <w:sz w:val="20"/>
                <w:szCs w:val="20"/>
              </w:rPr>
            </w:pPr>
            <w:r w:rsidRPr="00E707E6">
              <w:rPr>
                <w:sz w:val="20"/>
                <w:szCs w:val="20"/>
              </w:rPr>
              <w:t>January 2016</w:t>
            </w:r>
          </w:p>
        </w:tc>
        <w:tc>
          <w:tcPr>
            <w:tcW w:w="7118" w:type="dxa"/>
          </w:tcPr>
          <w:p w:rsidR="007E6E5C" w:rsidRPr="00E707E6" w:rsidRDefault="007E6E5C" w:rsidP="00DD4017">
            <w:pPr>
              <w:rPr>
                <w:sz w:val="20"/>
                <w:szCs w:val="20"/>
              </w:rPr>
            </w:pPr>
            <w:r w:rsidRPr="00E707E6">
              <w:rPr>
                <w:sz w:val="20"/>
                <w:szCs w:val="20"/>
              </w:rPr>
              <w:t>Added: ‘Serial haematological results (every 3 months while the patient is receiving treatment) must be provided with every subsequent application for treatment.’</w:t>
            </w:r>
          </w:p>
          <w:p w:rsidR="007E6E5C" w:rsidRPr="00E707E6" w:rsidRDefault="007E6E5C" w:rsidP="00DD4017">
            <w:pPr>
              <w:rPr>
                <w:sz w:val="20"/>
                <w:szCs w:val="20"/>
              </w:rPr>
            </w:pPr>
          </w:p>
        </w:tc>
      </w:tr>
      <w:tr w:rsidR="007E6E5C" w:rsidRPr="00E707E6" w:rsidTr="00DD4017">
        <w:tc>
          <w:tcPr>
            <w:tcW w:w="2062" w:type="dxa"/>
          </w:tcPr>
          <w:p w:rsidR="007E6E5C" w:rsidRPr="00E707E6" w:rsidRDefault="007E6E5C" w:rsidP="00DD4017">
            <w:pPr>
              <w:rPr>
                <w:sz w:val="20"/>
                <w:szCs w:val="20"/>
              </w:rPr>
            </w:pPr>
            <w:r w:rsidRPr="00E707E6">
              <w:rPr>
                <w:sz w:val="20"/>
                <w:szCs w:val="20"/>
              </w:rPr>
              <w:t>January 2017</w:t>
            </w:r>
          </w:p>
        </w:tc>
        <w:tc>
          <w:tcPr>
            <w:tcW w:w="7118" w:type="dxa"/>
          </w:tcPr>
          <w:p w:rsidR="007E6E5C" w:rsidRPr="00E707E6" w:rsidRDefault="007E6E5C" w:rsidP="00DD4017">
            <w:pPr>
              <w:rPr>
                <w:sz w:val="20"/>
                <w:szCs w:val="20"/>
              </w:rPr>
            </w:pPr>
            <w:r w:rsidRPr="00E707E6">
              <w:rPr>
                <w:sz w:val="20"/>
                <w:szCs w:val="20"/>
              </w:rPr>
              <w:t>Added clarification that:</w:t>
            </w:r>
          </w:p>
          <w:p w:rsidR="007E6E5C" w:rsidRPr="00E707E6" w:rsidRDefault="007E6E5C" w:rsidP="00DD4017">
            <w:pPr>
              <w:pStyle w:val="ListParagraph"/>
              <w:numPr>
                <w:ilvl w:val="0"/>
                <w:numId w:val="12"/>
              </w:numPr>
              <w:rPr>
                <w:sz w:val="20"/>
                <w:szCs w:val="20"/>
              </w:rPr>
            </w:pPr>
            <w:proofErr w:type="gramStart"/>
            <w:r w:rsidRPr="00E707E6">
              <w:rPr>
                <w:sz w:val="20"/>
                <w:szCs w:val="20"/>
              </w:rPr>
              <w:t>the</w:t>
            </w:r>
            <w:proofErr w:type="gramEnd"/>
            <w:r w:rsidRPr="00E707E6">
              <w:rPr>
                <w:sz w:val="20"/>
                <w:szCs w:val="20"/>
              </w:rPr>
              <w:t xml:space="preserve"> active and progressing TMA must be caused by </w:t>
            </w:r>
            <w:proofErr w:type="spellStart"/>
            <w:r w:rsidRPr="00E707E6">
              <w:rPr>
                <w:sz w:val="20"/>
                <w:szCs w:val="20"/>
              </w:rPr>
              <w:t>aHUS</w:t>
            </w:r>
            <w:proofErr w:type="spellEnd"/>
            <w:r w:rsidRPr="00E707E6">
              <w:rPr>
                <w:sz w:val="20"/>
                <w:szCs w:val="20"/>
              </w:rPr>
              <w:t>.</w:t>
            </w:r>
          </w:p>
          <w:p w:rsidR="007E6E5C" w:rsidRPr="00E707E6" w:rsidRDefault="007E6E5C" w:rsidP="00DD4017">
            <w:pPr>
              <w:pStyle w:val="ListParagraph"/>
              <w:numPr>
                <w:ilvl w:val="0"/>
                <w:numId w:val="12"/>
              </w:numPr>
              <w:rPr>
                <w:sz w:val="20"/>
                <w:szCs w:val="20"/>
              </w:rPr>
            </w:pPr>
            <w:proofErr w:type="gramStart"/>
            <w:r w:rsidRPr="00E707E6">
              <w:rPr>
                <w:sz w:val="20"/>
                <w:szCs w:val="20"/>
              </w:rPr>
              <w:t>where</w:t>
            </w:r>
            <w:proofErr w:type="gramEnd"/>
            <w:r w:rsidRPr="00E707E6">
              <w:rPr>
                <w:sz w:val="20"/>
                <w:szCs w:val="20"/>
              </w:rPr>
              <w:t xml:space="preserve"> renal biopsy is used as evidence of a clinical feature of active TMA-related organ damage or impairment, the renal biopsy must be consistent with </w:t>
            </w:r>
            <w:proofErr w:type="spellStart"/>
            <w:r w:rsidRPr="00E707E6">
              <w:rPr>
                <w:sz w:val="20"/>
                <w:szCs w:val="20"/>
              </w:rPr>
              <w:t>aHUS</w:t>
            </w:r>
            <w:proofErr w:type="spellEnd"/>
            <w:r w:rsidRPr="00E707E6">
              <w:rPr>
                <w:sz w:val="20"/>
                <w:szCs w:val="20"/>
              </w:rPr>
              <w:t>.</w:t>
            </w:r>
          </w:p>
          <w:p w:rsidR="007E6E5C" w:rsidRPr="00E707E6" w:rsidRDefault="007E6E5C" w:rsidP="00DD4017">
            <w:pPr>
              <w:pStyle w:val="ListParagraph"/>
              <w:rPr>
                <w:sz w:val="20"/>
                <w:szCs w:val="20"/>
              </w:rPr>
            </w:pPr>
          </w:p>
          <w:p w:rsidR="007E6E5C" w:rsidRPr="00E707E6" w:rsidRDefault="007E6E5C" w:rsidP="00DD4017">
            <w:pPr>
              <w:rPr>
                <w:sz w:val="20"/>
                <w:szCs w:val="20"/>
              </w:rPr>
            </w:pPr>
            <w:r w:rsidRPr="00E707E6">
              <w:rPr>
                <w:sz w:val="20"/>
                <w:szCs w:val="20"/>
              </w:rPr>
              <w:t xml:space="preserve">Replaced: ‘tissue biopsy confirming TMA in patients who do not have evidence of platelet consumption and haemolysis’ with ‘in recipients of a kidney transplant for end-stage kidney disease due to </w:t>
            </w:r>
            <w:proofErr w:type="spellStart"/>
            <w:r w:rsidRPr="00E707E6">
              <w:rPr>
                <w:sz w:val="20"/>
                <w:szCs w:val="20"/>
              </w:rPr>
              <w:t>aHUS</w:t>
            </w:r>
            <w:proofErr w:type="spellEnd"/>
            <w:r w:rsidRPr="00E707E6">
              <w:rPr>
                <w:sz w:val="20"/>
                <w:szCs w:val="20"/>
              </w:rPr>
              <w:t>, a kidney biopsy confirming TMA.’</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Added: ‘Claims of non-renal TMA-related organ damage should be made at the point of application for initial PBS-subsidised </w:t>
            </w:r>
            <w:proofErr w:type="spellStart"/>
            <w:r w:rsidRPr="00E707E6">
              <w:rPr>
                <w:sz w:val="20"/>
                <w:szCs w:val="20"/>
              </w:rPr>
              <w:t>eculizumab</w:t>
            </w:r>
            <w:proofErr w:type="spellEnd"/>
            <w:r w:rsidRPr="00E707E6">
              <w:rPr>
                <w:sz w:val="20"/>
                <w:szCs w:val="20"/>
              </w:rPr>
              <w:t xml:space="preserve"> (where possible), and should be supported by objective clinical measures. 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Added that the written authority application:</w:t>
            </w:r>
          </w:p>
          <w:p w:rsidR="007E6E5C" w:rsidRPr="00E707E6" w:rsidRDefault="007E6E5C" w:rsidP="00DD4017">
            <w:pPr>
              <w:pStyle w:val="ListParagraph"/>
              <w:numPr>
                <w:ilvl w:val="0"/>
                <w:numId w:val="12"/>
              </w:numPr>
              <w:rPr>
                <w:sz w:val="20"/>
                <w:szCs w:val="20"/>
              </w:rPr>
            </w:pPr>
            <w:proofErr w:type="gramStart"/>
            <w:r w:rsidRPr="00E707E6">
              <w:rPr>
                <w:sz w:val="20"/>
                <w:szCs w:val="20"/>
              </w:rPr>
              <w:t>must</w:t>
            </w:r>
            <w:proofErr w:type="gramEnd"/>
            <w:r w:rsidRPr="00E707E6">
              <w:rPr>
                <w:sz w:val="20"/>
                <w:szCs w:val="20"/>
              </w:rPr>
              <w:t xml:space="preserve"> include ‘a detailed cover letter from the prescriber.’</w:t>
            </w:r>
          </w:p>
          <w:p w:rsidR="007E6E5C" w:rsidRPr="00E707E6" w:rsidRDefault="007E6E5C" w:rsidP="00DD4017">
            <w:pPr>
              <w:pStyle w:val="ListParagraph"/>
              <w:numPr>
                <w:ilvl w:val="0"/>
                <w:numId w:val="12"/>
              </w:numPr>
              <w:rPr>
                <w:sz w:val="20"/>
                <w:szCs w:val="20"/>
              </w:rPr>
            </w:pPr>
            <w:proofErr w:type="gramStart"/>
            <w:r w:rsidRPr="00E707E6">
              <w:rPr>
                <w:sz w:val="20"/>
                <w:szCs w:val="20"/>
              </w:rPr>
              <w:t>may</w:t>
            </w:r>
            <w:proofErr w:type="gramEnd"/>
            <w:r w:rsidRPr="00E707E6">
              <w:rPr>
                <w:sz w:val="20"/>
                <w:szCs w:val="20"/>
              </w:rPr>
              <w:t xml:space="preserve"> include a statement that vaccination has or will be administered and appropriate antibiotic prophylaxis has been prescribed instead of a copy of a current Certificate of vaccination.</w:t>
            </w:r>
          </w:p>
          <w:p w:rsidR="007E6E5C" w:rsidRPr="00E707E6" w:rsidRDefault="007E6E5C" w:rsidP="00DD4017">
            <w:pPr>
              <w:pStyle w:val="ListParagraph"/>
              <w:rPr>
                <w:sz w:val="20"/>
                <w:szCs w:val="20"/>
              </w:rPr>
            </w:pPr>
          </w:p>
        </w:tc>
      </w:tr>
      <w:tr w:rsidR="007E6E5C" w:rsidRPr="00E707E6" w:rsidTr="00DD4017">
        <w:tc>
          <w:tcPr>
            <w:tcW w:w="9180" w:type="dxa"/>
            <w:gridSpan w:val="2"/>
          </w:tcPr>
          <w:p w:rsidR="007E6E5C" w:rsidRPr="00E707E6" w:rsidRDefault="007E6E5C" w:rsidP="00DD4017">
            <w:pPr>
              <w:rPr>
                <w:b/>
                <w:sz w:val="20"/>
                <w:szCs w:val="20"/>
              </w:rPr>
            </w:pPr>
            <w:r w:rsidRPr="00E707E6">
              <w:rPr>
                <w:b/>
                <w:sz w:val="20"/>
                <w:szCs w:val="20"/>
              </w:rPr>
              <w:t>Initial – balance of supply</w:t>
            </w:r>
          </w:p>
        </w:tc>
      </w:tr>
      <w:tr w:rsidR="007E6E5C" w:rsidRPr="00E707E6" w:rsidTr="00DD4017">
        <w:tc>
          <w:tcPr>
            <w:tcW w:w="2062" w:type="dxa"/>
          </w:tcPr>
          <w:p w:rsidR="007E6E5C" w:rsidRPr="00E707E6" w:rsidRDefault="007E6E5C" w:rsidP="00DD4017">
            <w:pPr>
              <w:rPr>
                <w:sz w:val="20"/>
                <w:szCs w:val="20"/>
              </w:rPr>
            </w:pPr>
            <w:r w:rsidRPr="00E707E6">
              <w:rPr>
                <w:sz w:val="20"/>
                <w:szCs w:val="20"/>
              </w:rPr>
              <w:t>February 2016</w:t>
            </w:r>
          </w:p>
        </w:tc>
        <w:tc>
          <w:tcPr>
            <w:tcW w:w="7118" w:type="dxa"/>
          </w:tcPr>
          <w:p w:rsidR="007E6E5C" w:rsidRPr="00E707E6" w:rsidRDefault="007E6E5C" w:rsidP="00DD4017">
            <w:pPr>
              <w:rPr>
                <w:sz w:val="20"/>
                <w:szCs w:val="20"/>
              </w:rPr>
            </w:pPr>
            <w:r w:rsidRPr="00E707E6">
              <w:rPr>
                <w:sz w:val="20"/>
                <w:szCs w:val="20"/>
              </w:rPr>
              <w:t>Serial haematological results (every 3 months while the patient is receiving treatment) must be provided with every subsequent application for treatment.</w:t>
            </w:r>
          </w:p>
          <w:p w:rsidR="007E6E5C" w:rsidRPr="00E707E6" w:rsidRDefault="007E6E5C" w:rsidP="00DD4017">
            <w:pPr>
              <w:rPr>
                <w:sz w:val="20"/>
                <w:szCs w:val="20"/>
              </w:rPr>
            </w:pPr>
          </w:p>
        </w:tc>
      </w:tr>
      <w:tr w:rsidR="007E6E5C" w:rsidRPr="00E707E6" w:rsidTr="00DD4017">
        <w:tc>
          <w:tcPr>
            <w:tcW w:w="2062" w:type="dxa"/>
          </w:tcPr>
          <w:p w:rsidR="007E6E5C" w:rsidRPr="00E707E6" w:rsidRDefault="007E6E5C" w:rsidP="00DD4017">
            <w:pPr>
              <w:rPr>
                <w:sz w:val="20"/>
                <w:szCs w:val="20"/>
              </w:rPr>
            </w:pPr>
            <w:r w:rsidRPr="00E707E6">
              <w:rPr>
                <w:sz w:val="20"/>
                <w:szCs w:val="20"/>
              </w:rPr>
              <w:t>January 2017</w:t>
            </w:r>
          </w:p>
        </w:tc>
        <w:tc>
          <w:tcPr>
            <w:tcW w:w="7118" w:type="dxa"/>
          </w:tcPr>
          <w:p w:rsidR="007E6E5C" w:rsidRPr="00E707E6" w:rsidRDefault="007E6E5C" w:rsidP="00DD4017">
            <w:pPr>
              <w:rPr>
                <w:sz w:val="20"/>
                <w:szCs w:val="20"/>
              </w:rPr>
            </w:pPr>
            <w:r w:rsidRPr="00E707E6">
              <w:rPr>
                <w:sz w:val="20"/>
                <w:szCs w:val="20"/>
              </w:rPr>
              <w:t>Restriction code change but no apparent change in restriction text.</w:t>
            </w:r>
          </w:p>
          <w:p w:rsidR="007E6E5C" w:rsidRPr="00E707E6" w:rsidRDefault="007E6E5C" w:rsidP="00DD4017">
            <w:pPr>
              <w:rPr>
                <w:sz w:val="20"/>
                <w:szCs w:val="20"/>
              </w:rPr>
            </w:pPr>
          </w:p>
        </w:tc>
      </w:tr>
      <w:tr w:rsidR="007E6E5C" w:rsidRPr="00E707E6" w:rsidTr="00DD4017">
        <w:tc>
          <w:tcPr>
            <w:tcW w:w="9180" w:type="dxa"/>
            <w:gridSpan w:val="2"/>
          </w:tcPr>
          <w:p w:rsidR="007E6E5C" w:rsidRPr="00E707E6" w:rsidRDefault="007E6E5C" w:rsidP="00DD4017">
            <w:pPr>
              <w:rPr>
                <w:sz w:val="20"/>
                <w:szCs w:val="20"/>
              </w:rPr>
            </w:pPr>
            <w:r w:rsidRPr="00E707E6">
              <w:rPr>
                <w:b/>
                <w:sz w:val="20"/>
                <w:szCs w:val="20"/>
              </w:rPr>
              <w:t>Extended Initial (listed November 2015)</w:t>
            </w:r>
          </w:p>
        </w:tc>
      </w:tr>
      <w:tr w:rsidR="007E6E5C" w:rsidRPr="00E707E6" w:rsidTr="00DD4017">
        <w:tc>
          <w:tcPr>
            <w:tcW w:w="2062" w:type="dxa"/>
          </w:tcPr>
          <w:p w:rsidR="007E6E5C" w:rsidRPr="00E707E6" w:rsidRDefault="007E6E5C" w:rsidP="00DD4017">
            <w:pPr>
              <w:rPr>
                <w:sz w:val="20"/>
                <w:szCs w:val="20"/>
              </w:rPr>
            </w:pPr>
            <w:r w:rsidRPr="00E707E6">
              <w:rPr>
                <w:sz w:val="20"/>
                <w:szCs w:val="20"/>
              </w:rPr>
              <w:t>November 2015</w:t>
            </w:r>
          </w:p>
        </w:tc>
        <w:tc>
          <w:tcPr>
            <w:tcW w:w="7118" w:type="dxa"/>
          </w:tcPr>
          <w:p w:rsidR="007E6E5C" w:rsidRPr="00E707E6" w:rsidRDefault="007E6E5C" w:rsidP="00DD4017">
            <w:pPr>
              <w:rPr>
                <w:sz w:val="20"/>
                <w:szCs w:val="20"/>
              </w:rPr>
            </w:pPr>
            <w:r w:rsidRPr="00E707E6">
              <w:rPr>
                <w:sz w:val="20"/>
                <w:szCs w:val="20"/>
              </w:rPr>
              <w:t>Restrictions for ‘Continuing treatment - New patient’ and ‘Continuing treatment - following recommencement of treatment after an initial 52-week period’ introduced.</w:t>
            </w:r>
          </w:p>
          <w:p w:rsidR="007E6E5C" w:rsidRPr="00E707E6" w:rsidRDefault="007E6E5C" w:rsidP="00DD4017">
            <w:pPr>
              <w:rPr>
                <w:sz w:val="20"/>
                <w:szCs w:val="20"/>
              </w:rPr>
            </w:pPr>
          </w:p>
        </w:tc>
      </w:tr>
      <w:tr w:rsidR="007E6E5C" w:rsidRPr="00E707E6" w:rsidTr="00DD4017">
        <w:tc>
          <w:tcPr>
            <w:tcW w:w="2062" w:type="dxa"/>
          </w:tcPr>
          <w:p w:rsidR="007E6E5C" w:rsidRPr="00E707E6" w:rsidRDefault="007E6E5C" w:rsidP="00DD4017">
            <w:pPr>
              <w:rPr>
                <w:sz w:val="20"/>
                <w:szCs w:val="20"/>
              </w:rPr>
            </w:pPr>
            <w:r w:rsidRPr="00E707E6">
              <w:rPr>
                <w:sz w:val="20"/>
                <w:szCs w:val="20"/>
              </w:rPr>
              <w:t>February 2016</w:t>
            </w:r>
          </w:p>
        </w:tc>
        <w:tc>
          <w:tcPr>
            <w:tcW w:w="7118" w:type="dxa"/>
          </w:tcPr>
          <w:p w:rsidR="007E6E5C" w:rsidRPr="00E707E6" w:rsidRDefault="007E6E5C" w:rsidP="00DD4017">
            <w:pPr>
              <w:rPr>
                <w:sz w:val="20"/>
                <w:szCs w:val="20"/>
              </w:rPr>
            </w:pPr>
            <w:r w:rsidRPr="00E707E6">
              <w:rPr>
                <w:sz w:val="20"/>
                <w:szCs w:val="20"/>
              </w:rPr>
              <w:t>The two restrictions above were changed to ‘</w:t>
            </w:r>
            <w:proofErr w:type="gramStart"/>
            <w:r w:rsidRPr="00E707E6">
              <w:rPr>
                <w:sz w:val="20"/>
                <w:szCs w:val="20"/>
              </w:rPr>
              <w:t>Extended</w:t>
            </w:r>
            <w:proofErr w:type="gramEnd"/>
            <w:r w:rsidRPr="00E707E6">
              <w:rPr>
                <w:sz w:val="20"/>
                <w:szCs w:val="20"/>
              </w:rPr>
              <w:t xml:space="preserve"> initial treatment – Assessment phase.’</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Removed specification of the number of weeks’ therapy that the patient must have received under the initial restriction.</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‘Patient must not receive more than 28 weeks of treatment per continuing treatment course authorised under this restriction,’ changed to ‘patient must not receive more than 56 weeks of treatment under this restriction.’</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lastRenderedPageBreak/>
              <w:t xml:space="preserve">Added: ‘A maximum of up to 56 weeks of treatment is allowed under this restriction, however an application must be submitted at 6 months, 12 months, 18 months and 24 months following commencing PBS-subsidised </w:t>
            </w:r>
            <w:proofErr w:type="spellStart"/>
            <w:r w:rsidRPr="00E707E6">
              <w:rPr>
                <w:sz w:val="20"/>
                <w:szCs w:val="20"/>
              </w:rPr>
              <w:t>eculizumab</w:t>
            </w:r>
            <w:proofErr w:type="spellEnd"/>
            <w:r w:rsidRPr="00E707E6">
              <w:rPr>
                <w:sz w:val="20"/>
                <w:szCs w:val="20"/>
              </w:rPr>
              <w:t>. The authority application must include the following measures of response to the prior course of treatment, including serial haematological results (every 3 months while the patient is receiving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Additional information requested in the written application: ‘…An identified genetic mutation, if applicable; and A family history of </w:t>
            </w:r>
            <w:proofErr w:type="spellStart"/>
            <w:r w:rsidRPr="00E707E6">
              <w:rPr>
                <w:sz w:val="20"/>
                <w:szCs w:val="20"/>
              </w:rPr>
              <w:t>aHUS</w:t>
            </w:r>
            <w:proofErr w:type="spellEnd"/>
            <w:r w:rsidRPr="00E707E6">
              <w:rPr>
                <w:sz w:val="20"/>
                <w:szCs w:val="20"/>
              </w:rPr>
              <w:t xml:space="preserve">, if applicable; and A history of multiple episodes of </w:t>
            </w:r>
            <w:proofErr w:type="spellStart"/>
            <w:r w:rsidRPr="00E707E6">
              <w:rPr>
                <w:sz w:val="20"/>
                <w:szCs w:val="20"/>
              </w:rPr>
              <w:t>aHUS</w:t>
            </w:r>
            <w:proofErr w:type="spellEnd"/>
            <w:r w:rsidRPr="00E707E6">
              <w:rPr>
                <w:sz w:val="20"/>
                <w:szCs w:val="20"/>
              </w:rPr>
              <w:t xml:space="preserve"> before commencing </w:t>
            </w:r>
            <w:proofErr w:type="spellStart"/>
            <w:r w:rsidRPr="00E707E6">
              <w:rPr>
                <w:sz w:val="20"/>
                <w:szCs w:val="20"/>
              </w:rPr>
              <w:t>eculizumab</w:t>
            </w:r>
            <w:proofErr w:type="spellEnd"/>
            <w:r w:rsidRPr="00E707E6">
              <w:rPr>
                <w:sz w:val="20"/>
                <w:szCs w:val="20"/>
              </w:rPr>
              <w:t xml:space="preserve"> treatment, if applicable; and A history of kidney transplant, if applicable, (especially if required due to </w:t>
            </w:r>
            <w:proofErr w:type="spellStart"/>
            <w:r w:rsidRPr="00E707E6">
              <w:rPr>
                <w:sz w:val="20"/>
                <w:szCs w:val="20"/>
              </w:rPr>
              <w:t>aHUS</w:t>
            </w:r>
            <w:proofErr w:type="spellEnd"/>
            <w:r w:rsidRPr="00E707E6">
              <w:rPr>
                <w:sz w:val="20"/>
                <w:szCs w:val="20"/>
              </w:rPr>
              <w:t>); and An inclusion of the individual consequences of recurrent disease, if applicable…’</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Added: ‘This assessment must be submitted no later than 4 weeks from the cessation of the prior treatment. Where a response assessment is not undertaken and submitted within these timeframes, the patient will be deemed to have failed to respond to treatment with </w:t>
            </w:r>
            <w:proofErr w:type="spellStart"/>
            <w:r w:rsidRPr="00E707E6">
              <w:rPr>
                <w:sz w:val="20"/>
                <w:szCs w:val="20"/>
              </w:rPr>
              <w:t>eculizumab</w:t>
            </w:r>
            <w:proofErr w:type="spellEnd"/>
            <w:r w:rsidRPr="00E707E6">
              <w:rPr>
                <w:sz w:val="20"/>
                <w:szCs w:val="20"/>
              </w:rPr>
              <w:t>.’</w:t>
            </w:r>
          </w:p>
          <w:p w:rsidR="007E6E5C" w:rsidRPr="00E707E6" w:rsidRDefault="007E6E5C" w:rsidP="00DD4017">
            <w:pPr>
              <w:rPr>
                <w:sz w:val="20"/>
                <w:szCs w:val="20"/>
              </w:rPr>
            </w:pPr>
          </w:p>
        </w:tc>
      </w:tr>
      <w:tr w:rsidR="007E6E5C" w:rsidRPr="00E707E6" w:rsidTr="00DD4017">
        <w:tc>
          <w:tcPr>
            <w:tcW w:w="2062" w:type="dxa"/>
          </w:tcPr>
          <w:p w:rsidR="007E6E5C" w:rsidRPr="00E707E6" w:rsidRDefault="007E6E5C" w:rsidP="00DD4017">
            <w:pPr>
              <w:rPr>
                <w:sz w:val="20"/>
                <w:szCs w:val="20"/>
              </w:rPr>
            </w:pPr>
            <w:r w:rsidRPr="00E707E6">
              <w:rPr>
                <w:sz w:val="20"/>
                <w:szCs w:val="20"/>
              </w:rPr>
              <w:lastRenderedPageBreak/>
              <w:t>January 2017</w:t>
            </w:r>
          </w:p>
        </w:tc>
        <w:tc>
          <w:tcPr>
            <w:tcW w:w="7118" w:type="dxa"/>
          </w:tcPr>
          <w:p w:rsidR="007E6E5C" w:rsidRPr="00E707E6" w:rsidRDefault="007E6E5C" w:rsidP="00DD4017">
            <w:pPr>
              <w:rPr>
                <w:sz w:val="20"/>
                <w:szCs w:val="20"/>
              </w:rPr>
            </w:pPr>
            <w:r w:rsidRPr="00E707E6">
              <w:rPr>
                <w:sz w:val="20"/>
                <w:szCs w:val="20"/>
              </w:rPr>
              <w:t>Added that the written authority application:</w:t>
            </w:r>
          </w:p>
          <w:p w:rsidR="007E6E5C" w:rsidRPr="00E707E6" w:rsidRDefault="007E6E5C" w:rsidP="00DD4017">
            <w:pPr>
              <w:pStyle w:val="ListParagraph"/>
              <w:numPr>
                <w:ilvl w:val="0"/>
                <w:numId w:val="12"/>
              </w:numPr>
              <w:rPr>
                <w:sz w:val="20"/>
                <w:szCs w:val="20"/>
              </w:rPr>
            </w:pPr>
            <w:proofErr w:type="gramStart"/>
            <w:r w:rsidRPr="00E707E6">
              <w:rPr>
                <w:sz w:val="20"/>
                <w:szCs w:val="20"/>
              </w:rPr>
              <w:t>must</w:t>
            </w:r>
            <w:proofErr w:type="gramEnd"/>
            <w:r w:rsidRPr="00E707E6">
              <w:rPr>
                <w:sz w:val="20"/>
                <w:szCs w:val="20"/>
              </w:rPr>
              <w:t xml:space="preserve"> include ‘a detailed cover letter from the prescriber.’</w:t>
            </w:r>
          </w:p>
          <w:p w:rsidR="007E6E5C" w:rsidRPr="00E707E6" w:rsidRDefault="007E6E5C" w:rsidP="00DD4017">
            <w:pPr>
              <w:pStyle w:val="ListParagraph"/>
              <w:numPr>
                <w:ilvl w:val="0"/>
                <w:numId w:val="12"/>
              </w:numPr>
              <w:rPr>
                <w:sz w:val="20"/>
                <w:szCs w:val="20"/>
              </w:rPr>
            </w:pPr>
            <w:proofErr w:type="gramStart"/>
            <w:r w:rsidRPr="00E707E6">
              <w:rPr>
                <w:sz w:val="20"/>
                <w:szCs w:val="20"/>
              </w:rPr>
              <w:t>may</w:t>
            </w:r>
            <w:proofErr w:type="gramEnd"/>
            <w:r w:rsidRPr="00E707E6">
              <w:rPr>
                <w:sz w:val="20"/>
                <w:szCs w:val="20"/>
              </w:rPr>
              <w:t xml:space="preserve"> include a statement that vaccination has or will be administered and appropriate antibiotic prophylaxis has been prescribed instead of a copy of a current Certificate of vaccination.</w:t>
            </w:r>
          </w:p>
          <w:p w:rsidR="007E6E5C" w:rsidRPr="00E707E6" w:rsidRDefault="007E6E5C" w:rsidP="00DD4017">
            <w:pPr>
              <w:pStyle w:val="ListParagraph"/>
              <w:rPr>
                <w:sz w:val="20"/>
                <w:szCs w:val="20"/>
              </w:rPr>
            </w:pPr>
          </w:p>
        </w:tc>
      </w:tr>
      <w:tr w:rsidR="007E6E5C" w:rsidRPr="00E707E6" w:rsidTr="00DD4017">
        <w:tc>
          <w:tcPr>
            <w:tcW w:w="9180" w:type="dxa"/>
            <w:gridSpan w:val="2"/>
          </w:tcPr>
          <w:p w:rsidR="007E6E5C" w:rsidRPr="00E707E6" w:rsidRDefault="007E6E5C" w:rsidP="00DD4017">
            <w:pPr>
              <w:rPr>
                <w:b/>
                <w:sz w:val="20"/>
                <w:szCs w:val="20"/>
              </w:rPr>
            </w:pPr>
            <w:r w:rsidRPr="00E707E6">
              <w:rPr>
                <w:b/>
                <w:sz w:val="20"/>
                <w:szCs w:val="20"/>
              </w:rPr>
              <w:t>Continuing (listed December 2014)</w:t>
            </w:r>
          </w:p>
        </w:tc>
      </w:tr>
      <w:tr w:rsidR="007E6E5C" w:rsidRPr="00E707E6" w:rsidTr="00DD4017">
        <w:tc>
          <w:tcPr>
            <w:tcW w:w="2062" w:type="dxa"/>
          </w:tcPr>
          <w:p w:rsidR="007E6E5C" w:rsidRPr="00E707E6" w:rsidRDefault="007E6E5C" w:rsidP="00DD4017">
            <w:pPr>
              <w:rPr>
                <w:sz w:val="20"/>
                <w:szCs w:val="20"/>
              </w:rPr>
            </w:pPr>
            <w:r w:rsidRPr="00E707E6">
              <w:rPr>
                <w:sz w:val="20"/>
                <w:szCs w:val="20"/>
              </w:rPr>
              <w:t>February 2016</w:t>
            </w:r>
          </w:p>
        </w:tc>
        <w:tc>
          <w:tcPr>
            <w:tcW w:w="7118" w:type="dxa"/>
          </w:tcPr>
          <w:p w:rsidR="007E6E5C" w:rsidRPr="00E707E6" w:rsidRDefault="007E6E5C" w:rsidP="00DD4017">
            <w:pPr>
              <w:rPr>
                <w:sz w:val="20"/>
                <w:szCs w:val="20"/>
              </w:rPr>
            </w:pPr>
            <w:r w:rsidRPr="00E707E6">
              <w:rPr>
                <w:sz w:val="20"/>
                <w:szCs w:val="20"/>
              </w:rPr>
              <w:t>Removed ‘new patient’ from continuing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Removed specification of the number of weeks’ therapy that the patient must have received under the initial restriction.</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Removed ‘per continuing treatment course authorised’ from the maximum weeks of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Added ‘The authority application must include the following measures of response to the prior course of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Additional information requested in the written application: ‘…An identified genetic mutation, if applicable; and A family history of </w:t>
            </w:r>
            <w:proofErr w:type="spellStart"/>
            <w:r w:rsidRPr="00E707E6">
              <w:rPr>
                <w:sz w:val="20"/>
                <w:szCs w:val="20"/>
              </w:rPr>
              <w:t>aHUS</w:t>
            </w:r>
            <w:proofErr w:type="spellEnd"/>
            <w:r w:rsidRPr="00E707E6">
              <w:rPr>
                <w:sz w:val="20"/>
                <w:szCs w:val="20"/>
              </w:rPr>
              <w:t xml:space="preserve">, if applicable; and A history of multiple episodes of </w:t>
            </w:r>
            <w:proofErr w:type="spellStart"/>
            <w:r w:rsidRPr="00E707E6">
              <w:rPr>
                <w:sz w:val="20"/>
                <w:szCs w:val="20"/>
              </w:rPr>
              <w:t>aHUS</w:t>
            </w:r>
            <w:proofErr w:type="spellEnd"/>
            <w:r w:rsidRPr="00E707E6">
              <w:rPr>
                <w:sz w:val="20"/>
                <w:szCs w:val="20"/>
              </w:rPr>
              <w:t xml:space="preserve"> before commencing </w:t>
            </w:r>
            <w:proofErr w:type="spellStart"/>
            <w:r w:rsidRPr="00E707E6">
              <w:rPr>
                <w:sz w:val="20"/>
                <w:szCs w:val="20"/>
              </w:rPr>
              <w:t>eculizumab</w:t>
            </w:r>
            <w:proofErr w:type="spellEnd"/>
            <w:r w:rsidRPr="00E707E6">
              <w:rPr>
                <w:sz w:val="20"/>
                <w:szCs w:val="20"/>
              </w:rPr>
              <w:t xml:space="preserve"> treatment, if applicable; and A history of kidney transplant, if applicable, (especially if required due to </w:t>
            </w:r>
            <w:proofErr w:type="spellStart"/>
            <w:r w:rsidRPr="00E707E6">
              <w:rPr>
                <w:sz w:val="20"/>
                <w:szCs w:val="20"/>
              </w:rPr>
              <w:t>aHUS</w:t>
            </w:r>
            <w:proofErr w:type="spellEnd"/>
            <w:r w:rsidRPr="00E707E6">
              <w:rPr>
                <w:sz w:val="20"/>
                <w:szCs w:val="20"/>
              </w:rPr>
              <w:t>); and An inclusion of the individual consequences of recurrent disease, if applicable…’</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Added: ‘This assessment must be submitted no later than 4 weeks from the cessation of the prior treatment. Where a response assessment is not undertaken and submitted within these timeframes, the patient will be deemed to have failed to respond to treatment with </w:t>
            </w:r>
            <w:proofErr w:type="spellStart"/>
            <w:r w:rsidRPr="00E707E6">
              <w:rPr>
                <w:sz w:val="20"/>
                <w:szCs w:val="20"/>
              </w:rPr>
              <w:t>eculizumab</w:t>
            </w:r>
            <w:proofErr w:type="spellEnd"/>
            <w:r w:rsidRPr="00E707E6">
              <w:rPr>
                <w:sz w:val="20"/>
                <w:szCs w:val="20"/>
              </w:rPr>
              <w:t>.’</w:t>
            </w:r>
          </w:p>
          <w:p w:rsidR="007E6E5C" w:rsidRPr="00E707E6" w:rsidRDefault="007E6E5C" w:rsidP="00DD4017">
            <w:pPr>
              <w:rPr>
                <w:sz w:val="20"/>
                <w:szCs w:val="20"/>
              </w:rPr>
            </w:pPr>
          </w:p>
        </w:tc>
      </w:tr>
      <w:tr w:rsidR="007E6E5C" w:rsidRPr="00E707E6" w:rsidTr="00DD4017">
        <w:tc>
          <w:tcPr>
            <w:tcW w:w="2062" w:type="dxa"/>
          </w:tcPr>
          <w:p w:rsidR="007E6E5C" w:rsidRPr="00E707E6" w:rsidRDefault="007E6E5C" w:rsidP="00DD4017">
            <w:pPr>
              <w:rPr>
                <w:sz w:val="20"/>
                <w:szCs w:val="20"/>
              </w:rPr>
            </w:pPr>
            <w:r w:rsidRPr="00E707E6">
              <w:rPr>
                <w:sz w:val="20"/>
                <w:szCs w:val="20"/>
              </w:rPr>
              <w:t>January 2017</w:t>
            </w:r>
          </w:p>
        </w:tc>
        <w:tc>
          <w:tcPr>
            <w:tcW w:w="7118" w:type="dxa"/>
          </w:tcPr>
          <w:p w:rsidR="007E6E5C" w:rsidRPr="00E707E6" w:rsidRDefault="007E6E5C" w:rsidP="00DD4017">
            <w:pPr>
              <w:rPr>
                <w:sz w:val="20"/>
                <w:szCs w:val="20"/>
              </w:rPr>
            </w:pPr>
            <w:r w:rsidRPr="00E707E6">
              <w:rPr>
                <w:sz w:val="20"/>
                <w:szCs w:val="20"/>
              </w:rPr>
              <w:t>Added that the written authority application:</w:t>
            </w:r>
          </w:p>
          <w:p w:rsidR="007E6E5C" w:rsidRPr="00E707E6" w:rsidRDefault="007E6E5C" w:rsidP="00DD4017">
            <w:pPr>
              <w:pStyle w:val="ListParagraph"/>
              <w:numPr>
                <w:ilvl w:val="0"/>
                <w:numId w:val="12"/>
              </w:numPr>
              <w:rPr>
                <w:sz w:val="20"/>
                <w:szCs w:val="20"/>
              </w:rPr>
            </w:pPr>
            <w:proofErr w:type="gramStart"/>
            <w:r w:rsidRPr="00E707E6">
              <w:rPr>
                <w:sz w:val="20"/>
                <w:szCs w:val="20"/>
              </w:rPr>
              <w:t>must</w:t>
            </w:r>
            <w:proofErr w:type="gramEnd"/>
            <w:r w:rsidRPr="00E707E6">
              <w:rPr>
                <w:sz w:val="20"/>
                <w:szCs w:val="20"/>
              </w:rPr>
              <w:t xml:space="preserve"> include ‘a detailed cover letter from the prescriber.’</w:t>
            </w:r>
          </w:p>
          <w:p w:rsidR="007E6E5C" w:rsidRPr="00E707E6" w:rsidRDefault="007E6E5C" w:rsidP="00DD4017">
            <w:pPr>
              <w:pStyle w:val="ListParagraph"/>
              <w:numPr>
                <w:ilvl w:val="0"/>
                <w:numId w:val="12"/>
              </w:numPr>
              <w:rPr>
                <w:sz w:val="20"/>
                <w:szCs w:val="20"/>
              </w:rPr>
            </w:pPr>
            <w:proofErr w:type="gramStart"/>
            <w:r w:rsidRPr="00E707E6">
              <w:rPr>
                <w:sz w:val="20"/>
                <w:szCs w:val="20"/>
              </w:rPr>
              <w:t>may</w:t>
            </w:r>
            <w:proofErr w:type="gramEnd"/>
            <w:r w:rsidRPr="00E707E6">
              <w:rPr>
                <w:sz w:val="20"/>
                <w:szCs w:val="20"/>
              </w:rPr>
              <w:t xml:space="preserve"> include a statement that vaccination has or will be administered and appropriate antibiotic prophylaxis has been prescribed instead of a copy of a current Certificate of vaccination.</w:t>
            </w:r>
          </w:p>
          <w:p w:rsidR="007E6E5C" w:rsidRPr="00E707E6" w:rsidRDefault="007E6E5C" w:rsidP="00DD4017">
            <w:pPr>
              <w:pStyle w:val="ListParagraph"/>
              <w:rPr>
                <w:sz w:val="20"/>
                <w:szCs w:val="20"/>
              </w:rPr>
            </w:pPr>
          </w:p>
        </w:tc>
      </w:tr>
      <w:tr w:rsidR="007E6E5C" w:rsidRPr="00E707E6" w:rsidTr="00DD4017">
        <w:tc>
          <w:tcPr>
            <w:tcW w:w="9180" w:type="dxa"/>
            <w:gridSpan w:val="2"/>
          </w:tcPr>
          <w:p w:rsidR="007E6E5C" w:rsidRPr="00E707E6" w:rsidRDefault="007E6E5C" w:rsidP="00DD4017">
            <w:pPr>
              <w:rPr>
                <w:sz w:val="20"/>
                <w:szCs w:val="20"/>
                <w:highlight w:val="yellow"/>
              </w:rPr>
            </w:pPr>
            <w:r w:rsidRPr="00E707E6">
              <w:rPr>
                <w:b/>
                <w:sz w:val="20"/>
                <w:szCs w:val="20"/>
              </w:rPr>
              <w:t>Extended continuing (listed December 2014)</w:t>
            </w:r>
          </w:p>
        </w:tc>
      </w:tr>
      <w:tr w:rsidR="007E6E5C" w:rsidRPr="00E707E6" w:rsidTr="00DD4017">
        <w:tc>
          <w:tcPr>
            <w:tcW w:w="2062" w:type="dxa"/>
          </w:tcPr>
          <w:p w:rsidR="007E6E5C" w:rsidRPr="00E707E6" w:rsidRDefault="007E6E5C" w:rsidP="00DD4017">
            <w:pPr>
              <w:rPr>
                <w:sz w:val="20"/>
                <w:szCs w:val="20"/>
              </w:rPr>
            </w:pPr>
            <w:r w:rsidRPr="00E707E6">
              <w:rPr>
                <w:sz w:val="20"/>
                <w:szCs w:val="20"/>
              </w:rPr>
              <w:lastRenderedPageBreak/>
              <w:t>November 2015</w:t>
            </w:r>
          </w:p>
        </w:tc>
        <w:tc>
          <w:tcPr>
            <w:tcW w:w="7118" w:type="dxa"/>
          </w:tcPr>
          <w:p w:rsidR="007E6E5C" w:rsidRPr="00E707E6" w:rsidRDefault="007E6E5C" w:rsidP="00DD4017">
            <w:pPr>
              <w:rPr>
                <w:sz w:val="20"/>
                <w:szCs w:val="20"/>
              </w:rPr>
            </w:pPr>
            <w:r w:rsidRPr="00E707E6">
              <w:rPr>
                <w:sz w:val="20"/>
                <w:szCs w:val="20"/>
              </w:rPr>
              <w:t>Changed from ‘continuing treatment beyond initial 48 weeks of treatment’ to ‘continuing treatment beyond initial 52 weeks of treatment.’</w:t>
            </w:r>
          </w:p>
          <w:p w:rsidR="007E6E5C" w:rsidRPr="00E707E6" w:rsidRDefault="007E6E5C" w:rsidP="00DD4017">
            <w:pPr>
              <w:rPr>
                <w:sz w:val="20"/>
                <w:szCs w:val="20"/>
              </w:rPr>
            </w:pPr>
          </w:p>
        </w:tc>
      </w:tr>
      <w:tr w:rsidR="007E6E5C" w:rsidRPr="00E707E6" w:rsidTr="00DD4017">
        <w:tc>
          <w:tcPr>
            <w:tcW w:w="2062" w:type="dxa"/>
          </w:tcPr>
          <w:p w:rsidR="007E6E5C" w:rsidRPr="00E707E6" w:rsidRDefault="007E6E5C" w:rsidP="00DD4017">
            <w:pPr>
              <w:rPr>
                <w:sz w:val="20"/>
                <w:szCs w:val="20"/>
              </w:rPr>
            </w:pPr>
            <w:r w:rsidRPr="00E707E6">
              <w:rPr>
                <w:sz w:val="20"/>
                <w:szCs w:val="20"/>
              </w:rPr>
              <w:t>February 2016</w:t>
            </w:r>
          </w:p>
        </w:tc>
        <w:tc>
          <w:tcPr>
            <w:tcW w:w="7118" w:type="dxa"/>
          </w:tcPr>
          <w:p w:rsidR="007E6E5C" w:rsidRPr="00E707E6" w:rsidRDefault="007E6E5C" w:rsidP="00DD4017">
            <w:pPr>
              <w:rPr>
                <w:sz w:val="20"/>
                <w:szCs w:val="20"/>
              </w:rPr>
            </w:pPr>
            <w:r w:rsidRPr="00E707E6">
              <w:rPr>
                <w:sz w:val="20"/>
                <w:szCs w:val="20"/>
              </w:rPr>
              <w:t>Changed from ‘continuing treatment beyond initial 52 weeks of treatment’ to ‘Extended Continuing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Added ‘per continuing treatment course authorised’ to the maximum weeks of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Added ‘The authority application must include the following measures of response to the prior course of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Rewording around timing requirements for haematological results. </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Additional information requested in the written application: ‘…An identified genetic mutation, if applicable; and A family history of </w:t>
            </w:r>
            <w:proofErr w:type="spellStart"/>
            <w:r w:rsidRPr="00E707E6">
              <w:rPr>
                <w:sz w:val="20"/>
                <w:szCs w:val="20"/>
              </w:rPr>
              <w:t>aHUS</w:t>
            </w:r>
            <w:proofErr w:type="spellEnd"/>
            <w:r w:rsidRPr="00E707E6">
              <w:rPr>
                <w:sz w:val="20"/>
                <w:szCs w:val="20"/>
              </w:rPr>
              <w:t xml:space="preserve">, if applicable; and A history of multiple episodes of </w:t>
            </w:r>
            <w:proofErr w:type="spellStart"/>
            <w:r w:rsidRPr="00E707E6">
              <w:rPr>
                <w:sz w:val="20"/>
                <w:szCs w:val="20"/>
              </w:rPr>
              <w:t>aHUS</w:t>
            </w:r>
            <w:proofErr w:type="spellEnd"/>
            <w:r w:rsidRPr="00E707E6">
              <w:rPr>
                <w:sz w:val="20"/>
                <w:szCs w:val="20"/>
              </w:rPr>
              <w:t xml:space="preserve"> before commencing </w:t>
            </w:r>
            <w:proofErr w:type="spellStart"/>
            <w:r w:rsidRPr="00E707E6">
              <w:rPr>
                <w:sz w:val="20"/>
                <w:szCs w:val="20"/>
              </w:rPr>
              <w:t>eculizumab</w:t>
            </w:r>
            <w:proofErr w:type="spellEnd"/>
            <w:r w:rsidRPr="00E707E6">
              <w:rPr>
                <w:sz w:val="20"/>
                <w:szCs w:val="20"/>
              </w:rPr>
              <w:t xml:space="preserve"> treatment, if applicable; and A history of kidney transplant, if applicable, (especially if required due to </w:t>
            </w:r>
            <w:proofErr w:type="spellStart"/>
            <w:r w:rsidRPr="00E707E6">
              <w:rPr>
                <w:sz w:val="20"/>
                <w:szCs w:val="20"/>
              </w:rPr>
              <w:t>aHUS</w:t>
            </w:r>
            <w:proofErr w:type="spellEnd"/>
            <w:r w:rsidRPr="00E707E6">
              <w:rPr>
                <w:sz w:val="20"/>
                <w:szCs w:val="20"/>
              </w:rPr>
              <w:t>); and An inclusion of the individual consequences of recurrent disease, if applicable…’</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Added: ‘This assessment must be submitted no later than 4 weeks from the cessation of the prior treatment. Where a response assessment is not undertaken and submitted within these timeframes, the patient will be deemed to have failed to respond to treatment with </w:t>
            </w:r>
            <w:proofErr w:type="spellStart"/>
            <w:r w:rsidRPr="00E707E6">
              <w:rPr>
                <w:sz w:val="20"/>
                <w:szCs w:val="20"/>
              </w:rPr>
              <w:t>eculizumab</w:t>
            </w:r>
            <w:proofErr w:type="spellEnd"/>
            <w:r w:rsidRPr="00E707E6">
              <w:rPr>
                <w:sz w:val="20"/>
                <w:szCs w:val="20"/>
              </w:rPr>
              <w:t>.’</w:t>
            </w:r>
          </w:p>
          <w:p w:rsidR="007E6E5C" w:rsidRPr="00E707E6" w:rsidRDefault="007E6E5C" w:rsidP="00DD4017">
            <w:pPr>
              <w:rPr>
                <w:sz w:val="20"/>
                <w:szCs w:val="20"/>
              </w:rPr>
            </w:pPr>
          </w:p>
        </w:tc>
      </w:tr>
      <w:tr w:rsidR="007E6E5C" w:rsidRPr="00E707E6" w:rsidTr="00DD4017">
        <w:tc>
          <w:tcPr>
            <w:tcW w:w="2062" w:type="dxa"/>
          </w:tcPr>
          <w:p w:rsidR="007E6E5C" w:rsidRPr="00E707E6" w:rsidRDefault="007E6E5C" w:rsidP="00DD4017">
            <w:pPr>
              <w:rPr>
                <w:sz w:val="20"/>
                <w:szCs w:val="20"/>
              </w:rPr>
            </w:pPr>
            <w:r w:rsidRPr="00E707E6">
              <w:rPr>
                <w:sz w:val="20"/>
                <w:szCs w:val="20"/>
              </w:rPr>
              <w:t>January 2017</w:t>
            </w:r>
          </w:p>
        </w:tc>
        <w:tc>
          <w:tcPr>
            <w:tcW w:w="7118" w:type="dxa"/>
          </w:tcPr>
          <w:p w:rsidR="007E6E5C" w:rsidRPr="00E707E6" w:rsidRDefault="007E6E5C" w:rsidP="00DD4017">
            <w:pPr>
              <w:rPr>
                <w:sz w:val="20"/>
                <w:szCs w:val="20"/>
              </w:rPr>
            </w:pPr>
            <w:r w:rsidRPr="00E707E6">
              <w:rPr>
                <w:sz w:val="20"/>
                <w:szCs w:val="20"/>
              </w:rPr>
              <w:t>Added that the left-ventricular ejection fraction and TMA-related pulmonary impairment must be based on current objective measurement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Added ‘high risk of </w:t>
            </w:r>
            <w:proofErr w:type="spellStart"/>
            <w:r w:rsidRPr="00E707E6">
              <w:rPr>
                <w:sz w:val="20"/>
                <w:szCs w:val="20"/>
              </w:rPr>
              <w:t>aHUS</w:t>
            </w:r>
            <w:proofErr w:type="spellEnd"/>
            <w:r w:rsidRPr="00E707E6">
              <w:rPr>
                <w:sz w:val="20"/>
                <w:szCs w:val="20"/>
              </w:rPr>
              <w:t xml:space="preserve"> recurrence in the short term in the absence of continued treatment with </w:t>
            </w:r>
            <w:proofErr w:type="spellStart"/>
            <w:r w:rsidRPr="00E707E6">
              <w:rPr>
                <w:sz w:val="20"/>
                <w:szCs w:val="20"/>
              </w:rPr>
              <w:t>eculizumab</w:t>
            </w:r>
            <w:proofErr w:type="spellEnd"/>
            <w:r w:rsidRPr="00E707E6">
              <w:rPr>
                <w:sz w:val="20"/>
                <w:szCs w:val="20"/>
              </w:rPr>
              <w:t xml:space="preserve">’ as an alternative clinical criterion to TMA-related cardiomyopathy, TMA-related neurological impairment, TMA-related pulmonary impairment, or chronic kidney disease. </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Added that the written authority application:</w:t>
            </w:r>
          </w:p>
          <w:p w:rsidR="007E6E5C" w:rsidRPr="00E707E6" w:rsidRDefault="007E6E5C" w:rsidP="00DD4017">
            <w:pPr>
              <w:pStyle w:val="ListParagraph"/>
              <w:numPr>
                <w:ilvl w:val="0"/>
                <w:numId w:val="12"/>
              </w:numPr>
              <w:rPr>
                <w:sz w:val="20"/>
                <w:szCs w:val="20"/>
              </w:rPr>
            </w:pPr>
            <w:proofErr w:type="gramStart"/>
            <w:r w:rsidRPr="00E707E6">
              <w:rPr>
                <w:sz w:val="20"/>
                <w:szCs w:val="20"/>
              </w:rPr>
              <w:t>must</w:t>
            </w:r>
            <w:proofErr w:type="gramEnd"/>
            <w:r w:rsidRPr="00E707E6">
              <w:rPr>
                <w:sz w:val="20"/>
                <w:szCs w:val="20"/>
              </w:rPr>
              <w:t xml:space="preserve"> include ‘a detailed cover letter from the prescriber.’</w:t>
            </w:r>
          </w:p>
          <w:p w:rsidR="007E6E5C" w:rsidRPr="00E707E6" w:rsidRDefault="007E6E5C" w:rsidP="00DD4017">
            <w:pPr>
              <w:pStyle w:val="ListParagraph"/>
              <w:numPr>
                <w:ilvl w:val="0"/>
                <w:numId w:val="12"/>
              </w:numPr>
              <w:rPr>
                <w:sz w:val="20"/>
                <w:szCs w:val="20"/>
              </w:rPr>
            </w:pPr>
            <w:proofErr w:type="gramStart"/>
            <w:r w:rsidRPr="00E707E6">
              <w:rPr>
                <w:sz w:val="20"/>
                <w:szCs w:val="20"/>
              </w:rPr>
              <w:t>may</w:t>
            </w:r>
            <w:proofErr w:type="gramEnd"/>
            <w:r w:rsidRPr="00E707E6">
              <w:rPr>
                <w:sz w:val="20"/>
                <w:szCs w:val="20"/>
              </w:rPr>
              <w:t xml:space="preserve"> include a statement that vaccination has or will be administered and appropriate antibiotic prophylaxis has been prescribed instead of a copy of a current Certificate of vaccination.</w:t>
            </w:r>
          </w:p>
          <w:p w:rsidR="007E6E5C" w:rsidRPr="00E707E6" w:rsidRDefault="007E6E5C" w:rsidP="00DD4017">
            <w:pPr>
              <w:pStyle w:val="ListParagraph"/>
              <w:rPr>
                <w:sz w:val="20"/>
                <w:szCs w:val="20"/>
              </w:rPr>
            </w:pPr>
          </w:p>
        </w:tc>
      </w:tr>
      <w:tr w:rsidR="007E6E5C" w:rsidRPr="00E707E6" w:rsidTr="00DD4017">
        <w:tc>
          <w:tcPr>
            <w:tcW w:w="9180" w:type="dxa"/>
            <w:gridSpan w:val="2"/>
          </w:tcPr>
          <w:p w:rsidR="007E6E5C" w:rsidRPr="00E707E6" w:rsidRDefault="007E6E5C" w:rsidP="00DD4017">
            <w:pPr>
              <w:rPr>
                <w:b/>
                <w:sz w:val="20"/>
                <w:szCs w:val="20"/>
              </w:rPr>
            </w:pPr>
            <w:r w:rsidRPr="00E707E6">
              <w:rPr>
                <w:b/>
                <w:sz w:val="20"/>
                <w:szCs w:val="20"/>
              </w:rPr>
              <w:t xml:space="preserve">Recommencement </w:t>
            </w:r>
          </w:p>
        </w:tc>
      </w:tr>
      <w:tr w:rsidR="007E6E5C" w:rsidRPr="00E707E6" w:rsidTr="00DD4017">
        <w:tc>
          <w:tcPr>
            <w:tcW w:w="2062" w:type="dxa"/>
          </w:tcPr>
          <w:p w:rsidR="007E6E5C" w:rsidRPr="00E707E6" w:rsidRDefault="007E6E5C" w:rsidP="00DD4017">
            <w:pPr>
              <w:rPr>
                <w:sz w:val="20"/>
                <w:szCs w:val="20"/>
              </w:rPr>
            </w:pPr>
            <w:r w:rsidRPr="00E707E6">
              <w:rPr>
                <w:sz w:val="20"/>
                <w:szCs w:val="20"/>
              </w:rPr>
              <w:t>November 2015</w:t>
            </w:r>
          </w:p>
        </w:tc>
        <w:tc>
          <w:tcPr>
            <w:tcW w:w="7118" w:type="dxa"/>
          </w:tcPr>
          <w:p w:rsidR="007E6E5C" w:rsidRPr="00E707E6" w:rsidRDefault="007E6E5C" w:rsidP="00DD4017">
            <w:pPr>
              <w:rPr>
                <w:sz w:val="20"/>
                <w:szCs w:val="20"/>
              </w:rPr>
            </w:pPr>
            <w:r w:rsidRPr="00E707E6">
              <w:rPr>
                <w:sz w:val="20"/>
                <w:szCs w:val="20"/>
              </w:rPr>
              <w:t>Changed from recommencement after 48 weeks to recommencement after 52 weeks</w:t>
            </w:r>
          </w:p>
          <w:p w:rsidR="007E6E5C" w:rsidRPr="00E707E6" w:rsidRDefault="007E6E5C" w:rsidP="00DD4017">
            <w:pPr>
              <w:rPr>
                <w:sz w:val="20"/>
                <w:szCs w:val="20"/>
              </w:rPr>
            </w:pPr>
          </w:p>
        </w:tc>
      </w:tr>
      <w:tr w:rsidR="007E6E5C" w:rsidRPr="00E707E6" w:rsidTr="00DD4017">
        <w:tc>
          <w:tcPr>
            <w:tcW w:w="2062" w:type="dxa"/>
          </w:tcPr>
          <w:p w:rsidR="007E6E5C" w:rsidRPr="00E707E6" w:rsidRDefault="007E6E5C" w:rsidP="00DD4017">
            <w:pPr>
              <w:rPr>
                <w:sz w:val="20"/>
                <w:szCs w:val="20"/>
              </w:rPr>
            </w:pPr>
            <w:r w:rsidRPr="00E707E6">
              <w:rPr>
                <w:sz w:val="20"/>
                <w:szCs w:val="20"/>
              </w:rPr>
              <w:t>February 2016</w:t>
            </w:r>
          </w:p>
        </w:tc>
        <w:tc>
          <w:tcPr>
            <w:tcW w:w="7118" w:type="dxa"/>
          </w:tcPr>
          <w:p w:rsidR="007E6E5C" w:rsidRPr="00E707E6" w:rsidRDefault="007E6E5C" w:rsidP="00DD4017">
            <w:pPr>
              <w:rPr>
                <w:sz w:val="20"/>
                <w:szCs w:val="20"/>
              </w:rPr>
            </w:pPr>
            <w:r w:rsidRPr="00E707E6">
              <w:rPr>
                <w:sz w:val="20"/>
                <w:szCs w:val="20"/>
              </w:rPr>
              <w:t>Changed from ‘Initial 2 – recommencement’ to ‘Recommencement’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Removed the time requirement (52 weeks) from the length of previous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Added ‘The authority application must include the following measures of response to the prior course of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Rewording around timing requirements for haematological results. </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Additional information requested in the written application: ‘…An identified genetic mutation, if applicable; and A family history of </w:t>
            </w:r>
            <w:proofErr w:type="spellStart"/>
            <w:r w:rsidRPr="00E707E6">
              <w:rPr>
                <w:sz w:val="20"/>
                <w:szCs w:val="20"/>
              </w:rPr>
              <w:t>aHUS</w:t>
            </w:r>
            <w:proofErr w:type="spellEnd"/>
            <w:r w:rsidRPr="00E707E6">
              <w:rPr>
                <w:sz w:val="20"/>
                <w:szCs w:val="20"/>
              </w:rPr>
              <w:t xml:space="preserve">, if applicable; and A history of </w:t>
            </w:r>
            <w:r w:rsidRPr="00E707E6">
              <w:rPr>
                <w:sz w:val="20"/>
                <w:szCs w:val="20"/>
              </w:rPr>
              <w:lastRenderedPageBreak/>
              <w:t xml:space="preserve">multiple episodes of </w:t>
            </w:r>
            <w:proofErr w:type="spellStart"/>
            <w:r w:rsidRPr="00E707E6">
              <w:rPr>
                <w:sz w:val="20"/>
                <w:szCs w:val="20"/>
              </w:rPr>
              <w:t>aHUS</w:t>
            </w:r>
            <w:proofErr w:type="spellEnd"/>
            <w:r w:rsidRPr="00E707E6">
              <w:rPr>
                <w:sz w:val="20"/>
                <w:szCs w:val="20"/>
              </w:rPr>
              <w:t xml:space="preserve"> before commencing </w:t>
            </w:r>
            <w:proofErr w:type="spellStart"/>
            <w:r w:rsidRPr="00E707E6">
              <w:rPr>
                <w:sz w:val="20"/>
                <w:szCs w:val="20"/>
              </w:rPr>
              <w:t>eculizumab</w:t>
            </w:r>
            <w:proofErr w:type="spellEnd"/>
            <w:r w:rsidRPr="00E707E6">
              <w:rPr>
                <w:sz w:val="20"/>
                <w:szCs w:val="20"/>
              </w:rPr>
              <w:t xml:space="preserve"> treatment, if applicable; and A history of kidney transplant, if applicable, (especially if required due to </w:t>
            </w:r>
            <w:proofErr w:type="spellStart"/>
            <w:r w:rsidRPr="00E707E6">
              <w:rPr>
                <w:sz w:val="20"/>
                <w:szCs w:val="20"/>
              </w:rPr>
              <w:t>aHUS</w:t>
            </w:r>
            <w:proofErr w:type="spellEnd"/>
            <w:r w:rsidRPr="00E707E6">
              <w:rPr>
                <w:sz w:val="20"/>
                <w:szCs w:val="20"/>
              </w:rPr>
              <w:t>); and An inclusion of the individual consequences of recurrent disease, if applicable…’</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Added: ‘This assessment must be submitted no later than 4 weeks from the cessation of the prior treatment. Where a response assessment is not undertaken and submitted within these timeframes, the patient will be deemed to have failed to respond to treatment with </w:t>
            </w:r>
            <w:proofErr w:type="spellStart"/>
            <w:r w:rsidRPr="00E707E6">
              <w:rPr>
                <w:sz w:val="20"/>
                <w:szCs w:val="20"/>
              </w:rPr>
              <w:t>eculizumab</w:t>
            </w:r>
            <w:proofErr w:type="spellEnd"/>
            <w:r w:rsidRPr="00E707E6">
              <w:rPr>
                <w:sz w:val="20"/>
                <w:szCs w:val="20"/>
              </w:rPr>
              <w:t>.’</w:t>
            </w:r>
          </w:p>
          <w:p w:rsidR="007E6E5C" w:rsidRPr="00E707E6" w:rsidRDefault="007E6E5C" w:rsidP="00DD4017">
            <w:pPr>
              <w:rPr>
                <w:sz w:val="20"/>
                <w:szCs w:val="20"/>
              </w:rPr>
            </w:pPr>
          </w:p>
        </w:tc>
      </w:tr>
      <w:tr w:rsidR="007E6E5C" w:rsidRPr="00E707E6" w:rsidTr="00DD4017">
        <w:tc>
          <w:tcPr>
            <w:tcW w:w="2062" w:type="dxa"/>
          </w:tcPr>
          <w:p w:rsidR="007E6E5C" w:rsidRPr="00E707E6" w:rsidRDefault="007E6E5C" w:rsidP="00DD4017">
            <w:pPr>
              <w:rPr>
                <w:sz w:val="20"/>
                <w:szCs w:val="20"/>
              </w:rPr>
            </w:pPr>
            <w:r w:rsidRPr="00E707E6">
              <w:rPr>
                <w:sz w:val="20"/>
                <w:szCs w:val="20"/>
              </w:rPr>
              <w:lastRenderedPageBreak/>
              <w:t>January 2017</w:t>
            </w:r>
          </w:p>
        </w:tc>
        <w:tc>
          <w:tcPr>
            <w:tcW w:w="7118" w:type="dxa"/>
          </w:tcPr>
          <w:p w:rsidR="007E6E5C" w:rsidRPr="00E707E6" w:rsidRDefault="007E6E5C" w:rsidP="00DD4017">
            <w:pPr>
              <w:rPr>
                <w:sz w:val="20"/>
                <w:szCs w:val="20"/>
              </w:rPr>
            </w:pPr>
            <w:r w:rsidRPr="00E707E6">
              <w:rPr>
                <w:sz w:val="20"/>
                <w:szCs w:val="20"/>
              </w:rPr>
              <w:t>Added that the written authority application:</w:t>
            </w:r>
          </w:p>
          <w:p w:rsidR="007E6E5C" w:rsidRPr="00E707E6" w:rsidRDefault="007E6E5C" w:rsidP="00DD4017">
            <w:pPr>
              <w:pStyle w:val="ListParagraph"/>
              <w:numPr>
                <w:ilvl w:val="0"/>
                <w:numId w:val="12"/>
              </w:numPr>
              <w:rPr>
                <w:sz w:val="20"/>
                <w:szCs w:val="20"/>
              </w:rPr>
            </w:pPr>
            <w:proofErr w:type="gramStart"/>
            <w:r w:rsidRPr="00E707E6">
              <w:rPr>
                <w:sz w:val="20"/>
                <w:szCs w:val="20"/>
              </w:rPr>
              <w:t>must</w:t>
            </w:r>
            <w:proofErr w:type="gramEnd"/>
            <w:r w:rsidRPr="00E707E6">
              <w:rPr>
                <w:sz w:val="20"/>
                <w:szCs w:val="20"/>
              </w:rPr>
              <w:t xml:space="preserve"> include ‘a detailed cover letter from the prescriber.’</w:t>
            </w:r>
          </w:p>
          <w:p w:rsidR="007E6E5C" w:rsidRPr="00E707E6" w:rsidRDefault="007E6E5C" w:rsidP="00DD4017">
            <w:pPr>
              <w:pStyle w:val="ListParagraph"/>
              <w:numPr>
                <w:ilvl w:val="0"/>
                <w:numId w:val="12"/>
              </w:numPr>
              <w:rPr>
                <w:sz w:val="20"/>
                <w:szCs w:val="20"/>
              </w:rPr>
            </w:pPr>
            <w:proofErr w:type="gramStart"/>
            <w:r w:rsidRPr="00E707E6">
              <w:rPr>
                <w:sz w:val="20"/>
                <w:szCs w:val="20"/>
              </w:rPr>
              <w:t>may</w:t>
            </w:r>
            <w:proofErr w:type="gramEnd"/>
            <w:r w:rsidRPr="00E707E6">
              <w:rPr>
                <w:sz w:val="20"/>
                <w:szCs w:val="20"/>
              </w:rPr>
              <w:t xml:space="preserve"> include a statement that vaccination has or will be administered and appropriate antibiotic prophylaxis has been prescribed instead of a copy of a current Certificate of vaccination.</w:t>
            </w:r>
          </w:p>
          <w:p w:rsidR="007E6E5C" w:rsidRPr="00E707E6" w:rsidRDefault="007E6E5C" w:rsidP="00DD4017">
            <w:pPr>
              <w:rPr>
                <w:sz w:val="20"/>
                <w:szCs w:val="20"/>
              </w:rPr>
            </w:pPr>
          </w:p>
        </w:tc>
      </w:tr>
      <w:tr w:rsidR="007E6E5C" w:rsidRPr="00E707E6" w:rsidTr="00DD4017">
        <w:tc>
          <w:tcPr>
            <w:tcW w:w="9180" w:type="dxa"/>
            <w:gridSpan w:val="2"/>
          </w:tcPr>
          <w:p w:rsidR="007E6E5C" w:rsidRPr="00E707E6" w:rsidRDefault="007E6E5C" w:rsidP="00DD4017">
            <w:pPr>
              <w:rPr>
                <w:sz w:val="20"/>
                <w:szCs w:val="20"/>
                <w:highlight w:val="yellow"/>
              </w:rPr>
            </w:pPr>
            <w:r w:rsidRPr="00E707E6">
              <w:rPr>
                <w:b/>
                <w:sz w:val="20"/>
                <w:szCs w:val="20"/>
              </w:rPr>
              <w:t>Continuing recommencement (listed December 2014)</w:t>
            </w:r>
          </w:p>
        </w:tc>
      </w:tr>
      <w:tr w:rsidR="007E6E5C" w:rsidRPr="00E707E6" w:rsidTr="00DD4017">
        <w:tc>
          <w:tcPr>
            <w:tcW w:w="2062" w:type="dxa"/>
          </w:tcPr>
          <w:p w:rsidR="007E6E5C" w:rsidRPr="00E707E6" w:rsidRDefault="007E6E5C" w:rsidP="00DD4017">
            <w:pPr>
              <w:rPr>
                <w:sz w:val="20"/>
                <w:szCs w:val="20"/>
              </w:rPr>
            </w:pPr>
            <w:r w:rsidRPr="00E707E6">
              <w:rPr>
                <w:sz w:val="20"/>
                <w:szCs w:val="20"/>
              </w:rPr>
              <w:t>February 2016</w:t>
            </w:r>
          </w:p>
        </w:tc>
        <w:tc>
          <w:tcPr>
            <w:tcW w:w="7118" w:type="dxa"/>
          </w:tcPr>
          <w:p w:rsidR="007E6E5C" w:rsidRPr="00E707E6" w:rsidRDefault="007E6E5C" w:rsidP="00DD4017">
            <w:pPr>
              <w:rPr>
                <w:sz w:val="20"/>
                <w:szCs w:val="20"/>
              </w:rPr>
            </w:pPr>
            <w:r w:rsidRPr="00E707E6">
              <w:rPr>
                <w:sz w:val="20"/>
                <w:szCs w:val="20"/>
              </w:rPr>
              <w:t>Changed references to previous treatment under ‘Initial 2 – recommencement’ to ‘Recommencement’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Removed the time requirement (48 weeks) from the length of previous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Added ‘The authority application must include the following measures of response to the prior course of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Rewording around timing requirements for haematological results. </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Additional information requested in the written application: ‘…An identified genetic mutation, if applicable; and A family history of </w:t>
            </w:r>
            <w:proofErr w:type="spellStart"/>
            <w:r w:rsidRPr="00E707E6">
              <w:rPr>
                <w:sz w:val="20"/>
                <w:szCs w:val="20"/>
              </w:rPr>
              <w:t>aHUS</w:t>
            </w:r>
            <w:proofErr w:type="spellEnd"/>
            <w:r w:rsidRPr="00E707E6">
              <w:rPr>
                <w:sz w:val="20"/>
                <w:szCs w:val="20"/>
              </w:rPr>
              <w:t xml:space="preserve">, if applicable; and A history of multiple episodes of </w:t>
            </w:r>
            <w:proofErr w:type="spellStart"/>
            <w:r w:rsidRPr="00E707E6">
              <w:rPr>
                <w:sz w:val="20"/>
                <w:szCs w:val="20"/>
              </w:rPr>
              <w:t>aHUS</w:t>
            </w:r>
            <w:proofErr w:type="spellEnd"/>
            <w:r w:rsidRPr="00E707E6">
              <w:rPr>
                <w:sz w:val="20"/>
                <w:szCs w:val="20"/>
              </w:rPr>
              <w:t xml:space="preserve"> before commencing </w:t>
            </w:r>
            <w:proofErr w:type="spellStart"/>
            <w:r w:rsidRPr="00E707E6">
              <w:rPr>
                <w:sz w:val="20"/>
                <w:szCs w:val="20"/>
              </w:rPr>
              <w:t>eculizumab</w:t>
            </w:r>
            <w:proofErr w:type="spellEnd"/>
            <w:r w:rsidRPr="00E707E6">
              <w:rPr>
                <w:sz w:val="20"/>
                <w:szCs w:val="20"/>
              </w:rPr>
              <w:t xml:space="preserve"> treatment, if applicable; and A history of kidney transplant, if applicable, (especially if required due to </w:t>
            </w:r>
            <w:proofErr w:type="spellStart"/>
            <w:r w:rsidRPr="00E707E6">
              <w:rPr>
                <w:sz w:val="20"/>
                <w:szCs w:val="20"/>
              </w:rPr>
              <w:t>aHUS</w:t>
            </w:r>
            <w:proofErr w:type="spellEnd"/>
            <w:r w:rsidRPr="00E707E6">
              <w:rPr>
                <w:sz w:val="20"/>
                <w:szCs w:val="20"/>
              </w:rPr>
              <w:t>); and An inclusion of the individual consequences of recurrent disease, if applicable…’</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Added: ‘This assessment must be submitted no later than 4 weeks from the cessation of the prior treatment. Where a response assessment is not undertaken and submitted within these timeframes, the patient will be deemed to have failed to respond to treatment with </w:t>
            </w:r>
            <w:proofErr w:type="spellStart"/>
            <w:r w:rsidRPr="00E707E6">
              <w:rPr>
                <w:sz w:val="20"/>
                <w:szCs w:val="20"/>
              </w:rPr>
              <w:t>eculizumab</w:t>
            </w:r>
            <w:proofErr w:type="spellEnd"/>
            <w:r w:rsidRPr="00E707E6">
              <w:rPr>
                <w:sz w:val="20"/>
                <w:szCs w:val="20"/>
              </w:rPr>
              <w:t>.’</w:t>
            </w:r>
          </w:p>
          <w:p w:rsidR="007E6E5C" w:rsidRPr="00E707E6" w:rsidRDefault="007E6E5C" w:rsidP="00DD4017">
            <w:pPr>
              <w:rPr>
                <w:sz w:val="20"/>
                <w:szCs w:val="20"/>
              </w:rPr>
            </w:pPr>
          </w:p>
        </w:tc>
      </w:tr>
      <w:tr w:rsidR="007E6E5C" w:rsidRPr="00E707E6" w:rsidTr="00DD4017">
        <w:tc>
          <w:tcPr>
            <w:tcW w:w="2062" w:type="dxa"/>
          </w:tcPr>
          <w:p w:rsidR="007E6E5C" w:rsidRPr="00E707E6" w:rsidRDefault="007E6E5C" w:rsidP="00DD4017">
            <w:pPr>
              <w:rPr>
                <w:sz w:val="20"/>
                <w:szCs w:val="20"/>
                <w:highlight w:val="yellow"/>
              </w:rPr>
            </w:pPr>
            <w:r w:rsidRPr="00E707E6">
              <w:rPr>
                <w:sz w:val="20"/>
                <w:szCs w:val="20"/>
              </w:rPr>
              <w:t>January 2017</w:t>
            </w:r>
          </w:p>
        </w:tc>
        <w:tc>
          <w:tcPr>
            <w:tcW w:w="7118" w:type="dxa"/>
          </w:tcPr>
          <w:p w:rsidR="007E6E5C" w:rsidRPr="00E707E6" w:rsidRDefault="007E6E5C" w:rsidP="00DD4017">
            <w:pPr>
              <w:rPr>
                <w:sz w:val="20"/>
                <w:szCs w:val="20"/>
              </w:rPr>
            </w:pPr>
            <w:r w:rsidRPr="00E707E6">
              <w:rPr>
                <w:sz w:val="20"/>
                <w:szCs w:val="20"/>
              </w:rPr>
              <w:t>Added that the written authority application:</w:t>
            </w:r>
          </w:p>
          <w:p w:rsidR="007E6E5C" w:rsidRPr="00E707E6" w:rsidRDefault="007E6E5C" w:rsidP="00DD4017">
            <w:pPr>
              <w:pStyle w:val="ListParagraph"/>
              <w:numPr>
                <w:ilvl w:val="0"/>
                <w:numId w:val="12"/>
              </w:numPr>
              <w:rPr>
                <w:sz w:val="20"/>
                <w:szCs w:val="20"/>
              </w:rPr>
            </w:pPr>
            <w:proofErr w:type="gramStart"/>
            <w:r w:rsidRPr="00E707E6">
              <w:rPr>
                <w:sz w:val="20"/>
                <w:szCs w:val="20"/>
              </w:rPr>
              <w:t>must</w:t>
            </w:r>
            <w:proofErr w:type="gramEnd"/>
            <w:r w:rsidRPr="00E707E6">
              <w:rPr>
                <w:sz w:val="20"/>
                <w:szCs w:val="20"/>
              </w:rPr>
              <w:t xml:space="preserve"> include ‘a detailed cover letter from the prescriber.’</w:t>
            </w:r>
          </w:p>
          <w:p w:rsidR="007E6E5C" w:rsidRPr="00E707E6" w:rsidRDefault="007E6E5C" w:rsidP="00DD4017">
            <w:pPr>
              <w:pStyle w:val="ListParagraph"/>
              <w:numPr>
                <w:ilvl w:val="0"/>
                <w:numId w:val="12"/>
              </w:numPr>
              <w:rPr>
                <w:sz w:val="20"/>
                <w:szCs w:val="20"/>
              </w:rPr>
            </w:pPr>
            <w:proofErr w:type="gramStart"/>
            <w:r w:rsidRPr="00E707E6">
              <w:rPr>
                <w:sz w:val="20"/>
                <w:szCs w:val="20"/>
              </w:rPr>
              <w:t>may</w:t>
            </w:r>
            <w:proofErr w:type="gramEnd"/>
            <w:r w:rsidRPr="00E707E6">
              <w:rPr>
                <w:sz w:val="20"/>
                <w:szCs w:val="20"/>
              </w:rPr>
              <w:t xml:space="preserve"> include a statement that vaccination has or will be administered and appropriate antibiotic prophylaxis has been prescribed instead of a copy of a current Certificate of vaccination.</w:t>
            </w:r>
          </w:p>
          <w:p w:rsidR="007E6E5C" w:rsidRPr="00E707E6" w:rsidRDefault="007E6E5C" w:rsidP="00DD4017">
            <w:pPr>
              <w:rPr>
                <w:sz w:val="20"/>
                <w:szCs w:val="20"/>
                <w:highlight w:val="yellow"/>
              </w:rPr>
            </w:pPr>
          </w:p>
        </w:tc>
      </w:tr>
      <w:tr w:rsidR="007E6E5C" w:rsidRPr="00E707E6" w:rsidTr="00DD4017">
        <w:tc>
          <w:tcPr>
            <w:tcW w:w="9180" w:type="dxa"/>
            <w:gridSpan w:val="2"/>
          </w:tcPr>
          <w:p w:rsidR="007E6E5C" w:rsidRPr="00E707E6" w:rsidRDefault="007E6E5C" w:rsidP="00DD4017">
            <w:pPr>
              <w:rPr>
                <w:sz w:val="20"/>
                <w:szCs w:val="20"/>
                <w:highlight w:val="yellow"/>
              </w:rPr>
            </w:pPr>
            <w:r w:rsidRPr="00E707E6">
              <w:rPr>
                <w:b/>
                <w:sz w:val="20"/>
                <w:szCs w:val="20"/>
              </w:rPr>
              <w:t>Grandfathered</w:t>
            </w:r>
          </w:p>
        </w:tc>
      </w:tr>
      <w:tr w:rsidR="007E6E5C" w:rsidRPr="00E707E6" w:rsidTr="00DD4017">
        <w:tc>
          <w:tcPr>
            <w:tcW w:w="2062" w:type="dxa"/>
          </w:tcPr>
          <w:p w:rsidR="007E6E5C" w:rsidRPr="00E707E6" w:rsidRDefault="007E6E5C" w:rsidP="00DD4017">
            <w:pPr>
              <w:rPr>
                <w:sz w:val="20"/>
                <w:szCs w:val="20"/>
                <w:highlight w:val="yellow"/>
              </w:rPr>
            </w:pPr>
            <w:r w:rsidRPr="00E707E6">
              <w:rPr>
                <w:sz w:val="20"/>
                <w:szCs w:val="20"/>
              </w:rPr>
              <w:t>February 2016</w:t>
            </w:r>
          </w:p>
        </w:tc>
        <w:tc>
          <w:tcPr>
            <w:tcW w:w="7118" w:type="dxa"/>
          </w:tcPr>
          <w:p w:rsidR="007E6E5C" w:rsidRPr="00E707E6" w:rsidRDefault="007E6E5C" w:rsidP="00DD4017">
            <w:pPr>
              <w:rPr>
                <w:sz w:val="20"/>
                <w:szCs w:val="20"/>
              </w:rPr>
            </w:pPr>
            <w:r w:rsidRPr="00E707E6">
              <w:rPr>
                <w:sz w:val="20"/>
                <w:szCs w:val="20"/>
              </w:rPr>
              <w:t>Changed from ‘Initial 3 – grandfathered’ to ‘Grandfather’</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Changed references from ‘Continuing treatment New Patient’ to ‘Extended Initial.’</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‘Serial haematological results (every 3 months while the patient is receiving treatment) must be provided with every subsequent application for treatment. This will assist DHS in the consideration of the patient s eligibility for further PBS subsidised treatment’ replaced with ‘The authority application must include the following measures of response to the prior course of treatment, including serial haematological results (every 3 months while the patient is receiving treatment).’</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Additional information requested in the written application: ‘…An identified genetic mutation, if applicable; and A family history of </w:t>
            </w:r>
            <w:proofErr w:type="spellStart"/>
            <w:r w:rsidRPr="00E707E6">
              <w:rPr>
                <w:sz w:val="20"/>
                <w:szCs w:val="20"/>
              </w:rPr>
              <w:t>aHUS</w:t>
            </w:r>
            <w:proofErr w:type="spellEnd"/>
            <w:r w:rsidRPr="00E707E6">
              <w:rPr>
                <w:sz w:val="20"/>
                <w:szCs w:val="20"/>
              </w:rPr>
              <w:t xml:space="preserve">, if applicable; and A history of multiple episodes of </w:t>
            </w:r>
            <w:proofErr w:type="spellStart"/>
            <w:r w:rsidRPr="00E707E6">
              <w:rPr>
                <w:sz w:val="20"/>
                <w:szCs w:val="20"/>
              </w:rPr>
              <w:t>aHUS</w:t>
            </w:r>
            <w:proofErr w:type="spellEnd"/>
            <w:r w:rsidRPr="00E707E6">
              <w:rPr>
                <w:sz w:val="20"/>
                <w:szCs w:val="20"/>
              </w:rPr>
              <w:t xml:space="preserve"> before commencing </w:t>
            </w:r>
            <w:proofErr w:type="spellStart"/>
            <w:r w:rsidRPr="00E707E6">
              <w:rPr>
                <w:sz w:val="20"/>
                <w:szCs w:val="20"/>
              </w:rPr>
              <w:t>eculizumab</w:t>
            </w:r>
            <w:proofErr w:type="spellEnd"/>
            <w:r w:rsidRPr="00E707E6">
              <w:rPr>
                <w:sz w:val="20"/>
                <w:szCs w:val="20"/>
              </w:rPr>
              <w:t xml:space="preserve"> treatment, if applicable; and A history of kidney transplant, if applicable, (especially if required due to </w:t>
            </w:r>
            <w:proofErr w:type="spellStart"/>
            <w:r w:rsidRPr="00E707E6">
              <w:rPr>
                <w:sz w:val="20"/>
                <w:szCs w:val="20"/>
              </w:rPr>
              <w:t>aHUS</w:t>
            </w:r>
            <w:proofErr w:type="spellEnd"/>
            <w:r w:rsidRPr="00E707E6">
              <w:rPr>
                <w:sz w:val="20"/>
                <w:szCs w:val="20"/>
              </w:rPr>
              <w:t>); and An inclusion of the individual consequences of recurrent disease, if applicable…’</w:t>
            </w:r>
          </w:p>
          <w:p w:rsidR="007E6E5C" w:rsidRPr="00E707E6" w:rsidRDefault="007E6E5C" w:rsidP="00DD4017">
            <w:pPr>
              <w:rPr>
                <w:sz w:val="20"/>
                <w:szCs w:val="20"/>
              </w:rPr>
            </w:pPr>
          </w:p>
          <w:p w:rsidR="007E6E5C" w:rsidRPr="00E707E6" w:rsidRDefault="007E6E5C" w:rsidP="00DD4017">
            <w:pPr>
              <w:rPr>
                <w:sz w:val="20"/>
                <w:szCs w:val="20"/>
              </w:rPr>
            </w:pPr>
            <w:r w:rsidRPr="00E707E6">
              <w:rPr>
                <w:sz w:val="20"/>
                <w:szCs w:val="20"/>
              </w:rPr>
              <w:t xml:space="preserve">Added: ‘This assessment must be submitted no later than 4 weeks from the cessation of the prior treatment. Where a response assessment is not undertaken and submitted within these timeframes, the patient will be deemed to have failed to respond to treatment with </w:t>
            </w:r>
            <w:proofErr w:type="spellStart"/>
            <w:r w:rsidRPr="00E707E6">
              <w:rPr>
                <w:sz w:val="20"/>
                <w:szCs w:val="20"/>
              </w:rPr>
              <w:t>eculizumab</w:t>
            </w:r>
            <w:proofErr w:type="spellEnd"/>
            <w:r w:rsidRPr="00E707E6">
              <w:rPr>
                <w:sz w:val="20"/>
                <w:szCs w:val="20"/>
              </w:rPr>
              <w:t>.’</w:t>
            </w:r>
          </w:p>
          <w:p w:rsidR="007E6E5C" w:rsidRPr="00E707E6" w:rsidRDefault="007E6E5C" w:rsidP="00DD4017">
            <w:pPr>
              <w:rPr>
                <w:sz w:val="20"/>
                <w:szCs w:val="20"/>
                <w:highlight w:val="yellow"/>
              </w:rPr>
            </w:pPr>
          </w:p>
        </w:tc>
      </w:tr>
      <w:tr w:rsidR="007E6E5C" w:rsidRPr="00E707E6" w:rsidTr="00DD4017">
        <w:tc>
          <w:tcPr>
            <w:tcW w:w="2062" w:type="dxa"/>
          </w:tcPr>
          <w:p w:rsidR="007E6E5C" w:rsidRPr="00E707E6" w:rsidRDefault="007E6E5C" w:rsidP="00DD4017">
            <w:pPr>
              <w:rPr>
                <w:sz w:val="20"/>
                <w:szCs w:val="20"/>
              </w:rPr>
            </w:pPr>
            <w:r w:rsidRPr="00E707E6">
              <w:rPr>
                <w:sz w:val="20"/>
                <w:szCs w:val="20"/>
              </w:rPr>
              <w:lastRenderedPageBreak/>
              <w:t>January 2017</w:t>
            </w:r>
          </w:p>
        </w:tc>
        <w:tc>
          <w:tcPr>
            <w:tcW w:w="7118" w:type="dxa"/>
          </w:tcPr>
          <w:p w:rsidR="007E6E5C" w:rsidRPr="00E707E6" w:rsidRDefault="007E6E5C" w:rsidP="00DD4017">
            <w:pPr>
              <w:rPr>
                <w:sz w:val="20"/>
                <w:szCs w:val="20"/>
              </w:rPr>
            </w:pPr>
            <w:r w:rsidRPr="00E707E6">
              <w:rPr>
                <w:sz w:val="20"/>
                <w:szCs w:val="20"/>
              </w:rPr>
              <w:t>Grandfather restriction ceased.</w:t>
            </w:r>
          </w:p>
        </w:tc>
      </w:tr>
    </w:tbl>
    <w:p w:rsidR="00F96263" w:rsidRDefault="00F96263" w:rsidP="00D95CBD">
      <w:pPr>
        <w:rPr>
          <w:lang w:eastAsia="en-US"/>
        </w:rPr>
      </w:pPr>
    </w:p>
    <w:sectPr w:rsidR="00F96263" w:rsidSect="00DD188C">
      <w:headerReference w:type="default" r:id="rId17"/>
      <w:footerReference w:type="even" r:id="rId18"/>
      <w:footerReference w:type="default" r:id="rId19"/>
      <w:footerReference w:type="first" r:id="rId20"/>
      <w:pgSz w:w="11906" w:h="16838"/>
      <w:pgMar w:top="1644" w:right="1361" w:bottom="1644" w:left="158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88AB02" w16cid:durableId="23C677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AD" w:rsidRDefault="00066AAD" w:rsidP="00A35800">
      <w:r>
        <w:separator/>
      </w:r>
    </w:p>
  </w:endnote>
  <w:endnote w:type="continuationSeparator" w:id="0">
    <w:p w:rsidR="00066AAD" w:rsidRDefault="00066AAD"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14" w:rsidRDefault="00853314"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53314" w:rsidRDefault="00853314"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853314" w:rsidRPr="000E72C6" w:rsidRDefault="00853314" w:rsidP="00B071EE">
            <w:pPr>
              <w:pStyle w:val="Footer"/>
              <w:jc w:val="center"/>
              <w:rPr>
                <w:i/>
                <w:sz w:val="20"/>
              </w:rPr>
            </w:pPr>
            <w:r>
              <w:rPr>
                <w:i/>
                <w:sz w:val="20"/>
              </w:rPr>
              <w:t>Public Release Document October 2020 DUSC Meeting</w:t>
            </w:r>
          </w:p>
          <w:p w:rsidR="00853314" w:rsidRPr="000F60A3" w:rsidRDefault="00853314" w:rsidP="000F60A3">
            <w:pPr>
              <w:pStyle w:val="Footer"/>
              <w:jc w:val="center"/>
              <w:rPr>
                <w:rStyle w:val="PageNumber"/>
                <w:i/>
                <w:sz w:val="20"/>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092F34">
              <w:rPr>
                <w:bCs/>
                <w:i/>
                <w:noProof/>
                <w:sz w:val="20"/>
              </w:rPr>
              <w:t>26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092F34">
              <w:rPr>
                <w:bCs/>
                <w:i/>
                <w:noProof/>
                <w:sz w:val="20"/>
              </w:rPr>
              <w:t>26</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14" w:rsidRDefault="00853314" w:rsidP="007A5733">
    <w:pPr>
      <w:pStyle w:val="Footer"/>
      <w:jc w:val="center"/>
      <w:rPr>
        <w:rStyle w:val="PageNumber"/>
      </w:rPr>
    </w:pPr>
    <w:r>
      <w:rPr>
        <w:rStyle w:val="PageNumber"/>
      </w:rPr>
      <w:t>Committee-in-Confidence</w:t>
    </w:r>
  </w:p>
  <w:p w:rsidR="00853314" w:rsidRDefault="00853314"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AD" w:rsidRDefault="00066AAD" w:rsidP="00A35800">
      <w:r>
        <w:separator/>
      </w:r>
    </w:p>
  </w:footnote>
  <w:footnote w:type="continuationSeparator" w:id="0">
    <w:p w:rsidR="00066AAD" w:rsidRDefault="00066AAD" w:rsidP="00A35800">
      <w:r>
        <w:continuationSeparator/>
      </w:r>
    </w:p>
  </w:footnote>
  <w:footnote w:id="1">
    <w:p w:rsidR="00853314" w:rsidRPr="00BC5AE2" w:rsidRDefault="00853314" w:rsidP="00613BC3">
      <w:pPr>
        <w:pStyle w:val="FootnoteText"/>
        <w:ind w:right="-1108"/>
      </w:pPr>
      <w:r w:rsidRPr="00613BC3">
        <w:rPr>
          <w:rStyle w:val="FootnoteReference"/>
        </w:rPr>
        <w:footnoteRef/>
      </w:r>
      <w:r w:rsidRPr="00613BC3">
        <w:t xml:space="preserve"> PBS statistics. Australian Government Services Australia. Available from </w:t>
      </w:r>
      <w:hyperlink r:id="rId1" w:history="1">
        <w:r w:rsidRPr="00613BC3">
          <w:rPr>
            <w:rStyle w:val="Hyperlink"/>
          </w:rPr>
          <w:t>http://www.medicareaustralia.gov.au/provider/pbs/stats.jsp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14" w:rsidRDefault="00853314" w:rsidP="002B3B62">
    <w:pPr>
      <w:pStyle w:val="Header"/>
    </w:pPr>
    <w:r>
      <w:t>Item 7.4 DUSC October 2020</w:t>
    </w:r>
  </w:p>
  <w:p w:rsidR="00853314" w:rsidRDefault="00853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AD5"/>
    <w:multiLevelType w:val="hybridMultilevel"/>
    <w:tmpl w:val="03F29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B36E4"/>
    <w:multiLevelType w:val="hybridMultilevel"/>
    <w:tmpl w:val="E172737C"/>
    <w:lvl w:ilvl="0" w:tplc="C14AE0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CB06D0"/>
    <w:multiLevelType w:val="hybridMultilevel"/>
    <w:tmpl w:val="260E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655DEB"/>
    <w:multiLevelType w:val="hybridMultilevel"/>
    <w:tmpl w:val="888604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AE0EEC"/>
    <w:multiLevelType w:val="hybridMultilevel"/>
    <w:tmpl w:val="622A7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35F82A00"/>
    <w:multiLevelType w:val="hybridMultilevel"/>
    <w:tmpl w:val="69485984"/>
    <w:lvl w:ilvl="0" w:tplc="C770B22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F118E9"/>
    <w:multiLevelType w:val="hybridMultilevel"/>
    <w:tmpl w:val="B92C5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FA710B"/>
    <w:multiLevelType w:val="hybridMultilevel"/>
    <w:tmpl w:val="A1FA5DCA"/>
    <w:lvl w:ilvl="0" w:tplc="5426ADCA">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F4348F"/>
    <w:multiLevelType w:val="hybridMultilevel"/>
    <w:tmpl w:val="0CA6AF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6D932CD"/>
    <w:multiLevelType w:val="hybridMultilevel"/>
    <w:tmpl w:val="2A32334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15:restartNumberingAfterBreak="0">
    <w:nsid w:val="4FD72066"/>
    <w:multiLevelType w:val="hybridMultilevel"/>
    <w:tmpl w:val="20445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232688"/>
    <w:multiLevelType w:val="hybridMultilevel"/>
    <w:tmpl w:val="DC401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E076D0"/>
    <w:multiLevelType w:val="hybridMultilevel"/>
    <w:tmpl w:val="D87A7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2A63BB"/>
    <w:multiLevelType w:val="hybridMultilevel"/>
    <w:tmpl w:val="FB72F52C"/>
    <w:lvl w:ilvl="0" w:tplc="2ECE21F4">
      <w:start w:val="4"/>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4"/>
  </w:num>
  <w:num w:numId="4">
    <w:abstractNumId w:val="2"/>
  </w:num>
  <w:num w:numId="5">
    <w:abstractNumId w:val="16"/>
  </w:num>
  <w:num w:numId="6">
    <w:abstractNumId w:val="1"/>
  </w:num>
  <w:num w:numId="7">
    <w:abstractNumId w:val="5"/>
  </w:num>
  <w:num w:numId="8">
    <w:abstractNumId w:val="3"/>
  </w:num>
  <w:num w:numId="9">
    <w:abstractNumId w:val="9"/>
  </w:num>
  <w:num w:numId="10">
    <w:abstractNumId w:val="10"/>
  </w:num>
  <w:num w:numId="11">
    <w:abstractNumId w:val="11"/>
  </w:num>
  <w:num w:numId="12">
    <w:abstractNumId w:val="6"/>
  </w:num>
  <w:num w:numId="13">
    <w:abstractNumId w:val="12"/>
  </w:num>
  <w:num w:numId="14">
    <w:abstractNumId w:val="16"/>
  </w:num>
  <w:num w:numId="15">
    <w:abstractNumId w:val="8"/>
  </w:num>
  <w:num w:numId="16">
    <w:abstractNumId w:val="7"/>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475C"/>
    <w:rsid w:val="00005B95"/>
    <w:rsid w:val="00007E85"/>
    <w:rsid w:val="00013465"/>
    <w:rsid w:val="000215CC"/>
    <w:rsid w:val="0002194F"/>
    <w:rsid w:val="000226B3"/>
    <w:rsid w:val="00024549"/>
    <w:rsid w:val="00042910"/>
    <w:rsid w:val="0005099F"/>
    <w:rsid w:val="00052CE1"/>
    <w:rsid w:val="000544B6"/>
    <w:rsid w:val="00055887"/>
    <w:rsid w:val="000604AF"/>
    <w:rsid w:val="00066AAD"/>
    <w:rsid w:val="00073DEB"/>
    <w:rsid w:val="00086C11"/>
    <w:rsid w:val="00092F34"/>
    <w:rsid w:val="0009440D"/>
    <w:rsid w:val="00094DCF"/>
    <w:rsid w:val="00096898"/>
    <w:rsid w:val="000A328F"/>
    <w:rsid w:val="000A6CFD"/>
    <w:rsid w:val="000A7C6D"/>
    <w:rsid w:val="000B0982"/>
    <w:rsid w:val="000B4FCD"/>
    <w:rsid w:val="000B796C"/>
    <w:rsid w:val="000C46BB"/>
    <w:rsid w:val="000C4D9D"/>
    <w:rsid w:val="000C57D2"/>
    <w:rsid w:val="000C7C4B"/>
    <w:rsid w:val="000C7D8B"/>
    <w:rsid w:val="000D1869"/>
    <w:rsid w:val="000D327F"/>
    <w:rsid w:val="000E3F75"/>
    <w:rsid w:val="000E485D"/>
    <w:rsid w:val="000E4866"/>
    <w:rsid w:val="000E4E8F"/>
    <w:rsid w:val="000E5E40"/>
    <w:rsid w:val="000E72C6"/>
    <w:rsid w:val="000F1893"/>
    <w:rsid w:val="000F2F51"/>
    <w:rsid w:val="000F60A3"/>
    <w:rsid w:val="0010006E"/>
    <w:rsid w:val="00106ED1"/>
    <w:rsid w:val="00113CF8"/>
    <w:rsid w:val="00113D74"/>
    <w:rsid w:val="00117C5C"/>
    <w:rsid w:val="00121710"/>
    <w:rsid w:val="00125D4E"/>
    <w:rsid w:val="00125E76"/>
    <w:rsid w:val="001310AE"/>
    <w:rsid w:val="00134AE8"/>
    <w:rsid w:val="001420B3"/>
    <w:rsid w:val="00144A49"/>
    <w:rsid w:val="001460C4"/>
    <w:rsid w:val="001536F6"/>
    <w:rsid w:val="0015691C"/>
    <w:rsid w:val="001621F7"/>
    <w:rsid w:val="001624D7"/>
    <w:rsid w:val="00171EF0"/>
    <w:rsid w:val="001750B0"/>
    <w:rsid w:val="00177B86"/>
    <w:rsid w:val="00181557"/>
    <w:rsid w:val="00181F2C"/>
    <w:rsid w:val="00182585"/>
    <w:rsid w:val="00183BE8"/>
    <w:rsid w:val="00191182"/>
    <w:rsid w:val="0019664D"/>
    <w:rsid w:val="001A1322"/>
    <w:rsid w:val="001A6103"/>
    <w:rsid w:val="001A7A31"/>
    <w:rsid w:val="001B07E8"/>
    <w:rsid w:val="001B349B"/>
    <w:rsid w:val="001B5D37"/>
    <w:rsid w:val="001C2940"/>
    <w:rsid w:val="001C4016"/>
    <w:rsid w:val="001C548D"/>
    <w:rsid w:val="001C5782"/>
    <w:rsid w:val="001C6A5D"/>
    <w:rsid w:val="001D3D25"/>
    <w:rsid w:val="001E2725"/>
    <w:rsid w:val="001E31A6"/>
    <w:rsid w:val="001E42C7"/>
    <w:rsid w:val="001E4CAB"/>
    <w:rsid w:val="001F0442"/>
    <w:rsid w:val="001F0A4E"/>
    <w:rsid w:val="001F1484"/>
    <w:rsid w:val="001F2D2A"/>
    <w:rsid w:val="001F2F3E"/>
    <w:rsid w:val="001F4906"/>
    <w:rsid w:val="001F7C4A"/>
    <w:rsid w:val="0020578A"/>
    <w:rsid w:val="00207631"/>
    <w:rsid w:val="002138DF"/>
    <w:rsid w:val="00214013"/>
    <w:rsid w:val="00220FC1"/>
    <w:rsid w:val="00222997"/>
    <w:rsid w:val="00222E9A"/>
    <w:rsid w:val="0023179D"/>
    <w:rsid w:val="002357B2"/>
    <w:rsid w:val="0025389D"/>
    <w:rsid w:val="00254E02"/>
    <w:rsid w:val="0026265F"/>
    <w:rsid w:val="002658E3"/>
    <w:rsid w:val="0026786E"/>
    <w:rsid w:val="00286C3A"/>
    <w:rsid w:val="002930F5"/>
    <w:rsid w:val="00293A7C"/>
    <w:rsid w:val="002A06B7"/>
    <w:rsid w:val="002A3556"/>
    <w:rsid w:val="002B3B62"/>
    <w:rsid w:val="002C1E92"/>
    <w:rsid w:val="002C6E0C"/>
    <w:rsid w:val="002D144A"/>
    <w:rsid w:val="002D2FCA"/>
    <w:rsid w:val="002D3404"/>
    <w:rsid w:val="002E0439"/>
    <w:rsid w:val="002E0683"/>
    <w:rsid w:val="002E19A3"/>
    <w:rsid w:val="002E212B"/>
    <w:rsid w:val="002E3258"/>
    <w:rsid w:val="002E32E7"/>
    <w:rsid w:val="002E3337"/>
    <w:rsid w:val="002E56ED"/>
    <w:rsid w:val="002E6CF2"/>
    <w:rsid w:val="002E6D03"/>
    <w:rsid w:val="002F49A8"/>
    <w:rsid w:val="002F5E66"/>
    <w:rsid w:val="002F61CA"/>
    <w:rsid w:val="002F7E16"/>
    <w:rsid w:val="0030010D"/>
    <w:rsid w:val="00326E77"/>
    <w:rsid w:val="00334D4D"/>
    <w:rsid w:val="0033504C"/>
    <w:rsid w:val="00336816"/>
    <w:rsid w:val="003370D0"/>
    <w:rsid w:val="00337355"/>
    <w:rsid w:val="003402E4"/>
    <w:rsid w:val="00340F95"/>
    <w:rsid w:val="003531ED"/>
    <w:rsid w:val="00357048"/>
    <w:rsid w:val="00360B9A"/>
    <w:rsid w:val="0036261D"/>
    <w:rsid w:val="003628F8"/>
    <w:rsid w:val="0036319A"/>
    <w:rsid w:val="00373E51"/>
    <w:rsid w:val="0039017F"/>
    <w:rsid w:val="00394AEE"/>
    <w:rsid w:val="003A01CC"/>
    <w:rsid w:val="003A74B4"/>
    <w:rsid w:val="003B2417"/>
    <w:rsid w:val="003B6934"/>
    <w:rsid w:val="003C1954"/>
    <w:rsid w:val="003C2D98"/>
    <w:rsid w:val="003C634B"/>
    <w:rsid w:val="003D3A96"/>
    <w:rsid w:val="003D3B9C"/>
    <w:rsid w:val="003E331F"/>
    <w:rsid w:val="003F4331"/>
    <w:rsid w:val="003F6117"/>
    <w:rsid w:val="00404F03"/>
    <w:rsid w:val="00411856"/>
    <w:rsid w:val="00412051"/>
    <w:rsid w:val="00423B94"/>
    <w:rsid w:val="004263BD"/>
    <w:rsid w:val="00431601"/>
    <w:rsid w:val="0045155A"/>
    <w:rsid w:val="00463731"/>
    <w:rsid w:val="0046400A"/>
    <w:rsid w:val="00467B25"/>
    <w:rsid w:val="00481108"/>
    <w:rsid w:val="0048673E"/>
    <w:rsid w:val="0049042B"/>
    <w:rsid w:val="0049316B"/>
    <w:rsid w:val="00495473"/>
    <w:rsid w:val="00495D23"/>
    <w:rsid w:val="00496172"/>
    <w:rsid w:val="004A311C"/>
    <w:rsid w:val="004A458E"/>
    <w:rsid w:val="004A5D73"/>
    <w:rsid w:val="004B23E7"/>
    <w:rsid w:val="004B306F"/>
    <w:rsid w:val="004C3186"/>
    <w:rsid w:val="004C5042"/>
    <w:rsid w:val="004C61F2"/>
    <w:rsid w:val="004E0739"/>
    <w:rsid w:val="004E4422"/>
    <w:rsid w:val="004E6FB7"/>
    <w:rsid w:val="004F5241"/>
    <w:rsid w:val="004F536D"/>
    <w:rsid w:val="005038B3"/>
    <w:rsid w:val="00503998"/>
    <w:rsid w:val="0050623B"/>
    <w:rsid w:val="005128AC"/>
    <w:rsid w:val="00514D4E"/>
    <w:rsid w:val="00523181"/>
    <w:rsid w:val="00524D13"/>
    <w:rsid w:val="005276FD"/>
    <w:rsid w:val="005339F6"/>
    <w:rsid w:val="00543058"/>
    <w:rsid w:val="00547E51"/>
    <w:rsid w:val="00573F55"/>
    <w:rsid w:val="00576B18"/>
    <w:rsid w:val="005813C1"/>
    <w:rsid w:val="005820C8"/>
    <w:rsid w:val="00587724"/>
    <w:rsid w:val="005913AE"/>
    <w:rsid w:val="00591512"/>
    <w:rsid w:val="00594A09"/>
    <w:rsid w:val="005B0AF5"/>
    <w:rsid w:val="005B1A08"/>
    <w:rsid w:val="005B2759"/>
    <w:rsid w:val="005B2D91"/>
    <w:rsid w:val="005B4586"/>
    <w:rsid w:val="005B48B4"/>
    <w:rsid w:val="005C0987"/>
    <w:rsid w:val="005C6661"/>
    <w:rsid w:val="005C6E3B"/>
    <w:rsid w:val="005C7DEA"/>
    <w:rsid w:val="005D0567"/>
    <w:rsid w:val="005D2008"/>
    <w:rsid w:val="005D3F14"/>
    <w:rsid w:val="005D474B"/>
    <w:rsid w:val="005E085C"/>
    <w:rsid w:val="005E0C6E"/>
    <w:rsid w:val="005E147D"/>
    <w:rsid w:val="005E22C2"/>
    <w:rsid w:val="005E57BB"/>
    <w:rsid w:val="005F0017"/>
    <w:rsid w:val="005F1AB1"/>
    <w:rsid w:val="005F3239"/>
    <w:rsid w:val="005F4038"/>
    <w:rsid w:val="005F4BDA"/>
    <w:rsid w:val="005F6FD2"/>
    <w:rsid w:val="006014F1"/>
    <w:rsid w:val="00601E13"/>
    <w:rsid w:val="00603124"/>
    <w:rsid w:val="00605EFA"/>
    <w:rsid w:val="006115CA"/>
    <w:rsid w:val="0061357B"/>
    <w:rsid w:val="006135AE"/>
    <w:rsid w:val="00613BC3"/>
    <w:rsid w:val="00614A7D"/>
    <w:rsid w:val="0063631C"/>
    <w:rsid w:val="006374A9"/>
    <w:rsid w:val="0063757B"/>
    <w:rsid w:val="006377CE"/>
    <w:rsid w:val="00644307"/>
    <w:rsid w:val="006507B7"/>
    <w:rsid w:val="006537D9"/>
    <w:rsid w:val="00655D6A"/>
    <w:rsid w:val="00664A48"/>
    <w:rsid w:val="00665DEF"/>
    <w:rsid w:val="00675BB1"/>
    <w:rsid w:val="006760F6"/>
    <w:rsid w:val="006775F1"/>
    <w:rsid w:val="006842D1"/>
    <w:rsid w:val="00692AA7"/>
    <w:rsid w:val="006948BD"/>
    <w:rsid w:val="00697FEC"/>
    <w:rsid w:val="006A175F"/>
    <w:rsid w:val="006A44F5"/>
    <w:rsid w:val="006A5B81"/>
    <w:rsid w:val="006B121F"/>
    <w:rsid w:val="006B4537"/>
    <w:rsid w:val="006B5F85"/>
    <w:rsid w:val="006B6929"/>
    <w:rsid w:val="006B6A74"/>
    <w:rsid w:val="006B709B"/>
    <w:rsid w:val="006C2A38"/>
    <w:rsid w:val="006C366D"/>
    <w:rsid w:val="006C4E86"/>
    <w:rsid w:val="006C54AF"/>
    <w:rsid w:val="006D3F9C"/>
    <w:rsid w:val="006D73ED"/>
    <w:rsid w:val="006D7A38"/>
    <w:rsid w:val="006E0181"/>
    <w:rsid w:val="006E3503"/>
    <w:rsid w:val="006F30FD"/>
    <w:rsid w:val="006F79B8"/>
    <w:rsid w:val="00700C0E"/>
    <w:rsid w:val="0070171A"/>
    <w:rsid w:val="00705DAD"/>
    <w:rsid w:val="00710B30"/>
    <w:rsid w:val="0071184D"/>
    <w:rsid w:val="007174DA"/>
    <w:rsid w:val="007247B9"/>
    <w:rsid w:val="00727D85"/>
    <w:rsid w:val="00730B02"/>
    <w:rsid w:val="00731C03"/>
    <w:rsid w:val="00733BBB"/>
    <w:rsid w:val="007346C7"/>
    <w:rsid w:val="00736041"/>
    <w:rsid w:val="007408C7"/>
    <w:rsid w:val="00741568"/>
    <w:rsid w:val="0074311C"/>
    <w:rsid w:val="00743794"/>
    <w:rsid w:val="007465DA"/>
    <w:rsid w:val="00752BEA"/>
    <w:rsid w:val="00752C7F"/>
    <w:rsid w:val="00764F1E"/>
    <w:rsid w:val="00764F5D"/>
    <w:rsid w:val="00774AD4"/>
    <w:rsid w:val="00776598"/>
    <w:rsid w:val="00776C02"/>
    <w:rsid w:val="00777C23"/>
    <w:rsid w:val="00786A04"/>
    <w:rsid w:val="007904BC"/>
    <w:rsid w:val="00792948"/>
    <w:rsid w:val="00795DCC"/>
    <w:rsid w:val="00796E84"/>
    <w:rsid w:val="007A3ADE"/>
    <w:rsid w:val="007A5733"/>
    <w:rsid w:val="007A5774"/>
    <w:rsid w:val="007C2B75"/>
    <w:rsid w:val="007C682F"/>
    <w:rsid w:val="007E37CE"/>
    <w:rsid w:val="007E4F6C"/>
    <w:rsid w:val="007E5F61"/>
    <w:rsid w:val="007E6E5C"/>
    <w:rsid w:val="007F0E76"/>
    <w:rsid w:val="007F3348"/>
    <w:rsid w:val="007F44ED"/>
    <w:rsid w:val="007F5213"/>
    <w:rsid w:val="00801E74"/>
    <w:rsid w:val="00803597"/>
    <w:rsid w:val="0080402B"/>
    <w:rsid w:val="0080485E"/>
    <w:rsid w:val="00813BB1"/>
    <w:rsid w:val="008142B4"/>
    <w:rsid w:val="00817586"/>
    <w:rsid w:val="00823737"/>
    <w:rsid w:val="00830E75"/>
    <w:rsid w:val="00832324"/>
    <w:rsid w:val="00835337"/>
    <w:rsid w:val="00837D7E"/>
    <w:rsid w:val="00841782"/>
    <w:rsid w:val="00846246"/>
    <w:rsid w:val="00846DCD"/>
    <w:rsid w:val="008470A5"/>
    <w:rsid w:val="00851A1C"/>
    <w:rsid w:val="00851D85"/>
    <w:rsid w:val="0085256F"/>
    <w:rsid w:val="00853314"/>
    <w:rsid w:val="00854A61"/>
    <w:rsid w:val="00860CCB"/>
    <w:rsid w:val="008626DC"/>
    <w:rsid w:val="00864832"/>
    <w:rsid w:val="008740A3"/>
    <w:rsid w:val="008774F5"/>
    <w:rsid w:val="00880137"/>
    <w:rsid w:val="008844F9"/>
    <w:rsid w:val="0089297B"/>
    <w:rsid w:val="008A5083"/>
    <w:rsid w:val="008B3B9E"/>
    <w:rsid w:val="008C36CA"/>
    <w:rsid w:val="008D1B80"/>
    <w:rsid w:val="008D2921"/>
    <w:rsid w:val="008E3F8C"/>
    <w:rsid w:val="008F4189"/>
    <w:rsid w:val="00902FD0"/>
    <w:rsid w:val="0090532E"/>
    <w:rsid w:val="009053D3"/>
    <w:rsid w:val="0090691F"/>
    <w:rsid w:val="0091126A"/>
    <w:rsid w:val="00916362"/>
    <w:rsid w:val="0092775D"/>
    <w:rsid w:val="0093111F"/>
    <w:rsid w:val="00935689"/>
    <w:rsid w:val="00941244"/>
    <w:rsid w:val="00945684"/>
    <w:rsid w:val="00947AB8"/>
    <w:rsid w:val="00950162"/>
    <w:rsid w:val="0095089C"/>
    <w:rsid w:val="0095303B"/>
    <w:rsid w:val="0096132D"/>
    <w:rsid w:val="00963147"/>
    <w:rsid w:val="009663B6"/>
    <w:rsid w:val="00967DCB"/>
    <w:rsid w:val="009727BE"/>
    <w:rsid w:val="00974A47"/>
    <w:rsid w:val="00977B32"/>
    <w:rsid w:val="00980286"/>
    <w:rsid w:val="00987E79"/>
    <w:rsid w:val="00990DCF"/>
    <w:rsid w:val="0099245C"/>
    <w:rsid w:val="0099373A"/>
    <w:rsid w:val="00994FCD"/>
    <w:rsid w:val="009951A5"/>
    <w:rsid w:val="009A102E"/>
    <w:rsid w:val="009A222D"/>
    <w:rsid w:val="009A434B"/>
    <w:rsid w:val="009A4877"/>
    <w:rsid w:val="009A4CD6"/>
    <w:rsid w:val="009A537C"/>
    <w:rsid w:val="009B5E43"/>
    <w:rsid w:val="009C0886"/>
    <w:rsid w:val="009C19EE"/>
    <w:rsid w:val="009C25DA"/>
    <w:rsid w:val="009C28D0"/>
    <w:rsid w:val="009C35F2"/>
    <w:rsid w:val="009C7782"/>
    <w:rsid w:val="009D1ED5"/>
    <w:rsid w:val="009D2A57"/>
    <w:rsid w:val="009D401B"/>
    <w:rsid w:val="009D4C13"/>
    <w:rsid w:val="009D4EC6"/>
    <w:rsid w:val="009D6322"/>
    <w:rsid w:val="009E21A7"/>
    <w:rsid w:val="009E665C"/>
    <w:rsid w:val="009E7016"/>
    <w:rsid w:val="009E7478"/>
    <w:rsid w:val="009F39EC"/>
    <w:rsid w:val="009F6BF9"/>
    <w:rsid w:val="00A02FE9"/>
    <w:rsid w:val="00A103ED"/>
    <w:rsid w:val="00A10B68"/>
    <w:rsid w:val="00A13C60"/>
    <w:rsid w:val="00A15134"/>
    <w:rsid w:val="00A20333"/>
    <w:rsid w:val="00A2130C"/>
    <w:rsid w:val="00A341A3"/>
    <w:rsid w:val="00A34F0E"/>
    <w:rsid w:val="00A35800"/>
    <w:rsid w:val="00A374CD"/>
    <w:rsid w:val="00A37C48"/>
    <w:rsid w:val="00A45E20"/>
    <w:rsid w:val="00A52918"/>
    <w:rsid w:val="00A547B3"/>
    <w:rsid w:val="00A54AD0"/>
    <w:rsid w:val="00A70E82"/>
    <w:rsid w:val="00A73BE8"/>
    <w:rsid w:val="00A77441"/>
    <w:rsid w:val="00A77581"/>
    <w:rsid w:val="00A77FA0"/>
    <w:rsid w:val="00A84CAD"/>
    <w:rsid w:val="00A90E50"/>
    <w:rsid w:val="00A9246C"/>
    <w:rsid w:val="00A95FA5"/>
    <w:rsid w:val="00A96D92"/>
    <w:rsid w:val="00AA4FC4"/>
    <w:rsid w:val="00AA7770"/>
    <w:rsid w:val="00AB199C"/>
    <w:rsid w:val="00AB3733"/>
    <w:rsid w:val="00AB588C"/>
    <w:rsid w:val="00AB7897"/>
    <w:rsid w:val="00AC5054"/>
    <w:rsid w:val="00AC5BF8"/>
    <w:rsid w:val="00AD5905"/>
    <w:rsid w:val="00AD6B94"/>
    <w:rsid w:val="00AE1A6D"/>
    <w:rsid w:val="00AE1D6B"/>
    <w:rsid w:val="00AE4BAC"/>
    <w:rsid w:val="00AF4D7B"/>
    <w:rsid w:val="00B02AE6"/>
    <w:rsid w:val="00B02F4C"/>
    <w:rsid w:val="00B034FC"/>
    <w:rsid w:val="00B05310"/>
    <w:rsid w:val="00B071EE"/>
    <w:rsid w:val="00B10A0B"/>
    <w:rsid w:val="00B16A2E"/>
    <w:rsid w:val="00B24DC9"/>
    <w:rsid w:val="00B25AB5"/>
    <w:rsid w:val="00B30D85"/>
    <w:rsid w:val="00B325DD"/>
    <w:rsid w:val="00B35A4A"/>
    <w:rsid w:val="00B453CF"/>
    <w:rsid w:val="00B63FD7"/>
    <w:rsid w:val="00B8136C"/>
    <w:rsid w:val="00B816D9"/>
    <w:rsid w:val="00B81B1C"/>
    <w:rsid w:val="00B9120F"/>
    <w:rsid w:val="00B9216C"/>
    <w:rsid w:val="00B924A4"/>
    <w:rsid w:val="00BA569A"/>
    <w:rsid w:val="00BB0D1A"/>
    <w:rsid w:val="00BB1D3B"/>
    <w:rsid w:val="00BB2CB7"/>
    <w:rsid w:val="00BC35ED"/>
    <w:rsid w:val="00BC4031"/>
    <w:rsid w:val="00BC4AE8"/>
    <w:rsid w:val="00BC552E"/>
    <w:rsid w:val="00BC6815"/>
    <w:rsid w:val="00BD2C51"/>
    <w:rsid w:val="00BD722A"/>
    <w:rsid w:val="00BE205A"/>
    <w:rsid w:val="00BE3802"/>
    <w:rsid w:val="00BE6C74"/>
    <w:rsid w:val="00BF00A1"/>
    <w:rsid w:val="00BF238E"/>
    <w:rsid w:val="00BF2F4A"/>
    <w:rsid w:val="00BF544D"/>
    <w:rsid w:val="00C0076F"/>
    <w:rsid w:val="00C0301C"/>
    <w:rsid w:val="00C0342F"/>
    <w:rsid w:val="00C050B6"/>
    <w:rsid w:val="00C10F12"/>
    <w:rsid w:val="00C245EA"/>
    <w:rsid w:val="00C256F6"/>
    <w:rsid w:val="00C2659E"/>
    <w:rsid w:val="00C270F4"/>
    <w:rsid w:val="00C3097E"/>
    <w:rsid w:val="00C35ECC"/>
    <w:rsid w:val="00C361A8"/>
    <w:rsid w:val="00C41246"/>
    <w:rsid w:val="00C45E5F"/>
    <w:rsid w:val="00C46291"/>
    <w:rsid w:val="00C467AF"/>
    <w:rsid w:val="00C502DA"/>
    <w:rsid w:val="00C55E94"/>
    <w:rsid w:val="00C5643D"/>
    <w:rsid w:val="00C63412"/>
    <w:rsid w:val="00C714D0"/>
    <w:rsid w:val="00C77B52"/>
    <w:rsid w:val="00C848DE"/>
    <w:rsid w:val="00C90EF4"/>
    <w:rsid w:val="00C9321F"/>
    <w:rsid w:val="00C93E13"/>
    <w:rsid w:val="00CA015A"/>
    <w:rsid w:val="00CA7474"/>
    <w:rsid w:val="00CA7F1E"/>
    <w:rsid w:val="00CC1AA3"/>
    <w:rsid w:val="00CC2401"/>
    <w:rsid w:val="00CC4450"/>
    <w:rsid w:val="00CC791B"/>
    <w:rsid w:val="00CD3860"/>
    <w:rsid w:val="00CD4486"/>
    <w:rsid w:val="00CD6CBC"/>
    <w:rsid w:val="00CD7C7A"/>
    <w:rsid w:val="00CF1EFB"/>
    <w:rsid w:val="00CF24D1"/>
    <w:rsid w:val="00CF28AA"/>
    <w:rsid w:val="00CF5E22"/>
    <w:rsid w:val="00CF7682"/>
    <w:rsid w:val="00D03F4B"/>
    <w:rsid w:val="00D06A44"/>
    <w:rsid w:val="00D151EB"/>
    <w:rsid w:val="00D15B33"/>
    <w:rsid w:val="00D15BF6"/>
    <w:rsid w:val="00D2301B"/>
    <w:rsid w:val="00D300E0"/>
    <w:rsid w:val="00D30BCF"/>
    <w:rsid w:val="00D35FDC"/>
    <w:rsid w:val="00D374CD"/>
    <w:rsid w:val="00D42AF0"/>
    <w:rsid w:val="00D46DC0"/>
    <w:rsid w:val="00D556A3"/>
    <w:rsid w:val="00D60318"/>
    <w:rsid w:val="00D6164F"/>
    <w:rsid w:val="00D650CE"/>
    <w:rsid w:val="00D71082"/>
    <w:rsid w:val="00D71719"/>
    <w:rsid w:val="00D73183"/>
    <w:rsid w:val="00D776DA"/>
    <w:rsid w:val="00D82058"/>
    <w:rsid w:val="00D83354"/>
    <w:rsid w:val="00D8758B"/>
    <w:rsid w:val="00D91C82"/>
    <w:rsid w:val="00D942B3"/>
    <w:rsid w:val="00D94863"/>
    <w:rsid w:val="00D95CBD"/>
    <w:rsid w:val="00D9643A"/>
    <w:rsid w:val="00DA7D09"/>
    <w:rsid w:val="00DB0722"/>
    <w:rsid w:val="00DC2630"/>
    <w:rsid w:val="00DC28D8"/>
    <w:rsid w:val="00DC3AE9"/>
    <w:rsid w:val="00DC49E9"/>
    <w:rsid w:val="00DC55E4"/>
    <w:rsid w:val="00DC7D71"/>
    <w:rsid w:val="00DD188C"/>
    <w:rsid w:val="00DD29A3"/>
    <w:rsid w:val="00DD4017"/>
    <w:rsid w:val="00DD48EE"/>
    <w:rsid w:val="00DD60D6"/>
    <w:rsid w:val="00DD7C59"/>
    <w:rsid w:val="00DE0B96"/>
    <w:rsid w:val="00DE10B9"/>
    <w:rsid w:val="00DE3E12"/>
    <w:rsid w:val="00DF0B13"/>
    <w:rsid w:val="00DF2EB8"/>
    <w:rsid w:val="00DF345D"/>
    <w:rsid w:val="00DF4558"/>
    <w:rsid w:val="00DF4A94"/>
    <w:rsid w:val="00DF6003"/>
    <w:rsid w:val="00DF6F55"/>
    <w:rsid w:val="00E00095"/>
    <w:rsid w:val="00E05CD6"/>
    <w:rsid w:val="00E066C3"/>
    <w:rsid w:val="00E10D8C"/>
    <w:rsid w:val="00E1353A"/>
    <w:rsid w:val="00E1564B"/>
    <w:rsid w:val="00E16AE7"/>
    <w:rsid w:val="00E17A23"/>
    <w:rsid w:val="00E208A0"/>
    <w:rsid w:val="00E21F9A"/>
    <w:rsid w:val="00E2357A"/>
    <w:rsid w:val="00E25B49"/>
    <w:rsid w:val="00E33582"/>
    <w:rsid w:val="00E371EA"/>
    <w:rsid w:val="00E40D71"/>
    <w:rsid w:val="00E55D32"/>
    <w:rsid w:val="00E5745E"/>
    <w:rsid w:val="00E6295D"/>
    <w:rsid w:val="00E64429"/>
    <w:rsid w:val="00E677DD"/>
    <w:rsid w:val="00E7206C"/>
    <w:rsid w:val="00E7265C"/>
    <w:rsid w:val="00E7594B"/>
    <w:rsid w:val="00E94547"/>
    <w:rsid w:val="00E96CB7"/>
    <w:rsid w:val="00EA5C2D"/>
    <w:rsid w:val="00EB0439"/>
    <w:rsid w:val="00EB4688"/>
    <w:rsid w:val="00EB6401"/>
    <w:rsid w:val="00EB6C07"/>
    <w:rsid w:val="00EC028D"/>
    <w:rsid w:val="00EC4FBE"/>
    <w:rsid w:val="00ED07F6"/>
    <w:rsid w:val="00ED1F0D"/>
    <w:rsid w:val="00ED50D5"/>
    <w:rsid w:val="00ED633B"/>
    <w:rsid w:val="00ED6DC0"/>
    <w:rsid w:val="00ED7366"/>
    <w:rsid w:val="00EE0831"/>
    <w:rsid w:val="00EE2BBB"/>
    <w:rsid w:val="00EE478C"/>
    <w:rsid w:val="00EE55DE"/>
    <w:rsid w:val="00EF2F88"/>
    <w:rsid w:val="00F0419A"/>
    <w:rsid w:val="00F04394"/>
    <w:rsid w:val="00F05108"/>
    <w:rsid w:val="00F075C2"/>
    <w:rsid w:val="00F1132C"/>
    <w:rsid w:val="00F13073"/>
    <w:rsid w:val="00F15DD5"/>
    <w:rsid w:val="00F17D4B"/>
    <w:rsid w:val="00F23139"/>
    <w:rsid w:val="00F337DE"/>
    <w:rsid w:val="00F402CC"/>
    <w:rsid w:val="00F41F6D"/>
    <w:rsid w:val="00F44D14"/>
    <w:rsid w:val="00F53FCF"/>
    <w:rsid w:val="00F54E5A"/>
    <w:rsid w:val="00F56771"/>
    <w:rsid w:val="00F62C66"/>
    <w:rsid w:val="00F66CD5"/>
    <w:rsid w:val="00F67A9A"/>
    <w:rsid w:val="00F707D9"/>
    <w:rsid w:val="00F70B85"/>
    <w:rsid w:val="00F70F4E"/>
    <w:rsid w:val="00F73113"/>
    <w:rsid w:val="00F7508C"/>
    <w:rsid w:val="00F75FC4"/>
    <w:rsid w:val="00F77C5F"/>
    <w:rsid w:val="00F80C3B"/>
    <w:rsid w:val="00F81AB6"/>
    <w:rsid w:val="00F82351"/>
    <w:rsid w:val="00F831A5"/>
    <w:rsid w:val="00F83A76"/>
    <w:rsid w:val="00F83D57"/>
    <w:rsid w:val="00F85981"/>
    <w:rsid w:val="00F85B4E"/>
    <w:rsid w:val="00F87263"/>
    <w:rsid w:val="00F920BE"/>
    <w:rsid w:val="00F935EC"/>
    <w:rsid w:val="00F93725"/>
    <w:rsid w:val="00F96263"/>
    <w:rsid w:val="00FA3A67"/>
    <w:rsid w:val="00FA4890"/>
    <w:rsid w:val="00FA57CD"/>
    <w:rsid w:val="00FB4446"/>
    <w:rsid w:val="00FB77FA"/>
    <w:rsid w:val="00FC3C70"/>
    <w:rsid w:val="00FC4A73"/>
    <w:rsid w:val="00FC559C"/>
    <w:rsid w:val="00FC7F0D"/>
    <w:rsid w:val="00FD06F9"/>
    <w:rsid w:val="00FD6D77"/>
    <w:rsid w:val="00FE1131"/>
    <w:rsid w:val="00FE4D75"/>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70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 point,List Paragraph1,List Paragraph11,Recommendation,BulletPoints,Numbered para"/>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EndnoteText">
    <w:name w:val="endnote text"/>
    <w:basedOn w:val="Normal"/>
    <w:link w:val="EndnoteTextChar"/>
    <w:uiPriority w:val="99"/>
    <w:semiHidden/>
    <w:unhideWhenUsed/>
    <w:rsid w:val="009E7016"/>
    <w:pPr>
      <w:spacing w:after="0"/>
    </w:pPr>
    <w:rPr>
      <w:sz w:val="20"/>
      <w:szCs w:val="20"/>
    </w:rPr>
  </w:style>
  <w:style w:type="character" w:customStyle="1" w:styleId="EndnoteTextChar">
    <w:name w:val="Endnote Text Char"/>
    <w:basedOn w:val="DefaultParagraphFont"/>
    <w:link w:val="EndnoteText"/>
    <w:uiPriority w:val="99"/>
    <w:semiHidden/>
    <w:rsid w:val="009E7016"/>
    <w:rPr>
      <w:sz w:val="20"/>
      <w:szCs w:val="20"/>
    </w:rPr>
  </w:style>
  <w:style w:type="character" w:styleId="EndnoteReference">
    <w:name w:val="endnote reference"/>
    <w:basedOn w:val="DefaultParagraphFont"/>
    <w:uiPriority w:val="99"/>
    <w:semiHidden/>
    <w:unhideWhenUsed/>
    <w:rsid w:val="009E7016"/>
    <w:rPr>
      <w:vertAlign w:val="superscript"/>
    </w:rPr>
  </w:style>
  <w:style w:type="character" w:customStyle="1" w:styleId="ListParagraphChar">
    <w:name w:val="List Paragraph Char"/>
    <w:aliases w:val="Bullet point Char,List Paragraph1 Char,List Paragraph11 Char,Recommendation Char,BulletPoints Char,Numbered para Char"/>
    <w:link w:val="ListParagraph"/>
    <w:uiPriority w:val="72"/>
    <w:locked/>
    <w:rsid w:val="00A54AD0"/>
    <w:rPr>
      <w:sz w:val="24"/>
      <w:szCs w:val="24"/>
    </w:rPr>
  </w:style>
  <w:style w:type="character" w:styleId="FollowedHyperlink">
    <w:name w:val="FollowedHyperlink"/>
    <w:basedOn w:val="DefaultParagraphFont"/>
    <w:uiPriority w:val="99"/>
    <w:semiHidden/>
    <w:unhideWhenUsed/>
    <w:rsid w:val="00F70B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9253">
      <w:bodyDiv w:val="1"/>
      <w:marLeft w:val="0"/>
      <w:marRight w:val="0"/>
      <w:marTop w:val="0"/>
      <w:marBottom w:val="0"/>
      <w:divBdr>
        <w:top w:val="none" w:sz="0" w:space="0" w:color="auto"/>
        <w:left w:val="none" w:sz="0" w:space="0" w:color="auto"/>
        <w:bottom w:val="none" w:sz="0" w:space="0" w:color="auto"/>
        <w:right w:val="none" w:sz="0" w:space="0" w:color="auto"/>
      </w:divBdr>
    </w:div>
    <w:div w:id="109446383">
      <w:bodyDiv w:val="1"/>
      <w:marLeft w:val="0"/>
      <w:marRight w:val="0"/>
      <w:marTop w:val="0"/>
      <w:marBottom w:val="0"/>
      <w:divBdr>
        <w:top w:val="none" w:sz="0" w:space="0" w:color="auto"/>
        <w:left w:val="none" w:sz="0" w:space="0" w:color="auto"/>
        <w:bottom w:val="none" w:sz="0" w:space="0" w:color="auto"/>
        <w:right w:val="none" w:sz="0" w:space="0" w:color="auto"/>
      </w:divBdr>
    </w:div>
    <w:div w:id="186723479">
      <w:bodyDiv w:val="1"/>
      <w:marLeft w:val="0"/>
      <w:marRight w:val="0"/>
      <w:marTop w:val="0"/>
      <w:marBottom w:val="0"/>
      <w:divBdr>
        <w:top w:val="none" w:sz="0" w:space="0" w:color="auto"/>
        <w:left w:val="none" w:sz="0" w:space="0" w:color="auto"/>
        <w:bottom w:val="none" w:sz="0" w:space="0" w:color="auto"/>
        <w:right w:val="none" w:sz="0" w:space="0" w:color="auto"/>
      </w:divBdr>
    </w:div>
    <w:div w:id="216363441">
      <w:bodyDiv w:val="1"/>
      <w:marLeft w:val="0"/>
      <w:marRight w:val="0"/>
      <w:marTop w:val="0"/>
      <w:marBottom w:val="0"/>
      <w:divBdr>
        <w:top w:val="none" w:sz="0" w:space="0" w:color="auto"/>
        <w:left w:val="none" w:sz="0" w:space="0" w:color="auto"/>
        <w:bottom w:val="none" w:sz="0" w:space="0" w:color="auto"/>
        <w:right w:val="none" w:sz="0" w:space="0" w:color="auto"/>
      </w:divBdr>
    </w:div>
    <w:div w:id="258106158">
      <w:bodyDiv w:val="1"/>
      <w:marLeft w:val="0"/>
      <w:marRight w:val="0"/>
      <w:marTop w:val="0"/>
      <w:marBottom w:val="0"/>
      <w:divBdr>
        <w:top w:val="none" w:sz="0" w:space="0" w:color="auto"/>
        <w:left w:val="none" w:sz="0" w:space="0" w:color="auto"/>
        <w:bottom w:val="none" w:sz="0" w:space="0" w:color="auto"/>
        <w:right w:val="none" w:sz="0" w:space="0" w:color="auto"/>
      </w:divBdr>
    </w:div>
    <w:div w:id="275408671">
      <w:bodyDiv w:val="1"/>
      <w:marLeft w:val="0"/>
      <w:marRight w:val="0"/>
      <w:marTop w:val="0"/>
      <w:marBottom w:val="0"/>
      <w:divBdr>
        <w:top w:val="none" w:sz="0" w:space="0" w:color="auto"/>
        <w:left w:val="none" w:sz="0" w:space="0" w:color="auto"/>
        <w:bottom w:val="none" w:sz="0" w:space="0" w:color="auto"/>
        <w:right w:val="none" w:sz="0" w:space="0" w:color="auto"/>
      </w:divBdr>
    </w:div>
    <w:div w:id="275870081">
      <w:bodyDiv w:val="1"/>
      <w:marLeft w:val="0"/>
      <w:marRight w:val="0"/>
      <w:marTop w:val="0"/>
      <w:marBottom w:val="0"/>
      <w:divBdr>
        <w:top w:val="none" w:sz="0" w:space="0" w:color="auto"/>
        <w:left w:val="none" w:sz="0" w:space="0" w:color="auto"/>
        <w:bottom w:val="none" w:sz="0" w:space="0" w:color="auto"/>
        <w:right w:val="none" w:sz="0" w:space="0" w:color="auto"/>
      </w:divBdr>
    </w:div>
    <w:div w:id="305861849">
      <w:bodyDiv w:val="1"/>
      <w:marLeft w:val="0"/>
      <w:marRight w:val="0"/>
      <w:marTop w:val="0"/>
      <w:marBottom w:val="0"/>
      <w:divBdr>
        <w:top w:val="none" w:sz="0" w:space="0" w:color="auto"/>
        <w:left w:val="none" w:sz="0" w:space="0" w:color="auto"/>
        <w:bottom w:val="none" w:sz="0" w:space="0" w:color="auto"/>
        <w:right w:val="none" w:sz="0" w:space="0" w:color="auto"/>
      </w:divBdr>
    </w:div>
    <w:div w:id="325672986">
      <w:bodyDiv w:val="1"/>
      <w:marLeft w:val="0"/>
      <w:marRight w:val="0"/>
      <w:marTop w:val="0"/>
      <w:marBottom w:val="0"/>
      <w:divBdr>
        <w:top w:val="none" w:sz="0" w:space="0" w:color="auto"/>
        <w:left w:val="none" w:sz="0" w:space="0" w:color="auto"/>
        <w:bottom w:val="none" w:sz="0" w:space="0" w:color="auto"/>
        <w:right w:val="none" w:sz="0" w:space="0" w:color="auto"/>
      </w:divBdr>
    </w:div>
    <w:div w:id="325982340">
      <w:bodyDiv w:val="1"/>
      <w:marLeft w:val="0"/>
      <w:marRight w:val="0"/>
      <w:marTop w:val="0"/>
      <w:marBottom w:val="0"/>
      <w:divBdr>
        <w:top w:val="none" w:sz="0" w:space="0" w:color="auto"/>
        <w:left w:val="none" w:sz="0" w:space="0" w:color="auto"/>
        <w:bottom w:val="none" w:sz="0" w:space="0" w:color="auto"/>
        <w:right w:val="none" w:sz="0" w:space="0" w:color="auto"/>
      </w:divBdr>
    </w:div>
    <w:div w:id="329989381">
      <w:bodyDiv w:val="1"/>
      <w:marLeft w:val="0"/>
      <w:marRight w:val="0"/>
      <w:marTop w:val="0"/>
      <w:marBottom w:val="0"/>
      <w:divBdr>
        <w:top w:val="none" w:sz="0" w:space="0" w:color="auto"/>
        <w:left w:val="none" w:sz="0" w:space="0" w:color="auto"/>
        <w:bottom w:val="none" w:sz="0" w:space="0" w:color="auto"/>
        <w:right w:val="none" w:sz="0" w:space="0" w:color="auto"/>
      </w:divBdr>
    </w:div>
    <w:div w:id="383721235">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80674988">
      <w:bodyDiv w:val="1"/>
      <w:marLeft w:val="0"/>
      <w:marRight w:val="0"/>
      <w:marTop w:val="0"/>
      <w:marBottom w:val="0"/>
      <w:divBdr>
        <w:top w:val="none" w:sz="0" w:space="0" w:color="auto"/>
        <w:left w:val="none" w:sz="0" w:space="0" w:color="auto"/>
        <w:bottom w:val="none" w:sz="0" w:space="0" w:color="auto"/>
        <w:right w:val="none" w:sz="0" w:space="0" w:color="auto"/>
      </w:divBdr>
    </w:div>
    <w:div w:id="593366977">
      <w:bodyDiv w:val="1"/>
      <w:marLeft w:val="0"/>
      <w:marRight w:val="0"/>
      <w:marTop w:val="0"/>
      <w:marBottom w:val="0"/>
      <w:divBdr>
        <w:top w:val="none" w:sz="0" w:space="0" w:color="auto"/>
        <w:left w:val="none" w:sz="0" w:space="0" w:color="auto"/>
        <w:bottom w:val="none" w:sz="0" w:space="0" w:color="auto"/>
        <w:right w:val="none" w:sz="0" w:space="0" w:color="auto"/>
      </w:divBdr>
    </w:div>
    <w:div w:id="619458838">
      <w:bodyDiv w:val="1"/>
      <w:marLeft w:val="0"/>
      <w:marRight w:val="0"/>
      <w:marTop w:val="0"/>
      <w:marBottom w:val="0"/>
      <w:divBdr>
        <w:top w:val="none" w:sz="0" w:space="0" w:color="auto"/>
        <w:left w:val="none" w:sz="0" w:space="0" w:color="auto"/>
        <w:bottom w:val="none" w:sz="0" w:space="0" w:color="auto"/>
        <w:right w:val="none" w:sz="0" w:space="0" w:color="auto"/>
      </w:divBdr>
    </w:div>
    <w:div w:id="646400396">
      <w:bodyDiv w:val="1"/>
      <w:marLeft w:val="0"/>
      <w:marRight w:val="0"/>
      <w:marTop w:val="0"/>
      <w:marBottom w:val="0"/>
      <w:divBdr>
        <w:top w:val="none" w:sz="0" w:space="0" w:color="auto"/>
        <w:left w:val="none" w:sz="0" w:space="0" w:color="auto"/>
        <w:bottom w:val="none" w:sz="0" w:space="0" w:color="auto"/>
        <w:right w:val="none" w:sz="0" w:space="0" w:color="auto"/>
      </w:divBdr>
    </w:div>
    <w:div w:id="662125022">
      <w:bodyDiv w:val="1"/>
      <w:marLeft w:val="0"/>
      <w:marRight w:val="0"/>
      <w:marTop w:val="0"/>
      <w:marBottom w:val="0"/>
      <w:divBdr>
        <w:top w:val="none" w:sz="0" w:space="0" w:color="auto"/>
        <w:left w:val="none" w:sz="0" w:space="0" w:color="auto"/>
        <w:bottom w:val="none" w:sz="0" w:space="0" w:color="auto"/>
        <w:right w:val="none" w:sz="0" w:space="0" w:color="auto"/>
      </w:divBdr>
    </w:div>
    <w:div w:id="715861530">
      <w:bodyDiv w:val="1"/>
      <w:marLeft w:val="0"/>
      <w:marRight w:val="0"/>
      <w:marTop w:val="0"/>
      <w:marBottom w:val="0"/>
      <w:divBdr>
        <w:top w:val="none" w:sz="0" w:space="0" w:color="auto"/>
        <w:left w:val="none" w:sz="0" w:space="0" w:color="auto"/>
        <w:bottom w:val="none" w:sz="0" w:space="0" w:color="auto"/>
        <w:right w:val="none" w:sz="0" w:space="0" w:color="auto"/>
      </w:divBdr>
    </w:div>
    <w:div w:id="726759489">
      <w:bodyDiv w:val="1"/>
      <w:marLeft w:val="0"/>
      <w:marRight w:val="0"/>
      <w:marTop w:val="0"/>
      <w:marBottom w:val="0"/>
      <w:divBdr>
        <w:top w:val="none" w:sz="0" w:space="0" w:color="auto"/>
        <w:left w:val="none" w:sz="0" w:space="0" w:color="auto"/>
        <w:bottom w:val="none" w:sz="0" w:space="0" w:color="auto"/>
        <w:right w:val="none" w:sz="0" w:space="0" w:color="auto"/>
      </w:divBdr>
    </w:div>
    <w:div w:id="751662021">
      <w:bodyDiv w:val="1"/>
      <w:marLeft w:val="0"/>
      <w:marRight w:val="0"/>
      <w:marTop w:val="0"/>
      <w:marBottom w:val="0"/>
      <w:divBdr>
        <w:top w:val="none" w:sz="0" w:space="0" w:color="auto"/>
        <w:left w:val="none" w:sz="0" w:space="0" w:color="auto"/>
        <w:bottom w:val="none" w:sz="0" w:space="0" w:color="auto"/>
        <w:right w:val="none" w:sz="0" w:space="0" w:color="auto"/>
      </w:divBdr>
    </w:div>
    <w:div w:id="773937016">
      <w:bodyDiv w:val="1"/>
      <w:marLeft w:val="0"/>
      <w:marRight w:val="0"/>
      <w:marTop w:val="0"/>
      <w:marBottom w:val="0"/>
      <w:divBdr>
        <w:top w:val="none" w:sz="0" w:space="0" w:color="auto"/>
        <w:left w:val="none" w:sz="0" w:space="0" w:color="auto"/>
        <w:bottom w:val="none" w:sz="0" w:space="0" w:color="auto"/>
        <w:right w:val="none" w:sz="0" w:space="0" w:color="auto"/>
      </w:divBdr>
    </w:div>
    <w:div w:id="797145349">
      <w:bodyDiv w:val="1"/>
      <w:marLeft w:val="0"/>
      <w:marRight w:val="0"/>
      <w:marTop w:val="0"/>
      <w:marBottom w:val="0"/>
      <w:divBdr>
        <w:top w:val="none" w:sz="0" w:space="0" w:color="auto"/>
        <w:left w:val="none" w:sz="0" w:space="0" w:color="auto"/>
        <w:bottom w:val="none" w:sz="0" w:space="0" w:color="auto"/>
        <w:right w:val="none" w:sz="0" w:space="0" w:color="auto"/>
      </w:divBdr>
    </w:div>
    <w:div w:id="800655286">
      <w:bodyDiv w:val="1"/>
      <w:marLeft w:val="0"/>
      <w:marRight w:val="0"/>
      <w:marTop w:val="0"/>
      <w:marBottom w:val="0"/>
      <w:divBdr>
        <w:top w:val="none" w:sz="0" w:space="0" w:color="auto"/>
        <w:left w:val="none" w:sz="0" w:space="0" w:color="auto"/>
        <w:bottom w:val="none" w:sz="0" w:space="0" w:color="auto"/>
        <w:right w:val="none" w:sz="0" w:space="0" w:color="auto"/>
      </w:divBdr>
    </w:div>
    <w:div w:id="873930910">
      <w:bodyDiv w:val="1"/>
      <w:marLeft w:val="0"/>
      <w:marRight w:val="0"/>
      <w:marTop w:val="0"/>
      <w:marBottom w:val="0"/>
      <w:divBdr>
        <w:top w:val="none" w:sz="0" w:space="0" w:color="auto"/>
        <w:left w:val="none" w:sz="0" w:space="0" w:color="auto"/>
        <w:bottom w:val="none" w:sz="0" w:space="0" w:color="auto"/>
        <w:right w:val="none" w:sz="0" w:space="0" w:color="auto"/>
      </w:divBdr>
    </w:div>
    <w:div w:id="876355567">
      <w:bodyDiv w:val="1"/>
      <w:marLeft w:val="0"/>
      <w:marRight w:val="0"/>
      <w:marTop w:val="0"/>
      <w:marBottom w:val="0"/>
      <w:divBdr>
        <w:top w:val="none" w:sz="0" w:space="0" w:color="auto"/>
        <w:left w:val="none" w:sz="0" w:space="0" w:color="auto"/>
        <w:bottom w:val="none" w:sz="0" w:space="0" w:color="auto"/>
        <w:right w:val="none" w:sz="0" w:space="0" w:color="auto"/>
      </w:divBdr>
    </w:div>
    <w:div w:id="967665182">
      <w:bodyDiv w:val="1"/>
      <w:marLeft w:val="0"/>
      <w:marRight w:val="0"/>
      <w:marTop w:val="0"/>
      <w:marBottom w:val="0"/>
      <w:divBdr>
        <w:top w:val="none" w:sz="0" w:space="0" w:color="auto"/>
        <w:left w:val="none" w:sz="0" w:space="0" w:color="auto"/>
        <w:bottom w:val="none" w:sz="0" w:space="0" w:color="auto"/>
        <w:right w:val="none" w:sz="0" w:space="0" w:color="auto"/>
      </w:divBdr>
    </w:div>
    <w:div w:id="1093010069">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50705209">
      <w:bodyDiv w:val="1"/>
      <w:marLeft w:val="0"/>
      <w:marRight w:val="0"/>
      <w:marTop w:val="0"/>
      <w:marBottom w:val="0"/>
      <w:divBdr>
        <w:top w:val="none" w:sz="0" w:space="0" w:color="auto"/>
        <w:left w:val="none" w:sz="0" w:space="0" w:color="auto"/>
        <w:bottom w:val="none" w:sz="0" w:space="0" w:color="auto"/>
        <w:right w:val="none" w:sz="0" w:space="0" w:color="auto"/>
      </w:divBdr>
    </w:div>
    <w:div w:id="1178350414">
      <w:bodyDiv w:val="1"/>
      <w:marLeft w:val="0"/>
      <w:marRight w:val="0"/>
      <w:marTop w:val="0"/>
      <w:marBottom w:val="0"/>
      <w:divBdr>
        <w:top w:val="none" w:sz="0" w:space="0" w:color="auto"/>
        <w:left w:val="none" w:sz="0" w:space="0" w:color="auto"/>
        <w:bottom w:val="none" w:sz="0" w:space="0" w:color="auto"/>
        <w:right w:val="none" w:sz="0" w:space="0" w:color="auto"/>
      </w:divBdr>
    </w:div>
    <w:div w:id="1253515818">
      <w:bodyDiv w:val="1"/>
      <w:marLeft w:val="0"/>
      <w:marRight w:val="0"/>
      <w:marTop w:val="0"/>
      <w:marBottom w:val="0"/>
      <w:divBdr>
        <w:top w:val="none" w:sz="0" w:space="0" w:color="auto"/>
        <w:left w:val="none" w:sz="0" w:space="0" w:color="auto"/>
        <w:bottom w:val="none" w:sz="0" w:space="0" w:color="auto"/>
        <w:right w:val="none" w:sz="0" w:space="0" w:color="auto"/>
      </w:divBdr>
    </w:div>
    <w:div w:id="1308625909">
      <w:bodyDiv w:val="1"/>
      <w:marLeft w:val="0"/>
      <w:marRight w:val="0"/>
      <w:marTop w:val="0"/>
      <w:marBottom w:val="0"/>
      <w:divBdr>
        <w:top w:val="none" w:sz="0" w:space="0" w:color="auto"/>
        <w:left w:val="none" w:sz="0" w:space="0" w:color="auto"/>
        <w:bottom w:val="none" w:sz="0" w:space="0" w:color="auto"/>
        <w:right w:val="none" w:sz="0" w:space="0" w:color="auto"/>
      </w:divBdr>
    </w:div>
    <w:div w:id="1317106037">
      <w:bodyDiv w:val="1"/>
      <w:marLeft w:val="0"/>
      <w:marRight w:val="0"/>
      <w:marTop w:val="0"/>
      <w:marBottom w:val="0"/>
      <w:divBdr>
        <w:top w:val="none" w:sz="0" w:space="0" w:color="auto"/>
        <w:left w:val="none" w:sz="0" w:space="0" w:color="auto"/>
        <w:bottom w:val="none" w:sz="0" w:space="0" w:color="auto"/>
        <w:right w:val="none" w:sz="0" w:space="0" w:color="auto"/>
      </w:divBdr>
    </w:div>
    <w:div w:id="1353459694">
      <w:bodyDiv w:val="1"/>
      <w:marLeft w:val="0"/>
      <w:marRight w:val="0"/>
      <w:marTop w:val="0"/>
      <w:marBottom w:val="0"/>
      <w:divBdr>
        <w:top w:val="none" w:sz="0" w:space="0" w:color="auto"/>
        <w:left w:val="none" w:sz="0" w:space="0" w:color="auto"/>
        <w:bottom w:val="none" w:sz="0" w:space="0" w:color="auto"/>
        <w:right w:val="none" w:sz="0" w:space="0" w:color="auto"/>
      </w:divBdr>
    </w:div>
    <w:div w:id="1636981318">
      <w:bodyDiv w:val="1"/>
      <w:marLeft w:val="0"/>
      <w:marRight w:val="0"/>
      <w:marTop w:val="0"/>
      <w:marBottom w:val="0"/>
      <w:divBdr>
        <w:top w:val="none" w:sz="0" w:space="0" w:color="auto"/>
        <w:left w:val="none" w:sz="0" w:space="0" w:color="auto"/>
        <w:bottom w:val="none" w:sz="0" w:space="0" w:color="auto"/>
        <w:right w:val="none" w:sz="0" w:space="0" w:color="auto"/>
      </w:divBdr>
    </w:div>
    <w:div w:id="1705908489">
      <w:bodyDiv w:val="1"/>
      <w:marLeft w:val="0"/>
      <w:marRight w:val="0"/>
      <w:marTop w:val="0"/>
      <w:marBottom w:val="0"/>
      <w:divBdr>
        <w:top w:val="none" w:sz="0" w:space="0" w:color="auto"/>
        <w:left w:val="none" w:sz="0" w:space="0" w:color="auto"/>
        <w:bottom w:val="none" w:sz="0" w:space="0" w:color="auto"/>
        <w:right w:val="none" w:sz="0" w:space="0" w:color="auto"/>
      </w:divBdr>
    </w:div>
    <w:div w:id="1763649074">
      <w:bodyDiv w:val="1"/>
      <w:marLeft w:val="0"/>
      <w:marRight w:val="0"/>
      <w:marTop w:val="0"/>
      <w:marBottom w:val="0"/>
      <w:divBdr>
        <w:top w:val="none" w:sz="0" w:space="0" w:color="auto"/>
        <w:left w:val="none" w:sz="0" w:space="0" w:color="auto"/>
        <w:bottom w:val="none" w:sz="0" w:space="0" w:color="auto"/>
        <w:right w:val="none" w:sz="0" w:space="0" w:color="auto"/>
      </w:divBdr>
    </w:div>
    <w:div w:id="1935479313">
      <w:bodyDiv w:val="1"/>
      <w:marLeft w:val="0"/>
      <w:marRight w:val="0"/>
      <w:marTop w:val="0"/>
      <w:marBottom w:val="0"/>
      <w:divBdr>
        <w:top w:val="none" w:sz="0" w:space="0" w:color="auto"/>
        <w:left w:val="none" w:sz="0" w:space="0" w:color="auto"/>
        <w:bottom w:val="none" w:sz="0" w:space="0" w:color="auto"/>
        <w:right w:val="none" w:sz="0" w:space="0" w:color="auto"/>
      </w:divBdr>
    </w:div>
    <w:div w:id="2000960447">
      <w:bodyDiv w:val="1"/>
      <w:marLeft w:val="0"/>
      <w:marRight w:val="0"/>
      <w:marTop w:val="0"/>
      <w:marBottom w:val="0"/>
      <w:divBdr>
        <w:top w:val="none" w:sz="0" w:space="0" w:color="auto"/>
        <w:left w:val="none" w:sz="0" w:space="0" w:color="auto"/>
        <w:bottom w:val="none" w:sz="0" w:space="0" w:color="auto"/>
        <w:right w:val="none" w:sz="0" w:space="0" w:color="auto"/>
      </w:divBdr>
    </w:div>
    <w:div w:id="2063939477">
      <w:bodyDiv w:val="1"/>
      <w:marLeft w:val="0"/>
      <w:marRight w:val="0"/>
      <w:marTop w:val="0"/>
      <w:marBottom w:val="0"/>
      <w:divBdr>
        <w:top w:val="none" w:sz="0" w:space="0" w:color="auto"/>
        <w:left w:val="none" w:sz="0" w:space="0" w:color="auto"/>
        <w:bottom w:val="none" w:sz="0" w:space="0" w:color="auto"/>
        <w:right w:val="none" w:sz="0" w:space="0" w:color="auto"/>
      </w:divBdr>
    </w:div>
    <w:div w:id="21358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6435.A7A9DDA0"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20\D1239%20-%20Eculizumab%20AHUS\D1239_PATCNT%20by%20drug%20name%20and%20Year%20fr%20Dec,%20by%20ageranges,%20updated%20to%20end%20of%20May%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20\D1239%20-%20Eculizumab%20AHUS\D1239%20-%20SCRPT_SUM%20with%20init_cont%20variable%20based%20on%20auth%20data,%20updated%20to%20end%20of%20May%202020.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12\GOULDJ\Documents\D1239%20-%20SCRPT_SUM%20with%20init_cont%20variable%20based%20on%20auth%20dataFig3%20presc%20type%20full%20fix.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12\GOULDJ\Documents\D1239%20-%20SCRPT_SUM%20with%20init_cont%20variable%20based%20on%20auth%20dataFig3%20presc%20type%20full%20fix.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[D1239_PATCNT by drug name and Year fr Dec, by ageranges, updated to end of May 2020.XLSX]Sheet1!PivotTable6</c:name>
    <c:fmtId val="7"/>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pivotFmt>
      <c:pivotFmt>
        <c:idx val="5"/>
        <c:marker>
          <c:symbol val="none"/>
        </c:marker>
      </c:pivotFmt>
      <c:pivotFmt>
        <c:idx val="6"/>
      </c:pivotFmt>
      <c:pivotFmt>
        <c:idx val="7"/>
        <c:marker>
          <c:symbol val="none"/>
        </c:marker>
      </c:pivotFmt>
      <c:pivotFmt>
        <c:idx val="8"/>
      </c:pivotFmt>
      <c:pivotFmt>
        <c:idx val="9"/>
      </c:pivotFmt>
      <c:pivotFmt>
        <c:idx val="10"/>
      </c:pivotFmt>
      <c:pivotFmt>
        <c:idx val="11"/>
      </c:pivotFmt>
      <c:pivotFmt>
        <c:idx val="12"/>
      </c:pivotFmt>
      <c:pivotFmt>
        <c:idx val="13"/>
      </c:pivotFmt>
      <c:pivotFmt>
        <c:idx val="14"/>
      </c:pivotFmt>
      <c:pivotFmt>
        <c:idx val="15"/>
      </c:pivotFmt>
    </c:pivotFmts>
    <c:plotArea>
      <c:layout/>
      <c:lineChart>
        <c:grouping val="standard"/>
        <c:varyColors val="0"/>
        <c:ser>
          <c:idx val="0"/>
          <c:order val="0"/>
          <c:tx>
            <c:strRef>
              <c:f>Sheet1!$B$3:$B$4</c:f>
              <c:strCache>
                <c:ptCount val="1"/>
                <c:pt idx="0">
                  <c:v>Initiating patients</c:v>
                </c:pt>
              </c:strCache>
            </c:strRef>
          </c:tx>
          <c:cat>
            <c:strRef>
              <c:f>Sheet1!$A$5:$A$10</c:f>
              <c:strCache>
                <c:ptCount val="5"/>
                <c:pt idx="0">
                  <c:v>DEC2014 to NOV2015</c:v>
                </c:pt>
                <c:pt idx="1">
                  <c:v>DEC2015 to NOV2016</c:v>
                </c:pt>
                <c:pt idx="2">
                  <c:v>DEC2016 to NOV2017</c:v>
                </c:pt>
                <c:pt idx="3">
                  <c:v>DEC2017 to NOV2018</c:v>
                </c:pt>
                <c:pt idx="4">
                  <c:v>DEC2018 to NOV2019</c:v>
                </c:pt>
              </c:strCache>
            </c:strRef>
          </c:cat>
          <c:val>
            <c:numRef>
              <c:f>Sheet1!$B$5:$B$10</c:f>
              <c:numCache>
                <c:formatCode>General</c:formatCode>
                <c:ptCount val="5"/>
                <c:pt idx="0">
                  <c:v>69</c:v>
                </c:pt>
                <c:pt idx="1">
                  <c:v>49</c:v>
                </c:pt>
                <c:pt idx="2">
                  <c:v>47</c:v>
                </c:pt>
                <c:pt idx="3">
                  <c:v>64</c:v>
                </c:pt>
                <c:pt idx="4">
                  <c:v>58</c:v>
                </c:pt>
              </c:numCache>
            </c:numRef>
          </c:val>
          <c:smooth val="0"/>
          <c:extLst>
            <c:ext xmlns:c16="http://schemas.microsoft.com/office/drawing/2014/chart" uri="{C3380CC4-5D6E-409C-BE32-E72D297353CC}">
              <c16:uniqueId val="{00000000-99E5-4044-99CC-A2E2C88DB625}"/>
            </c:ext>
          </c:extLst>
        </c:ser>
        <c:ser>
          <c:idx val="1"/>
          <c:order val="1"/>
          <c:tx>
            <c:strRef>
              <c:f>Sheet1!$C$3:$C$4</c:f>
              <c:strCache>
                <c:ptCount val="1"/>
                <c:pt idx="0">
                  <c:v>Treated patients</c:v>
                </c:pt>
              </c:strCache>
            </c:strRef>
          </c:tx>
          <c:cat>
            <c:strRef>
              <c:f>Sheet1!$A$5:$A$10</c:f>
              <c:strCache>
                <c:ptCount val="5"/>
                <c:pt idx="0">
                  <c:v>DEC2014 to NOV2015</c:v>
                </c:pt>
                <c:pt idx="1">
                  <c:v>DEC2015 to NOV2016</c:v>
                </c:pt>
                <c:pt idx="2">
                  <c:v>DEC2016 to NOV2017</c:v>
                </c:pt>
                <c:pt idx="3">
                  <c:v>DEC2017 to NOV2018</c:v>
                </c:pt>
                <c:pt idx="4">
                  <c:v>DEC2018 to NOV2019</c:v>
                </c:pt>
              </c:strCache>
            </c:strRef>
          </c:cat>
          <c:val>
            <c:numRef>
              <c:f>Sheet1!$C$5:$C$10</c:f>
              <c:numCache>
                <c:formatCode>General</c:formatCode>
                <c:ptCount val="5"/>
                <c:pt idx="0">
                  <c:v>69</c:v>
                </c:pt>
                <c:pt idx="1">
                  <c:v>93</c:v>
                </c:pt>
                <c:pt idx="2">
                  <c:v>108</c:v>
                </c:pt>
                <c:pt idx="3">
                  <c:v>124</c:v>
                </c:pt>
                <c:pt idx="4">
                  <c:v>129</c:v>
                </c:pt>
              </c:numCache>
            </c:numRef>
          </c:val>
          <c:smooth val="0"/>
          <c:extLst>
            <c:ext xmlns:c16="http://schemas.microsoft.com/office/drawing/2014/chart" uri="{C3380CC4-5D6E-409C-BE32-E72D297353CC}">
              <c16:uniqueId val="{00000001-99E5-4044-99CC-A2E2C88DB625}"/>
            </c:ext>
          </c:extLst>
        </c:ser>
        <c:dLbls>
          <c:showLegendKey val="0"/>
          <c:showVal val="0"/>
          <c:showCatName val="0"/>
          <c:showSerName val="0"/>
          <c:showPercent val="0"/>
          <c:showBubbleSize val="0"/>
        </c:dLbls>
        <c:marker val="1"/>
        <c:smooth val="0"/>
        <c:axId val="117506048"/>
        <c:axId val="117507584"/>
      </c:lineChart>
      <c:catAx>
        <c:axId val="117506048"/>
        <c:scaling>
          <c:orientation val="minMax"/>
        </c:scaling>
        <c:delete val="0"/>
        <c:axPos val="b"/>
        <c:numFmt formatCode="General" sourceLinked="0"/>
        <c:majorTickMark val="out"/>
        <c:minorTickMark val="none"/>
        <c:tickLblPos val="nextTo"/>
        <c:txPr>
          <a:bodyPr/>
          <a:lstStyle/>
          <a:p>
            <a:pPr>
              <a:defRPr sz="900"/>
            </a:pPr>
            <a:endParaRPr lang="en-US"/>
          </a:p>
        </c:txPr>
        <c:crossAx val="117507584"/>
        <c:crosses val="autoZero"/>
        <c:auto val="1"/>
        <c:lblAlgn val="ctr"/>
        <c:lblOffset val="100"/>
        <c:noMultiLvlLbl val="0"/>
      </c:catAx>
      <c:valAx>
        <c:axId val="117507584"/>
        <c:scaling>
          <c:orientation val="minMax"/>
        </c:scaling>
        <c:delete val="0"/>
        <c:axPos val="l"/>
        <c:majorGridlines/>
        <c:numFmt formatCode="General" sourceLinked="1"/>
        <c:majorTickMark val="out"/>
        <c:minorTickMark val="none"/>
        <c:tickLblPos val="nextTo"/>
        <c:crossAx val="117506048"/>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[D1239 - SCRPT_SUM with init_cont variable based on auth data, updated to end of May 2020.xlsx]Sheet1 (3)!PivotTable5</c:name>
    <c:fmtId val="4"/>
  </c:pivotSource>
  <c:chart>
    <c:title>
      <c:tx>
        <c:strRef>
          <c:f>'Sheet1 (3)'!$B$1</c:f>
          <c:strCache>
            <c:ptCount val="1"/>
            <c:pt idx="0">
              <c:v>ECULIZUMAB</c:v>
            </c:pt>
          </c:strCache>
        </c:strRef>
      </c:tx>
      <c:layout/>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spPr>
          <a:ln w="25400">
            <a:noFill/>
          </a:ln>
        </c:spPr>
        <c:marker>
          <c:symbol val="none"/>
        </c:marker>
      </c:pivotFmt>
      <c:pivotFmt>
        <c:idx val="15"/>
        <c:spPr>
          <a:ln w="25400">
            <a:noFill/>
          </a:ln>
        </c:spPr>
        <c:marker>
          <c:symbol val="none"/>
        </c:marker>
      </c:pivotFmt>
      <c:pivotFmt>
        <c:idx val="16"/>
        <c:spPr>
          <a:ln w="25400">
            <a:noFill/>
          </a:ln>
        </c:spPr>
        <c:marker>
          <c:symbol val="none"/>
        </c:marker>
      </c:pivotFmt>
      <c:pivotFmt>
        <c:idx val="17"/>
        <c:spPr>
          <a:ln w="25400">
            <a:noFill/>
          </a:ln>
        </c:spPr>
        <c:marker>
          <c:symbol val="none"/>
        </c:marker>
      </c:pivotFmt>
      <c:pivotFmt>
        <c:idx val="18"/>
        <c:spPr>
          <a:ln w="25400">
            <a:noFill/>
          </a:ln>
        </c:spPr>
        <c:marker>
          <c:symbol val="none"/>
        </c:marker>
      </c:pivotFmt>
      <c:pivotFmt>
        <c:idx val="19"/>
        <c:spPr>
          <a:ln w="25400">
            <a:noFill/>
          </a:ln>
        </c:spPr>
        <c:marker>
          <c:symbol val="none"/>
        </c:marker>
      </c:pivotFmt>
      <c:pivotFmt>
        <c:idx val="20"/>
        <c:spPr>
          <a:ln w="25400">
            <a:noFill/>
          </a:ln>
        </c:spPr>
        <c:marker>
          <c:symbol val="none"/>
        </c:marker>
      </c:pivotFmt>
      <c:pivotFmt>
        <c:idx val="21"/>
        <c:spPr>
          <a:ln w="25400">
            <a:noFill/>
          </a:ln>
        </c:spPr>
        <c:marker>
          <c:symbol val="none"/>
        </c:marker>
      </c:pivotFmt>
      <c:pivotFmt>
        <c:idx val="22"/>
        <c:spPr>
          <a:ln w="25400">
            <a:noFill/>
          </a:ln>
        </c:spPr>
        <c:marker>
          <c:symbol val="none"/>
        </c:marker>
      </c:pivotFmt>
      <c:pivotFmt>
        <c:idx val="23"/>
        <c:spPr>
          <a:ln w="25400">
            <a:noFill/>
          </a:ln>
        </c:spPr>
        <c:marker>
          <c:symbol val="none"/>
        </c:marker>
      </c:pivotFmt>
      <c:pivotFmt>
        <c:idx val="24"/>
        <c:spPr>
          <a:ln w="25400">
            <a:noFill/>
          </a:ln>
        </c:spPr>
        <c:marker>
          <c:symbol val="none"/>
        </c:marker>
      </c:pivotFmt>
      <c:pivotFmt>
        <c:idx val="25"/>
        <c:spPr>
          <a:ln w="25400">
            <a:noFill/>
          </a:ln>
        </c:spPr>
        <c:marker>
          <c:symbol val="none"/>
        </c:marker>
      </c:pivotFmt>
      <c:pivotFmt>
        <c:idx val="26"/>
        <c:spPr>
          <a:ln w="25400">
            <a:noFill/>
          </a:ln>
        </c:spPr>
        <c:marker>
          <c:symbol val="none"/>
        </c:marker>
      </c:pivotFmt>
      <c:pivotFmt>
        <c:idx val="27"/>
        <c:spPr>
          <a:ln w="25400">
            <a:noFill/>
          </a:ln>
        </c:spPr>
        <c:marker>
          <c:symbol val="none"/>
        </c:marker>
      </c:pivotFmt>
      <c:pivotFmt>
        <c:idx val="28"/>
        <c:marker>
          <c:symbol val="none"/>
        </c:marker>
      </c:pivotFmt>
      <c:pivotFmt>
        <c:idx val="29"/>
        <c:spPr>
          <a:ln w="25400">
            <a:noFill/>
          </a:ln>
        </c:spPr>
        <c:marker>
          <c:symbol val="none"/>
        </c:marker>
      </c:pivotFmt>
      <c:pivotFmt>
        <c:idx val="30"/>
        <c:spPr>
          <a:ln w="25400">
            <a:noFill/>
          </a:ln>
        </c:spPr>
        <c:marker>
          <c:symbol val="none"/>
        </c:marker>
      </c:pivotFmt>
      <c:pivotFmt>
        <c:idx val="31"/>
        <c:spPr>
          <a:ln w="25400">
            <a:noFill/>
          </a:ln>
        </c:spPr>
        <c:marker>
          <c:symbol val="none"/>
        </c:marker>
      </c:pivotFmt>
      <c:pivotFmt>
        <c:idx val="32"/>
        <c:spPr>
          <a:ln w="25400">
            <a:noFill/>
          </a:ln>
        </c:spPr>
        <c:marker>
          <c:symbol val="none"/>
        </c:marker>
      </c:pivotFmt>
      <c:pivotFmt>
        <c:idx val="33"/>
        <c:marker>
          <c:symbol val="none"/>
        </c:marker>
      </c:pivotFmt>
      <c:pivotFmt>
        <c:idx val="34"/>
        <c:spPr>
          <a:ln w="25400">
            <a:noFill/>
          </a:ln>
        </c:spPr>
        <c:marker>
          <c:symbol val="none"/>
        </c:marker>
      </c:pivotFmt>
      <c:pivotFmt>
        <c:idx val="35"/>
        <c:spPr>
          <a:ln w="25400">
            <a:noFill/>
          </a:ln>
        </c:spPr>
        <c:marker>
          <c:symbol val="none"/>
        </c:marker>
      </c:pivotFmt>
      <c:pivotFmt>
        <c:idx val="36"/>
        <c:spPr>
          <a:ln w="25400">
            <a:noFill/>
          </a:ln>
        </c:spPr>
        <c:marker>
          <c:symbol val="none"/>
        </c:marker>
      </c:pivotFmt>
      <c:pivotFmt>
        <c:idx val="37"/>
        <c:spPr>
          <a:ln w="25400">
            <a:noFill/>
          </a:ln>
        </c:spPr>
        <c:marker>
          <c:symbol val="none"/>
        </c:marker>
      </c:pivotFmt>
      <c:pivotFmt>
        <c:idx val="38"/>
        <c:spPr>
          <a:ln w="25400">
            <a:noFill/>
          </a:ln>
        </c:spPr>
        <c:marker>
          <c:symbol val="none"/>
        </c:marker>
      </c:pivotFmt>
      <c:pivotFmt>
        <c:idx val="39"/>
        <c:spPr>
          <a:ln w="25400">
            <a:noFill/>
          </a:ln>
        </c:spPr>
        <c:marker>
          <c:symbol val="none"/>
        </c:marker>
      </c:pivotFmt>
      <c:pivotFmt>
        <c:idx val="40"/>
        <c:spPr>
          <a:ln w="25400">
            <a:noFill/>
          </a:ln>
        </c:spPr>
        <c:marker>
          <c:symbol val="none"/>
        </c:marker>
      </c:pivotFmt>
      <c:pivotFmt>
        <c:idx val="41"/>
        <c:spPr>
          <a:ln w="25400">
            <a:noFill/>
          </a:ln>
        </c:spPr>
        <c:marker>
          <c:symbol val="none"/>
        </c:marker>
      </c:pivotFmt>
      <c:pivotFmt>
        <c:idx val="42"/>
        <c:marker>
          <c:symbol val="none"/>
        </c:marker>
      </c:pivotFmt>
      <c:pivotFmt>
        <c:idx val="43"/>
        <c:spPr>
          <a:ln w="25400">
            <a:noFill/>
          </a:ln>
        </c:spPr>
        <c:marker>
          <c:symbol val="none"/>
        </c:marker>
      </c:pivotFmt>
      <c:pivotFmt>
        <c:idx val="44"/>
        <c:spPr>
          <a:ln w="25400">
            <a:noFill/>
          </a:ln>
        </c:spPr>
        <c:marker>
          <c:symbol val="none"/>
        </c:marker>
      </c:pivotFmt>
      <c:pivotFmt>
        <c:idx val="45"/>
        <c:spPr>
          <a:ln w="25400">
            <a:noFill/>
          </a:ln>
        </c:spPr>
        <c:marker>
          <c:symbol val="none"/>
        </c:marker>
      </c:pivotFmt>
      <c:pivotFmt>
        <c:idx val="46"/>
        <c:spPr>
          <a:ln w="25400">
            <a:noFill/>
          </a:ln>
        </c:spPr>
        <c:marker>
          <c:symbol val="none"/>
        </c:marker>
      </c:pivotFmt>
      <c:pivotFmt>
        <c:idx val="47"/>
        <c:spPr>
          <a:ln w="25400">
            <a:noFill/>
          </a:ln>
        </c:spPr>
        <c:marker>
          <c:symbol val="none"/>
        </c:marker>
      </c:pivotFmt>
      <c:pivotFmt>
        <c:idx val="48"/>
        <c:spPr>
          <a:ln w="25400">
            <a:noFill/>
          </a:ln>
        </c:spPr>
        <c:marker>
          <c:symbol val="none"/>
        </c:marker>
      </c:pivotFmt>
    </c:pivotFmts>
    <c:plotArea>
      <c:layout/>
      <c:areaChart>
        <c:grouping val="stacked"/>
        <c:varyColors val="0"/>
        <c:ser>
          <c:idx val="0"/>
          <c:order val="0"/>
          <c:tx>
            <c:strRef>
              <c:f>'Sheet1 (3)'!$B$3:$B$4</c:f>
              <c:strCache>
                <c:ptCount val="1"/>
                <c:pt idx="0">
                  <c:v>Extended Initial</c:v>
                </c:pt>
              </c:strCache>
            </c:strRef>
          </c:tx>
          <c:spPr>
            <a:ln w="25400">
              <a:noFill/>
            </a:ln>
          </c:spPr>
          <c:cat>
            <c:strRef>
              <c:f>'Sheet1 (3)'!$A$5:$A$27</c:f>
              <c:strCache>
                <c:ptCount val="2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pt idx="16">
                  <c:v>2018Q4</c:v>
                </c:pt>
                <c:pt idx="17">
                  <c:v>2019Q1</c:v>
                </c:pt>
                <c:pt idx="18">
                  <c:v>2019Q2</c:v>
                </c:pt>
                <c:pt idx="19">
                  <c:v>2019Q3</c:v>
                </c:pt>
                <c:pt idx="20">
                  <c:v>2019Q4</c:v>
                </c:pt>
                <c:pt idx="21">
                  <c:v>2020Q1</c:v>
                </c:pt>
              </c:strCache>
            </c:strRef>
          </c:cat>
          <c:val>
            <c:numRef>
              <c:f>'Sheet1 (3)'!$B$5:$B$27</c:f>
              <c:numCache>
                <c:formatCode>General</c:formatCode>
                <c:ptCount val="22"/>
                <c:pt idx="4">
                  <c:v>26</c:v>
                </c:pt>
                <c:pt idx="5">
                  <c:v>69</c:v>
                </c:pt>
                <c:pt idx="6">
                  <c:v>86</c:v>
                </c:pt>
                <c:pt idx="7">
                  <c:v>75</c:v>
                </c:pt>
                <c:pt idx="8">
                  <c:v>95</c:v>
                </c:pt>
                <c:pt idx="9">
                  <c:v>74</c:v>
                </c:pt>
                <c:pt idx="10">
                  <c:v>53</c:v>
                </c:pt>
                <c:pt idx="11">
                  <c:v>55</c:v>
                </c:pt>
                <c:pt idx="12">
                  <c:v>41</c:v>
                </c:pt>
                <c:pt idx="13">
                  <c:v>52</c:v>
                </c:pt>
                <c:pt idx="14">
                  <c:v>62</c:v>
                </c:pt>
                <c:pt idx="15">
                  <c:v>69</c:v>
                </c:pt>
                <c:pt idx="16">
                  <c:v>58</c:v>
                </c:pt>
                <c:pt idx="17">
                  <c:v>57</c:v>
                </c:pt>
                <c:pt idx="18">
                  <c:v>59</c:v>
                </c:pt>
                <c:pt idx="19">
                  <c:v>49</c:v>
                </c:pt>
                <c:pt idx="20">
                  <c:v>56</c:v>
                </c:pt>
                <c:pt idx="21">
                  <c:v>57</c:v>
                </c:pt>
              </c:numCache>
            </c:numRef>
          </c:val>
          <c:extLst>
            <c:ext xmlns:c16="http://schemas.microsoft.com/office/drawing/2014/chart" uri="{C3380CC4-5D6E-409C-BE32-E72D297353CC}">
              <c16:uniqueId val="{00000000-EAE0-4861-A7AD-CC173196EA5A}"/>
            </c:ext>
          </c:extLst>
        </c:ser>
        <c:ser>
          <c:idx val="1"/>
          <c:order val="1"/>
          <c:tx>
            <c:strRef>
              <c:f>'Sheet1 (3)'!$C$3:$C$4</c:f>
              <c:strCache>
                <c:ptCount val="1"/>
                <c:pt idx="0">
                  <c:v>Initial - balance</c:v>
                </c:pt>
              </c:strCache>
            </c:strRef>
          </c:tx>
          <c:spPr>
            <a:ln w="25400">
              <a:noFill/>
            </a:ln>
          </c:spPr>
          <c:cat>
            <c:strRef>
              <c:f>'Sheet1 (3)'!$A$5:$A$27</c:f>
              <c:strCache>
                <c:ptCount val="2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pt idx="16">
                  <c:v>2018Q4</c:v>
                </c:pt>
                <c:pt idx="17">
                  <c:v>2019Q1</c:v>
                </c:pt>
                <c:pt idx="18">
                  <c:v>2019Q2</c:v>
                </c:pt>
                <c:pt idx="19">
                  <c:v>2019Q3</c:v>
                </c:pt>
                <c:pt idx="20">
                  <c:v>2019Q4</c:v>
                </c:pt>
                <c:pt idx="21">
                  <c:v>2020Q1</c:v>
                </c:pt>
              </c:strCache>
            </c:strRef>
          </c:cat>
          <c:val>
            <c:numRef>
              <c:f>'Sheet1 (3)'!$C$5:$C$27</c:f>
              <c:numCache>
                <c:formatCode>General</c:formatCode>
                <c:ptCount val="22"/>
                <c:pt idx="0">
                  <c:v>4</c:v>
                </c:pt>
                <c:pt idx="1">
                  <c:v>21</c:v>
                </c:pt>
                <c:pt idx="2">
                  <c:v>32</c:v>
                </c:pt>
                <c:pt idx="3">
                  <c:v>19</c:v>
                </c:pt>
                <c:pt idx="4">
                  <c:v>63</c:v>
                </c:pt>
                <c:pt idx="5">
                  <c:v>37</c:v>
                </c:pt>
                <c:pt idx="6">
                  <c:v>53</c:v>
                </c:pt>
                <c:pt idx="7">
                  <c:v>42</c:v>
                </c:pt>
                <c:pt idx="8">
                  <c:v>33</c:v>
                </c:pt>
                <c:pt idx="9">
                  <c:v>47</c:v>
                </c:pt>
                <c:pt idx="10">
                  <c:v>29</c:v>
                </c:pt>
                <c:pt idx="11">
                  <c:v>26</c:v>
                </c:pt>
                <c:pt idx="12">
                  <c:v>49</c:v>
                </c:pt>
                <c:pt idx="13">
                  <c:v>59</c:v>
                </c:pt>
                <c:pt idx="14">
                  <c:v>49</c:v>
                </c:pt>
                <c:pt idx="15">
                  <c:v>41</c:v>
                </c:pt>
                <c:pt idx="16">
                  <c:v>49</c:v>
                </c:pt>
                <c:pt idx="17">
                  <c:v>44</c:v>
                </c:pt>
                <c:pt idx="18">
                  <c:v>53</c:v>
                </c:pt>
                <c:pt idx="19">
                  <c:v>52</c:v>
                </c:pt>
                <c:pt idx="20">
                  <c:v>50</c:v>
                </c:pt>
                <c:pt idx="21">
                  <c:v>43</c:v>
                </c:pt>
              </c:numCache>
            </c:numRef>
          </c:val>
          <c:extLst>
            <c:ext xmlns:c16="http://schemas.microsoft.com/office/drawing/2014/chart" uri="{C3380CC4-5D6E-409C-BE32-E72D297353CC}">
              <c16:uniqueId val="{00000001-EAE0-4861-A7AD-CC173196EA5A}"/>
            </c:ext>
          </c:extLst>
        </c:ser>
        <c:ser>
          <c:idx val="2"/>
          <c:order val="2"/>
          <c:tx>
            <c:strRef>
              <c:f>'Sheet1 (3)'!$D$3:$D$4</c:f>
              <c:strCache>
                <c:ptCount val="1"/>
                <c:pt idx="0">
                  <c:v>Continuing</c:v>
                </c:pt>
              </c:strCache>
            </c:strRef>
          </c:tx>
          <c:cat>
            <c:strRef>
              <c:f>'Sheet1 (3)'!$A$5:$A$27</c:f>
              <c:strCache>
                <c:ptCount val="2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pt idx="16">
                  <c:v>2018Q4</c:v>
                </c:pt>
                <c:pt idx="17">
                  <c:v>2019Q1</c:v>
                </c:pt>
                <c:pt idx="18">
                  <c:v>2019Q2</c:v>
                </c:pt>
                <c:pt idx="19">
                  <c:v>2019Q3</c:v>
                </c:pt>
                <c:pt idx="20">
                  <c:v>2019Q4</c:v>
                </c:pt>
                <c:pt idx="21">
                  <c:v>2020Q1</c:v>
                </c:pt>
              </c:strCache>
            </c:strRef>
          </c:cat>
          <c:val>
            <c:numRef>
              <c:f>'Sheet1 (3)'!$D$5:$D$27</c:f>
              <c:numCache>
                <c:formatCode>General</c:formatCode>
                <c:ptCount val="22"/>
                <c:pt idx="2">
                  <c:v>17</c:v>
                </c:pt>
                <c:pt idx="3">
                  <c:v>42</c:v>
                </c:pt>
                <c:pt idx="4">
                  <c:v>17</c:v>
                </c:pt>
                <c:pt idx="6">
                  <c:v>15</c:v>
                </c:pt>
                <c:pt idx="7">
                  <c:v>49</c:v>
                </c:pt>
                <c:pt idx="8">
                  <c:v>48</c:v>
                </c:pt>
                <c:pt idx="9">
                  <c:v>27</c:v>
                </c:pt>
                <c:pt idx="10">
                  <c:v>51</c:v>
                </c:pt>
                <c:pt idx="11">
                  <c:v>57</c:v>
                </c:pt>
                <c:pt idx="12">
                  <c:v>62</c:v>
                </c:pt>
                <c:pt idx="13">
                  <c:v>52</c:v>
                </c:pt>
                <c:pt idx="14">
                  <c:v>48</c:v>
                </c:pt>
                <c:pt idx="15">
                  <c:v>47</c:v>
                </c:pt>
                <c:pt idx="16">
                  <c:v>62</c:v>
                </c:pt>
                <c:pt idx="17">
                  <c:v>68</c:v>
                </c:pt>
                <c:pt idx="18">
                  <c:v>48</c:v>
                </c:pt>
                <c:pt idx="19">
                  <c:v>48</c:v>
                </c:pt>
                <c:pt idx="20">
                  <c:v>56</c:v>
                </c:pt>
                <c:pt idx="21">
                  <c:v>55</c:v>
                </c:pt>
              </c:numCache>
            </c:numRef>
          </c:val>
          <c:extLst>
            <c:ext xmlns:c16="http://schemas.microsoft.com/office/drawing/2014/chart" uri="{C3380CC4-5D6E-409C-BE32-E72D297353CC}">
              <c16:uniqueId val="{00000002-EAE0-4861-A7AD-CC173196EA5A}"/>
            </c:ext>
          </c:extLst>
        </c:ser>
        <c:ser>
          <c:idx val="3"/>
          <c:order val="3"/>
          <c:tx>
            <c:strRef>
              <c:f>'Sheet1 (3)'!$E$3:$E$4</c:f>
              <c:strCache>
                <c:ptCount val="1"/>
                <c:pt idx="0">
                  <c:v>Extended continuing</c:v>
                </c:pt>
              </c:strCache>
            </c:strRef>
          </c:tx>
          <c:spPr>
            <a:ln w="25400">
              <a:noFill/>
            </a:ln>
          </c:spPr>
          <c:cat>
            <c:strRef>
              <c:f>'Sheet1 (3)'!$A$5:$A$27</c:f>
              <c:strCache>
                <c:ptCount val="2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pt idx="16">
                  <c:v>2018Q4</c:v>
                </c:pt>
                <c:pt idx="17">
                  <c:v>2019Q1</c:v>
                </c:pt>
                <c:pt idx="18">
                  <c:v>2019Q2</c:v>
                </c:pt>
                <c:pt idx="19">
                  <c:v>2019Q3</c:v>
                </c:pt>
                <c:pt idx="20">
                  <c:v>2019Q4</c:v>
                </c:pt>
                <c:pt idx="21">
                  <c:v>2020Q1</c:v>
                </c:pt>
              </c:strCache>
            </c:strRef>
          </c:cat>
          <c:val>
            <c:numRef>
              <c:f>'Sheet1 (3)'!$E$5:$E$27</c:f>
              <c:numCache>
                <c:formatCode>General</c:formatCode>
                <c:ptCount val="22"/>
                <c:pt idx="2">
                  <c:v>19</c:v>
                </c:pt>
                <c:pt idx="3">
                  <c:v>45</c:v>
                </c:pt>
                <c:pt idx="4">
                  <c:v>31</c:v>
                </c:pt>
                <c:pt idx="5">
                  <c:v>26</c:v>
                </c:pt>
                <c:pt idx="6">
                  <c:v>13</c:v>
                </c:pt>
                <c:pt idx="7">
                  <c:v>3</c:v>
                </c:pt>
                <c:pt idx="8">
                  <c:v>2</c:v>
                </c:pt>
                <c:pt idx="9">
                  <c:v>21</c:v>
                </c:pt>
                <c:pt idx="10">
                  <c:v>24</c:v>
                </c:pt>
                <c:pt idx="11">
                  <c:v>28</c:v>
                </c:pt>
                <c:pt idx="12">
                  <c:v>28</c:v>
                </c:pt>
                <c:pt idx="13">
                  <c:v>28</c:v>
                </c:pt>
                <c:pt idx="14">
                  <c:v>34</c:v>
                </c:pt>
                <c:pt idx="15">
                  <c:v>40</c:v>
                </c:pt>
                <c:pt idx="16">
                  <c:v>43</c:v>
                </c:pt>
                <c:pt idx="17">
                  <c:v>43</c:v>
                </c:pt>
                <c:pt idx="18">
                  <c:v>58</c:v>
                </c:pt>
                <c:pt idx="19">
                  <c:v>71</c:v>
                </c:pt>
                <c:pt idx="20">
                  <c:v>56</c:v>
                </c:pt>
                <c:pt idx="21">
                  <c:v>42</c:v>
                </c:pt>
              </c:numCache>
            </c:numRef>
          </c:val>
          <c:extLst>
            <c:ext xmlns:c16="http://schemas.microsoft.com/office/drawing/2014/chart" uri="{C3380CC4-5D6E-409C-BE32-E72D297353CC}">
              <c16:uniqueId val="{00000003-EAE0-4861-A7AD-CC173196EA5A}"/>
            </c:ext>
          </c:extLst>
        </c:ser>
        <c:ser>
          <c:idx val="4"/>
          <c:order val="4"/>
          <c:tx>
            <c:strRef>
              <c:f>'Sheet1 (3)'!$F$3:$F$4</c:f>
              <c:strCache>
                <c:ptCount val="1"/>
                <c:pt idx="0">
                  <c:v>Initial</c:v>
                </c:pt>
              </c:strCache>
            </c:strRef>
          </c:tx>
          <c:spPr>
            <a:ln w="25400">
              <a:noFill/>
            </a:ln>
          </c:spPr>
          <c:cat>
            <c:strRef>
              <c:f>'Sheet1 (3)'!$A$5:$A$27</c:f>
              <c:strCache>
                <c:ptCount val="2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pt idx="16">
                  <c:v>2018Q4</c:v>
                </c:pt>
                <c:pt idx="17">
                  <c:v>2019Q1</c:v>
                </c:pt>
                <c:pt idx="18">
                  <c:v>2019Q2</c:v>
                </c:pt>
                <c:pt idx="19">
                  <c:v>2019Q3</c:v>
                </c:pt>
                <c:pt idx="20">
                  <c:v>2019Q4</c:v>
                </c:pt>
                <c:pt idx="21">
                  <c:v>2020Q1</c:v>
                </c:pt>
              </c:strCache>
            </c:strRef>
          </c:cat>
          <c:val>
            <c:numRef>
              <c:f>'Sheet1 (3)'!$F$5:$F$27</c:f>
              <c:numCache>
                <c:formatCode>General</c:formatCode>
                <c:ptCount val="22"/>
                <c:pt idx="0">
                  <c:v>7</c:v>
                </c:pt>
                <c:pt idx="1">
                  <c:v>6</c:v>
                </c:pt>
                <c:pt idx="2">
                  <c:v>7</c:v>
                </c:pt>
                <c:pt idx="3">
                  <c:v>14</c:v>
                </c:pt>
                <c:pt idx="4">
                  <c:v>17</c:v>
                </c:pt>
                <c:pt idx="5">
                  <c:v>14</c:v>
                </c:pt>
                <c:pt idx="6">
                  <c:v>13</c:v>
                </c:pt>
                <c:pt idx="7">
                  <c:v>8</c:v>
                </c:pt>
                <c:pt idx="8">
                  <c:v>14</c:v>
                </c:pt>
                <c:pt idx="9">
                  <c:v>15</c:v>
                </c:pt>
                <c:pt idx="10">
                  <c:v>10</c:v>
                </c:pt>
                <c:pt idx="11">
                  <c:v>10</c:v>
                </c:pt>
                <c:pt idx="12">
                  <c:v>13</c:v>
                </c:pt>
                <c:pt idx="13">
                  <c:v>14</c:v>
                </c:pt>
                <c:pt idx="14">
                  <c:v>14</c:v>
                </c:pt>
                <c:pt idx="15">
                  <c:v>20</c:v>
                </c:pt>
                <c:pt idx="16">
                  <c:v>16</c:v>
                </c:pt>
                <c:pt idx="17">
                  <c:v>16</c:v>
                </c:pt>
                <c:pt idx="18">
                  <c:v>13</c:v>
                </c:pt>
                <c:pt idx="19">
                  <c:v>16</c:v>
                </c:pt>
                <c:pt idx="20">
                  <c:v>11</c:v>
                </c:pt>
                <c:pt idx="21">
                  <c:v>21</c:v>
                </c:pt>
              </c:numCache>
            </c:numRef>
          </c:val>
          <c:extLst>
            <c:ext xmlns:c16="http://schemas.microsoft.com/office/drawing/2014/chart" uri="{C3380CC4-5D6E-409C-BE32-E72D297353CC}">
              <c16:uniqueId val="{00000004-EAE0-4861-A7AD-CC173196EA5A}"/>
            </c:ext>
          </c:extLst>
        </c:ser>
        <c:ser>
          <c:idx val="5"/>
          <c:order val="5"/>
          <c:tx>
            <c:strRef>
              <c:f>'Sheet1 (3)'!$G$3:$G$4</c:f>
              <c:strCache>
                <c:ptCount val="1"/>
                <c:pt idx="0">
                  <c:v>Grandfathered</c:v>
                </c:pt>
              </c:strCache>
            </c:strRef>
          </c:tx>
          <c:spPr>
            <a:ln w="25400">
              <a:noFill/>
            </a:ln>
          </c:spPr>
          <c:cat>
            <c:strRef>
              <c:f>'Sheet1 (3)'!$A$5:$A$27</c:f>
              <c:strCache>
                <c:ptCount val="2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pt idx="16">
                  <c:v>2018Q4</c:v>
                </c:pt>
                <c:pt idx="17">
                  <c:v>2019Q1</c:v>
                </c:pt>
                <c:pt idx="18">
                  <c:v>2019Q2</c:v>
                </c:pt>
                <c:pt idx="19">
                  <c:v>2019Q3</c:v>
                </c:pt>
                <c:pt idx="20">
                  <c:v>2019Q4</c:v>
                </c:pt>
                <c:pt idx="21">
                  <c:v>2020Q1</c:v>
                </c:pt>
              </c:strCache>
            </c:strRef>
          </c:cat>
          <c:val>
            <c:numRef>
              <c:f>'Sheet1 (3)'!$G$5:$G$27</c:f>
              <c:numCache>
                <c:formatCode>General</c:formatCode>
                <c:ptCount val="22"/>
                <c:pt idx="0">
                  <c:v>24</c:v>
                </c:pt>
                <c:pt idx="1">
                  <c:v>74</c:v>
                </c:pt>
                <c:pt idx="2">
                  <c:v>37</c:v>
                </c:pt>
                <c:pt idx="3">
                  <c:v>3</c:v>
                </c:pt>
              </c:numCache>
            </c:numRef>
          </c:val>
          <c:extLst>
            <c:ext xmlns:c16="http://schemas.microsoft.com/office/drawing/2014/chart" uri="{C3380CC4-5D6E-409C-BE32-E72D297353CC}">
              <c16:uniqueId val="{00000005-EAE0-4861-A7AD-CC173196EA5A}"/>
            </c:ext>
          </c:extLst>
        </c:ser>
        <c:ser>
          <c:idx val="6"/>
          <c:order val="6"/>
          <c:tx>
            <c:strRef>
              <c:f>'Sheet1 (3)'!$H$3:$H$4</c:f>
              <c:strCache>
                <c:ptCount val="1"/>
                <c:pt idx="0">
                  <c:v>Continuing recommencement</c:v>
                </c:pt>
              </c:strCache>
            </c:strRef>
          </c:tx>
          <c:spPr>
            <a:ln w="25400">
              <a:noFill/>
            </a:ln>
          </c:spPr>
          <c:cat>
            <c:strRef>
              <c:f>'Sheet1 (3)'!$A$5:$A$27</c:f>
              <c:strCache>
                <c:ptCount val="2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pt idx="16">
                  <c:v>2018Q4</c:v>
                </c:pt>
                <c:pt idx="17">
                  <c:v>2019Q1</c:v>
                </c:pt>
                <c:pt idx="18">
                  <c:v>2019Q2</c:v>
                </c:pt>
                <c:pt idx="19">
                  <c:v>2019Q3</c:v>
                </c:pt>
                <c:pt idx="20">
                  <c:v>2019Q4</c:v>
                </c:pt>
                <c:pt idx="21">
                  <c:v>2020Q1</c:v>
                </c:pt>
              </c:strCache>
            </c:strRef>
          </c:cat>
          <c:val>
            <c:numRef>
              <c:f>'Sheet1 (3)'!$H$5:$H$27</c:f>
              <c:numCache>
                <c:formatCode>General</c:formatCode>
                <c:ptCount val="22"/>
                <c:pt idx="6">
                  <c:v>3</c:v>
                </c:pt>
                <c:pt idx="7">
                  <c:v>4</c:v>
                </c:pt>
                <c:pt idx="8">
                  <c:v>15</c:v>
                </c:pt>
                <c:pt idx="9">
                  <c:v>9</c:v>
                </c:pt>
                <c:pt idx="10">
                  <c:v>3</c:v>
                </c:pt>
                <c:pt idx="11">
                  <c:v>2</c:v>
                </c:pt>
                <c:pt idx="12">
                  <c:v>5</c:v>
                </c:pt>
                <c:pt idx="13">
                  <c:v>11</c:v>
                </c:pt>
                <c:pt idx="14">
                  <c:v>9</c:v>
                </c:pt>
                <c:pt idx="15">
                  <c:v>9</c:v>
                </c:pt>
                <c:pt idx="16">
                  <c:v>6</c:v>
                </c:pt>
                <c:pt idx="17">
                  <c:v>5</c:v>
                </c:pt>
                <c:pt idx="18">
                  <c:v>7</c:v>
                </c:pt>
                <c:pt idx="19">
                  <c:v>16</c:v>
                </c:pt>
                <c:pt idx="20">
                  <c:v>16</c:v>
                </c:pt>
                <c:pt idx="21">
                  <c:v>17</c:v>
                </c:pt>
              </c:numCache>
            </c:numRef>
          </c:val>
          <c:extLst>
            <c:ext xmlns:c16="http://schemas.microsoft.com/office/drawing/2014/chart" uri="{C3380CC4-5D6E-409C-BE32-E72D297353CC}">
              <c16:uniqueId val="{00000006-EAE0-4861-A7AD-CC173196EA5A}"/>
            </c:ext>
          </c:extLst>
        </c:ser>
        <c:ser>
          <c:idx val="7"/>
          <c:order val="7"/>
          <c:tx>
            <c:strRef>
              <c:f>'Sheet1 (3)'!$I$3:$I$4</c:f>
              <c:strCache>
                <c:ptCount val="1"/>
                <c:pt idx="0">
                  <c:v>Recommencement</c:v>
                </c:pt>
              </c:strCache>
            </c:strRef>
          </c:tx>
          <c:spPr>
            <a:ln w="25400">
              <a:noFill/>
            </a:ln>
          </c:spPr>
          <c:cat>
            <c:strRef>
              <c:f>'Sheet1 (3)'!$A$5:$A$27</c:f>
              <c:strCache>
                <c:ptCount val="2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pt idx="16">
                  <c:v>2018Q4</c:v>
                </c:pt>
                <c:pt idx="17">
                  <c:v>2019Q1</c:v>
                </c:pt>
                <c:pt idx="18">
                  <c:v>2019Q2</c:v>
                </c:pt>
                <c:pt idx="19">
                  <c:v>2019Q3</c:v>
                </c:pt>
                <c:pt idx="20">
                  <c:v>2019Q4</c:v>
                </c:pt>
                <c:pt idx="21">
                  <c:v>2020Q1</c:v>
                </c:pt>
              </c:strCache>
            </c:strRef>
          </c:cat>
          <c:val>
            <c:numRef>
              <c:f>'Sheet1 (3)'!$I$5:$I$27</c:f>
              <c:numCache>
                <c:formatCode>General</c:formatCode>
                <c:ptCount val="22"/>
                <c:pt idx="3">
                  <c:v>5</c:v>
                </c:pt>
                <c:pt idx="4">
                  <c:v>1</c:v>
                </c:pt>
                <c:pt idx="5">
                  <c:v>1</c:v>
                </c:pt>
                <c:pt idx="6">
                  <c:v>7</c:v>
                </c:pt>
                <c:pt idx="7">
                  <c:v>5</c:v>
                </c:pt>
                <c:pt idx="9">
                  <c:v>1</c:v>
                </c:pt>
                <c:pt idx="10">
                  <c:v>4</c:v>
                </c:pt>
                <c:pt idx="11">
                  <c:v>4</c:v>
                </c:pt>
                <c:pt idx="12">
                  <c:v>2</c:v>
                </c:pt>
                <c:pt idx="13">
                  <c:v>2</c:v>
                </c:pt>
                <c:pt idx="14">
                  <c:v>5</c:v>
                </c:pt>
                <c:pt idx="15">
                  <c:v>4</c:v>
                </c:pt>
                <c:pt idx="16">
                  <c:v>3</c:v>
                </c:pt>
                <c:pt idx="17">
                  <c:v>2</c:v>
                </c:pt>
                <c:pt idx="18">
                  <c:v>6</c:v>
                </c:pt>
                <c:pt idx="19">
                  <c:v>3</c:v>
                </c:pt>
                <c:pt idx="20">
                  <c:v>2</c:v>
                </c:pt>
                <c:pt idx="21">
                  <c:v>1</c:v>
                </c:pt>
              </c:numCache>
            </c:numRef>
          </c:val>
          <c:extLst>
            <c:ext xmlns:c16="http://schemas.microsoft.com/office/drawing/2014/chart" uri="{C3380CC4-5D6E-409C-BE32-E72D297353CC}">
              <c16:uniqueId val="{00000007-EAE0-4861-A7AD-CC173196EA5A}"/>
            </c:ext>
          </c:extLst>
        </c:ser>
        <c:ser>
          <c:idx val="8"/>
          <c:order val="8"/>
          <c:tx>
            <c:strRef>
              <c:f>'Sheet1 (3)'!$J$3:$J$4</c:f>
              <c:strCache>
                <c:ptCount val="1"/>
                <c:pt idx="0">
                  <c:v>Continuing - Unknown</c:v>
                </c:pt>
              </c:strCache>
            </c:strRef>
          </c:tx>
          <c:spPr>
            <a:ln w="25400">
              <a:noFill/>
            </a:ln>
          </c:spPr>
          <c:cat>
            <c:strRef>
              <c:f>'Sheet1 (3)'!$A$5:$A$27</c:f>
              <c:strCache>
                <c:ptCount val="2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pt idx="16">
                  <c:v>2018Q4</c:v>
                </c:pt>
                <c:pt idx="17">
                  <c:v>2019Q1</c:v>
                </c:pt>
                <c:pt idx="18">
                  <c:v>2019Q2</c:v>
                </c:pt>
                <c:pt idx="19">
                  <c:v>2019Q3</c:v>
                </c:pt>
                <c:pt idx="20">
                  <c:v>2019Q4</c:v>
                </c:pt>
                <c:pt idx="21">
                  <c:v>2020Q1</c:v>
                </c:pt>
              </c:strCache>
            </c:strRef>
          </c:cat>
          <c:val>
            <c:numRef>
              <c:f>'Sheet1 (3)'!$J$5:$J$27</c:f>
              <c:numCache>
                <c:formatCode>General</c:formatCode>
                <c:ptCount val="22"/>
                <c:pt idx="0">
                  <c:v>1</c:v>
                </c:pt>
                <c:pt idx="1">
                  <c:v>1</c:v>
                </c:pt>
                <c:pt idx="2">
                  <c:v>2</c:v>
                </c:pt>
                <c:pt idx="3">
                  <c:v>4</c:v>
                </c:pt>
                <c:pt idx="4">
                  <c:v>6</c:v>
                </c:pt>
                <c:pt idx="5">
                  <c:v>2</c:v>
                </c:pt>
                <c:pt idx="8">
                  <c:v>1</c:v>
                </c:pt>
                <c:pt idx="20">
                  <c:v>1</c:v>
                </c:pt>
              </c:numCache>
            </c:numRef>
          </c:val>
          <c:extLst>
            <c:ext xmlns:c16="http://schemas.microsoft.com/office/drawing/2014/chart" uri="{C3380CC4-5D6E-409C-BE32-E72D297353CC}">
              <c16:uniqueId val="{00000008-EAE0-4861-A7AD-CC173196EA5A}"/>
            </c:ext>
          </c:extLst>
        </c:ser>
        <c:dLbls>
          <c:showLegendKey val="0"/>
          <c:showVal val="0"/>
          <c:showCatName val="0"/>
          <c:showSerName val="0"/>
          <c:showPercent val="0"/>
          <c:showBubbleSize val="0"/>
        </c:dLbls>
        <c:axId val="118354304"/>
        <c:axId val="118355840"/>
      </c:areaChart>
      <c:catAx>
        <c:axId val="118354304"/>
        <c:scaling>
          <c:orientation val="minMax"/>
        </c:scaling>
        <c:delete val="0"/>
        <c:axPos val="b"/>
        <c:title>
          <c:tx>
            <c:rich>
              <a:bodyPr/>
              <a:lstStyle/>
              <a:p>
                <a:pPr>
                  <a:defRPr/>
                </a:pPr>
                <a:r>
                  <a:rPr lang="en-US"/>
                  <a:t>Quarter of Supply</a:t>
                </a:r>
              </a:p>
            </c:rich>
          </c:tx>
          <c:layout/>
          <c:overlay val="0"/>
        </c:title>
        <c:numFmt formatCode="General" sourceLinked="0"/>
        <c:majorTickMark val="none"/>
        <c:minorTickMark val="none"/>
        <c:tickLblPos val="nextTo"/>
        <c:crossAx val="118355840"/>
        <c:crosses val="autoZero"/>
        <c:auto val="1"/>
        <c:lblAlgn val="ctr"/>
        <c:lblOffset val="100"/>
        <c:noMultiLvlLbl val="0"/>
      </c:catAx>
      <c:valAx>
        <c:axId val="118355840"/>
        <c:scaling>
          <c:orientation val="minMax"/>
        </c:scaling>
        <c:delete val="0"/>
        <c:axPos val="l"/>
        <c:majorGridlines/>
        <c:title>
          <c:tx>
            <c:rich>
              <a:bodyPr/>
              <a:lstStyle/>
              <a:p>
                <a:pPr>
                  <a:defRPr/>
                </a:pPr>
                <a:r>
                  <a:rPr lang="en-US"/>
                  <a:t>Prescriptions</a:t>
                </a:r>
              </a:p>
            </c:rich>
          </c:tx>
          <c:layout/>
          <c:overlay val="0"/>
        </c:title>
        <c:numFmt formatCode="General" sourceLinked="1"/>
        <c:majorTickMark val="none"/>
        <c:minorTickMark val="none"/>
        <c:tickLblPos val="nextTo"/>
        <c:crossAx val="118354304"/>
        <c:crosses val="autoZero"/>
        <c:crossBetween val="midCat"/>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'by presc type, graph'!$E$10</c:f>
              <c:strCache>
                <c:ptCount val="1"/>
                <c:pt idx="0">
                  <c:v>Nephrology</c:v>
                </c:pt>
              </c:strCache>
            </c:strRef>
          </c:tx>
          <c:spPr>
            <a:solidFill>
              <a:schemeClr val="accent1"/>
            </a:solidFill>
            <a:ln>
              <a:noFill/>
            </a:ln>
            <a:effectLst/>
          </c:spPr>
          <c:invertIfNegative val="0"/>
          <c:val>
            <c:numRef>
              <c:f>'by presc type, graph'!$F$10</c:f>
              <c:numCache>
                <c:formatCode>General</c:formatCode>
                <c:ptCount val="1"/>
                <c:pt idx="0">
                  <c:v>1818</c:v>
                </c:pt>
              </c:numCache>
            </c:numRef>
          </c:val>
          <c:extLst>
            <c:ext xmlns:c16="http://schemas.microsoft.com/office/drawing/2014/chart" uri="{C3380CC4-5D6E-409C-BE32-E72D297353CC}">
              <c16:uniqueId val="{00000000-DEC2-4F06-B061-3883C05563C3}"/>
            </c:ext>
          </c:extLst>
        </c:ser>
        <c:ser>
          <c:idx val="1"/>
          <c:order val="1"/>
          <c:tx>
            <c:strRef>
              <c:f>'by presc type, graph'!$E$11</c:f>
              <c:strCache>
                <c:ptCount val="1"/>
                <c:pt idx="0">
                  <c:v>GP</c:v>
                </c:pt>
              </c:strCache>
            </c:strRef>
          </c:tx>
          <c:spPr>
            <a:solidFill>
              <a:schemeClr val="accent2"/>
            </a:solidFill>
            <a:ln>
              <a:noFill/>
            </a:ln>
            <a:effectLst/>
          </c:spPr>
          <c:invertIfNegative val="0"/>
          <c:val>
            <c:numRef>
              <c:f>'by presc type, graph'!$F$11</c:f>
              <c:numCache>
                <c:formatCode>General</c:formatCode>
                <c:ptCount val="1"/>
                <c:pt idx="0">
                  <c:v>1328</c:v>
                </c:pt>
              </c:numCache>
            </c:numRef>
          </c:val>
          <c:extLst>
            <c:ext xmlns:c16="http://schemas.microsoft.com/office/drawing/2014/chart" uri="{C3380CC4-5D6E-409C-BE32-E72D297353CC}">
              <c16:uniqueId val="{00000001-DEC2-4F06-B061-3883C05563C3}"/>
            </c:ext>
          </c:extLst>
        </c:ser>
        <c:ser>
          <c:idx val="2"/>
          <c:order val="2"/>
          <c:tx>
            <c:strRef>
              <c:f>'by presc type, graph'!$E$12</c:f>
              <c:strCache>
                <c:ptCount val="1"/>
                <c:pt idx="0">
                  <c:v>Haematology</c:v>
                </c:pt>
              </c:strCache>
            </c:strRef>
          </c:tx>
          <c:spPr>
            <a:solidFill>
              <a:schemeClr val="accent3"/>
            </a:solidFill>
            <a:ln>
              <a:noFill/>
            </a:ln>
            <a:effectLst/>
          </c:spPr>
          <c:invertIfNegative val="0"/>
          <c:val>
            <c:numRef>
              <c:f>'by presc type, graph'!$F$12</c:f>
              <c:numCache>
                <c:formatCode>General</c:formatCode>
                <c:ptCount val="1"/>
                <c:pt idx="0">
                  <c:v>588</c:v>
                </c:pt>
              </c:numCache>
            </c:numRef>
          </c:val>
          <c:extLst>
            <c:ext xmlns:c16="http://schemas.microsoft.com/office/drawing/2014/chart" uri="{C3380CC4-5D6E-409C-BE32-E72D297353CC}">
              <c16:uniqueId val="{00000002-DEC2-4F06-B061-3883C05563C3}"/>
            </c:ext>
          </c:extLst>
        </c:ser>
        <c:ser>
          <c:idx val="3"/>
          <c:order val="3"/>
          <c:tx>
            <c:strRef>
              <c:f>'by presc type, graph'!$E$13</c:f>
              <c:strCache>
                <c:ptCount val="1"/>
                <c:pt idx="0">
                  <c:v>Internal Medicine</c:v>
                </c:pt>
              </c:strCache>
            </c:strRef>
          </c:tx>
          <c:spPr>
            <a:solidFill>
              <a:schemeClr val="accent4"/>
            </a:solidFill>
            <a:ln>
              <a:noFill/>
            </a:ln>
            <a:effectLst/>
          </c:spPr>
          <c:invertIfNegative val="0"/>
          <c:val>
            <c:numRef>
              <c:f>'by presc type, graph'!$F$13</c:f>
              <c:numCache>
                <c:formatCode>General</c:formatCode>
                <c:ptCount val="1"/>
                <c:pt idx="0">
                  <c:v>292</c:v>
                </c:pt>
              </c:numCache>
            </c:numRef>
          </c:val>
          <c:extLst>
            <c:ext xmlns:c16="http://schemas.microsoft.com/office/drawing/2014/chart" uri="{C3380CC4-5D6E-409C-BE32-E72D297353CC}">
              <c16:uniqueId val="{00000003-DEC2-4F06-B061-3883C05563C3}"/>
            </c:ext>
          </c:extLst>
        </c:ser>
        <c:ser>
          <c:idx val="4"/>
          <c:order val="4"/>
          <c:tx>
            <c:strRef>
              <c:f>'by presc type, graph'!$E$14</c:f>
              <c:strCache>
                <c:ptCount val="1"/>
                <c:pt idx="0">
                  <c:v>Pathology</c:v>
                </c:pt>
              </c:strCache>
            </c:strRef>
          </c:tx>
          <c:spPr>
            <a:solidFill>
              <a:schemeClr val="accent5"/>
            </a:solidFill>
            <a:ln>
              <a:noFill/>
            </a:ln>
            <a:effectLst/>
          </c:spPr>
          <c:invertIfNegative val="0"/>
          <c:val>
            <c:numRef>
              <c:f>'by presc type, graph'!$F$14</c:f>
              <c:numCache>
                <c:formatCode>General</c:formatCode>
                <c:ptCount val="1"/>
                <c:pt idx="0">
                  <c:v>132</c:v>
                </c:pt>
              </c:numCache>
            </c:numRef>
          </c:val>
          <c:extLst>
            <c:ext xmlns:c16="http://schemas.microsoft.com/office/drawing/2014/chart" uri="{C3380CC4-5D6E-409C-BE32-E72D297353CC}">
              <c16:uniqueId val="{00000004-DEC2-4F06-B061-3883C05563C3}"/>
            </c:ext>
          </c:extLst>
        </c:ser>
        <c:ser>
          <c:idx val="5"/>
          <c:order val="5"/>
          <c:tx>
            <c:strRef>
              <c:f>'by presc type, graph'!$E$15</c:f>
              <c:strCache>
                <c:ptCount val="1"/>
                <c:pt idx="0">
                  <c:v>Paediatric Medicine</c:v>
                </c:pt>
              </c:strCache>
            </c:strRef>
          </c:tx>
          <c:spPr>
            <a:solidFill>
              <a:schemeClr val="accent6"/>
            </a:solidFill>
            <a:ln>
              <a:noFill/>
            </a:ln>
            <a:effectLst/>
          </c:spPr>
          <c:invertIfNegative val="0"/>
          <c:val>
            <c:numRef>
              <c:f>'by presc type, graph'!$F$15</c:f>
              <c:numCache>
                <c:formatCode>General</c:formatCode>
                <c:ptCount val="1"/>
                <c:pt idx="0">
                  <c:v>67</c:v>
                </c:pt>
              </c:numCache>
            </c:numRef>
          </c:val>
          <c:extLst>
            <c:ext xmlns:c16="http://schemas.microsoft.com/office/drawing/2014/chart" uri="{C3380CC4-5D6E-409C-BE32-E72D297353CC}">
              <c16:uniqueId val="{00000005-DEC2-4F06-B061-3883C05563C3}"/>
            </c:ext>
          </c:extLst>
        </c:ser>
        <c:ser>
          <c:idx val="6"/>
          <c:order val="6"/>
          <c:tx>
            <c:strRef>
              <c:f>'by presc type, graph'!$E$16</c:f>
              <c:strCache>
                <c:ptCount val="1"/>
                <c:pt idx="0">
                  <c:v>Unknown</c:v>
                </c:pt>
              </c:strCache>
            </c:strRef>
          </c:tx>
          <c:spPr>
            <a:solidFill>
              <a:schemeClr val="accent1">
                <a:lumMod val="60000"/>
              </a:schemeClr>
            </a:solidFill>
            <a:ln>
              <a:noFill/>
            </a:ln>
            <a:effectLst/>
          </c:spPr>
          <c:invertIfNegative val="0"/>
          <c:val>
            <c:numRef>
              <c:f>'by presc type, graph'!$F$16</c:f>
              <c:numCache>
                <c:formatCode>General</c:formatCode>
                <c:ptCount val="1"/>
                <c:pt idx="0">
                  <c:v>60</c:v>
                </c:pt>
              </c:numCache>
            </c:numRef>
          </c:val>
          <c:extLst>
            <c:ext xmlns:c16="http://schemas.microsoft.com/office/drawing/2014/chart" uri="{C3380CC4-5D6E-409C-BE32-E72D297353CC}">
              <c16:uniqueId val="{00000006-DEC2-4F06-B061-3883C05563C3}"/>
            </c:ext>
          </c:extLst>
        </c:ser>
        <c:ser>
          <c:idx val="7"/>
          <c:order val="7"/>
          <c:tx>
            <c:strRef>
              <c:f>'by presc type, graph'!$E$17</c:f>
              <c:strCache>
                <c:ptCount val="1"/>
                <c:pt idx="0">
                  <c:v>Other</c:v>
                </c:pt>
              </c:strCache>
            </c:strRef>
          </c:tx>
          <c:spPr>
            <a:solidFill>
              <a:schemeClr val="accent2">
                <a:lumMod val="60000"/>
              </a:schemeClr>
            </a:solidFill>
            <a:ln>
              <a:noFill/>
            </a:ln>
            <a:effectLst/>
          </c:spPr>
          <c:invertIfNegative val="0"/>
          <c:val>
            <c:numRef>
              <c:f>'by presc type, graph'!$F$17</c:f>
              <c:numCache>
                <c:formatCode>General</c:formatCode>
                <c:ptCount val="1"/>
                <c:pt idx="0">
                  <c:v>32</c:v>
                </c:pt>
              </c:numCache>
            </c:numRef>
          </c:val>
          <c:extLst>
            <c:ext xmlns:c16="http://schemas.microsoft.com/office/drawing/2014/chart" uri="{C3380CC4-5D6E-409C-BE32-E72D297353CC}">
              <c16:uniqueId val="{00000007-DEC2-4F06-B061-3883C05563C3}"/>
            </c:ext>
          </c:extLst>
        </c:ser>
        <c:dLbls>
          <c:showLegendKey val="0"/>
          <c:showVal val="0"/>
          <c:showCatName val="0"/>
          <c:showSerName val="0"/>
          <c:showPercent val="0"/>
          <c:showBubbleSize val="0"/>
        </c:dLbls>
        <c:gapWidth val="182"/>
        <c:overlap val="100"/>
        <c:axId val="658474944"/>
        <c:axId val="658476256"/>
      </c:barChart>
      <c:catAx>
        <c:axId val="658474944"/>
        <c:scaling>
          <c:orientation val="minMax"/>
        </c:scaling>
        <c:delete val="1"/>
        <c:axPos val="l"/>
        <c:numFmt formatCode="General" sourceLinked="1"/>
        <c:majorTickMark val="none"/>
        <c:minorTickMark val="none"/>
        <c:tickLblPos val="nextTo"/>
        <c:crossAx val="658476256"/>
        <c:crosses val="autoZero"/>
        <c:auto val="1"/>
        <c:lblAlgn val="ctr"/>
        <c:lblOffset val="100"/>
        <c:noMultiLvlLbl val="0"/>
      </c:catAx>
      <c:valAx>
        <c:axId val="658476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Percentage of prescriptions supplied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474944"/>
        <c:crosses val="autoZero"/>
        <c:crossBetween val="between"/>
      </c:valAx>
      <c:spPr>
        <a:noFill/>
        <a:ln>
          <a:noFill/>
        </a:ln>
        <a:effectLst/>
      </c:spPr>
    </c:plotArea>
    <c:legend>
      <c:legendPos val="r"/>
      <c:layout>
        <c:manualLayout>
          <c:xMode val="edge"/>
          <c:yMode val="edge"/>
          <c:x val="0.77449757957357301"/>
          <c:y val="0.14322725284339458"/>
          <c:w val="0.21119115030120342"/>
          <c:h val="0.73206401283172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'by presc type, graph'!$M$10</c:f>
              <c:strCache>
                <c:ptCount val="1"/>
                <c:pt idx="0">
                  <c:v>Nephrology</c:v>
                </c:pt>
              </c:strCache>
            </c:strRef>
          </c:tx>
          <c:spPr>
            <a:solidFill>
              <a:schemeClr val="accent1"/>
            </a:solidFill>
            <a:ln>
              <a:noFill/>
            </a:ln>
            <a:effectLst/>
          </c:spPr>
          <c:invertIfNegative val="0"/>
          <c:val>
            <c:numRef>
              <c:f>'by presc type, graph'!$N$10</c:f>
              <c:numCache>
                <c:formatCode>General</c:formatCode>
                <c:ptCount val="1"/>
                <c:pt idx="0">
                  <c:v>90</c:v>
                </c:pt>
              </c:numCache>
            </c:numRef>
          </c:val>
          <c:extLst>
            <c:ext xmlns:c16="http://schemas.microsoft.com/office/drawing/2014/chart" uri="{C3380CC4-5D6E-409C-BE32-E72D297353CC}">
              <c16:uniqueId val="{00000000-D2A8-4EF9-9AF8-AFB6FB417D4A}"/>
            </c:ext>
          </c:extLst>
        </c:ser>
        <c:ser>
          <c:idx val="1"/>
          <c:order val="1"/>
          <c:tx>
            <c:strRef>
              <c:f>'by presc type, graph'!$M$11</c:f>
              <c:strCache>
                <c:ptCount val="1"/>
                <c:pt idx="0">
                  <c:v>GP</c:v>
                </c:pt>
              </c:strCache>
            </c:strRef>
          </c:tx>
          <c:spPr>
            <a:solidFill>
              <a:schemeClr val="accent2"/>
            </a:solidFill>
            <a:ln>
              <a:noFill/>
            </a:ln>
            <a:effectLst/>
          </c:spPr>
          <c:invertIfNegative val="0"/>
          <c:val>
            <c:numRef>
              <c:f>'by presc type, graph'!$N$11</c:f>
              <c:numCache>
                <c:formatCode>General</c:formatCode>
                <c:ptCount val="1"/>
                <c:pt idx="0">
                  <c:v>138</c:v>
                </c:pt>
              </c:numCache>
            </c:numRef>
          </c:val>
          <c:extLst>
            <c:ext xmlns:c16="http://schemas.microsoft.com/office/drawing/2014/chart" uri="{C3380CC4-5D6E-409C-BE32-E72D297353CC}">
              <c16:uniqueId val="{00000001-D2A8-4EF9-9AF8-AFB6FB417D4A}"/>
            </c:ext>
          </c:extLst>
        </c:ser>
        <c:ser>
          <c:idx val="2"/>
          <c:order val="2"/>
          <c:tx>
            <c:strRef>
              <c:f>'by presc type, graph'!$M$12</c:f>
              <c:strCache>
                <c:ptCount val="1"/>
                <c:pt idx="0">
                  <c:v>Haematology</c:v>
                </c:pt>
              </c:strCache>
            </c:strRef>
          </c:tx>
          <c:spPr>
            <a:solidFill>
              <a:schemeClr val="accent3"/>
            </a:solidFill>
            <a:ln>
              <a:noFill/>
            </a:ln>
            <a:effectLst/>
          </c:spPr>
          <c:invertIfNegative val="0"/>
          <c:val>
            <c:numRef>
              <c:f>'by presc type, graph'!$N$12</c:f>
              <c:numCache>
                <c:formatCode>General</c:formatCode>
                <c:ptCount val="1"/>
                <c:pt idx="0">
                  <c:v>56</c:v>
                </c:pt>
              </c:numCache>
            </c:numRef>
          </c:val>
          <c:extLst>
            <c:ext xmlns:c16="http://schemas.microsoft.com/office/drawing/2014/chart" uri="{C3380CC4-5D6E-409C-BE32-E72D297353CC}">
              <c16:uniqueId val="{00000002-D2A8-4EF9-9AF8-AFB6FB417D4A}"/>
            </c:ext>
          </c:extLst>
        </c:ser>
        <c:ser>
          <c:idx val="3"/>
          <c:order val="3"/>
          <c:tx>
            <c:strRef>
              <c:f>'by presc type, graph'!$M$13</c:f>
              <c:strCache>
                <c:ptCount val="1"/>
                <c:pt idx="0">
                  <c:v>Internal Medicine</c:v>
                </c:pt>
              </c:strCache>
            </c:strRef>
          </c:tx>
          <c:spPr>
            <a:solidFill>
              <a:schemeClr val="accent4"/>
            </a:solidFill>
            <a:ln>
              <a:noFill/>
            </a:ln>
            <a:effectLst/>
          </c:spPr>
          <c:invertIfNegative val="0"/>
          <c:val>
            <c:numRef>
              <c:f>'by presc type, graph'!$N$13</c:f>
              <c:numCache>
                <c:formatCode>General</c:formatCode>
                <c:ptCount val="1"/>
                <c:pt idx="0">
                  <c:v>14</c:v>
                </c:pt>
              </c:numCache>
            </c:numRef>
          </c:val>
          <c:extLst>
            <c:ext xmlns:c16="http://schemas.microsoft.com/office/drawing/2014/chart" uri="{C3380CC4-5D6E-409C-BE32-E72D297353CC}">
              <c16:uniqueId val="{00000003-D2A8-4EF9-9AF8-AFB6FB417D4A}"/>
            </c:ext>
          </c:extLst>
        </c:ser>
        <c:ser>
          <c:idx val="4"/>
          <c:order val="4"/>
          <c:tx>
            <c:strRef>
              <c:f>'by presc type, graph'!$M$14</c:f>
              <c:strCache>
                <c:ptCount val="1"/>
                <c:pt idx="0">
                  <c:v>Other</c:v>
                </c:pt>
              </c:strCache>
            </c:strRef>
          </c:tx>
          <c:spPr>
            <a:solidFill>
              <a:schemeClr val="accent5"/>
            </a:solidFill>
            <a:ln>
              <a:noFill/>
            </a:ln>
            <a:effectLst/>
          </c:spPr>
          <c:invertIfNegative val="0"/>
          <c:val>
            <c:numRef>
              <c:f>'by presc type, graph'!$N$14</c:f>
              <c:numCache>
                <c:formatCode>General</c:formatCode>
                <c:ptCount val="1"/>
                <c:pt idx="0">
                  <c:v>9</c:v>
                </c:pt>
              </c:numCache>
            </c:numRef>
          </c:val>
          <c:extLst>
            <c:ext xmlns:c16="http://schemas.microsoft.com/office/drawing/2014/chart" uri="{C3380CC4-5D6E-409C-BE32-E72D297353CC}">
              <c16:uniqueId val="{00000004-D2A8-4EF9-9AF8-AFB6FB417D4A}"/>
            </c:ext>
          </c:extLst>
        </c:ser>
        <c:ser>
          <c:idx val="5"/>
          <c:order val="5"/>
          <c:tx>
            <c:strRef>
              <c:f>'by presc type, graph'!$M$15</c:f>
              <c:strCache>
                <c:ptCount val="1"/>
                <c:pt idx="0">
                  <c:v>Paediatric Medicine</c:v>
                </c:pt>
              </c:strCache>
            </c:strRef>
          </c:tx>
          <c:spPr>
            <a:solidFill>
              <a:schemeClr val="accent6"/>
            </a:solidFill>
            <a:ln>
              <a:noFill/>
            </a:ln>
            <a:effectLst/>
          </c:spPr>
          <c:invertIfNegative val="0"/>
          <c:val>
            <c:numRef>
              <c:f>'by presc type, graph'!$N$15</c:f>
              <c:numCache>
                <c:formatCode>General</c:formatCode>
                <c:ptCount val="1"/>
                <c:pt idx="0">
                  <c:v>7</c:v>
                </c:pt>
              </c:numCache>
            </c:numRef>
          </c:val>
          <c:extLst>
            <c:ext xmlns:c16="http://schemas.microsoft.com/office/drawing/2014/chart" uri="{C3380CC4-5D6E-409C-BE32-E72D297353CC}">
              <c16:uniqueId val="{00000005-D2A8-4EF9-9AF8-AFB6FB417D4A}"/>
            </c:ext>
          </c:extLst>
        </c:ser>
        <c:ser>
          <c:idx val="6"/>
          <c:order val="6"/>
          <c:tx>
            <c:strRef>
              <c:f>'by presc type, graph'!$M$16</c:f>
              <c:strCache>
                <c:ptCount val="1"/>
                <c:pt idx="0">
                  <c:v>Pathology</c:v>
                </c:pt>
              </c:strCache>
            </c:strRef>
          </c:tx>
          <c:spPr>
            <a:solidFill>
              <a:schemeClr val="accent1">
                <a:lumMod val="60000"/>
              </a:schemeClr>
            </a:solidFill>
            <a:ln>
              <a:noFill/>
            </a:ln>
            <a:effectLst/>
          </c:spPr>
          <c:invertIfNegative val="0"/>
          <c:val>
            <c:numRef>
              <c:f>'by presc type, graph'!$N$16</c:f>
              <c:numCache>
                <c:formatCode>General</c:formatCode>
                <c:ptCount val="1"/>
                <c:pt idx="0">
                  <c:v>5</c:v>
                </c:pt>
              </c:numCache>
            </c:numRef>
          </c:val>
          <c:extLst>
            <c:ext xmlns:c16="http://schemas.microsoft.com/office/drawing/2014/chart" uri="{C3380CC4-5D6E-409C-BE32-E72D297353CC}">
              <c16:uniqueId val="{00000006-D2A8-4EF9-9AF8-AFB6FB417D4A}"/>
            </c:ext>
          </c:extLst>
        </c:ser>
        <c:ser>
          <c:idx val="7"/>
          <c:order val="7"/>
          <c:tx>
            <c:strRef>
              <c:f>'by presc type, graph'!$M$17</c:f>
              <c:strCache>
                <c:ptCount val="1"/>
                <c:pt idx="0">
                  <c:v>Unknown</c:v>
                </c:pt>
              </c:strCache>
            </c:strRef>
          </c:tx>
          <c:spPr>
            <a:solidFill>
              <a:schemeClr val="accent2">
                <a:lumMod val="60000"/>
              </a:schemeClr>
            </a:solidFill>
            <a:ln>
              <a:noFill/>
            </a:ln>
            <a:effectLst/>
          </c:spPr>
          <c:invertIfNegative val="0"/>
          <c:val>
            <c:numRef>
              <c:f>'by presc type, graph'!$N$17</c:f>
              <c:numCache>
                <c:formatCode>General</c:formatCode>
                <c:ptCount val="1"/>
                <c:pt idx="0">
                  <c:v>4</c:v>
                </c:pt>
              </c:numCache>
            </c:numRef>
          </c:val>
          <c:extLst>
            <c:ext xmlns:c16="http://schemas.microsoft.com/office/drawing/2014/chart" uri="{C3380CC4-5D6E-409C-BE32-E72D297353CC}">
              <c16:uniqueId val="{00000007-D2A8-4EF9-9AF8-AFB6FB417D4A}"/>
            </c:ext>
          </c:extLst>
        </c:ser>
        <c:dLbls>
          <c:showLegendKey val="0"/>
          <c:showVal val="0"/>
          <c:showCatName val="0"/>
          <c:showSerName val="0"/>
          <c:showPercent val="0"/>
          <c:showBubbleSize val="0"/>
        </c:dLbls>
        <c:gapWidth val="182"/>
        <c:overlap val="100"/>
        <c:axId val="658474944"/>
        <c:axId val="658476256"/>
      </c:barChart>
      <c:catAx>
        <c:axId val="658474944"/>
        <c:scaling>
          <c:orientation val="minMax"/>
        </c:scaling>
        <c:delete val="1"/>
        <c:axPos val="l"/>
        <c:numFmt formatCode="General" sourceLinked="1"/>
        <c:majorTickMark val="none"/>
        <c:minorTickMark val="none"/>
        <c:tickLblPos val="nextTo"/>
        <c:crossAx val="658476256"/>
        <c:crosses val="autoZero"/>
        <c:auto val="1"/>
        <c:lblAlgn val="ctr"/>
        <c:lblOffset val="100"/>
        <c:noMultiLvlLbl val="0"/>
      </c:catAx>
      <c:valAx>
        <c:axId val="658476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Percentage of initiating</a:t>
                </a:r>
                <a:r>
                  <a:rPr lang="en-AU" baseline="0"/>
                  <a:t> prescribers</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474944"/>
        <c:crosses val="autoZero"/>
        <c:crossBetween val="between"/>
      </c:valAx>
      <c:spPr>
        <a:noFill/>
        <a:ln>
          <a:noFill/>
        </a:ln>
        <a:effectLst/>
      </c:spPr>
    </c:plotArea>
    <c:legend>
      <c:legendPos val="r"/>
      <c:layout>
        <c:manualLayout>
          <c:xMode val="edge"/>
          <c:yMode val="edge"/>
          <c:x val="0.77449757957357301"/>
          <c:y val="0.14322725284339458"/>
          <c:w val="0.21119115030120342"/>
          <c:h val="0.625004374453193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3ACB-CB35-40B7-9A57-610F3ACC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7875</Words>
  <Characters>44894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2021-03-08T23:50:00Z</dcterms:created>
  <dcterms:modified xsi:type="dcterms:W3CDTF">2021-03-11T04:07:00Z</dcterms:modified>
  <cp:contentStatus/>
</cp:coreProperties>
</file>