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324" w:rsidRPr="00AE25D3" w:rsidRDefault="007C4829" w:rsidP="00F73113">
      <w:pPr>
        <w:pStyle w:val="Title"/>
      </w:pPr>
      <w:proofErr w:type="spellStart"/>
      <w:r w:rsidRPr="00AE25D3">
        <w:t>Ibrutinib</w:t>
      </w:r>
      <w:proofErr w:type="spellEnd"/>
      <w:r w:rsidR="00E92F01" w:rsidRPr="00AE25D3">
        <w:t xml:space="preserve"> </w:t>
      </w:r>
      <w:r w:rsidR="008359CE" w:rsidRPr="00AE25D3">
        <w:t xml:space="preserve">for </w:t>
      </w:r>
      <w:r w:rsidR="00051AF6" w:rsidRPr="00AE25D3">
        <w:t>c</w:t>
      </w:r>
      <w:r w:rsidR="00E92F01" w:rsidRPr="00AE25D3">
        <w:t xml:space="preserve">hronic </w:t>
      </w:r>
      <w:r w:rsidR="008359CE" w:rsidRPr="00AE25D3">
        <w:t>l</w:t>
      </w:r>
      <w:r w:rsidR="00E92F01" w:rsidRPr="00AE25D3">
        <w:t xml:space="preserve">ymphocytic </w:t>
      </w:r>
      <w:r w:rsidR="008359CE" w:rsidRPr="00AE25D3">
        <w:t>l</w:t>
      </w:r>
      <w:r w:rsidR="00E92F01" w:rsidRPr="00AE25D3">
        <w:t xml:space="preserve">eukaemia (CLL) and </w:t>
      </w:r>
      <w:r w:rsidR="008359CE" w:rsidRPr="00AE25D3">
        <w:t>s</w:t>
      </w:r>
      <w:r w:rsidR="00E92F01" w:rsidRPr="00AE25D3">
        <w:t xml:space="preserve">mall </w:t>
      </w:r>
      <w:r w:rsidR="008359CE" w:rsidRPr="00AE25D3">
        <w:t>l</w:t>
      </w:r>
      <w:r w:rsidR="00E92F01" w:rsidRPr="00AE25D3">
        <w:t xml:space="preserve">ymphocytic </w:t>
      </w:r>
      <w:r w:rsidR="008359CE" w:rsidRPr="00AE25D3">
        <w:t>l</w:t>
      </w:r>
      <w:r w:rsidR="00E92F01" w:rsidRPr="00AE25D3">
        <w:t>ymphoma (SLL)</w:t>
      </w:r>
      <w:r w:rsidR="001C4016" w:rsidRPr="00AE25D3">
        <w:t xml:space="preserve">: </w:t>
      </w:r>
      <w:r w:rsidR="00E92F01" w:rsidRPr="00AE25D3">
        <w:t>24 month predicted versus actual analysis</w:t>
      </w:r>
    </w:p>
    <w:p w:rsidR="00736041" w:rsidRPr="00AE25D3" w:rsidRDefault="009053D3" w:rsidP="00F73113">
      <w:pPr>
        <w:pStyle w:val="Title2"/>
      </w:pPr>
      <w:r w:rsidRPr="00AE25D3">
        <w:t>D</w:t>
      </w:r>
      <w:r w:rsidR="00832324" w:rsidRPr="00AE25D3">
        <w:t>rug utilisation sub-committee (DUSC)</w:t>
      </w:r>
    </w:p>
    <w:p w:rsidR="009053D3" w:rsidRPr="00AE25D3" w:rsidRDefault="007C4829" w:rsidP="00F73113">
      <w:pPr>
        <w:pStyle w:val="Meetingdate"/>
      </w:pPr>
      <w:r w:rsidRPr="00AE25D3">
        <w:t>October</w:t>
      </w:r>
      <w:r w:rsidR="00D151EB" w:rsidRPr="00AE25D3">
        <w:t xml:space="preserve"> 20</w:t>
      </w:r>
      <w:r w:rsidRPr="00AE25D3">
        <w:t>20</w:t>
      </w:r>
    </w:p>
    <w:p w:rsidR="005C6661" w:rsidRPr="00AE25D3" w:rsidRDefault="005C6661" w:rsidP="00CF5E22">
      <w:pPr>
        <w:pStyle w:val="Heading2"/>
      </w:pPr>
      <w:r w:rsidRPr="00AE25D3">
        <w:t>Abstract</w:t>
      </w:r>
    </w:p>
    <w:p w:rsidR="005C6661" w:rsidRPr="00AE25D3" w:rsidRDefault="005C6661" w:rsidP="00CF5E22">
      <w:pPr>
        <w:pStyle w:val="Heading3"/>
      </w:pPr>
      <w:r w:rsidRPr="00AE25D3">
        <w:t>Purpose</w:t>
      </w:r>
    </w:p>
    <w:p w:rsidR="00404F03" w:rsidRPr="00AE25D3" w:rsidRDefault="0097758C" w:rsidP="00A45F9E">
      <w:r w:rsidRPr="00AE25D3">
        <w:t>Analysis of the predicted versus actual u</w:t>
      </w:r>
      <w:r w:rsidR="00A45F9E" w:rsidRPr="00AE25D3">
        <w:t xml:space="preserve">tilisation of </w:t>
      </w:r>
      <w:proofErr w:type="spellStart"/>
      <w:r w:rsidR="00A45F9E" w:rsidRPr="00AE25D3">
        <w:t>ibrutinib</w:t>
      </w:r>
      <w:proofErr w:type="spellEnd"/>
      <w:r w:rsidR="00A45F9E" w:rsidRPr="00AE25D3">
        <w:t xml:space="preserve"> 24 months following </w:t>
      </w:r>
      <w:r w:rsidR="00B50C24" w:rsidRPr="00AE25D3">
        <w:t xml:space="preserve">its </w:t>
      </w:r>
      <w:r w:rsidR="00A45F9E" w:rsidRPr="00AE25D3">
        <w:t xml:space="preserve">addition </w:t>
      </w:r>
      <w:r w:rsidR="00B50C24" w:rsidRPr="00AE25D3">
        <w:t xml:space="preserve">as </w:t>
      </w:r>
      <w:r w:rsidR="00A45F9E" w:rsidRPr="00AE25D3">
        <w:t xml:space="preserve">a streamline authority for the treatment of relapsed or refractory chronic lymphocytic leukaemia (CLL) and relapsed or refractory small lymphocytic lymphoma (SLL). </w:t>
      </w:r>
    </w:p>
    <w:p w:rsidR="002D144A" w:rsidRPr="00AE25D3" w:rsidRDefault="002D144A" w:rsidP="00CF5E22">
      <w:pPr>
        <w:pStyle w:val="Heading3"/>
      </w:pPr>
      <w:r w:rsidRPr="00AE25D3">
        <w:t>Date of listing on the P</w:t>
      </w:r>
      <w:r w:rsidR="00A95FA5" w:rsidRPr="00AE25D3">
        <w:t xml:space="preserve">harmaceutical </w:t>
      </w:r>
      <w:r w:rsidRPr="00AE25D3">
        <w:t>B</w:t>
      </w:r>
      <w:r w:rsidR="00A95FA5" w:rsidRPr="00AE25D3">
        <w:t xml:space="preserve">enefits </w:t>
      </w:r>
      <w:r w:rsidRPr="00AE25D3">
        <w:t>S</w:t>
      </w:r>
      <w:r w:rsidR="00A95FA5" w:rsidRPr="00AE25D3">
        <w:t>cheme (PBS)</w:t>
      </w:r>
    </w:p>
    <w:p w:rsidR="002D144A" w:rsidRPr="00AE25D3" w:rsidRDefault="00573293" w:rsidP="002D144A">
      <w:proofErr w:type="spellStart"/>
      <w:r w:rsidRPr="00AE25D3">
        <w:t>Ibrutinib</w:t>
      </w:r>
      <w:proofErr w:type="spellEnd"/>
      <w:r w:rsidRPr="00AE25D3">
        <w:t xml:space="preserve"> was listed on the PBS </w:t>
      </w:r>
      <w:r w:rsidR="00B50C24" w:rsidRPr="00AE25D3">
        <w:t xml:space="preserve">for CLL and SLL </w:t>
      </w:r>
      <w:r w:rsidRPr="00AE25D3">
        <w:t>on 1 December 20</w:t>
      </w:r>
      <w:r w:rsidR="007C4829" w:rsidRPr="00AE25D3">
        <w:t>17</w:t>
      </w:r>
      <w:r w:rsidR="00B50C24" w:rsidRPr="00AE25D3">
        <w:t>.</w:t>
      </w:r>
    </w:p>
    <w:p w:rsidR="005C6661" w:rsidRPr="00AE25D3" w:rsidRDefault="005C6661" w:rsidP="00CF5E22">
      <w:pPr>
        <w:pStyle w:val="Heading3"/>
      </w:pPr>
      <w:r w:rsidRPr="00AE25D3">
        <w:t>Data Source / methodology</w:t>
      </w:r>
    </w:p>
    <w:p w:rsidR="005C6661" w:rsidRPr="00AE25D3" w:rsidRDefault="006A4B5C" w:rsidP="005C6661">
      <w:pPr>
        <w:pStyle w:val="NoSpacing"/>
      </w:pPr>
      <w:r w:rsidRPr="00AE25D3">
        <w:t xml:space="preserve">PBS </w:t>
      </w:r>
      <w:r w:rsidR="00B50C24" w:rsidRPr="00AE25D3">
        <w:t>d</w:t>
      </w:r>
      <w:r w:rsidRPr="00AE25D3">
        <w:t xml:space="preserve">ispensing data for </w:t>
      </w:r>
      <w:proofErr w:type="spellStart"/>
      <w:r w:rsidRPr="00AE25D3">
        <w:t>ibrutinib</w:t>
      </w:r>
      <w:proofErr w:type="spellEnd"/>
      <w:r w:rsidRPr="00AE25D3">
        <w:t xml:space="preserve"> was </w:t>
      </w:r>
      <w:r w:rsidR="00B50C24" w:rsidRPr="00AE25D3">
        <w:t xml:space="preserve">extracted from the PBS data maintained by the Department of Health, processed by Services </w:t>
      </w:r>
      <w:r w:rsidR="00522642" w:rsidRPr="00AE25D3">
        <w:t>Australia</w:t>
      </w:r>
      <w:r w:rsidR="00522642" w:rsidRPr="00AE25D3">
        <w:rPr>
          <w:color w:val="1F497D"/>
        </w:rPr>
        <w:t>.</w:t>
      </w:r>
      <w:r w:rsidR="00522642" w:rsidRPr="00AE25D3">
        <w:t xml:space="preserve"> This</w:t>
      </w:r>
      <w:r w:rsidRPr="00AE25D3">
        <w:t xml:space="preserve"> data was used to establish the number of prevalent and incident patients utilising </w:t>
      </w:r>
      <w:proofErr w:type="spellStart"/>
      <w:r w:rsidRPr="00AE25D3">
        <w:t>ibrutinib</w:t>
      </w:r>
      <w:proofErr w:type="spellEnd"/>
      <w:r w:rsidRPr="00AE25D3">
        <w:t xml:space="preserve"> for relapsing or refractory CLL/SLL</w:t>
      </w:r>
      <w:r w:rsidR="000671C2" w:rsidRPr="00AE25D3">
        <w:t xml:space="preserve"> and time on therapy</w:t>
      </w:r>
      <w:r w:rsidRPr="00AE25D3">
        <w:t xml:space="preserve">. </w:t>
      </w:r>
    </w:p>
    <w:p w:rsidR="005C6661" w:rsidRPr="00AE25D3" w:rsidRDefault="005C6661" w:rsidP="00CF5E22">
      <w:pPr>
        <w:pStyle w:val="Heading3"/>
      </w:pPr>
      <w:r w:rsidRPr="00AE25D3">
        <w:t>Key Findings</w:t>
      </w:r>
    </w:p>
    <w:p w:rsidR="00BB0D1A" w:rsidRPr="00AE25D3" w:rsidRDefault="00572CDC" w:rsidP="003155AF">
      <w:pPr>
        <w:pStyle w:val="ListParagraph"/>
        <w:numPr>
          <w:ilvl w:val="0"/>
          <w:numId w:val="8"/>
        </w:numPr>
        <w:spacing w:line="276" w:lineRule="auto"/>
        <w:rPr>
          <w:rFonts w:eastAsiaTheme="majorEastAsia" w:cstheme="majorBidi"/>
          <w:b/>
          <w:bCs/>
        </w:rPr>
      </w:pPr>
      <w:r w:rsidRPr="00AE25D3">
        <w:rPr>
          <w:rFonts w:cstheme="minorHAnsi"/>
        </w:rPr>
        <w:t>Since its listing in Decemb</w:t>
      </w:r>
      <w:r w:rsidR="00130393" w:rsidRPr="00AE25D3">
        <w:rPr>
          <w:rFonts w:cstheme="minorHAnsi"/>
        </w:rPr>
        <w:t xml:space="preserve">er 2017 the utilisation of </w:t>
      </w:r>
      <w:proofErr w:type="spellStart"/>
      <w:r w:rsidR="00130393" w:rsidRPr="00AE25D3">
        <w:rPr>
          <w:rFonts w:cstheme="minorHAnsi"/>
        </w:rPr>
        <w:t>ibru</w:t>
      </w:r>
      <w:r w:rsidRPr="00AE25D3">
        <w:rPr>
          <w:rFonts w:cstheme="minorHAnsi"/>
        </w:rPr>
        <w:t>tinib</w:t>
      </w:r>
      <w:proofErr w:type="spellEnd"/>
      <w:r w:rsidRPr="00AE25D3">
        <w:rPr>
          <w:rFonts w:cstheme="minorHAnsi"/>
        </w:rPr>
        <w:t xml:space="preserve"> has increased steadily</w:t>
      </w:r>
      <w:r w:rsidR="007C5D4F" w:rsidRPr="00AE25D3">
        <w:rPr>
          <w:rFonts w:cstheme="minorHAnsi"/>
        </w:rPr>
        <w:t>. Data to</w:t>
      </w:r>
      <w:r w:rsidRPr="00AE25D3">
        <w:rPr>
          <w:rFonts w:cstheme="minorHAnsi"/>
        </w:rPr>
        <w:t xml:space="preserve"> June 2020 </w:t>
      </w:r>
      <w:r w:rsidR="007C5D4F" w:rsidRPr="00AE25D3">
        <w:rPr>
          <w:rFonts w:cstheme="minorHAnsi"/>
        </w:rPr>
        <w:t xml:space="preserve">indicates </w:t>
      </w:r>
      <w:r w:rsidRPr="00AE25D3">
        <w:rPr>
          <w:rFonts w:cstheme="minorHAnsi"/>
        </w:rPr>
        <w:t xml:space="preserve">approximately </w:t>
      </w:r>
      <w:r w:rsidR="007C5D4F" w:rsidRPr="00AE25D3">
        <w:rPr>
          <w:rFonts w:cstheme="minorHAnsi"/>
        </w:rPr>
        <w:t xml:space="preserve">1,000 </w:t>
      </w:r>
      <w:r w:rsidRPr="00AE25D3">
        <w:rPr>
          <w:rFonts w:cstheme="minorHAnsi"/>
        </w:rPr>
        <w:t>prevalent patients and 40 in</w:t>
      </w:r>
      <w:r w:rsidR="00842D40" w:rsidRPr="00AE25D3">
        <w:rPr>
          <w:rFonts w:cstheme="minorHAnsi"/>
        </w:rPr>
        <w:t>cident</w:t>
      </w:r>
      <w:r w:rsidRPr="00AE25D3">
        <w:rPr>
          <w:rFonts w:cstheme="minorHAnsi"/>
        </w:rPr>
        <w:t xml:space="preserve"> patients</w:t>
      </w:r>
      <w:r w:rsidR="00572222" w:rsidRPr="00AE25D3">
        <w:rPr>
          <w:rFonts w:cstheme="minorHAnsi"/>
        </w:rPr>
        <w:t xml:space="preserve"> are supplied </w:t>
      </w:r>
      <w:proofErr w:type="spellStart"/>
      <w:r w:rsidR="00572222" w:rsidRPr="00AE25D3">
        <w:rPr>
          <w:rFonts w:cstheme="minorHAnsi"/>
        </w:rPr>
        <w:t>ibrutinib</w:t>
      </w:r>
      <w:proofErr w:type="spellEnd"/>
      <w:r w:rsidR="00572222" w:rsidRPr="00AE25D3">
        <w:rPr>
          <w:rFonts w:cstheme="minorHAnsi"/>
        </w:rPr>
        <w:t xml:space="preserve"> per month.</w:t>
      </w:r>
    </w:p>
    <w:p w:rsidR="00572CDC" w:rsidRPr="00AE25D3" w:rsidRDefault="00572CDC" w:rsidP="00572CDC">
      <w:pPr>
        <w:pStyle w:val="ListParagraph"/>
        <w:numPr>
          <w:ilvl w:val="0"/>
          <w:numId w:val="8"/>
        </w:numPr>
      </w:pPr>
      <w:r w:rsidRPr="00AE25D3">
        <w:t>In the first year of listing</w:t>
      </w:r>
      <w:r w:rsidR="00167321" w:rsidRPr="00AE25D3">
        <w:t>,</w:t>
      </w:r>
      <w:r w:rsidRPr="00AE25D3">
        <w:t xml:space="preserve"> </w:t>
      </w:r>
      <w:proofErr w:type="spellStart"/>
      <w:r w:rsidRPr="00AE25D3">
        <w:t>ibrutinib</w:t>
      </w:r>
      <w:proofErr w:type="spellEnd"/>
      <w:r w:rsidRPr="00AE25D3">
        <w:t xml:space="preserve"> had 1,435 initiating patients. This is similar to the </w:t>
      </w:r>
      <w:r w:rsidR="00EE2ED4">
        <w:rPr>
          <w:noProof/>
          <w:color w:val="000000"/>
          <w:highlight w:val="black"/>
        </w:rPr>
        <w:t>'''''''''''</w:t>
      </w:r>
      <w:r w:rsidRPr="00AE25D3">
        <w:t xml:space="preserve"> patients that was estimated in agreed estimates model. There is a </w:t>
      </w:r>
      <w:r w:rsidR="00EE2ED4">
        <w:rPr>
          <w:noProof/>
          <w:color w:val="000000"/>
          <w:highlight w:val="black"/>
        </w:rPr>
        <w:t>'''''''''</w:t>
      </w:r>
      <w:r w:rsidR="00842D40" w:rsidRPr="00AE25D3">
        <w:t xml:space="preserve"> decrease in incident</w:t>
      </w:r>
      <w:r w:rsidRPr="00AE25D3">
        <w:t xml:space="preserve"> patients in 2019 compared to year 2 of the estimates model. </w:t>
      </w:r>
    </w:p>
    <w:p w:rsidR="00572CDC" w:rsidRPr="00AE25D3" w:rsidRDefault="00572CDC" w:rsidP="00572CDC">
      <w:pPr>
        <w:pStyle w:val="ListParagraph"/>
        <w:numPr>
          <w:ilvl w:val="0"/>
          <w:numId w:val="8"/>
        </w:numPr>
      </w:pPr>
      <w:r w:rsidRPr="00AE25D3">
        <w:t xml:space="preserve">In 2019 the number of initiating patients is substantially less than </w:t>
      </w:r>
      <w:r w:rsidR="00796813" w:rsidRPr="00AE25D3">
        <w:t>predicted</w:t>
      </w:r>
      <w:r w:rsidRPr="00AE25D3">
        <w:t xml:space="preserve"> and due to this </w:t>
      </w:r>
      <w:r w:rsidR="00796813" w:rsidRPr="00AE25D3">
        <w:t xml:space="preserve">expenditure on </w:t>
      </w:r>
      <w:proofErr w:type="spellStart"/>
      <w:r w:rsidR="00796813" w:rsidRPr="00AE25D3">
        <w:t>ibrutinib</w:t>
      </w:r>
      <w:proofErr w:type="spellEnd"/>
      <w:r w:rsidR="00796813" w:rsidRPr="00AE25D3">
        <w:t xml:space="preserve"> was less than anticipated. </w:t>
      </w:r>
    </w:p>
    <w:p w:rsidR="00842D40" w:rsidRPr="00AE25D3" w:rsidRDefault="00842D40" w:rsidP="00572CDC">
      <w:pPr>
        <w:pStyle w:val="ListParagraph"/>
        <w:numPr>
          <w:ilvl w:val="0"/>
          <w:numId w:val="8"/>
        </w:numPr>
      </w:pPr>
      <w:r w:rsidRPr="00AE25D3">
        <w:t xml:space="preserve">Addition of </w:t>
      </w:r>
      <w:proofErr w:type="spellStart"/>
      <w:r w:rsidRPr="00AE25D3">
        <w:t>venetoclax</w:t>
      </w:r>
      <w:proofErr w:type="spellEnd"/>
      <w:r w:rsidRPr="00AE25D3">
        <w:t xml:space="preserve"> onto the PBS in March 2019 </w:t>
      </w:r>
      <w:r w:rsidR="00167321" w:rsidRPr="00AE25D3">
        <w:t xml:space="preserve">was </w:t>
      </w:r>
      <w:r w:rsidRPr="00AE25D3">
        <w:t xml:space="preserve">likely to be the cause of reduction in </w:t>
      </w:r>
      <w:proofErr w:type="spellStart"/>
      <w:r w:rsidRPr="00AE25D3">
        <w:t>ibrutinib</w:t>
      </w:r>
      <w:proofErr w:type="spellEnd"/>
      <w:r w:rsidRPr="00AE25D3">
        <w:t xml:space="preserve"> incident patients.</w:t>
      </w:r>
    </w:p>
    <w:p w:rsidR="00842D40" w:rsidRPr="00AE25D3" w:rsidRDefault="00EE2ED4" w:rsidP="0003230D">
      <w:pPr>
        <w:pStyle w:val="ListParagraph"/>
        <w:numPr>
          <w:ilvl w:val="0"/>
          <w:numId w:val="8"/>
        </w:numPr>
        <w:rPr>
          <w:rFonts w:eastAsiaTheme="majorEastAsia" w:cstheme="majorBidi"/>
          <w:bCs/>
        </w:rPr>
      </w:pPr>
      <w:r>
        <w:rPr>
          <w:rFonts w:eastAsiaTheme="majorEastAsia" w:cstheme="majorBidi"/>
          <w:bCs/>
          <w:noProof/>
          <w:color w:val="000000"/>
          <w:highlight w:val="black"/>
        </w:rPr>
        <w:lastRenderedPageBreak/>
        <w:t>''''''''' ''''' ''''''''''''''''''' '''''''' '''''''''''' '''''''''' ''''''''''''''''''</w:t>
      </w:r>
      <w:r w:rsidR="005D4088" w:rsidRPr="00AE25D3">
        <w:rPr>
          <w:rFonts w:eastAsiaTheme="majorEastAsia" w:cstheme="majorBidi"/>
          <w:bCs/>
        </w:rPr>
        <w:t xml:space="preserve"> The duration of </w:t>
      </w:r>
      <w:proofErr w:type="spellStart"/>
      <w:r w:rsidR="005D4088" w:rsidRPr="00AE25D3">
        <w:rPr>
          <w:rFonts w:eastAsiaTheme="majorEastAsia" w:cstheme="majorBidi"/>
          <w:bCs/>
        </w:rPr>
        <w:t>ibrutinib</w:t>
      </w:r>
      <w:proofErr w:type="spellEnd"/>
      <w:r w:rsidR="005D4088" w:rsidRPr="00AE25D3">
        <w:rPr>
          <w:rFonts w:eastAsiaTheme="majorEastAsia" w:cstheme="majorBidi"/>
          <w:bCs/>
        </w:rPr>
        <w:t xml:space="preserve"> was estimated to be </w:t>
      </w:r>
      <w:r w:rsidR="00D002FE" w:rsidRPr="00AE25D3">
        <w:rPr>
          <w:rFonts w:eastAsiaTheme="majorEastAsia" w:cstheme="majorBidi"/>
          <w:bCs/>
        </w:rPr>
        <w:t>23.4 months</w:t>
      </w:r>
      <w:r w:rsidR="005D4088" w:rsidRPr="00AE25D3">
        <w:rPr>
          <w:rFonts w:eastAsiaTheme="majorEastAsia" w:cstheme="majorBidi"/>
          <w:bCs/>
        </w:rPr>
        <w:t xml:space="preserve">, but median time on treatment was not reached in the first 942 days (~31 months) of PBS data with a mean time on </w:t>
      </w:r>
      <w:proofErr w:type="spellStart"/>
      <w:r w:rsidR="005D4088" w:rsidRPr="00AE25D3">
        <w:rPr>
          <w:rFonts w:eastAsiaTheme="majorEastAsia" w:cstheme="majorBidi"/>
          <w:bCs/>
        </w:rPr>
        <w:t>ibrutinib</w:t>
      </w:r>
      <w:proofErr w:type="spellEnd"/>
      <w:r w:rsidR="005D4088" w:rsidRPr="00AE25D3">
        <w:rPr>
          <w:rFonts w:eastAsiaTheme="majorEastAsia" w:cstheme="majorBidi"/>
          <w:bCs/>
        </w:rPr>
        <w:t xml:space="preserve"> of </w:t>
      </w:r>
      <w:r w:rsidR="00D002FE" w:rsidRPr="00AE25D3">
        <w:rPr>
          <w:rFonts w:eastAsiaTheme="majorEastAsia" w:cstheme="majorBidi"/>
          <w:bCs/>
        </w:rPr>
        <w:t>21.75</w:t>
      </w:r>
      <w:r w:rsidR="005D4088" w:rsidRPr="00AE25D3">
        <w:rPr>
          <w:rFonts w:eastAsiaTheme="majorEastAsia" w:cstheme="majorBidi"/>
          <w:bCs/>
        </w:rPr>
        <w:t xml:space="preserve"> months. </w:t>
      </w:r>
    </w:p>
    <w:p w:rsidR="00572CDC" w:rsidRPr="00AE25D3" w:rsidRDefault="00634724" w:rsidP="00572CDC">
      <w:pPr>
        <w:pStyle w:val="ListParagraph"/>
        <w:numPr>
          <w:ilvl w:val="0"/>
          <w:numId w:val="8"/>
        </w:numPr>
        <w:rPr>
          <w:rFonts w:eastAsiaTheme="majorEastAsia" w:cstheme="majorBidi"/>
          <w:bCs/>
        </w:rPr>
      </w:pPr>
      <w:r w:rsidRPr="00AE25D3">
        <w:t xml:space="preserve">There </w:t>
      </w:r>
      <w:r w:rsidR="000C397C" w:rsidRPr="00AE25D3">
        <w:t xml:space="preserve">were negligible cases detected of </w:t>
      </w:r>
      <w:proofErr w:type="spellStart"/>
      <w:r w:rsidRPr="00AE25D3">
        <w:t>ibrutinib</w:t>
      </w:r>
      <w:proofErr w:type="spellEnd"/>
      <w:r w:rsidRPr="00AE25D3">
        <w:t xml:space="preserve"> use as first line therapy</w:t>
      </w:r>
      <w:r w:rsidR="000C397C" w:rsidRPr="00AE25D3">
        <w:t>.</w:t>
      </w:r>
      <w:r w:rsidRPr="00AE25D3">
        <w:t xml:space="preserve"> </w:t>
      </w:r>
      <w:r w:rsidR="000C397C" w:rsidRPr="00AE25D3">
        <w:t>H</w:t>
      </w:r>
      <w:r w:rsidRPr="00AE25D3">
        <w:t xml:space="preserve">owever there was some evidence to suggest that </w:t>
      </w:r>
      <w:proofErr w:type="spellStart"/>
      <w:r w:rsidRPr="00AE25D3">
        <w:t>ibrutinib</w:t>
      </w:r>
      <w:proofErr w:type="spellEnd"/>
      <w:r w:rsidRPr="00AE25D3">
        <w:t xml:space="preserve"> was </w:t>
      </w:r>
      <w:r w:rsidR="000C397C" w:rsidRPr="00AE25D3">
        <w:t xml:space="preserve">potentially being </w:t>
      </w:r>
      <w:r w:rsidRPr="00AE25D3">
        <w:t xml:space="preserve">used in combination with rituximab or </w:t>
      </w:r>
      <w:proofErr w:type="spellStart"/>
      <w:r w:rsidRPr="00AE25D3">
        <w:t>venetoclax</w:t>
      </w:r>
      <w:proofErr w:type="spellEnd"/>
      <w:r w:rsidR="000C397C" w:rsidRPr="00AE25D3">
        <w:t>.</w:t>
      </w:r>
    </w:p>
    <w:p w:rsidR="0003230D" w:rsidRPr="00AE25D3" w:rsidRDefault="0003230D" w:rsidP="00572CDC">
      <w:pPr>
        <w:pStyle w:val="ListParagraph"/>
        <w:numPr>
          <w:ilvl w:val="0"/>
          <w:numId w:val="8"/>
        </w:numPr>
        <w:rPr>
          <w:rFonts w:eastAsiaTheme="majorEastAsia" w:cstheme="majorBidi"/>
          <w:bCs/>
        </w:rPr>
      </w:pPr>
      <w:r w:rsidRPr="00AE25D3">
        <w:t xml:space="preserve">Approximately 68% of incident patients did not have </w:t>
      </w:r>
      <w:proofErr w:type="spellStart"/>
      <w:r w:rsidRPr="00AE25D3">
        <w:t>fludarabine</w:t>
      </w:r>
      <w:proofErr w:type="spellEnd"/>
      <w:r w:rsidRPr="00AE25D3">
        <w:t xml:space="preserve"> in their dispensing history prior to starting </w:t>
      </w:r>
      <w:proofErr w:type="spellStart"/>
      <w:r w:rsidRPr="00AE25D3">
        <w:t>ibrutinib</w:t>
      </w:r>
      <w:proofErr w:type="spellEnd"/>
      <w:r w:rsidR="00167321" w:rsidRPr="00AE25D3">
        <w:t>,</w:t>
      </w:r>
      <w:r w:rsidRPr="00AE25D3">
        <w:t xml:space="preserve"> indicating that these patients </w:t>
      </w:r>
      <w:r w:rsidR="00D9589B" w:rsidRPr="00AE25D3">
        <w:t>may</w:t>
      </w:r>
      <w:r w:rsidRPr="00AE25D3">
        <w:t xml:space="preserve"> not </w:t>
      </w:r>
      <w:r w:rsidR="00D9589B" w:rsidRPr="00AE25D3">
        <w:t xml:space="preserve">have been </w:t>
      </w:r>
      <w:r w:rsidRPr="00AE25D3">
        <w:t xml:space="preserve">suitable for treatment with a purine analogue. The sponsor estimated the number of patients who are not suitable for treatment or retreatment to be </w:t>
      </w:r>
      <w:r w:rsidR="00EE2ED4">
        <w:rPr>
          <w:noProof/>
          <w:color w:val="000000"/>
          <w:highlight w:val="black"/>
        </w:rPr>
        <w:t>'''''''</w:t>
      </w:r>
      <w:r w:rsidRPr="00AE25D3">
        <w:t xml:space="preserve">. Since 68% does not include those patients who are not suitable for retreatment then in practice this number could be larger.  </w:t>
      </w:r>
    </w:p>
    <w:p w:rsidR="00262DCA" w:rsidRPr="00AE25D3" w:rsidRDefault="0003230D" w:rsidP="00262DCA">
      <w:pPr>
        <w:pStyle w:val="ListParagraph"/>
        <w:numPr>
          <w:ilvl w:val="0"/>
          <w:numId w:val="8"/>
        </w:numPr>
      </w:pPr>
      <w:r w:rsidRPr="00AE25D3">
        <w:t>A large portion of patients (19%) move on to t</w:t>
      </w:r>
      <w:r w:rsidR="00FF51C0" w:rsidRPr="00AE25D3">
        <w:t xml:space="preserve">reatment with </w:t>
      </w:r>
      <w:proofErr w:type="spellStart"/>
      <w:r w:rsidR="00FF51C0" w:rsidRPr="00AE25D3">
        <w:t>ibrutinib</w:t>
      </w:r>
      <w:proofErr w:type="spellEnd"/>
      <w:r w:rsidR="00FF51C0" w:rsidRPr="00AE25D3">
        <w:t xml:space="preserve"> within six</w:t>
      </w:r>
      <w:r w:rsidRPr="00AE25D3">
        <w:t xml:space="preserve"> months of ceasing their previous line medications and 68% within 42 months. The group of patients starting treatment within six months could</w:t>
      </w:r>
      <w:r w:rsidR="00634724" w:rsidRPr="00AE25D3">
        <w:t xml:space="preserve"> potentially</w:t>
      </w:r>
      <w:r w:rsidRPr="00AE25D3">
        <w:t xml:space="preserve"> be</w:t>
      </w:r>
      <w:r w:rsidR="00634724" w:rsidRPr="00AE25D3">
        <w:t xml:space="preserve"> refractory</w:t>
      </w:r>
      <w:r w:rsidR="00D9589B" w:rsidRPr="00AE25D3">
        <w:t>,</w:t>
      </w:r>
      <w:r w:rsidR="00634724" w:rsidRPr="00AE25D3">
        <w:t xml:space="preserve"> </w:t>
      </w:r>
      <w:r w:rsidRPr="00AE25D3">
        <w:t xml:space="preserve">followed by </w:t>
      </w:r>
      <w:r w:rsidR="00634724" w:rsidRPr="00AE25D3">
        <w:t>a consistent amount of potent</w:t>
      </w:r>
      <w:r w:rsidRPr="00AE25D3">
        <w:t xml:space="preserve">ially relapsing patients in the </w:t>
      </w:r>
      <w:r w:rsidR="00634724" w:rsidRPr="00AE25D3">
        <w:t>7-</w:t>
      </w:r>
      <w:r w:rsidR="000C397C" w:rsidRPr="00AE25D3">
        <w:t xml:space="preserve"> </w:t>
      </w:r>
      <w:r w:rsidR="00634724" w:rsidRPr="00AE25D3">
        <w:t xml:space="preserve">42 months </w:t>
      </w:r>
      <w:r w:rsidRPr="00AE25D3">
        <w:t>group</w:t>
      </w:r>
      <w:r w:rsidR="00634724" w:rsidRPr="00AE25D3">
        <w:t xml:space="preserve"> </w:t>
      </w:r>
      <w:r w:rsidR="004A326C" w:rsidRPr="00AE25D3">
        <w:t>after</w:t>
      </w:r>
      <w:r w:rsidR="00634724" w:rsidRPr="00AE25D3">
        <w:t xml:space="preserve"> which the rate of relapsing patients steadily declines.</w:t>
      </w:r>
    </w:p>
    <w:p w:rsidR="004B5720" w:rsidRDefault="004B5720">
      <w:pPr>
        <w:spacing w:line="276" w:lineRule="auto"/>
        <w:rPr>
          <w:rFonts w:eastAsiaTheme="majorEastAsia" w:cstheme="majorBidi"/>
          <w:b/>
          <w:bCs/>
          <w:sz w:val="32"/>
          <w:szCs w:val="32"/>
        </w:rPr>
      </w:pPr>
      <w:r>
        <w:br w:type="page"/>
      </w:r>
    </w:p>
    <w:p w:rsidR="00E677DD" w:rsidRPr="00AE25D3" w:rsidRDefault="00E677DD" w:rsidP="00CF5E22">
      <w:pPr>
        <w:pStyle w:val="Heading1"/>
      </w:pPr>
      <w:r w:rsidRPr="00AE25D3">
        <w:lastRenderedPageBreak/>
        <w:t xml:space="preserve">Purpose of </w:t>
      </w:r>
      <w:r w:rsidR="00D151EB" w:rsidRPr="00AE25D3">
        <w:t>analysis</w:t>
      </w:r>
    </w:p>
    <w:p w:rsidR="00573293" w:rsidRPr="00AE25D3" w:rsidRDefault="0097758C" w:rsidP="00573293">
      <w:r w:rsidRPr="00AE25D3">
        <w:t>A</w:t>
      </w:r>
      <w:r w:rsidR="00573293" w:rsidRPr="00AE25D3">
        <w:t xml:space="preserve">nalysis of </w:t>
      </w:r>
      <w:r w:rsidRPr="00AE25D3">
        <w:t xml:space="preserve">the predicted versus actual utilisation of </w:t>
      </w:r>
      <w:proofErr w:type="spellStart"/>
      <w:r w:rsidR="00573293" w:rsidRPr="00AE25D3">
        <w:t>ibrutinib</w:t>
      </w:r>
      <w:proofErr w:type="spellEnd"/>
      <w:r w:rsidR="00573293" w:rsidRPr="00AE25D3">
        <w:t xml:space="preserve"> 24 months following the addition of a streamline authority </w:t>
      </w:r>
      <w:r w:rsidR="00885226" w:rsidRPr="00AE25D3">
        <w:t xml:space="preserve">listing </w:t>
      </w:r>
      <w:r w:rsidR="00573293" w:rsidRPr="00AE25D3">
        <w:t xml:space="preserve">for the treatment of relapsed or refractory chronic lymphocytic leukaemia (CLL) and relapsed or refractory small lymphocytic lymphoma (SLL). </w:t>
      </w:r>
    </w:p>
    <w:p w:rsidR="006537D9" w:rsidRPr="00AE25D3" w:rsidRDefault="00736041" w:rsidP="00CF5E22">
      <w:pPr>
        <w:pStyle w:val="Heading1"/>
      </w:pPr>
      <w:r w:rsidRPr="00AE25D3">
        <w:t>Background</w:t>
      </w:r>
    </w:p>
    <w:p w:rsidR="00EE2BBB" w:rsidRPr="00AE25D3" w:rsidRDefault="00EE2BBB" w:rsidP="00EE2BBB">
      <w:pPr>
        <w:pStyle w:val="Heading2"/>
      </w:pPr>
      <w:r w:rsidRPr="00AE25D3">
        <w:t>Clinical situation</w:t>
      </w:r>
    </w:p>
    <w:p w:rsidR="00DD7031" w:rsidRPr="00AE25D3" w:rsidRDefault="00DD7031" w:rsidP="00EC16E5">
      <w:r w:rsidRPr="00AE25D3">
        <w:t>Chronic lymphocytic leukaemia (CLL) is a slowly progressing disease which affects B cells, causing them to become malignant with uncontrolled prol</w:t>
      </w:r>
      <w:r w:rsidR="00BE1B85" w:rsidRPr="00AE25D3">
        <w:t>iferation and accumulation in</w:t>
      </w:r>
      <w:r w:rsidRPr="00AE25D3">
        <w:t xml:space="preserve"> bone marrow, blood, lymphatic system, spleen, liver and other parts of the body.</w:t>
      </w:r>
      <w:r w:rsidR="00240661" w:rsidRPr="00AE25D3">
        <w:rPr>
          <w:rStyle w:val="FootnoteReference"/>
        </w:rPr>
        <w:footnoteReference w:id="1"/>
      </w:r>
      <w:r w:rsidRPr="00AE25D3">
        <w:t xml:space="preserve"> These cells are unable to function normally and also interfere with normal blood cell production. Small lymphocytic lymphoma (SLL) refers to cases where these malignant B cells are loc</w:t>
      </w:r>
      <w:r w:rsidR="00615D21" w:rsidRPr="00AE25D3">
        <w:t>ated mostly in the lymph nodes.</w:t>
      </w:r>
      <w:r w:rsidR="00240661" w:rsidRPr="00AE25D3">
        <w:rPr>
          <w:vertAlign w:val="superscript"/>
        </w:rPr>
        <w:t>1</w:t>
      </w:r>
      <w:r w:rsidR="00615D21" w:rsidRPr="00AE25D3">
        <w:t xml:space="preserve"> </w:t>
      </w:r>
      <w:r w:rsidRPr="00AE25D3">
        <w:t xml:space="preserve">The Australian Institute for Health and Welfare </w:t>
      </w:r>
      <w:r w:rsidR="00986FED" w:rsidRPr="00AE25D3">
        <w:t xml:space="preserve">(AIHW) </w:t>
      </w:r>
      <w:r w:rsidRPr="00AE25D3">
        <w:t>states CLL has an age-standardised incidence rate of 6</w:t>
      </w:r>
      <w:r w:rsidR="00615D21" w:rsidRPr="00AE25D3">
        <w:t>.5</w:t>
      </w:r>
      <w:r w:rsidRPr="00AE25D3">
        <w:t xml:space="preserve"> cases per 100,000 persons in 2016</w:t>
      </w:r>
      <w:r w:rsidR="00615D21" w:rsidRPr="00AE25D3">
        <w:t xml:space="preserve"> and a 5-year relative survival rate of 83.3%.</w:t>
      </w:r>
      <w:r w:rsidR="00240661" w:rsidRPr="00AE25D3">
        <w:rPr>
          <w:rStyle w:val="FootnoteReference"/>
        </w:rPr>
        <w:footnoteReference w:id="2"/>
      </w:r>
      <w:r w:rsidR="00615D21" w:rsidRPr="00AE25D3">
        <w:t xml:space="preserve"> </w:t>
      </w:r>
    </w:p>
    <w:p w:rsidR="00780A95" w:rsidRPr="00AE25D3" w:rsidRDefault="009E7252" w:rsidP="00714DEF">
      <w:r w:rsidRPr="00AE25D3">
        <w:rPr>
          <w:rFonts w:hint="eastAsia"/>
        </w:rPr>
        <w:t>Patients with relapsed</w:t>
      </w:r>
      <w:r w:rsidR="00274BDD" w:rsidRPr="00AE25D3">
        <w:t xml:space="preserve"> or refractory</w:t>
      </w:r>
      <w:r w:rsidRPr="00AE25D3">
        <w:rPr>
          <w:rFonts w:hint="eastAsia"/>
        </w:rPr>
        <w:t xml:space="preserve"> CLL/SLL and known high</w:t>
      </w:r>
      <w:r w:rsidRPr="00AE25D3">
        <w:t>-</w:t>
      </w:r>
      <w:r w:rsidRPr="00AE25D3">
        <w:rPr>
          <w:rFonts w:hint="eastAsia"/>
        </w:rPr>
        <w:t>risk factors, such as 17p deletion have a poor prognosis</w:t>
      </w:r>
      <w:r w:rsidRPr="00AE25D3">
        <w:t xml:space="preserve"> and </w:t>
      </w:r>
      <w:proofErr w:type="spellStart"/>
      <w:r w:rsidRPr="00AE25D3">
        <w:t>ibrutinib</w:t>
      </w:r>
      <w:proofErr w:type="spellEnd"/>
      <w:r w:rsidRPr="00AE25D3">
        <w:t xml:space="preserve"> was introduced as targeted therapy for patients with CLL/SLL as well as mantle cell lymphomas.</w:t>
      </w:r>
      <w:r w:rsidRPr="00AE25D3">
        <w:rPr>
          <w:rStyle w:val="FootnoteReference"/>
        </w:rPr>
        <w:footnoteReference w:id="3"/>
      </w:r>
      <w:r w:rsidR="00676E80" w:rsidRPr="00AE25D3">
        <w:t xml:space="preserve"> </w:t>
      </w:r>
      <w:r w:rsidR="00966BA6" w:rsidRPr="00AE25D3">
        <w:t xml:space="preserve">Treatment for relapsed </w:t>
      </w:r>
      <w:r w:rsidR="00274BDD" w:rsidRPr="00AE25D3">
        <w:t xml:space="preserve">or refractory </w:t>
      </w:r>
      <w:r w:rsidR="00966BA6" w:rsidRPr="00AE25D3">
        <w:t>CLL/SLL is dependent on a number of factors however it is possible to repeat first line treatment if the duration of the first remission exceeds 36 months.</w:t>
      </w:r>
      <w:r w:rsidR="00966BA6" w:rsidRPr="00AE25D3">
        <w:rPr>
          <w:rStyle w:val="FootnoteReference"/>
        </w:rPr>
        <w:footnoteReference w:id="4"/>
      </w:r>
      <w:r w:rsidR="00FD52D4" w:rsidRPr="00AE25D3">
        <w:t xml:space="preserve"> </w:t>
      </w:r>
      <w:r w:rsidR="00274BDD" w:rsidRPr="00AE25D3">
        <w:t xml:space="preserve">International guidelines indicate that </w:t>
      </w:r>
      <w:r w:rsidR="004369E1" w:rsidRPr="00AE25D3">
        <w:t>treatments</w:t>
      </w:r>
      <w:r w:rsidR="00274BDD" w:rsidRPr="00AE25D3">
        <w:t xml:space="preserve"> aside from </w:t>
      </w:r>
      <w:proofErr w:type="spellStart"/>
      <w:r w:rsidR="00274BDD" w:rsidRPr="00AE25D3">
        <w:t>ibrutinib</w:t>
      </w:r>
      <w:proofErr w:type="spellEnd"/>
      <w:r w:rsidR="00274BDD" w:rsidRPr="00AE25D3">
        <w:t xml:space="preserve"> which can</w:t>
      </w:r>
      <w:r w:rsidR="004369E1" w:rsidRPr="00AE25D3">
        <w:t xml:space="preserve"> used in </w:t>
      </w:r>
      <w:r w:rsidR="00E67A90" w:rsidRPr="00AE25D3">
        <w:t>relapsed</w:t>
      </w:r>
      <w:r w:rsidR="00274BDD" w:rsidRPr="00AE25D3">
        <w:t xml:space="preserve"> or refractory</w:t>
      </w:r>
      <w:r w:rsidR="004369E1" w:rsidRPr="00AE25D3">
        <w:t xml:space="preserve"> CLL/SLL and can be combined with rituximab are </w:t>
      </w:r>
      <w:proofErr w:type="spellStart"/>
      <w:r w:rsidR="004369E1" w:rsidRPr="00AE25D3">
        <w:t>venetoclax</w:t>
      </w:r>
      <w:proofErr w:type="spellEnd"/>
      <w:r w:rsidR="004369E1" w:rsidRPr="00AE25D3">
        <w:t xml:space="preserve">, </w:t>
      </w:r>
      <w:proofErr w:type="spellStart"/>
      <w:r w:rsidR="004369E1" w:rsidRPr="00AE25D3">
        <w:t>idelalisib</w:t>
      </w:r>
      <w:proofErr w:type="spellEnd"/>
      <w:r w:rsidR="004369E1" w:rsidRPr="00AE25D3">
        <w:t xml:space="preserve">, </w:t>
      </w:r>
      <w:proofErr w:type="spellStart"/>
      <w:r w:rsidR="004369E1" w:rsidRPr="00AE25D3">
        <w:t>lenalidomide</w:t>
      </w:r>
      <w:proofErr w:type="spellEnd"/>
      <w:r w:rsidR="004369E1" w:rsidRPr="00AE25D3">
        <w:t xml:space="preserve"> and alemtuzumab.</w:t>
      </w:r>
      <w:r w:rsidR="004369E1" w:rsidRPr="00AE25D3">
        <w:rPr>
          <w:vertAlign w:val="superscript"/>
        </w:rPr>
        <w:t>2</w:t>
      </w:r>
      <w:r w:rsidR="004369E1" w:rsidRPr="00AE25D3">
        <w:t xml:space="preserve"> </w:t>
      </w:r>
      <w:r w:rsidR="00714DEF" w:rsidRPr="00AE25D3">
        <w:t xml:space="preserve">The only PBS listed alternatives to </w:t>
      </w:r>
      <w:proofErr w:type="spellStart"/>
      <w:r w:rsidR="00714DEF" w:rsidRPr="00AE25D3">
        <w:t>ibrutinib</w:t>
      </w:r>
      <w:proofErr w:type="spellEnd"/>
      <w:r w:rsidR="00714DEF" w:rsidRPr="00AE25D3">
        <w:t xml:space="preserve"> therapy are currently </w:t>
      </w:r>
      <w:proofErr w:type="spellStart"/>
      <w:r w:rsidR="00714DEF" w:rsidRPr="00AE25D3">
        <w:t>venetoclax</w:t>
      </w:r>
      <w:proofErr w:type="spellEnd"/>
      <w:r w:rsidR="00714DEF" w:rsidRPr="00AE25D3">
        <w:t xml:space="preserve"> (with or without rituximab) and </w:t>
      </w:r>
      <w:proofErr w:type="spellStart"/>
      <w:r w:rsidR="00714DEF" w:rsidRPr="00AE25D3">
        <w:t>idelalisib</w:t>
      </w:r>
      <w:proofErr w:type="spellEnd"/>
      <w:r w:rsidR="00714DEF" w:rsidRPr="00AE25D3">
        <w:t xml:space="preserve"> (with rituximab).</w:t>
      </w:r>
    </w:p>
    <w:p w:rsidR="007247B9" w:rsidRPr="00AE25D3" w:rsidRDefault="007247B9" w:rsidP="00CF5E22">
      <w:pPr>
        <w:pStyle w:val="Heading2"/>
      </w:pPr>
      <w:r w:rsidRPr="00AE25D3">
        <w:t>Pharmacology</w:t>
      </w:r>
    </w:p>
    <w:p w:rsidR="00A45F9E" w:rsidRPr="00AE25D3" w:rsidRDefault="00A45F9E" w:rsidP="00A45F9E">
      <w:proofErr w:type="spellStart"/>
      <w:r w:rsidRPr="00AE25D3">
        <w:t>Ibrutinib</w:t>
      </w:r>
      <w:proofErr w:type="spellEnd"/>
      <w:r w:rsidRPr="00AE25D3">
        <w:t xml:space="preserve"> is a small molecule inhibitor of </w:t>
      </w:r>
      <w:proofErr w:type="spellStart"/>
      <w:r w:rsidRPr="00AE25D3">
        <w:t>Bruton’s</w:t>
      </w:r>
      <w:proofErr w:type="spellEnd"/>
      <w:r w:rsidRPr="00AE25D3">
        <w:t xml:space="preserve"> tyrosine kinase (BTK). BTK, a member of the Tec kinase family, is an important signalling molecule of the B cell antigen receptor (BCR) and cytokine receptor pathways. The BCR pathway is implicated in the pathogenesis of several B cell malignancies, including MCL, diffuse large B cell lymphoma (DLBCL), follicular lymphoma, and CLL/SLL. BTK’s pivotal role in signalling through the B cell surface </w:t>
      </w:r>
      <w:r w:rsidRPr="00AE25D3">
        <w:lastRenderedPageBreak/>
        <w:t xml:space="preserve">receptors results in activation of pathways necessary for B cell trafficking, chemotaxis and adhesion. Preclinical studies have shown that </w:t>
      </w:r>
      <w:proofErr w:type="spellStart"/>
      <w:r w:rsidRPr="00AE25D3">
        <w:t>ibrutinib</w:t>
      </w:r>
      <w:proofErr w:type="spellEnd"/>
      <w:r w:rsidRPr="00AE25D3">
        <w:t xml:space="preserve"> inhibits B cell proliferation and survival in vivo as well as cell migration and substrate adhesion in vitro</w:t>
      </w:r>
      <w:r w:rsidR="003F2CE4" w:rsidRPr="00AE25D3">
        <w:t>.</w:t>
      </w:r>
      <w:r w:rsidR="003F2CE4" w:rsidRPr="00AE25D3">
        <w:rPr>
          <w:rStyle w:val="FootnoteReference"/>
        </w:rPr>
        <w:footnoteReference w:id="5"/>
      </w:r>
    </w:p>
    <w:p w:rsidR="001420B3" w:rsidRPr="00AE25D3" w:rsidRDefault="00A52918" w:rsidP="00CF5E22">
      <w:pPr>
        <w:pStyle w:val="Heading2"/>
      </w:pPr>
      <w:r w:rsidRPr="00AE25D3">
        <w:t>Therapeutic Goods Administration (</w:t>
      </w:r>
      <w:r w:rsidR="001420B3" w:rsidRPr="00AE25D3">
        <w:t>TGA</w:t>
      </w:r>
      <w:r w:rsidRPr="00AE25D3">
        <w:t>)</w:t>
      </w:r>
      <w:r w:rsidR="001420B3" w:rsidRPr="00AE25D3">
        <w:t xml:space="preserve"> approved indications</w:t>
      </w:r>
    </w:p>
    <w:p w:rsidR="003F2CE4" w:rsidRPr="00AE25D3" w:rsidRDefault="003F2CE4" w:rsidP="003F2CE4">
      <w:pPr>
        <w:rPr>
          <w:b/>
        </w:rPr>
      </w:pPr>
      <w:r w:rsidRPr="00AE25D3">
        <w:t xml:space="preserve">Imbruvica is indicated for the treatment of: </w:t>
      </w:r>
    </w:p>
    <w:p w:rsidR="003F2CE4" w:rsidRPr="00AE25D3" w:rsidRDefault="003F2CE4" w:rsidP="003F2CE4">
      <w:pPr>
        <w:pStyle w:val="ListParagraph"/>
        <w:numPr>
          <w:ilvl w:val="0"/>
          <w:numId w:val="5"/>
        </w:numPr>
        <w:rPr>
          <w:b/>
        </w:rPr>
      </w:pPr>
      <w:r w:rsidRPr="00AE25D3">
        <w:t>Patients with chronic lymphocytic leukaemia (CLL)/small lymphocytic lymphoma (SLL) who have received at least one prior therapy or as first line in patients with CLL with 17p deletion</w:t>
      </w:r>
    </w:p>
    <w:p w:rsidR="003F2CE4" w:rsidRPr="00AE25D3" w:rsidRDefault="003F2CE4" w:rsidP="003F2CE4">
      <w:pPr>
        <w:pStyle w:val="ListParagraph"/>
        <w:numPr>
          <w:ilvl w:val="0"/>
          <w:numId w:val="5"/>
        </w:numPr>
        <w:rPr>
          <w:b/>
        </w:rPr>
      </w:pPr>
      <w:r w:rsidRPr="00AE25D3">
        <w:t xml:space="preserve">Patients with mantle cell lymphoma who have received at least one prior therapy. </w:t>
      </w:r>
    </w:p>
    <w:p w:rsidR="006B709B" w:rsidRPr="00AE25D3" w:rsidRDefault="006B709B" w:rsidP="00CF5E22">
      <w:pPr>
        <w:pStyle w:val="Heading2"/>
      </w:pPr>
      <w:r w:rsidRPr="00AE25D3">
        <w:t>Dosage and administration</w:t>
      </w:r>
    </w:p>
    <w:p w:rsidR="004C3186" w:rsidRPr="00AE25D3" w:rsidRDefault="00623AFD" w:rsidP="00A35800">
      <w:r w:rsidRPr="00AE25D3">
        <w:t xml:space="preserve">The recommended daily dose of </w:t>
      </w:r>
      <w:proofErr w:type="spellStart"/>
      <w:r w:rsidRPr="00AE25D3">
        <w:t>ibrutinib</w:t>
      </w:r>
      <w:proofErr w:type="spellEnd"/>
      <w:r w:rsidRPr="00AE25D3">
        <w:t xml:space="preserve"> for CLL/SLL is 420</w:t>
      </w:r>
      <w:r w:rsidR="00725B74" w:rsidRPr="00AE25D3">
        <w:t xml:space="preserve"> </w:t>
      </w:r>
      <w:r w:rsidRPr="00AE25D3">
        <w:t xml:space="preserve">mg </w:t>
      </w:r>
      <w:r w:rsidR="00725B74" w:rsidRPr="00AE25D3">
        <w:t xml:space="preserve">(i.e. three 140 mg capsules) taken </w:t>
      </w:r>
      <w:r w:rsidRPr="00AE25D3">
        <w:t xml:space="preserve">once daily until disease progression or it is no longer tolerated by the patient. </w:t>
      </w:r>
    </w:p>
    <w:p w:rsidR="00F17D4B" w:rsidRPr="00AE25D3" w:rsidRDefault="005C51F5" w:rsidP="00F17D4B">
      <w:r w:rsidRPr="00AE25D3">
        <w:t>For further information, see t</w:t>
      </w:r>
      <w:r w:rsidR="00F17D4B" w:rsidRPr="00AE25D3">
        <w:t xml:space="preserve">he current Product Information (PI) and Consumer Medicine Information (CMI) are available from </w:t>
      </w:r>
      <w:r w:rsidR="00F17D4B" w:rsidRPr="00EE2ED4">
        <w:t>the TGA (Product Information)</w:t>
      </w:r>
      <w:r w:rsidR="00F17D4B" w:rsidRPr="00AE25D3">
        <w:t xml:space="preserve"> and </w:t>
      </w:r>
      <w:r w:rsidR="00F17D4B" w:rsidRPr="00EE2ED4">
        <w:t>the TGA (Consumer Medicines Information)</w:t>
      </w:r>
      <w:r w:rsidR="00F17D4B" w:rsidRPr="00AE25D3">
        <w:t>.</w:t>
      </w:r>
    </w:p>
    <w:p w:rsidR="00DF0B13" w:rsidRPr="00AE25D3" w:rsidDel="00EE2BBB" w:rsidRDefault="00DF0B13" w:rsidP="00CF5E22">
      <w:pPr>
        <w:pStyle w:val="Heading2"/>
      </w:pPr>
      <w:r w:rsidRPr="00AE25D3" w:rsidDel="00EE2BBB">
        <w:t>PBS listing details</w:t>
      </w:r>
      <w:r w:rsidR="00D151EB" w:rsidRPr="00AE25D3" w:rsidDel="00EE2BBB">
        <w:t xml:space="preserve"> (as at </w:t>
      </w:r>
      <w:r w:rsidR="00573293" w:rsidRPr="00AE25D3">
        <w:t>August 2020</w:t>
      </w:r>
      <w:r w:rsidR="00D151EB" w:rsidRPr="00AE25D3" w:rsidDel="00EE2BBB">
        <w:t>)</w:t>
      </w:r>
    </w:p>
    <w:p w:rsidR="001420B3" w:rsidRPr="00AE25D3" w:rsidDel="00EE2BBB" w:rsidRDefault="001420B3" w:rsidP="00CF5E22">
      <w:pPr>
        <w:pStyle w:val="Tabletitle"/>
      </w:pPr>
      <w:r w:rsidRPr="00AE25D3" w:rsidDel="00EE2BBB">
        <w:t xml:space="preserve">Table </w:t>
      </w:r>
      <w:r w:rsidR="007C4829" w:rsidRPr="00AE25D3">
        <w:t>1</w:t>
      </w:r>
      <w:r w:rsidRPr="00AE25D3" w:rsidDel="00EE2BBB">
        <w:t xml:space="preserve">: </w:t>
      </w:r>
      <w:r w:rsidR="009663B6" w:rsidRPr="00AE25D3" w:rsidDel="00EE2BBB">
        <w:t>PB</w:t>
      </w:r>
      <w:r w:rsidR="00D151EB" w:rsidRPr="00AE25D3" w:rsidDel="00EE2BBB">
        <w:t xml:space="preserve">S listing of </w:t>
      </w:r>
      <w:proofErr w:type="spellStart"/>
      <w:r w:rsidR="007C4829" w:rsidRPr="00AE25D3">
        <w:t>Ibrutinib</w:t>
      </w:r>
      <w:proofErr w:type="spellEnd"/>
    </w:p>
    <w:tbl>
      <w:tblPr>
        <w:tblStyle w:val="TableGrid"/>
        <w:tblW w:w="9064" w:type="dxa"/>
        <w:tblLayout w:type="fixed"/>
        <w:tblLook w:val="04A0" w:firstRow="1" w:lastRow="0" w:firstColumn="1" w:lastColumn="0" w:noHBand="0" w:noVBand="1"/>
        <w:tblCaption w:val="Table 1: PBS listing of Ibrutinib"/>
      </w:tblPr>
      <w:tblGrid>
        <w:gridCol w:w="969"/>
        <w:gridCol w:w="2400"/>
        <w:gridCol w:w="1701"/>
        <w:gridCol w:w="850"/>
        <w:gridCol w:w="1040"/>
        <w:gridCol w:w="2104"/>
      </w:tblGrid>
      <w:tr w:rsidR="0093111F" w:rsidRPr="00AE25D3" w:rsidDel="00EE2BBB" w:rsidTr="0093111F">
        <w:trPr>
          <w:trHeight w:val="694"/>
          <w:tblHeader/>
        </w:trPr>
        <w:tc>
          <w:tcPr>
            <w:tcW w:w="969" w:type="dxa"/>
            <w:shd w:val="clear" w:color="auto" w:fill="BFBFBF" w:themeFill="background1" w:themeFillShade="BF"/>
          </w:tcPr>
          <w:p w:rsidR="0093111F" w:rsidRPr="00AE25D3" w:rsidDel="00EE2BBB" w:rsidRDefault="0093111F" w:rsidP="00A35800">
            <w:pPr>
              <w:pStyle w:val="Tableheading"/>
              <w:rPr>
                <w:sz w:val="20"/>
                <w:szCs w:val="20"/>
              </w:rPr>
            </w:pPr>
            <w:r w:rsidRPr="00AE25D3" w:rsidDel="00EE2BBB">
              <w:rPr>
                <w:sz w:val="20"/>
                <w:szCs w:val="20"/>
              </w:rPr>
              <w:t>Item</w:t>
            </w:r>
          </w:p>
        </w:tc>
        <w:tc>
          <w:tcPr>
            <w:tcW w:w="2400" w:type="dxa"/>
            <w:shd w:val="clear" w:color="auto" w:fill="BFBFBF" w:themeFill="background1" w:themeFillShade="BF"/>
          </w:tcPr>
          <w:p w:rsidR="0093111F" w:rsidRPr="00AE25D3" w:rsidDel="00EE2BBB" w:rsidRDefault="0093111F" w:rsidP="00A35800">
            <w:pPr>
              <w:pStyle w:val="Tableheading"/>
              <w:rPr>
                <w:sz w:val="20"/>
                <w:szCs w:val="20"/>
              </w:rPr>
            </w:pPr>
            <w:r w:rsidRPr="00AE25D3" w:rsidDel="00EE2BBB">
              <w:rPr>
                <w:sz w:val="20"/>
                <w:szCs w:val="20"/>
              </w:rPr>
              <w:t>Name, form &amp; strength, pack size</w:t>
            </w:r>
          </w:p>
        </w:tc>
        <w:tc>
          <w:tcPr>
            <w:tcW w:w="1701" w:type="dxa"/>
            <w:shd w:val="clear" w:color="auto" w:fill="BFBFBF" w:themeFill="background1" w:themeFillShade="BF"/>
          </w:tcPr>
          <w:p w:rsidR="0093111F" w:rsidRPr="00AE25D3" w:rsidDel="00EE2BBB" w:rsidRDefault="0093111F" w:rsidP="003F7EBB">
            <w:pPr>
              <w:pStyle w:val="Tableheading"/>
              <w:jc w:val="left"/>
              <w:rPr>
                <w:sz w:val="20"/>
                <w:szCs w:val="20"/>
              </w:rPr>
            </w:pPr>
            <w:r w:rsidRPr="00AE25D3" w:rsidDel="00EE2BBB">
              <w:rPr>
                <w:sz w:val="20"/>
                <w:szCs w:val="20"/>
              </w:rPr>
              <w:t>Max</w:t>
            </w:r>
            <w:r w:rsidR="00A13C60" w:rsidRPr="00AE25D3" w:rsidDel="00EE2BBB">
              <w:rPr>
                <w:sz w:val="20"/>
                <w:szCs w:val="20"/>
              </w:rPr>
              <w:t xml:space="preserve">. </w:t>
            </w:r>
            <w:r w:rsidRPr="00AE25D3" w:rsidDel="00EE2BBB">
              <w:rPr>
                <w:sz w:val="20"/>
                <w:szCs w:val="20"/>
              </w:rPr>
              <w:t xml:space="preserve">quant. </w:t>
            </w:r>
          </w:p>
        </w:tc>
        <w:tc>
          <w:tcPr>
            <w:tcW w:w="850" w:type="dxa"/>
            <w:shd w:val="clear" w:color="auto" w:fill="BFBFBF" w:themeFill="background1" w:themeFillShade="BF"/>
          </w:tcPr>
          <w:p w:rsidR="0093111F" w:rsidRPr="00AE25D3" w:rsidDel="00EE2BBB" w:rsidRDefault="0093111F" w:rsidP="003F7EBB">
            <w:pPr>
              <w:pStyle w:val="Tableheading"/>
              <w:jc w:val="left"/>
              <w:rPr>
                <w:sz w:val="20"/>
                <w:szCs w:val="20"/>
              </w:rPr>
            </w:pPr>
            <w:proofErr w:type="spellStart"/>
            <w:r w:rsidRPr="00AE25D3" w:rsidDel="00EE2BBB">
              <w:rPr>
                <w:sz w:val="20"/>
                <w:szCs w:val="20"/>
              </w:rPr>
              <w:t>Rpts</w:t>
            </w:r>
            <w:proofErr w:type="spellEnd"/>
            <w:r w:rsidRPr="00AE25D3" w:rsidDel="00EE2BBB">
              <w:rPr>
                <w:sz w:val="20"/>
                <w:szCs w:val="20"/>
              </w:rPr>
              <w:t xml:space="preserve"> </w:t>
            </w:r>
          </w:p>
        </w:tc>
        <w:tc>
          <w:tcPr>
            <w:tcW w:w="1040" w:type="dxa"/>
            <w:shd w:val="clear" w:color="auto" w:fill="BFBFBF" w:themeFill="background1" w:themeFillShade="BF"/>
          </w:tcPr>
          <w:p w:rsidR="0093111F" w:rsidRPr="00AE25D3" w:rsidDel="00EE2BBB" w:rsidRDefault="0093111F" w:rsidP="00A35800">
            <w:pPr>
              <w:pStyle w:val="Tableheading"/>
              <w:rPr>
                <w:sz w:val="20"/>
                <w:szCs w:val="20"/>
              </w:rPr>
            </w:pPr>
            <w:r w:rsidRPr="00AE25D3" w:rsidDel="00EE2BBB">
              <w:rPr>
                <w:sz w:val="20"/>
                <w:szCs w:val="20"/>
              </w:rPr>
              <w:t>DPMQ</w:t>
            </w:r>
          </w:p>
        </w:tc>
        <w:tc>
          <w:tcPr>
            <w:tcW w:w="2104" w:type="dxa"/>
            <w:shd w:val="clear" w:color="auto" w:fill="BFBFBF" w:themeFill="background1" w:themeFillShade="BF"/>
          </w:tcPr>
          <w:p w:rsidR="0093111F" w:rsidRPr="00AE25D3" w:rsidDel="00EE2BBB" w:rsidRDefault="0093111F" w:rsidP="00A35800">
            <w:pPr>
              <w:pStyle w:val="Tableheading"/>
              <w:rPr>
                <w:sz w:val="20"/>
                <w:szCs w:val="20"/>
              </w:rPr>
            </w:pPr>
            <w:r w:rsidRPr="00AE25D3" w:rsidDel="00EE2BBB">
              <w:rPr>
                <w:sz w:val="20"/>
                <w:szCs w:val="20"/>
              </w:rPr>
              <w:t>Brand name and manufacturer</w:t>
            </w:r>
          </w:p>
        </w:tc>
      </w:tr>
      <w:tr w:rsidR="008C0CD1" w:rsidRPr="00AE25D3" w:rsidDel="00EE2BBB" w:rsidTr="0093111F">
        <w:trPr>
          <w:trHeight w:val="552"/>
          <w:tblHeader/>
        </w:trPr>
        <w:tc>
          <w:tcPr>
            <w:tcW w:w="969" w:type="dxa"/>
            <w:shd w:val="clear" w:color="auto" w:fill="auto"/>
          </w:tcPr>
          <w:p w:rsidR="008C0CD1" w:rsidRPr="00AE25D3" w:rsidDel="00EE2BBB" w:rsidRDefault="008C0CD1" w:rsidP="008C0CD1">
            <w:pPr>
              <w:pStyle w:val="Tablewriting"/>
            </w:pPr>
            <w:r w:rsidRPr="00AE25D3">
              <w:t>11213E</w:t>
            </w:r>
          </w:p>
        </w:tc>
        <w:tc>
          <w:tcPr>
            <w:tcW w:w="2400" w:type="dxa"/>
            <w:shd w:val="clear" w:color="auto" w:fill="auto"/>
          </w:tcPr>
          <w:p w:rsidR="008C0CD1" w:rsidRPr="00AE25D3" w:rsidDel="00EE2BBB" w:rsidRDefault="008C0CD1" w:rsidP="008C0CD1">
            <w:pPr>
              <w:pStyle w:val="Tablewriting"/>
            </w:pPr>
            <w:proofErr w:type="spellStart"/>
            <w:r w:rsidRPr="00AE25D3">
              <w:t>ibrutinib</w:t>
            </w:r>
            <w:proofErr w:type="spellEnd"/>
            <w:r w:rsidRPr="00AE25D3">
              <w:t xml:space="preserve"> 140 mg capsule, 90 (PI, CMI)</w:t>
            </w:r>
          </w:p>
        </w:tc>
        <w:tc>
          <w:tcPr>
            <w:tcW w:w="1701" w:type="dxa"/>
            <w:shd w:val="clear" w:color="auto" w:fill="auto"/>
          </w:tcPr>
          <w:p w:rsidR="008C0CD1" w:rsidRPr="00AE25D3" w:rsidDel="00EE2BBB" w:rsidRDefault="008C0CD1" w:rsidP="003F7EBB">
            <w:pPr>
              <w:pStyle w:val="Tablewriting"/>
            </w:pPr>
            <w:r w:rsidRPr="00AE25D3">
              <w:t>90</w:t>
            </w:r>
          </w:p>
        </w:tc>
        <w:tc>
          <w:tcPr>
            <w:tcW w:w="850" w:type="dxa"/>
            <w:shd w:val="clear" w:color="auto" w:fill="auto"/>
          </w:tcPr>
          <w:p w:rsidR="008C0CD1" w:rsidRPr="00AE25D3" w:rsidDel="00EE2BBB" w:rsidRDefault="008C0CD1" w:rsidP="003F7EBB">
            <w:pPr>
              <w:pStyle w:val="Tablewriting"/>
            </w:pPr>
            <w:r w:rsidRPr="00AE25D3">
              <w:t>5</w:t>
            </w:r>
          </w:p>
        </w:tc>
        <w:tc>
          <w:tcPr>
            <w:tcW w:w="1040" w:type="dxa"/>
            <w:shd w:val="clear" w:color="auto" w:fill="auto"/>
          </w:tcPr>
          <w:p w:rsidR="008C0CD1" w:rsidRPr="00AE25D3" w:rsidDel="00EE2BBB" w:rsidRDefault="008C0CD1" w:rsidP="008C0CD1">
            <w:pPr>
              <w:pStyle w:val="Tablewriting"/>
            </w:pPr>
            <w:r w:rsidRPr="00AE25D3">
              <w:t>$8810.25</w:t>
            </w:r>
          </w:p>
        </w:tc>
        <w:tc>
          <w:tcPr>
            <w:tcW w:w="2104" w:type="dxa"/>
            <w:shd w:val="clear" w:color="auto" w:fill="auto"/>
          </w:tcPr>
          <w:p w:rsidR="008C0CD1" w:rsidRPr="00AE25D3" w:rsidDel="00EE2BBB" w:rsidRDefault="008C0CD1" w:rsidP="008C0CD1">
            <w:pPr>
              <w:pStyle w:val="Tablewriting"/>
            </w:pPr>
            <w:r w:rsidRPr="00AE25D3">
              <w:t>Janssen-</w:t>
            </w:r>
            <w:proofErr w:type="spellStart"/>
            <w:r w:rsidRPr="00AE25D3">
              <w:t>Cilag</w:t>
            </w:r>
            <w:proofErr w:type="spellEnd"/>
            <w:r w:rsidRPr="00AE25D3">
              <w:t xml:space="preserve"> Pty Ltd</w:t>
            </w:r>
          </w:p>
        </w:tc>
      </w:tr>
    </w:tbl>
    <w:p w:rsidR="007247B9" w:rsidRPr="00AE25D3" w:rsidDel="00EE2BBB" w:rsidRDefault="007408C7" w:rsidP="00BB1D3B">
      <w:pPr>
        <w:pStyle w:val="Notes"/>
      </w:pPr>
      <w:r w:rsidRPr="00AE25D3" w:rsidDel="00EE2BBB">
        <w:t xml:space="preserve">Source: </w:t>
      </w:r>
      <w:r w:rsidR="001624D7" w:rsidRPr="00AE25D3" w:rsidDel="00EE2BBB">
        <w:t xml:space="preserve">the </w:t>
      </w:r>
      <w:r w:rsidR="001624D7" w:rsidRPr="00EE2ED4" w:rsidDel="00EE2BBB">
        <w:t>PBS website</w:t>
      </w:r>
      <w:r w:rsidR="001624D7" w:rsidRPr="00AE25D3" w:rsidDel="00EE2BBB">
        <w:t>.</w:t>
      </w:r>
      <w:r w:rsidR="0080485E" w:rsidRPr="00AE25D3" w:rsidDel="00EE2BBB">
        <w:t xml:space="preserve">  Special Pricing Arrangement is in place.</w:t>
      </w:r>
    </w:p>
    <w:p w:rsidR="004C3186" w:rsidRPr="00AE25D3" w:rsidRDefault="004C3186" w:rsidP="00CF5E22">
      <w:pPr>
        <w:pStyle w:val="Heading3"/>
      </w:pPr>
      <w:r w:rsidRPr="00AE25D3" w:rsidDel="00EE2BBB">
        <w:t>Restriction</w:t>
      </w:r>
    </w:p>
    <w:p w:rsidR="00837C42" w:rsidRDefault="008C0CD1" w:rsidP="008C0CD1">
      <w:pPr>
        <w:spacing w:after="0"/>
        <w:rPr>
          <w:rFonts w:ascii="Calibri" w:eastAsia="Times New Roman" w:hAnsi="Calibri" w:cs="Calibri"/>
          <w:b/>
        </w:rPr>
      </w:pPr>
      <w:r w:rsidRPr="00AE25D3">
        <w:rPr>
          <w:rFonts w:ascii="Calibri" w:eastAsia="Times New Roman" w:hAnsi="Calibri" w:cs="Calibri"/>
        </w:rPr>
        <w:t>Chronic lymphocytic leukaemia (CLL) or small lymphocytic lymphoma (SLL</w:t>
      </w:r>
      <w:r w:rsidR="00B507FB" w:rsidRPr="00AE25D3">
        <w:rPr>
          <w:rFonts w:ascii="Calibri" w:eastAsia="Times New Roman" w:hAnsi="Calibri" w:cs="Calibri"/>
        </w:rPr>
        <w:t xml:space="preserve">) </w:t>
      </w:r>
      <w:r w:rsidR="00B507FB" w:rsidRPr="00AE25D3">
        <w:rPr>
          <w:rFonts w:ascii="Calibri" w:eastAsia="Times New Roman" w:hAnsi="Calibri" w:cs="Calibri"/>
        </w:rPr>
        <w:br/>
      </w:r>
    </w:p>
    <w:p w:rsidR="00B507FB" w:rsidRPr="00AE25D3" w:rsidRDefault="008C0CD1" w:rsidP="008C0CD1">
      <w:pPr>
        <w:spacing w:after="0"/>
        <w:rPr>
          <w:rFonts w:ascii="Calibri" w:eastAsia="Times New Roman" w:hAnsi="Calibri" w:cs="Calibri"/>
        </w:rPr>
      </w:pPr>
      <w:r w:rsidRPr="00AE25D3">
        <w:rPr>
          <w:rFonts w:ascii="Calibri" w:eastAsia="Times New Roman" w:hAnsi="Calibri" w:cs="Calibri"/>
          <w:b/>
        </w:rPr>
        <w:t xml:space="preserve">Treatment Phase: Initial </w:t>
      </w:r>
      <w:r w:rsidR="00B507FB" w:rsidRPr="00AE25D3">
        <w:rPr>
          <w:rFonts w:ascii="Calibri" w:eastAsia="Times New Roman" w:hAnsi="Calibri" w:cs="Calibri"/>
          <w:b/>
        </w:rPr>
        <w:t>treatment</w:t>
      </w:r>
      <w:r w:rsidR="00B507FB" w:rsidRPr="00AE25D3">
        <w:rPr>
          <w:rFonts w:ascii="Calibri" w:eastAsia="Times New Roman" w:hAnsi="Calibri" w:cs="Calibri"/>
        </w:rPr>
        <w:t xml:space="preserve"> </w:t>
      </w:r>
      <w:r w:rsidR="00B507FB" w:rsidRPr="00AE25D3">
        <w:rPr>
          <w:rFonts w:ascii="Calibri" w:eastAsia="Times New Roman" w:hAnsi="Calibri" w:cs="Calibri"/>
        </w:rPr>
        <w:br/>
      </w:r>
      <w:r w:rsidRPr="00AE25D3">
        <w:rPr>
          <w:rFonts w:ascii="Calibri" w:eastAsia="Times New Roman" w:hAnsi="Calibri" w:cs="Calibri"/>
        </w:rPr>
        <w:t xml:space="preserve">Clinical criteria:  </w:t>
      </w:r>
      <w:r w:rsidR="00B507FB" w:rsidRPr="00AE25D3">
        <w:rPr>
          <w:rFonts w:ascii="Calibri" w:eastAsia="Times New Roman" w:hAnsi="Calibri" w:cs="Calibri"/>
        </w:rPr>
        <w:br/>
      </w:r>
      <w:r w:rsidRPr="00AE25D3">
        <w:rPr>
          <w:rFonts w:ascii="Calibri" w:eastAsia="Times New Roman" w:hAnsi="Calibri" w:cs="Calibri"/>
        </w:rPr>
        <w:t>* The treatment must be the sole PBS-subsidised therapy for this condition</w:t>
      </w:r>
      <w:r w:rsidR="00B507FB" w:rsidRPr="00AE25D3">
        <w:rPr>
          <w:rFonts w:ascii="Calibri" w:eastAsia="Times New Roman" w:hAnsi="Calibri" w:cs="Calibri"/>
        </w:rPr>
        <w:t xml:space="preserve">, </w:t>
      </w:r>
      <w:r w:rsidR="00B507FB" w:rsidRPr="00AE25D3">
        <w:rPr>
          <w:rFonts w:ascii="Calibri" w:eastAsia="Times New Roman" w:hAnsi="Calibri" w:cs="Calibri"/>
        </w:rPr>
        <w:br/>
      </w:r>
      <w:r w:rsidRPr="00AE25D3">
        <w:rPr>
          <w:rFonts w:ascii="Calibri" w:eastAsia="Times New Roman" w:hAnsi="Calibri" w:cs="Calibri"/>
        </w:rPr>
        <w:t xml:space="preserve">AND </w:t>
      </w:r>
      <w:r w:rsidR="00B507FB" w:rsidRPr="00AE25D3">
        <w:rPr>
          <w:rFonts w:ascii="Calibri" w:eastAsia="Times New Roman" w:hAnsi="Calibri" w:cs="Calibri"/>
        </w:rPr>
        <w:br/>
      </w:r>
      <w:r w:rsidRPr="00AE25D3">
        <w:rPr>
          <w:rFonts w:ascii="Calibri" w:eastAsia="Times New Roman" w:hAnsi="Calibri" w:cs="Calibri"/>
        </w:rPr>
        <w:t xml:space="preserve"> * The condition must have relapsed or be refractory to at least one prior therapy</w:t>
      </w:r>
      <w:r w:rsidR="00B507FB" w:rsidRPr="00AE25D3">
        <w:rPr>
          <w:rFonts w:ascii="Calibri" w:eastAsia="Times New Roman" w:hAnsi="Calibri" w:cs="Calibri"/>
        </w:rPr>
        <w:t xml:space="preserve">, </w:t>
      </w:r>
      <w:r w:rsidR="00B507FB" w:rsidRPr="00AE25D3">
        <w:rPr>
          <w:rFonts w:ascii="Calibri" w:eastAsia="Times New Roman" w:hAnsi="Calibri" w:cs="Calibri"/>
        </w:rPr>
        <w:br/>
        <w:t xml:space="preserve">AND </w:t>
      </w:r>
      <w:r w:rsidR="00B507FB" w:rsidRPr="00AE25D3">
        <w:rPr>
          <w:rFonts w:ascii="Calibri" w:eastAsia="Times New Roman" w:hAnsi="Calibri" w:cs="Calibri"/>
        </w:rPr>
        <w:br/>
      </w:r>
      <w:r w:rsidRPr="00AE25D3">
        <w:rPr>
          <w:rFonts w:ascii="Calibri" w:eastAsia="Times New Roman" w:hAnsi="Calibri" w:cs="Calibri"/>
        </w:rPr>
        <w:t>* Patient must have a WHO performance status of 0 or 1</w:t>
      </w:r>
      <w:r w:rsidR="00B507FB" w:rsidRPr="00AE25D3">
        <w:rPr>
          <w:rFonts w:ascii="Calibri" w:eastAsia="Times New Roman" w:hAnsi="Calibri" w:cs="Calibri"/>
        </w:rPr>
        <w:t xml:space="preserve">, </w:t>
      </w:r>
      <w:r w:rsidR="00B507FB" w:rsidRPr="00AE25D3">
        <w:rPr>
          <w:rFonts w:ascii="Calibri" w:eastAsia="Times New Roman" w:hAnsi="Calibri" w:cs="Calibri"/>
        </w:rPr>
        <w:br/>
        <w:t xml:space="preserve">AND </w:t>
      </w:r>
      <w:r w:rsidR="00B507FB" w:rsidRPr="00AE25D3">
        <w:rPr>
          <w:rFonts w:ascii="Calibri" w:eastAsia="Times New Roman" w:hAnsi="Calibri" w:cs="Calibri"/>
        </w:rPr>
        <w:br/>
      </w:r>
      <w:r w:rsidRPr="00AE25D3">
        <w:rPr>
          <w:rFonts w:ascii="Calibri" w:eastAsia="Times New Roman" w:hAnsi="Calibri" w:cs="Calibri"/>
        </w:rPr>
        <w:t xml:space="preserve">* Patient must not have previously received PBS-subsidised treatment with this drug for </w:t>
      </w:r>
      <w:r w:rsidRPr="00AE25D3">
        <w:rPr>
          <w:rFonts w:ascii="Calibri" w:eastAsia="Times New Roman" w:hAnsi="Calibri" w:cs="Calibri"/>
        </w:rPr>
        <w:lastRenderedPageBreak/>
        <w:t>this condition</w:t>
      </w:r>
      <w:r w:rsidR="00B507FB" w:rsidRPr="00AE25D3">
        <w:rPr>
          <w:rFonts w:ascii="Calibri" w:eastAsia="Times New Roman" w:hAnsi="Calibri" w:cs="Calibri"/>
        </w:rPr>
        <w:t xml:space="preserve">, </w:t>
      </w:r>
      <w:r w:rsidR="00B507FB" w:rsidRPr="00AE25D3">
        <w:rPr>
          <w:rFonts w:ascii="Calibri" w:eastAsia="Times New Roman" w:hAnsi="Calibri" w:cs="Calibri"/>
        </w:rPr>
        <w:br/>
        <w:t xml:space="preserve">AND </w:t>
      </w:r>
      <w:r w:rsidR="00B507FB" w:rsidRPr="00AE25D3">
        <w:rPr>
          <w:rFonts w:ascii="Calibri" w:eastAsia="Times New Roman" w:hAnsi="Calibri" w:cs="Calibri"/>
        </w:rPr>
        <w:br/>
      </w:r>
      <w:r w:rsidRPr="00AE25D3">
        <w:rPr>
          <w:rFonts w:ascii="Calibri" w:eastAsia="Times New Roman" w:hAnsi="Calibri" w:cs="Calibri"/>
        </w:rPr>
        <w:t xml:space="preserve">* Patient must be considered unsuitable for treatment or retreatment with a purine analogue. </w:t>
      </w:r>
    </w:p>
    <w:p w:rsidR="00B507FB" w:rsidRPr="00AE25D3" w:rsidRDefault="00B507FB" w:rsidP="008C0CD1">
      <w:pPr>
        <w:spacing w:after="0"/>
        <w:rPr>
          <w:rFonts w:ascii="Calibri" w:eastAsia="Times New Roman" w:hAnsi="Calibri" w:cs="Calibri"/>
        </w:rPr>
      </w:pPr>
    </w:p>
    <w:p w:rsidR="00837C42" w:rsidRDefault="008C0CD1" w:rsidP="008C0CD1">
      <w:pPr>
        <w:spacing w:after="0"/>
        <w:rPr>
          <w:rFonts w:ascii="Calibri" w:eastAsia="Times New Roman" w:hAnsi="Calibri" w:cs="Calibri"/>
        </w:rPr>
      </w:pPr>
      <w:r w:rsidRPr="00AE25D3">
        <w:rPr>
          <w:rFonts w:ascii="Calibri" w:eastAsia="Times New Roman" w:hAnsi="Calibri" w:cs="Calibri"/>
        </w:rPr>
        <w:t>A patient is considered unsuitable for treatment or retreatment with a purine analogue as demonstrated by at least one of the following:</w:t>
      </w:r>
      <w:r w:rsidR="00B507FB" w:rsidRPr="00AE25D3">
        <w:rPr>
          <w:rFonts w:ascii="Calibri" w:eastAsia="Times New Roman" w:hAnsi="Calibri" w:cs="Calibri"/>
        </w:rPr>
        <w:br/>
      </w:r>
    </w:p>
    <w:p w:rsidR="00837C42" w:rsidRPr="00837C42" w:rsidRDefault="008C0CD1" w:rsidP="00837C42">
      <w:pPr>
        <w:pStyle w:val="ListParagraph"/>
        <w:numPr>
          <w:ilvl w:val="0"/>
          <w:numId w:val="11"/>
        </w:numPr>
        <w:spacing w:after="0"/>
        <w:rPr>
          <w:rFonts w:ascii="Calibri" w:eastAsia="Times New Roman" w:hAnsi="Calibri" w:cs="Calibri"/>
        </w:rPr>
      </w:pPr>
      <w:r w:rsidRPr="00837C42">
        <w:rPr>
          <w:rFonts w:ascii="Calibri" w:eastAsia="Times New Roman" w:hAnsi="Calibri" w:cs="Calibri"/>
        </w:rPr>
        <w:t xml:space="preserve">Failure to respond (stable disease or disease progression on treatment), or a progression-free interval of less than 3 years from treatment with a purine analogue-based therapy and anti-CD20-containing </w:t>
      </w:r>
      <w:proofErr w:type="spellStart"/>
      <w:r w:rsidRPr="00837C42">
        <w:rPr>
          <w:rFonts w:ascii="Calibri" w:eastAsia="Times New Roman" w:hAnsi="Calibri" w:cs="Calibri"/>
        </w:rPr>
        <w:t>chemoimmunotherapy</w:t>
      </w:r>
      <w:proofErr w:type="spellEnd"/>
      <w:r w:rsidRPr="00837C42">
        <w:rPr>
          <w:rFonts w:ascii="Calibri" w:eastAsia="Times New Roman" w:hAnsi="Calibri" w:cs="Calibri"/>
        </w:rPr>
        <w:t xml:space="preserve"> regimen after at least two cycles;</w:t>
      </w:r>
    </w:p>
    <w:p w:rsidR="00837C42" w:rsidRDefault="008C0CD1" w:rsidP="00837C42">
      <w:pPr>
        <w:pStyle w:val="ListParagraph"/>
        <w:numPr>
          <w:ilvl w:val="0"/>
          <w:numId w:val="11"/>
        </w:numPr>
        <w:spacing w:after="0"/>
        <w:rPr>
          <w:rFonts w:ascii="Calibri" w:eastAsia="Times New Roman" w:hAnsi="Calibri" w:cs="Calibri"/>
        </w:rPr>
      </w:pPr>
      <w:r w:rsidRPr="00837C42">
        <w:rPr>
          <w:rFonts w:ascii="Calibri" w:eastAsia="Times New Roman" w:hAnsi="Calibri" w:cs="Calibri"/>
        </w:rPr>
        <w:t>Age is 70 years or older;</w:t>
      </w:r>
    </w:p>
    <w:p w:rsidR="00837C42" w:rsidRDefault="008C0CD1" w:rsidP="00837C42">
      <w:pPr>
        <w:pStyle w:val="ListParagraph"/>
        <w:numPr>
          <w:ilvl w:val="0"/>
          <w:numId w:val="11"/>
        </w:numPr>
        <w:spacing w:after="0"/>
        <w:rPr>
          <w:rFonts w:ascii="Calibri" w:eastAsia="Times New Roman" w:hAnsi="Calibri" w:cs="Calibri"/>
        </w:rPr>
      </w:pPr>
      <w:r w:rsidRPr="00837C42">
        <w:rPr>
          <w:rFonts w:ascii="Calibri" w:eastAsia="Times New Roman" w:hAnsi="Calibri" w:cs="Calibri"/>
        </w:rPr>
        <w:t xml:space="preserve">Age is 65 years or older and the presence of comorbidities (Cumulative Illness Rating Scale of 6 or greater, or creatinine clearance of less than 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w:t>
      </w:r>
      <w:proofErr w:type="spellStart"/>
      <w:r w:rsidRPr="00837C42">
        <w:rPr>
          <w:rFonts w:ascii="Calibri" w:eastAsia="Times New Roman" w:hAnsi="Calibri" w:cs="Calibri"/>
        </w:rPr>
        <w:t>chemoimmunotherapy</w:t>
      </w:r>
      <w:proofErr w:type="spellEnd"/>
      <w:r w:rsidRPr="00837C42">
        <w:rPr>
          <w:rFonts w:ascii="Calibri" w:eastAsia="Times New Roman" w:hAnsi="Calibri" w:cs="Calibri"/>
        </w:rPr>
        <w:t xml:space="preserve"> regimen;</w:t>
      </w:r>
      <w:r w:rsidR="00837C42">
        <w:rPr>
          <w:rFonts w:ascii="Calibri" w:eastAsia="Times New Roman" w:hAnsi="Calibri" w:cs="Calibri"/>
        </w:rPr>
        <w:t xml:space="preserve"> </w:t>
      </w:r>
    </w:p>
    <w:p w:rsidR="00837C42" w:rsidRDefault="008C0CD1" w:rsidP="00837C42">
      <w:pPr>
        <w:pStyle w:val="ListParagraph"/>
        <w:numPr>
          <w:ilvl w:val="0"/>
          <w:numId w:val="11"/>
        </w:numPr>
        <w:spacing w:after="0"/>
        <w:rPr>
          <w:rFonts w:ascii="Calibri" w:eastAsia="Times New Roman" w:hAnsi="Calibri" w:cs="Calibri"/>
        </w:rPr>
      </w:pPr>
      <w:r w:rsidRPr="00837C42">
        <w:rPr>
          <w:rFonts w:ascii="Calibri" w:eastAsia="Times New Roman" w:hAnsi="Calibri" w:cs="Calibri"/>
        </w:rPr>
        <w:t>History of purine analogue-associated autoimmune anaemia or autoimmune thrombocytopenia;</w:t>
      </w:r>
    </w:p>
    <w:p w:rsidR="008C0CD1" w:rsidRPr="00837C42" w:rsidRDefault="008C0CD1" w:rsidP="00837C42">
      <w:pPr>
        <w:pStyle w:val="ListParagraph"/>
        <w:numPr>
          <w:ilvl w:val="0"/>
          <w:numId w:val="11"/>
        </w:numPr>
        <w:spacing w:after="0"/>
        <w:rPr>
          <w:rFonts w:ascii="Calibri" w:eastAsia="Times New Roman" w:hAnsi="Calibri" w:cs="Calibri"/>
        </w:rPr>
      </w:pPr>
      <w:r w:rsidRPr="00837C42">
        <w:rPr>
          <w:rFonts w:ascii="Calibri" w:eastAsia="Times New Roman" w:hAnsi="Calibri" w:cs="Calibri"/>
        </w:rPr>
        <w:t>Evidence of one or more 17p chromosomal deletions demonstrated by fluorescence in situ hybridisation (FISH).</w:t>
      </w:r>
    </w:p>
    <w:p w:rsidR="00A12AA3" w:rsidRPr="00AE25D3" w:rsidRDefault="00A12AA3" w:rsidP="008C0CD1">
      <w:pPr>
        <w:spacing w:after="0"/>
        <w:rPr>
          <w:rFonts w:ascii="Calibri" w:eastAsia="Times New Roman" w:hAnsi="Calibri" w:cs="Calibri"/>
        </w:rPr>
      </w:pPr>
    </w:p>
    <w:p w:rsidR="00837C42" w:rsidRPr="00837C42" w:rsidRDefault="008C0CD1" w:rsidP="008C0CD1">
      <w:pPr>
        <w:spacing w:after="0"/>
        <w:rPr>
          <w:rFonts w:ascii="Calibri" w:eastAsia="Times New Roman" w:hAnsi="Calibri" w:cs="Calibri"/>
        </w:rPr>
      </w:pPr>
      <w:r w:rsidRPr="00AE25D3">
        <w:rPr>
          <w:rFonts w:ascii="Calibri" w:eastAsia="Times New Roman" w:hAnsi="Calibri" w:cs="Calibri"/>
        </w:rPr>
        <w:t>Chronic lymphocytic leukaemia (CLL) or small lymphocytic lymphoma (SLL</w:t>
      </w:r>
      <w:r w:rsidR="00A12AA3" w:rsidRPr="00AE25D3">
        <w:rPr>
          <w:rFonts w:ascii="Calibri" w:eastAsia="Times New Roman" w:hAnsi="Calibri" w:cs="Calibri"/>
        </w:rPr>
        <w:t xml:space="preserve">) </w:t>
      </w:r>
      <w:r w:rsidR="00B507FB" w:rsidRPr="00AE25D3">
        <w:rPr>
          <w:rFonts w:ascii="Calibri" w:eastAsia="Times New Roman" w:hAnsi="Calibri" w:cs="Calibri"/>
        </w:rPr>
        <w:br/>
      </w:r>
    </w:p>
    <w:p w:rsidR="008C0CD1" w:rsidRPr="00AE25D3" w:rsidRDefault="008C0CD1" w:rsidP="008C0CD1">
      <w:pPr>
        <w:spacing w:after="0"/>
        <w:rPr>
          <w:rFonts w:ascii="Calibri" w:eastAsia="Times New Roman" w:hAnsi="Calibri" w:cs="Calibri"/>
        </w:rPr>
      </w:pPr>
      <w:r w:rsidRPr="00AE25D3">
        <w:rPr>
          <w:rFonts w:ascii="Calibri" w:eastAsia="Times New Roman" w:hAnsi="Calibri" w:cs="Calibri"/>
          <w:b/>
        </w:rPr>
        <w:t xml:space="preserve">Treatment Phase: Continuing </w:t>
      </w:r>
      <w:proofErr w:type="gramStart"/>
      <w:r w:rsidRPr="00AE25D3">
        <w:rPr>
          <w:rFonts w:ascii="Calibri" w:eastAsia="Times New Roman" w:hAnsi="Calibri" w:cs="Calibri"/>
          <w:b/>
        </w:rPr>
        <w:t>treatment</w:t>
      </w:r>
      <w:r w:rsidRPr="00AE25D3">
        <w:rPr>
          <w:rFonts w:ascii="Calibri" w:eastAsia="Times New Roman" w:hAnsi="Calibri" w:cs="Calibri"/>
        </w:rPr>
        <w:t xml:space="preserve">  </w:t>
      </w:r>
      <w:proofErr w:type="gramEnd"/>
      <w:r w:rsidR="00B507FB" w:rsidRPr="00AE25D3">
        <w:rPr>
          <w:rFonts w:ascii="Calibri" w:eastAsia="Times New Roman" w:hAnsi="Calibri" w:cs="Calibri"/>
        </w:rPr>
        <w:br/>
      </w:r>
      <w:r w:rsidRPr="00AE25D3">
        <w:rPr>
          <w:rFonts w:ascii="Calibri" w:eastAsia="Times New Roman" w:hAnsi="Calibri" w:cs="Calibri"/>
        </w:rPr>
        <w:t xml:space="preserve">Clinical criteria:  </w:t>
      </w:r>
      <w:r w:rsidR="00B507FB" w:rsidRPr="00AE25D3">
        <w:rPr>
          <w:rFonts w:ascii="Calibri" w:eastAsia="Times New Roman" w:hAnsi="Calibri" w:cs="Calibri"/>
        </w:rPr>
        <w:br/>
      </w:r>
      <w:r w:rsidRPr="00AE25D3">
        <w:rPr>
          <w:rFonts w:ascii="Calibri" w:eastAsia="Times New Roman" w:hAnsi="Calibri" w:cs="Calibri"/>
        </w:rPr>
        <w:t xml:space="preserve">* The treatment must be the sole PBS-subsidised therapy for this condition,  </w:t>
      </w:r>
      <w:r w:rsidR="00B507FB" w:rsidRPr="00AE25D3">
        <w:rPr>
          <w:rFonts w:ascii="Calibri" w:eastAsia="Times New Roman" w:hAnsi="Calibri" w:cs="Calibri"/>
        </w:rPr>
        <w:br/>
      </w:r>
      <w:r w:rsidRPr="00AE25D3">
        <w:rPr>
          <w:rFonts w:ascii="Calibri" w:eastAsia="Times New Roman" w:hAnsi="Calibri" w:cs="Calibri"/>
        </w:rPr>
        <w:t xml:space="preserve">AND  </w:t>
      </w:r>
      <w:r w:rsidR="00B507FB" w:rsidRPr="00AE25D3">
        <w:rPr>
          <w:rFonts w:ascii="Calibri" w:eastAsia="Times New Roman" w:hAnsi="Calibri" w:cs="Calibri"/>
        </w:rPr>
        <w:br/>
      </w:r>
      <w:r w:rsidRPr="00AE25D3">
        <w:rPr>
          <w:rFonts w:ascii="Calibri" w:eastAsia="Times New Roman" w:hAnsi="Calibri" w:cs="Calibri"/>
        </w:rPr>
        <w:t xml:space="preserve">* Patient must have previously received PBS-subsidised treatment with this drug for this condition,  </w:t>
      </w:r>
      <w:r w:rsidR="00B507FB" w:rsidRPr="00AE25D3">
        <w:rPr>
          <w:rFonts w:ascii="Calibri" w:eastAsia="Times New Roman" w:hAnsi="Calibri" w:cs="Calibri"/>
        </w:rPr>
        <w:br/>
      </w:r>
      <w:r w:rsidRPr="00AE25D3">
        <w:rPr>
          <w:rFonts w:ascii="Calibri" w:eastAsia="Times New Roman" w:hAnsi="Calibri" w:cs="Calibri"/>
        </w:rPr>
        <w:t xml:space="preserve">AND  </w:t>
      </w:r>
      <w:r w:rsidR="00B507FB" w:rsidRPr="00AE25D3">
        <w:rPr>
          <w:rFonts w:ascii="Calibri" w:eastAsia="Times New Roman" w:hAnsi="Calibri" w:cs="Calibri"/>
        </w:rPr>
        <w:br/>
      </w:r>
      <w:r w:rsidRPr="00AE25D3">
        <w:rPr>
          <w:rFonts w:ascii="Calibri" w:eastAsia="Times New Roman" w:hAnsi="Calibri" w:cs="Calibri"/>
        </w:rPr>
        <w:t>* Patient must not develop disease progression while receiving PBS-subsidised treatment with this drug for this condition.</w:t>
      </w:r>
    </w:p>
    <w:p w:rsidR="00837C42" w:rsidRPr="00837C42" w:rsidRDefault="00837C42" w:rsidP="00837C42">
      <w:pPr>
        <w:spacing w:after="0"/>
        <w:rPr>
          <w:rFonts w:ascii="Calibri" w:eastAsia="Times New Roman" w:hAnsi="Calibri" w:cs="Calibri"/>
        </w:rPr>
      </w:pPr>
    </w:p>
    <w:p w:rsidR="006775F1" w:rsidRPr="00AE25D3" w:rsidDel="00EE2BBB" w:rsidRDefault="006775F1" w:rsidP="00A35800">
      <w:r w:rsidRPr="00AE25D3" w:rsidDel="00EE2BBB">
        <w:t xml:space="preserve">For </w:t>
      </w:r>
      <w:r w:rsidR="00835337" w:rsidRPr="00AE25D3" w:rsidDel="00EE2BBB">
        <w:t xml:space="preserve">details of the current PBS listing refer to the </w:t>
      </w:r>
      <w:r w:rsidR="00835337" w:rsidRPr="00EE2ED4" w:rsidDel="00EE2BBB">
        <w:t>PBS website</w:t>
      </w:r>
      <w:r w:rsidR="00835337" w:rsidRPr="00AE25D3" w:rsidDel="00EE2BBB">
        <w:rPr>
          <w:rStyle w:val="Hyperlink"/>
        </w:rPr>
        <w:t>.</w:t>
      </w:r>
    </w:p>
    <w:p w:rsidR="009C35F2" w:rsidRPr="00AE25D3" w:rsidRDefault="009C35F2" w:rsidP="00CF5E22">
      <w:pPr>
        <w:pStyle w:val="Heading3"/>
      </w:pPr>
      <w:r w:rsidRPr="00AE25D3" w:rsidDel="00EE2BBB">
        <w:t>Date of listing on PBS</w:t>
      </w:r>
    </w:p>
    <w:p w:rsidR="00AB199C" w:rsidRPr="00AE25D3" w:rsidDel="00EE2BBB" w:rsidRDefault="00573293" w:rsidP="002818C2">
      <w:proofErr w:type="spellStart"/>
      <w:r w:rsidRPr="00AE25D3">
        <w:t>Ibrutinib</w:t>
      </w:r>
      <w:proofErr w:type="spellEnd"/>
      <w:r w:rsidRPr="00AE25D3">
        <w:t xml:space="preserve"> was listed on the PBS </w:t>
      </w:r>
      <w:r w:rsidR="009D4354" w:rsidRPr="00AE25D3">
        <w:t xml:space="preserve">for CLL and SLL </w:t>
      </w:r>
      <w:r w:rsidRPr="00AE25D3">
        <w:t>on 1 December 2017.</w:t>
      </w:r>
    </w:p>
    <w:p w:rsidR="004B5720" w:rsidRDefault="004B5720" w:rsidP="00CF5E22">
      <w:pPr>
        <w:pStyle w:val="Heading2"/>
      </w:pPr>
    </w:p>
    <w:p w:rsidR="004B5720" w:rsidRDefault="004B5720" w:rsidP="00CF5E22">
      <w:pPr>
        <w:pStyle w:val="Heading2"/>
      </w:pPr>
    </w:p>
    <w:p w:rsidR="00736041" w:rsidRPr="00AE25D3" w:rsidRDefault="00394AEE" w:rsidP="00CF5E22">
      <w:pPr>
        <w:pStyle w:val="Heading2"/>
      </w:pPr>
      <w:r w:rsidRPr="00AE25D3">
        <w:lastRenderedPageBreak/>
        <w:t>Relevant aspects of</w:t>
      </w:r>
      <w:r w:rsidR="00736041" w:rsidRPr="00AE25D3">
        <w:t xml:space="preserve"> consideration</w:t>
      </w:r>
      <w:r w:rsidRPr="00AE25D3">
        <w:t xml:space="preserve"> by the Pharmaceutical Benefits Advisory Committee (PBAC)</w:t>
      </w:r>
    </w:p>
    <w:p w:rsidR="00231391" w:rsidRPr="00AE25D3" w:rsidRDefault="00375DD2" w:rsidP="00375DD2">
      <w:pPr>
        <w:rPr>
          <w:lang w:val="en-GB"/>
        </w:rPr>
      </w:pPr>
      <w:r w:rsidRPr="00AE25D3">
        <w:t xml:space="preserve">The first submission for </w:t>
      </w:r>
      <w:proofErr w:type="spellStart"/>
      <w:r w:rsidRPr="00AE25D3">
        <w:t>ibrutinib</w:t>
      </w:r>
      <w:proofErr w:type="spellEnd"/>
      <w:r w:rsidRPr="00AE25D3">
        <w:t xml:space="preserve"> for CLL and SLL was rejected by the PBAC in July 2015. The </w:t>
      </w:r>
      <w:r w:rsidRPr="00AE25D3">
        <w:rPr>
          <w:lang w:val="en-GB"/>
        </w:rPr>
        <w:t>PBAC considered that the patient population and clinica</w:t>
      </w:r>
      <w:r w:rsidR="00C94D7F" w:rsidRPr="00AE25D3">
        <w:rPr>
          <w:lang w:val="en-GB"/>
        </w:rPr>
        <w:t xml:space="preserve">l place of </w:t>
      </w:r>
      <w:proofErr w:type="spellStart"/>
      <w:r w:rsidR="00C94D7F" w:rsidRPr="00AE25D3">
        <w:rPr>
          <w:lang w:val="en-GB"/>
        </w:rPr>
        <w:t>ibrutinib</w:t>
      </w:r>
      <w:proofErr w:type="spellEnd"/>
      <w:r w:rsidR="00C94D7F" w:rsidRPr="00AE25D3">
        <w:rPr>
          <w:lang w:val="en-GB"/>
        </w:rPr>
        <w:t xml:space="preserve"> were not </w:t>
      </w:r>
      <w:r w:rsidRPr="00AE25D3">
        <w:rPr>
          <w:lang w:val="en-GB"/>
        </w:rPr>
        <w:t xml:space="preserve">adequately defined, the size of the comparative clinical benefit could not be quantified and the cost effectiveness and financial implications were underestimated and unacceptably high. </w:t>
      </w:r>
      <w:r w:rsidR="00231391" w:rsidRPr="00AE25D3">
        <w:rPr>
          <w:lang w:val="en-GB"/>
        </w:rPr>
        <w:t>In its consideration of the submission, DUSC advised of the following:</w:t>
      </w:r>
    </w:p>
    <w:p w:rsidR="00E41AAF" w:rsidRPr="00AE25D3" w:rsidRDefault="00BE385D" w:rsidP="00540272">
      <w:pPr>
        <w:pStyle w:val="ListParagraph"/>
        <w:numPr>
          <w:ilvl w:val="0"/>
          <w:numId w:val="9"/>
        </w:numPr>
        <w:rPr>
          <w:lang w:val="en-GB"/>
        </w:rPr>
      </w:pPr>
      <w:r w:rsidRPr="00AE25D3">
        <w:t xml:space="preserve">The submission’s incidence-based approach to derive the financial estimates did not account for the use of </w:t>
      </w:r>
      <w:proofErr w:type="spellStart"/>
      <w:r w:rsidRPr="00AE25D3">
        <w:t>ibrutinib</w:t>
      </w:r>
      <w:proofErr w:type="spellEnd"/>
      <w:r w:rsidRPr="00AE25D3">
        <w:t xml:space="preserve"> in patients diagnosed with CLL prior to 2012. DUSC considered that there would be a large prevalent group of CLL patients diagnosed prior to 2012 who may be treated with </w:t>
      </w:r>
      <w:proofErr w:type="spellStart"/>
      <w:r w:rsidRPr="00AE25D3">
        <w:t>ibrutinib</w:t>
      </w:r>
      <w:proofErr w:type="spellEnd"/>
      <w:r w:rsidRPr="00AE25D3">
        <w:t xml:space="preserve"> if it is listed on the PBS.</w:t>
      </w:r>
    </w:p>
    <w:p w:rsidR="00231391" w:rsidRPr="00AE25D3" w:rsidRDefault="002165F0" w:rsidP="00540272">
      <w:pPr>
        <w:pStyle w:val="ListParagraph"/>
        <w:numPr>
          <w:ilvl w:val="0"/>
          <w:numId w:val="9"/>
        </w:numPr>
        <w:rPr>
          <w:lang w:val="en-GB"/>
        </w:rPr>
      </w:pPr>
      <w:r w:rsidRPr="00AE25D3">
        <w:rPr>
          <w:lang w:val="en-GB"/>
        </w:rPr>
        <w:t xml:space="preserve">The submission’s estimate of treatment duration based on the mean treatment duration from the clinical trial was likely underestimated. Progression free survival had not been reached in the trial suggesting time on </w:t>
      </w:r>
      <w:proofErr w:type="spellStart"/>
      <w:r w:rsidRPr="00AE25D3">
        <w:rPr>
          <w:lang w:val="en-GB"/>
        </w:rPr>
        <w:t>ibrutinib</w:t>
      </w:r>
      <w:proofErr w:type="spellEnd"/>
      <w:r w:rsidRPr="00AE25D3">
        <w:rPr>
          <w:lang w:val="en-GB"/>
        </w:rPr>
        <w:t xml:space="preserve"> could be longer in practice.</w:t>
      </w:r>
    </w:p>
    <w:p w:rsidR="00BE385D" w:rsidRPr="00AE25D3" w:rsidRDefault="002165F0" w:rsidP="00BE385D">
      <w:pPr>
        <w:pStyle w:val="ListParagraph"/>
        <w:numPr>
          <w:ilvl w:val="0"/>
          <w:numId w:val="9"/>
        </w:numPr>
        <w:rPr>
          <w:lang w:val="en-GB"/>
        </w:rPr>
      </w:pPr>
      <w:r w:rsidRPr="00AE25D3">
        <w:rPr>
          <w:lang w:val="en-GB"/>
        </w:rPr>
        <w:t xml:space="preserve">There was likely to be use beyond the restriction as the proposed restriction was narrower than the TGA approval for second-line treatment (i.e. further limiting to patients for whom </w:t>
      </w:r>
      <w:proofErr w:type="spellStart"/>
      <w:r w:rsidRPr="00AE25D3">
        <w:rPr>
          <w:lang w:val="en-GB"/>
        </w:rPr>
        <w:t>fludarabine</w:t>
      </w:r>
      <w:proofErr w:type="spellEnd"/>
      <w:r w:rsidRPr="00AE25D3">
        <w:rPr>
          <w:lang w:val="en-GB"/>
        </w:rPr>
        <w:t xml:space="preserve"> is considered inappropriate).</w:t>
      </w:r>
      <w:r w:rsidR="00E41AAF" w:rsidRPr="00AE25D3">
        <w:rPr>
          <w:lang w:val="en-GB"/>
        </w:rPr>
        <w:t xml:space="preserve"> In particular as earlier line therapy in patients who are able to use purine analogues.</w:t>
      </w:r>
    </w:p>
    <w:p w:rsidR="002165F0" w:rsidRPr="00AE25D3" w:rsidRDefault="002165F0" w:rsidP="001706EE">
      <w:pPr>
        <w:pStyle w:val="ListParagraph"/>
        <w:numPr>
          <w:ilvl w:val="0"/>
          <w:numId w:val="9"/>
        </w:numPr>
        <w:rPr>
          <w:lang w:val="en-GB"/>
        </w:rPr>
      </w:pPr>
      <w:r w:rsidRPr="00AE25D3">
        <w:rPr>
          <w:lang w:val="en-GB"/>
        </w:rPr>
        <w:t xml:space="preserve">The uptake rates for </w:t>
      </w:r>
      <w:proofErr w:type="spellStart"/>
      <w:r w:rsidRPr="00AE25D3">
        <w:rPr>
          <w:lang w:val="en-GB"/>
        </w:rPr>
        <w:t>ibrutinib</w:t>
      </w:r>
      <w:proofErr w:type="spellEnd"/>
      <w:r w:rsidRPr="00AE25D3">
        <w:rPr>
          <w:lang w:val="en-GB"/>
        </w:rPr>
        <w:t xml:space="preserve"> were based on a small survey of haematologists with insufficient information provided in the submission to verify these assumptions.</w:t>
      </w:r>
      <w:r w:rsidR="00BE385D" w:rsidRPr="00AE25D3">
        <w:rPr>
          <w:lang w:val="en-GB"/>
        </w:rPr>
        <w:t xml:space="preserve"> </w:t>
      </w:r>
      <w:r w:rsidR="00BE385D" w:rsidRPr="00AE25D3">
        <w:t xml:space="preserve">DUSC considered that the submission’s estimate for the uptake of </w:t>
      </w:r>
      <w:proofErr w:type="spellStart"/>
      <w:r w:rsidR="00BE385D" w:rsidRPr="00AE25D3">
        <w:t>ibrutinib</w:t>
      </w:r>
      <w:proofErr w:type="spellEnd"/>
      <w:r w:rsidR="00BE385D" w:rsidRPr="00AE25D3">
        <w:t xml:space="preserve"> of </w:t>
      </w:r>
      <w:r w:rsidR="00EE2ED4">
        <w:rPr>
          <w:noProof/>
          <w:color w:val="000000"/>
          <w:highlight w:val="black"/>
        </w:rPr>
        <w:t>''''''''</w:t>
      </w:r>
      <w:r w:rsidR="00BE385D" w:rsidRPr="00AE25D3">
        <w:t xml:space="preserve"> was too low for an efficacious oral treatment for patients with few other treatment options. DUSC considered that the uptake could reach </w:t>
      </w:r>
      <w:r w:rsidR="00EE2ED4">
        <w:rPr>
          <w:noProof/>
          <w:color w:val="000000"/>
          <w:highlight w:val="black"/>
        </w:rPr>
        <w:t>''''''''</w:t>
      </w:r>
      <w:r w:rsidR="00BE385D" w:rsidRPr="00AE25D3">
        <w:t xml:space="preserve"> of the eligible population in the first 5 years of listing. </w:t>
      </w:r>
    </w:p>
    <w:p w:rsidR="00375DD2" w:rsidRPr="00AE25D3" w:rsidRDefault="00375DD2" w:rsidP="00837C42">
      <w:pPr>
        <w:ind w:right="-257"/>
      </w:pPr>
      <w:r w:rsidRPr="00AE25D3">
        <w:t>For further details</w:t>
      </w:r>
      <w:r w:rsidR="00A12AA3" w:rsidRPr="00AE25D3">
        <w:t>,</w:t>
      </w:r>
      <w:r w:rsidRPr="00AE25D3">
        <w:t xml:space="preserve"> refer to the </w:t>
      </w:r>
      <w:r w:rsidRPr="00EE2ED4">
        <w:t>Public Summary Document</w:t>
      </w:r>
      <w:r w:rsidRPr="00AE25D3">
        <w:t xml:space="preserve"> from the </w:t>
      </w:r>
      <w:r w:rsidR="0014370D" w:rsidRPr="00AE25D3">
        <w:t xml:space="preserve">July 2015 PBAC </w:t>
      </w:r>
      <w:r w:rsidRPr="00AE25D3">
        <w:t>meeting.</w:t>
      </w:r>
    </w:p>
    <w:p w:rsidR="001706EE" w:rsidRPr="00AE25D3" w:rsidRDefault="00D75A97" w:rsidP="00A35800">
      <w:pPr>
        <w:rPr>
          <w:rFonts w:cstheme="minorHAnsi"/>
          <w:bCs/>
          <w:snapToGrid w:val="0"/>
          <w:lang w:val="en-GB"/>
        </w:rPr>
      </w:pPr>
      <w:r w:rsidRPr="00AE25D3">
        <w:rPr>
          <w:rFonts w:cstheme="minorHAnsi"/>
        </w:rPr>
        <w:t xml:space="preserve">A November 2015 minor re-submission for the second-line treatment of CLL and SLL was deferred. </w:t>
      </w:r>
      <w:r w:rsidRPr="00AE25D3">
        <w:rPr>
          <w:rFonts w:cstheme="minorHAnsi"/>
          <w:bCs/>
          <w:snapToGrid w:val="0"/>
          <w:lang w:val="en-GB"/>
        </w:rPr>
        <w:t xml:space="preserve">PBAC considered there was a high risk of leakage outside the proposed restriction to the other registered indications, including as first-line treatment for patients with 17 p deletion, second-line CLL and SLL patients suitable for treatment with </w:t>
      </w:r>
      <w:proofErr w:type="spellStart"/>
      <w:r w:rsidRPr="00AE25D3">
        <w:rPr>
          <w:rFonts w:cstheme="minorHAnsi"/>
          <w:bCs/>
          <w:snapToGrid w:val="0"/>
          <w:lang w:val="en-GB"/>
        </w:rPr>
        <w:t>fludarabine</w:t>
      </w:r>
      <w:proofErr w:type="spellEnd"/>
      <w:r w:rsidRPr="00AE25D3">
        <w:rPr>
          <w:rFonts w:cstheme="minorHAnsi"/>
          <w:bCs/>
          <w:snapToGrid w:val="0"/>
          <w:lang w:val="en-GB"/>
        </w:rPr>
        <w:t xml:space="preserve"> and patients with mantle cell lymphoma. The PBAC recommended that a risk-sharing arrangement would be required, based on the DUSC estimates of the patient population representative of those included in the RESONATE trial.</w:t>
      </w:r>
    </w:p>
    <w:p w:rsidR="00375DD2" w:rsidRPr="00AE25D3" w:rsidRDefault="00D75A97" w:rsidP="00A35800">
      <w:pPr>
        <w:rPr>
          <w:rFonts w:cstheme="minorHAnsi"/>
        </w:rPr>
      </w:pPr>
      <w:r w:rsidRPr="00AE25D3">
        <w:rPr>
          <w:rFonts w:cstheme="minorHAnsi"/>
        </w:rPr>
        <w:t>For further details</w:t>
      </w:r>
      <w:r w:rsidR="00A12AA3" w:rsidRPr="00AE25D3">
        <w:rPr>
          <w:rFonts w:cstheme="minorHAnsi"/>
        </w:rPr>
        <w:t>,</w:t>
      </w:r>
      <w:r w:rsidRPr="00AE25D3">
        <w:rPr>
          <w:rFonts w:cstheme="minorHAnsi"/>
        </w:rPr>
        <w:t xml:space="preserve"> refer to the </w:t>
      </w:r>
      <w:r w:rsidRPr="00EE2ED4">
        <w:rPr>
          <w:rFonts w:cstheme="minorHAnsi"/>
        </w:rPr>
        <w:t>Public Summary Document</w:t>
      </w:r>
      <w:r w:rsidRPr="00AE25D3">
        <w:rPr>
          <w:rFonts w:cstheme="minorHAnsi"/>
        </w:rPr>
        <w:t xml:space="preserve"> from the November 2015 PBAC meeting.</w:t>
      </w:r>
    </w:p>
    <w:p w:rsidR="00450900" w:rsidRPr="00AE25D3" w:rsidRDefault="00C06D29" w:rsidP="00A35800">
      <w:r w:rsidRPr="00AE25D3">
        <w:t xml:space="preserve">In its advice </w:t>
      </w:r>
      <w:r w:rsidR="002A1FA4" w:rsidRPr="00AE25D3">
        <w:t>for</w:t>
      </w:r>
      <w:r w:rsidRPr="00AE25D3">
        <w:t xml:space="preserve"> the November 2016 </w:t>
      </w:r>
      <w:r w:rsidR="00375DD2" w:rsidRPr="00AE25D3">
        <w:t>re-</w:t>
      </w:r>
      <w:r w:rsidR="002A1FA4" w:rsidRPr="00AE25D3">
        <w:t>submission</w:t>
      </w:r>
      <w:r w:rsidRPr="00AE25D3">
        <w:t xml:space="preserve">, the PBAC did not recommend the listing of </w:t>
      </w:r>
      <w:proofErr w:type="spellStart"/>
      <w:r w:rsidRPr="00AE25D3">
        <w:t>ibrutinib</w:t>
      </w:r>
      <w:proofErr w:type="spellEnd"/>
      <w:r w:rsidRPr="00AE25D3">
        <w:t xml:space="preserve"> for the treatment of relapsed or refractory CLL/SLL as the cost</w:t>
      </w:r>
      <w:r w:rsidR="00DF7E22" w:rsidRPr="00AE25D3">
        <w:t xml:space="preserve"> </w:t>
      </w:r>
      <w:r w:rsidRPr="00AE25D3">
        <w:t xml:space="preserve">effectiveness of the treatment remained unacceptably high and uncertain. The incremental benefit of </w:t>
      </w:r>
      <w:proofErr w:type="spellStart"/>
      <w:r w:rsidRPr="00AE25D3">
        <w:t>ibrutinib</w:t>
      </w:r>
      <w:proofErr w:type="spellEnd"/>
      <w:r w:rsidRPr="00AE25D3">
        <w:t xml:space="preserve"> over its comparator of </w:t>
      </w:r>
      <w:proofErr w:type="spellStart"/>
      <w:r w:rsidRPr="00AE25D3">
        <w:t>chlorambucil</w:t>
      </w:r>
      <w:proofErr w:type="spellEnd"/>
      <w:r w:rsidRPr="00AE25D3">
        <w:t xml:space="preserve"> plus rituximab remained uncertain as the extent of benefit was highly influenced by the </w:t>
      </w:r>
      <w:r w:rsidR="00C85D4C" w:rsidRPr="00AE25D3">
        <w:t>s</w:t>
      </w:r>
      <w:r w:rsidRPr="00AE25D3">
        <w:t>ponsor’s approach for extrapolating data, particularly the</w:t>
      </w:r>
      <w:r w:rsidR="00DF7E22" w:rsidRPr="00AE25D3">
        <w:t xml:space="preserve"> time</w:t>
      </w:r>
      <w:r w:rsidRPr="00AE25D3">
        <w:t xml:space="preserve"> period over which survival curves converged. </w:t>
      </w:r>
      <w:r w:rsidR="00DF7E22" w:rsidRPr="00AE25D3">
        <w:t xml:space="preserve">The PBAC noted that this uncertainty led to large differences in cost per QALY and the PBAC recommended a further </w:t>
      </w:r>
      <w:r w:rsidR="00DF7E22" w:rsidRPr="00AE25D3">
        <w:lastRenderedPageBreak/>
        <w:t xml:space="preserve">reduction in the overall expenditure caps to allow for greater confidence in the cost effectiveness of </w:t>
      </w:r>
      <w:proofErr w:type="spellStart"/>
      <w:r w:rsidR="00DF7E22" w:rsidRPr="00AE25D3">
        <w:t>ibrutinib</w:t>
      </w:r>
      <w:proofErr w:type="spellEnd"/>
      <w:r w:rsidR="00DF7E22" w:rsidRPr="00AE25D3">
        <w:t>.</w:t>
      </w:r>
    </w:p>
    <w:p w:rsidR="006C6A9A" w:rsidRPr="00AE25D3" w:rsidRDefault="006C6A9A" w:rsidP="00A35800">
      <w:r w:rsidRPr="00AE25D3">
        <w:t xml:space="preserve">The PBAC’s recommendation for listing was based on, among other matters, its assessment, that the cost-effectiveness of </w:t>
      </w:r>
      <w:proofErr w:type="spellStart"/>
      <w:r w:rsidRPr="00AE25D3">
        <w:t>ibrutinib</w:t>
      </w:r>
      <w:proofErr w:type="spellEnd"/>
      <w:r w:rsidRPr="00AE25D3">
        <w:t xml:space="preserve"> would be acceptable at the prices cited above and proposed in the sponsor’s submission dated 23 January 2017, and if the measures cited above and in the sponsors submission dated 23 January 2017 were implemented to contain risks associated with the cost of the drug to the PBS.</w:t>
      </w:r>
    </w:p>
    <w:p w:rsidR="00D94863" w:rsidRPr="00AE25D3" w:rsidRDefault="00D94863" w:rsidP="00D94863">
      <w:r w:rsidRPr="00AE25D3">
        <w:t>For further details</w:t>
      </w:r>
      <w:r w:rsidR="00A12AA3" w:rsidRPr="00AE25D3">
        <w:t>,</w:t>
      </w:r>
      <w:r w:rsidRPr="00AE25D3">
        <w:t xml:space="preserve"> refer to the </w:t>
      </w:r>
      <w:r w:rsidRPr="00EE2ED4">
        <w:t>Public Summary Document</w:t>
      </w:r>
      <w:r w:rsidR="006C6A9A" w:rsidRPr="00AE25D3">
        <w:t xml:space="preserve"> </w:t>
      </w:r>
      <w:r w:rsidRPr="00AE25D3">
        <w:t xml:space="preserve">from the </w:t>
      </w:r>
      <w:r w:rsidR="006C6A9A" w:rsidRPr="00AE25D3">
        <w:t>November 2016</w:t>
      </w:r>
      <w:r w:rsidRPr="00AE25D3">
        <w:t xml:space="preserve"> PBAC meeting.</w:t>
      </w:r>
    </w:p>
    <w:p w:rsidR="000F2F51" w:rsidRPr="00AE25D3" w:rsidRDefault="00ED633B" w:rsidP="00CF5E22">
      <w:pPr>
        <w:pStyle w:val="Heading2"/>
      </w:pPr>
      <w:r w:rsidRPr="00AE25D3">
        <w:t>A</w:t>
      </w:r>
      <w:r w:rsidR="000F2F51" w:rsidRPr="00AE25D3">
        <w:t xml:space="preserve">pproach </w:t>
      </w:r>
      <w:r w:rsidRPr="00AE25D3">
        <w:t xml:space="preserve">taken to </w:t>
      </w:r>
      <w:r w:rsidR="000F2F51" w:rsidRPr="00AE25D3">
        <w:t>estimat</w:t>
      </w:r>
      <w:r w:rsidRPr="00AE25D3">
        <w:t>e</w:t>
      </w:r>
      <w:r w:rsidR="000F2F51" w:rsidRPr="00AE25D3">
        <w:t xml:space="preserve"> utilisation</w:t>
      </w:r>
    </w:p>
    <w:p w:rsidR="0003230D" w:rsidRPr="00AE25D3" w:rsidRDefault="0003230D" w:rsidP="0003230D">
      <w:r w:rsidRPr="00AE25D3">
        <w:t xml:space="preserve">An epidemiological, incidence-based approach was used to estimate the expected utilisation and financial impact of listing </w:t>
      </w:r>
      <w:proofErr w:type="spellStart"/>
      <w:r w:rsidRPr="00AE25D3">
        <w:t>ibrutinib</w:t>
      </w:r>
      <w:proofErr w:type="spellEnd"/>
      <w:r w:rsidRPr="00AE25D3">
        <w:t xml:space="preserve"> on the PBS. </w:t>
      </w:r>
    </w:p>
    <w:p w:rsidR="0003230D" w:rsidRPr="00AE25D3" w:rsidRDefault="0003230D" w:rsidP="0003230D">
      <w:r w:rsidRPr="00AE25D3">
        <w:t>The incidence of CLL and SLL was sourced from the AIHW Australian Cancer Incidence and Mortality (ACIM) books. The incidence rates were applied to the projected general Australian population to estimate the number of incident CLL and SLL patients.</w:t>
      </w:r>
    </w:p>
    <w:p w:rsidR="0003230D" w:rsidRPr="00AE25D3" w:rsidRDefault="0003230D" w:rsidP="0003230D">
      <w:r w:rsidRPr="00AE25D3">
        <w:t xml:space="preserve">An initial pool of prevalent patients was expected to access </w:t>
      </w:r>
      <w:proofErr w:type="spellStart"/>
      <w:r w:rsidRPr="00AE25D3">
        <w:t>ibrutinib</w:t>
      </w:r>
      <w:proofErr w:type="spellEnd"/>
      <w:r w:rsidRPr="00AE25D3">
        <w:t xml:space="preserve">. </w:t>
      </w:r>
      <w:r w:rsidR="001974A8" w:rsidRPr="00AE25D3">
        <w:t xml:space="preserve">This was estimated based on a 10 </w:t>
      </w:r>
      <w:r w:rsidRPr="00AE25D3">
        <w:t>year look back of incident patients and applying survival probabilities for CLL and SLL to each initiating year cohort based on AIHW relative survival data. Patients were assumed to be aged 70 years at diagnosis.</w:t>
      </w:r>
    </w:p>
    <w:p w:rsidR="0003230D" w:rsidRPr="00AE25D3" w:rsidRDefault="0003230D" w:rsidP="0003230D">
      <w:r w:rsidRPr="00AE25D3">
        <w:t>The time from first diagnosis to treatment was assumed to be two years. This lag in treatment uptake was applied to the estimates.</w:t>
      </w:r>
    </w:p>
    <w:p w:rsidR="0003230D" w:rsidRPr="00AE25D3" w:rsidRDefault="0003230D" w:rsidP="0003230D">
      <w:r w:rsidRPr="00AE25D3">
        <w:t xml:space="preserve">Based on a clinician survey, it was assumed that </w:t>
      </w:r>
      <w:r w:rsidR="00EE2ED4">
        <w:rPr>
          <w:noProof/>
          <w:color w:val="000000"/>
          <w:highlight w:val="black"/>
        </w:rPr>
        <w:t>'''''' ''''''''''''''''</w:t>
      </w:r>
      <w:r w:rsidRPr="00AE25D3">
        <w:t xml:space="preserve"> of patients would commence treatment for CLL/SLL, and of these, </w:t>
      </w:r>
      <w:r w:rsidR="00EE2ED4">
        <w:rPr>
          <w:noProof/>
          <w:color w:val="000000"/>
          <w:highlight w:val="black"/>
        </w:rPr>
        <w:t>'''''' '''''''''''''''</w:t>
      </w:r>
      <w:r w:rsidRPr="00AE25D3">
        <w:t xml:space="preserve"> would be eligible for </w:t>
      </w:r>
      <w:proofErr w:type="spellStart"/>
      <w:r w:rsidRPr="00AE25D3">
        <w:t>ibrutinib</w:t>
      </w:r>
      <w:proofErr w:type="spellEnd"/>
      <w:r w:rsidRPr="00AE25D3">
        <w:t xml:space="preserve">. The uptake of </w:t>
      </w:r>
      <w:proofErr w:type="spellStart"/>
      <w:r w:rsidRPr="00AE25D3">
        <w:t>ibrutinib</w:t>
      </w:r>
      <w:proofErr w:type="spellEnd"/>
      <w:r w:rsidRPr="00AE25D3">
        <w:t xml:space="preserve"> was assumed to be </w:t>
      </w:r>
      <w:r w:rsidR="00EE2ED4">
        <w:rPr>
          <w:noProof/>
          <w:color w:val="000000"/>
          <w:highlight w:val="black"/>
        </w:rPr>
        <w:t>''''' ''''''''''''''''</w:t>
      </w:r>
      <w:r w:rsidRPr="00AE25D3">
        <w:t>.</w:t>
      </w:r>
    </w:p>
    <w:p w:rsidR="009F40B9" w:rsidRPr="00AE25D3" w:rsidRDefault="0003230D" w:rsidP="0003230D">
      <w:r w:rsidRPr="00AE25D3">
        <w:t xml:space="preserve">The mean treatment duration was estimated to be </w:t>
      </w:r>
      <w:r w:rsidR="00EE2ED4">
        <w:rPr>
          <w:noProof/>
          <w:color w:val="000000"/>
          <w:highlight w:val="black"/>
        </w:rPr>
        <w:t>'''''''''</w:t>
      </w:r>
      <w:r w:rsidRPr="00AE25D3">
        <w:t xml:space="preserve"> months based on the RESONATE trial. Compliance to </w:t>
      </w:r>
      <w:proofErr w:type="spellStart"/>
      <w:r w:rsidRPr="00AE25D3">
        <w:t>ibrutinib</w:t>
      </w:r>
      <w:proofErr w:type="spellEnd"/>
      <w:r w:rsidRPr="00AE25D3">
        <w:t xml:space="preserve"> was assumed to be </w:t>
      </w:r>
      <w:r w:rsidR="00EE2ED4">
        <w:rPr>
          <w:noProof/>
          <w:color w:val="000000"/>
          <w:highlight w:val="black"/>
        </w:rPr>
        <w:t>''''''''</w:t>
      </w:r>
      <w:r w:rsidRPr="00AE25D3">
        <w:t xml:space="preserve"> percent based on the dose intensity administered in the RESONATE trial, with </w:t>
      </w:r>
      <w:r w:rsidR="00EE2ED4">
        <w:rPr>
          <w:noProof/>
          <w:color w:val="000000"/>
          <w:highlight w:val="black"/>
        </w:rPr>
        <w:t>'''''''' ''''''''''</w:t>
      </w:r>
      <w:r w:rsidRPr="00AE25D3">
        <w:t xml:space="preserve"> supplied in the first year of therapy and </w:t>
      </w:r>
      <w:r w:rsidR="00EE2ED4">
        <w:rPr>
          <w:noProof/>
          <w:color w:val="000000"/>
          <w:highlight w:val="black"/>
        </w:rPr>
        <w:t>''''''' ''''''''''''</w:t>
      </w:r>
      <w:r w:rsidRPr="00AE25D3">
        <w:t xml:space="preserve"> in the subsequent year.</w:t>
      </w:r>
    </w:p>
    <w:p w:rsidR="00E677DD" w:rsidRPr="00AE25D3" w:rsidRDefault="00E677DD" w:rsidP="00CF5E22">
      <w:pPr>
        <w:pStyle w:val="Heading1"/>
      </w:pPr>
      <w:r w:rsidRPr="00AE25D3">
        <w:t>Method</w:t>
      </w:r>
      <w:r w:rsidR="001B5D37" w:rsidRPr="00AE25D3">
        <w:t>s</w:t>
      </w:r>
    </w:p>
    <w:p w:rsidR="007E4A67" w:rsidRPr="00AE25D3" w:rsidRDefault="007E4A67" w:rsidP="00837C42">
      <w:pPr>
        <w:ind w:right="-257"/>
      </w:pPr>
      <w:r w:rsidRPr="00AE25D3">
        <w:t xml:space="preserve">Data from </w:t>
      </w:r>
      <w:r w:rsidR="003D187D" w:rsidRPr="00AE25D3">
        <w:t>1 December 2017 to 30 June 2020</w:t>
      </w:r>
      <w:r w:rsidR="00610E5F" w:rsidRPr="00AE25D3">
        <w:t xml:space="preserve"> </w:t>
      </w:r>
      <w:r w:rsidRPr="00AE25D3">
        <w:t>w</w:t>
      </w:r>
      <w:r w:rsidR="001706EE" w:rsidRPr="00AE25D3">
        <w:t xml:space="preserve">ere extracted from the PBS data </w:t>
      </w:r>
      <w:r w:rsidRPr="00AE25D3">
        <w:t>maintained by Department of Health, processed by S</w:t>
      </w:r>
      <w:r w:rsidR="00610E5F" w:rsidRPr="00AE25D3">
        <w:t xml:space="preserve">ervices Australia on or before </w:t>
      </w:r>
      <w:r w:rsidR="003D187D" w:rsidRPr="00AE25D3">
        <w:t>10</w:t>
      </w:r>
      <w:r w:rsidR="001706EE" w:rsidRPr="00AE25D3">
        <w:t xml:space="preserve"> August 2020 </w:t>
      </w:r>
      <w:r w:rsidR="0059687F" w:rsidRPr="00AE25D3">
        <w:t>for the PBS item code 11213E which corresponds to the treatment of refractory or relapsed CLL/SLL.</w:t>
      </w:r>
    </w:p>
    <w:p w:rsidR="00C34F38" w:rsidRPr="00AE25D3" w:rsidRDefault="00C34F38" w:rsidP="00837C42">
      <w:pPr>
        <w:ind w:right="-115"/>
      </w:pPr>
      <w:r w:rsidRPr="00AE25D3">
        <w:t>PBS prescription data were used to determine the number of prescriptions supplied and the PBS expenditure. These data were also used to count the number of patients, both incident (new to treatment) and prevalent (number treated in each time period, i.e. year or quarter).</w:t>
      </w:r>
    </w:p>
    <w:p w:rsidR="003D187D" w:rsidRPr="00AE25D3" w:rsidRDefault="003D187D" w:rsidP="00515FF6">
      <w:r w:rsidRPr="00AE25D3">
        <w:lastRenderedPageBreak/>
        <w:t>PBS prescription data also contains age and ge</w:t>
      </w:r>
      <w:r w:rsidR="002B7194" w:rsidRPr="00AE25D3">
        <w:t>nder information. This information was used to perform a breakdown of incident patients by age and gender from</w:t>
      </w:r>
      <w:r w:rsidR="00062325" w:rsidRPr="00AE25D3">
        <w:t xml:space="preserve"> date of</w:t>
      </w:r>
      <w:r w:rsidR="002B7194" w:rsidRPr="00AE25D3">
        <w:t xml:space="preserve"> 1 December 2017 until 30 June 2020. </w:t>
      </w:r>
    </w:p>
    <w:p w:rsidR="00515FF6" w:rsidRPr="00AE25D3" w:rsidRDefault="00515FF6" w:rsidP="00515FF6">
      <w:r w:rsidRPr="00AE25D3">
        <w:t xml:space="preserve">The Kaplan Meier method was used to determine the length of treatment for patients on </w:t>
      </w:r>
      <w:proofErr w:type="spellStart"/>
      <w:r w:rsidRPr="00AE25D3">
        <w:t>ibrutinib</w:t>
      </w:r>
      <w:proofErr w:type="spellEnd"/>
      <w:r w:rsidRPr="00AE25D3">
        <w:t>. A break in treatment was defined as a</w:t>
      </w:r>
      <w:r w:rsidR="00A12AA3" w:rsidRPr="00AE25D3">
        <w:t xml:space="preserve"> gap of more than three</w:t>
      </w:r>
      <w:r w:rsidRPr="00AE25D3">
        <w:t xml:space="preserve"> times the median time between supplies. A patient was deemed to be continuing treatment (classified as censored in the Kaplan Meier analysis) at the end of the data period (i.e. the end of June 20</w:t>
      </w:r>
      <w:r w:rsidR="003D187D" w:rsidRPr="00AE25D3">
        <w:t>20</w:t>
      </w:r>
      <w:r w:rsidRPr="00AE25D3">
        <w:t>) if their last prescription was withi</w:t>
      </w:r>
      <w:r w:rsidR="00A12AA3" w:rsidRPr="00AE25D3">
        <w:t>n three</w:t>
      </w:r>
      <w:r w:rsidRPr="00AE25D3">
        <w:t xml:space="preserve"> times the median time to resupply of this end date. Otherwise the patient was deemed to have ceased treatment with the treatment coverage end date being the supply date of their last prescription plus a median time to resupply. If a patient’s supply wa</w:t>
      </w:r>
      <w:r w:rsidR="00A12AA3" w:rsidRPr="00AE25D3">
        <w:t>s after a gap of more than three</w:t>
      </w:r>
      <w:r w:rsidRPr="00AE25D3">
        <w:t xml:space="preserve"> times the median time to resupply, then the patient was deemed to have been re-treated. </w:t>
      </w:r>
    </w:p>
    <w:p w:rsidR="002B7194" w:rsidRPr="00AE25D3" w:rsidRDefault="002B7194" w:rsidP="00837C42">
      <w:pPr>
        <w:ind w:right="-257"/>
      </w:pPr>
      <w:r w:rsidRPr="00AE25D3">
        <w:t xml:space="preserve">The PBS restriction for </w:t>
      </w:r>
      <w:proofErr w:type="spellStart"/>
      <w:r w:rsidRPr="00AE25D3">
        <w:t>ibrutinib</w:t>
      </w:r>
      <w:proofErr w:type="spellEnd"/>
      <w:r w:rsidRPr="00AE25D3">
        <w:t xml:space="preserve"> states that it is to be used for relapsed or refractory CLL/SLL and not as first line therapy. To determine if patients were accessing </w:t>
      </w:r>
      <w:proofErr w:type="spellStart"/>
      <w:r w:rsidRPr="00AE25D3">
        <w:t>ibrutinib</w:t>
      </w:r>
      <w:proofErr w:type="spellEnd"/>
      <w:r w:rsidRPr="00AE25D3">
        <w:t xml:space="preserve"> in the first line setting</w:t>
      </w:r>
      <w:r w:rsidR="00717C4F" w:rsidRPr="00AE25D3">
        <w:t>,</w:t>
      </w:r>
      <w:r w:rsidRPr="00AE25D3">
        <w:t xml:space="preserve"> </w:t>
      </w:r>
      <w:r w:rsidR="00F07711" w:rsidRPr="00AE25D3">
        <w:t xml:space="preserve">a list of possible alternate treatments was collated using </w:t>
      </w:r>
      <w:proofErr w:type="spellStart"/>
      <w:r w:rsidR="00F07711" w:rsidRPr="00AE25D3">
        <w:t>eviQ</w:t>
      </w:r>
      <w:proofErr w:type="spellEnd"/>
      <w:r w:rsidR="00F07711" w:rsidRPr="00AE25D3">
        <w:t xml:space="preserve"> and included rituximab, </w:t>
      </w:r>
      <w:proofErr w:type="spellStart"/>
      <w:r w:rsidR="00F07711" w:rsidRPr="00AE25D3">
        <w:t>fludarabine</w:t>
      </w:r>
      <w:proofErr w:type="spellEnd"/>
      <w:r w:rsidR="00F07711" w:rsidRPr="00AE25D3">
        <w:t xml:space="preserve">, cyclophosphamide, </w:t>
      </w:r>
      <w:proofErr w:type="spellStart"/>
      <w:r w:rsidR="00F07711" w:rsidRPr="00AE25D3">
        <w:t>idelalisib</w:t>
      </w:r>
      <w:proofErr w:type="spellEnd"/>
      <w:r w:rsidR="00F07711" w:rsidRPr="00AE25D3">
        <w:t xml:space="preserve">, </w:t>
      </w:r>
      <w:proofErr w:type="spellStart"/>
      <w:r w:rsidR="00F07711" w:rsidRPr="00AE25D3">
        <w:t>venetoclax</w:t>
      </w:r>
      <w:proofErr w:type="spellEnd"/>
      <w:r w:rsidR="00F07711" w:rsidRPr="00AE25D3">
        <w:t xml:space="preserve">, </w:t>
      </w:r>
      <w:proofErr w:type="spellStart"/>
      <w:r w:rsidR="00F07711" w:rsidRPr="00AE25D3">
        <w:t>mitozantrone</w:t>
      </w:r>
      <w:proofErr w:type="spellEnd"/>
      <w:r w:rsidR="00F07711" w:rsidRPr="00AE25D3">
        <w:t xml:space="preserve">, </w:t>
      </w:r>
      <w:proofErr w:type="spellStart"/>
      <w:r w:rsidR="00F07711" w:rsidRPr="00AE25D3">
        <w:t>ofatumumab</w:t>
      </w:r>
      <w:proofErr w:type="spellEnd"/>
      <w:r w:rsidR="00F07711" w:rsidRPr="00AE25D3">
        <w:t xml:space="preserve">, </w:t>
      </w:r>
      <w:proofErr w:type="spellStart"/>
      <w:r w:rsidR="00F07711" w:rsidRPr="00AE25D3">
        <w:t>chlorambucil</w:t>
      </w:r>
      <w:proofErr w:type="spellEnd"/>
      <w:r w:rsidR="00F07711" w:rsidRPr="00AE25D3">
        <w:t xml:space="preserve"> and </w:t>
      </w:r>
      <w:proofErr w:type="spellStart"/>
      <w:r w:rsidR="00F07711" w:rsidRPr="00AE25D3">
        <w:t>obinutuzumab</w:t>
      </w:r>
      <w:proofErr w:type="spellEnd"/>
      <w:r w:rsidR="00F07711" w:rsidRPr="00AE25D3">
        <w:t xml:space="preserve">. Patients initiating onto </w:t>
      </w:r>
      <w:proofErr w:type="spellStart"/>
      <w:r w:rsidR="00F07711" w:rsidRPr="00AE25D3">
        <w:t>ibrutinib</w:t>
      </w:r>
      <w:proofErr w:type="spellEnd"/>
      <w:r w:rsidR="00F07711" w:rsidRPr="00AE25D3">
        <w:t xml:space="preserve"> were then also assess</w:t>
      </w:r>
      <w:r w:rsidR="00717C4F" w:rsidRPr="00AE25D3">
        <w:t>ed</w:t>
      </w:r>
      <w:r w:rsidR="00F07711" w:rsidRPr="00AE25D3">
        <w:t xml:space="preserve"> for prior use of these medications since 1 January 2006 until 30 June 2020. A time between therapies was also established by comparing the difference between </w:t>
      </w:r>
      <w:r w:rsidR="006F3B2B" w:rsidRPr="00AE25D3">
        <w:t xml:space="preserve">the starting date of </w:t>
      </w:r>
      <w:proofErr w:type="spellStart"/>
      <w:r w:rsidR="006F3B2B" w:rsidRPr="00AE25D3">
        <w:t>ibrutinib</w:t>
      </w:r>
      <w:proofErr w:type="spellEnd"/>
      <w:r w:rsidR="006F3B2B" w:rsidRPr="00AE25D3">
        <w:t xml:space="preserve"> therapy and the last dispensing date of their prior episode of treatment. </w:t>
      </w:r>
    </w:p>
    <w:p w:rsidR="002B7194" w:rsidRPr="00AE25D3" w:rsidRDefault="002B7194" w:rsidP="00837C42">
      <w:pPr>
        <w:ind w:right="-257"/>
      </w:pPr>
      <w:r w:rsidRPr="00AE25D3">
        <w:t xml:space="preserve">The PBS restriction for </w:t>
      </w:r>
      <w:proofErr w:type="spellStart"/>
      <w:r w:rsidRPr="00AE25D3">
        <w:t>ibrutinib</w:t>
      </w:r>
      <w:proofErr w:type="spellEnd"/>
      <w:r w:rsidRPr="00AE25D3">
        <w:t xml:space="preserve"> in relapsed or refractory </w:t>
      </w:r>
      <w:proofErr w:type="spellStart"/>
      <w:r w:rsidRPr="00AE25D3">
        <w:t>ibrutinib</w:t>
      </w:r>
      <w:proofErr w:type="spellEnd"/>
      <w:r w:rsidRPr="00AE25D3">
        <w:t xml:space="preserve"> states that a “Patient must be considered unsuitable for treatment or retreatment with a purine analogue”. </w:t>
      </w:r>
      <w:proofErr w:type="spellStart"/>
      <w:r w:rsidRPr="00AE25D3">
        <w:t>Fludarabine</w:t>
      </w:r>
      <w:proofErr w:type="spellEnd"/>
      <w:r w:rsidRPr="00AE25D3">
        <w:t xml:space="preserve"> is the purine analogue of choice in CLL/SLL therapy and patients initiating on to </w:t>
      </w:r>
      <w:proofErr w:type="spellStart"/>
      <w:r w:rsidRPr="00AE25D3">
        <w:t>ibrutinib</w:t>
      </w:r>
      <w:proofErr w:type="spellEnd"/>
      <w:r w:rsidRPr="00AE25D3">
        <w:t xml:space="preserve"> were also assessed for their prior use of </w:t>
      </w:r>
      <w:proofErr w:type="spellStart"/>
      <w:r w:rsidRPr="00AE25D3">
        <w:t>fludarabine</w:t>
      </w:r>
      <w:proofErr w:type="spellEnd"/>
      <w:r w:rsidRPr="00AE25D3">
        <w:t xml:space="preserve"> since 1 January 2006 until 30</w:t>
      </w:r>
      <w:r w:rsidR="001B3AFE" w:rsidRPr="00AE25D3">
        <w:rPr>
          <w:vertAlign w:val="superscript"/>
        </w:rPr>
        <w:t xml:space="preserve"> </w:t>
      </w:r>
      <w:r w:rsidRPr="00AE25D3">
        <w:t xml:space="preserve">June 2020. </w:t>
      </w:r>
    </w:p>
    <w:p w:rsidR="00E82DAB" w:rsidRPr="00AE25D3" w:rsidRDefault="00E47A91" w:rsidP="00837C42">
      <w:pPr>
        <w:ind w:right="-257"/>
      </w:pPr>
      <w:r w:rsidRPr="00AE25D3">
        <w:t xml:space="preserve">A sequence analysis was also done on patients who had started treatment on </w:t>
      </w:r>
      <w:proofErr w:type="spellStart"/>
      <w:r w:rsidRPr="00AE25D3">
        <w:t>ibrutinib</w:t>
      </w:r>
      <w:proofErr w:type="spellEnd"/>
      <w:r w:rsidRPr="00AE25D3">
        <w:t xml:space="preserve"> since December 2017. This analysis involved observing the sequence of dispensing of the common medications used in the treatment of CLL/SLL as listed previously in those incident patients. </w:t>
      </w:r>
    </w:p>
    <w:p w:rsidR="00062325" w:rsidRDefault="003B20F2" w:rsidP="00062325">
      <w:r w:rsidRPr="00AE25D3">
        <w:t>The estimates model used to present the estimated cost to the PBS/RPBS was a model that was agreed upon by both the Department of Health and the Sponsor.</w:t>
      </w:r>
      <w:r w:rsidR="00062325" w:rsidRPr="00AE25D3">
        <w:t xml:space="preserve"> Refer to the ‘Approach to estimate utilisation’ section for further details on the development of the financial estimates. </w:t>
      </w:r>
    </w:p>
    <w:p w:rsidR="00B20BCA" w:rsidRDefault="00B20BCA">
      <w:pPr>
        <w:spacing w:line="276" w:lineRule="auto"/>
      </w:pPr>
      <w:r>
        <w:br w:type="page"/>
      </w:r>
    </w:p>
    <w:p w:rsidR="00B20BCA" w:rsidRPr="00AE25D3" w:rsidRDefault="00B20BCA" w:rsidP="00062325"/>
    <w:p w:rsidR="00C714D0" w:rsidRPr="00AE25D3" w:rsidRDefault="00C714D0" w:rsidP="00B20BCA">
      <w:pPr>
        <w:pStyle w:val="Heading1"/>
        <w:spacing w:before="0"/>
      </w:pPr>
      <w:r w:rsidRPr="00AE25D3">
        <w:t>Results</w:t>
      </w:r>
    </w:p>
    <w:p w:rsidR="00736041" w:rsidRPr="00AE25D3" w:rsidRDefault="001B5D37" w:rsidP="00CF5E22">
      <w:pPr>
        <w:pStyle w:val="Heading2"/>
      </w:pPr>
      <w:r w:rsidRPr="00AE25D3">
        <w:t xml:space="preserve">Analysis </w:t>
      </w:r>
      <w:r w:rsidR="00736041" w:rsidRPr="00AE25D3">
        <w:t xml:space="preserve">of </w:t>
      </w:r>
      <w:r w:rsidR="0063631C" w:rsidRPr="00AE25D3">
        <w:t>d</w:t>
      </w:r>
      <w:r w:rsidR="00E677DD" w:rsidRPr="00AE25D3">
        <w:t xml:space="preserve">rug </w:t>
      </w:r>
      <w:r w:rsidR="0063631C" w:rsidRPr="00AE25D3">
        <w:t>u</w:t>
      </w:r>
      <w:r w:rsidR="00E677DD" w:rsidRPr="00AE25D3">
        <w:t>tilisation</w:t>
      </w:r>
    </w:p>
    <w:p w:rsidR="006A44F5" w:rsidRPr="00AE25D3" w:rsidRDefault="00736041" w:rsidP="00CF5E22">
      <w:pPr>
        <w:pStyle w:val="Heading3"/>
      </w:pPr>
      <w:r w:rsidRPr="00AE25D3">
        <w:t>Overall utilisation</w:t>
      </w:r>
    </w:p>
    <w:p w:rsidR="00FD5F96" w:rsidRPr="00AE25D3" w:rsidRDefault="00FD5F96" w:rsidP="00FD5F96">
      <w:pPr>
        <w:pStyle w:val="Tabletitle"/>
      </w:pPr>
      <w:r w:rsidRPr="00AE25D3">
        <w:t xml:space="preserve">Table 2: Summary of overall utilisation of </w:t>
      </w:r>
      <w:proofErr w:type="spellStart"/>
      <w:r w:rsidRPr="00AE25D3">
        <w:t>ibrutinib</w:t>
      </w:r>
      <w:proofErr w:type="spellEnd"/>
      <w:r w:rsidRPr="00AE25D3">
        <w:t xml:space="preserve"> since listing on the PBS on 1 December 2017 for relapsed or refractory CLL/SLL. </w:t>
      </w:r>
    </w:p>
    <w:tbl>
      <w:tblPr>
        <w:tblStyle w:val="TableGrid"/>
        <w:tblW w:w="7197" w:type="dxa"/>
        <w:tblLook w:val="04A0" w:firstRow="1" w:lastRow="0" w:firstColumn="1" w:lastColumn="0" w:noHBand="0" w:noVBand="1"/>
        <w:tblCaption w:val="Table 2: Summary of overall utilisation of ibrutinib since listing on the PBS on 1 December 2017 for relapsed or refractory CLL/SLL. "/>
      </w:tblPr>
      <w:tblGrid>
        <w:gridCol w:w="1672"/>
        <w:gridCol w:w="1767"/>
        <w:gridCol w:w="1672"/>
        <w:gridCol w:w="2086"/>
      </w:tblGrid>
      <w:tr w:rsidR="005747B3" w:rsidRPr="00AE25D3" w:rsidTr="00EE2ED4">
        <w:trPr>
          <w:trHeight w:val="327"/>
          <w:tblHeader/>
        </w:trPr>
        <w:tc>
          <w:tcPr>
            <w:tcW w:w="1672" w:type="dxa"/>
            <w:shd w:val="clear" w:color="auto" w:fill="BFBFBF" w:themeFill="background1" w:themeFillShade="BF"/>
            <w:noWrap/>
            <w:hideMark/>
          </w:tcPr>
          <w:p w:rsidR="005747B3" w:rsidRPr="00AE25D3" w:rsidRDefault="005747B3" w:rsidP="005747B3">
            <w:pPr>
              <w:jc w:val="center"/>
              <w:rPr>
                <w:rFonts w:ascii="Calibri" w:eastAsia="Times New Roman" w:hAnsi="Calibri" w:cs="Calibri"/>
                <w:b/>
                <w:sz w:val="20"/>
                <w:szCs w:val="20"/>
              </w:rPr>
            </w:pPr>
            <w:r w:rsidRPr="00AE25D3">
              <w:rPr>
                <w:rFonts w:ascii="Calibri" w:eastAsia="Times New Roman" w:hAnsi="Calibri" w:cs="Calibri"/>
                <w:b/>
                <w:sz w:val="20"/>
                <w:szCs w:val="20"/>
              </w:rPr>
              <w:t>Year</w:t>
            </w:r>
          </w:p>
        </w:tc>
        <w:tc>
          <w:tcPr>
            <w:tcW w:w="1767" w:type="dxa"/>
            <w:shd w:val="clear" w:color="auto" w:fill="BFBFBF" w:themeFill="background1" w:themeFillShade="BF"/>
            <w:noWrap/>
            <w:hideMark/>
          </w:tcPr>
          <w:p w:rsidR="005747B3" w:rsidRPr="00AE25D3" w:rsidRDefault="005747B3" w:rsidP="005747B3">
            <w:pPr>
              <w:jc w:val="center"/>
              <w:rPr>
                <w:rFonts w:ascii="Calibri" w:eastAsia="Times New Roman" w:hAnsi="Calibri" w:cs="Calibri"/>
                <w:b/>
                <w:sz w:val="20"/>
                <w:szCs w:val="20"/>
              </w:rPr>
            </w:pPr>
            <w:r w:rsidRPr="00AE25D3">
              <w:rPr>
                <w:rFonts w:ascii="Calibri" w:eastAsia="Times New Roman" w:hAnsi="Calibri" w:cs="Calibri"/>
                <w:b/>
                <w:sz w:val="20"/>
                <w:szCs w:val="20"/>
              </w:rPr>
              <w:t>Prevalent Patients</w:t>
            </w:r>
          </w:p>
        </w:tc>
        <w:tc>
          <w:tcPr>
            <w:tcW w:w="1672" w:type="dxa"/>
            <w:shd w:val="clear" w:color="auto" w:fill="BFBFBF" w:themeFill="background1" w:themeFillShade="BF"/>
            <w:noWrap/>
            <w:hideMark/>
          </w:tcPr>
          <w:p w:rsidR="005747B3" w:rsidRPr="00AE25D3" w:rsidRDefault="005747B3" w:rsidP="005747B3">
            <w:pPr>
              <w:jc w:val="center"/>
              <w:rPr>
                <w:rFonts w:ascii="Calibri" w:eastAsia="Times New Roman" w:hAnsi="Calibri" w:cs="Calibri"/>
                <w:b/>
                <w:sz w:val="20"/>
                <w:szCs w:val="20"/>
              </w:rPr>
            </w:pPr>
            <w:r w:rsidRPr="00AE25D3">
              <w:rPr>
                <w:rFonts w:ascii="Calibri" w:eastAsia="Times New Roman" w:hAnsi="Calibri" w:cs="Calibri"/>
                <w:b/>
                <w:sz w:val="20"/>
                <w:szCs w:val="20"/>
              </w:rPr>
              <w:t>Incident Patients</w:t>
            </w:r>
          </w:p>
        </w:tc>
        <w:tc>
          <w:tcPr>
            <w:tcW w:w="2086" w:type="dxa"/>
            <w:shd w:val="clear" w:color="auto" w:fill="BFBFBF" w:themeFill="background1" w:themeFillShade="BF"/>
            <w:noWrap/>
            <w:hideMark/>
          </w:tcPr>
          <w:p w:rsidR="005747B3" w:rsidRPr="00AE25D3" w:rsidRDefault="005747B3" w:rsidP="005747B3">
            <w:pPr>
              <w:jc w:val="center"/>
              <w:rPr>
                <w:rFonts w:ascii="Calibri" w:eastAsia="Times New Roman" w:hAnsi="Calibri" w:cs="Calibri"/>
                <w:b/>
                <w:sz w:val="20"/>
                <w:szCs w:val="20"/>
              </w:rPr>
            </w:pPr>
            <w:proofErr w:type="spellStart"/>
            <w:r w:rsidRPr="00AE25D3">
              <w:rPr>
                <w:rFonts w:ascii="Calibri" w:eastAsia="Times New Roman" w:hAnsi="Calibri" w:cs="Calibri"/>
                <w:b/>
                <w:sz w:val="20"/>
                <w:szCs w:val="20"/>
              </w:rPr>
              <w:t>Dispensings</w:t>
            </w:r>
            <w:proofErr w:type="spellEnd"/>
          </w:p>
        </w:tc>
      </w:tr>
      <w:tr w:rsidR="005747B3" w:rsidRPr="00AE25D3" w:rsidTr="001974A8">
        <w:trPr>
          <w:trHeight w:val="215"/>
        </w:trPr>
        <w:tc>
          <w:tcPr>
            <w:tcW w:w="1672" w:type="dxa"/>
            <w:noWrap/>
            <w:hideMark/>
          </w:tcPr>
          <w:p w:rsidR="005747B3" w:rsidRPr="00AE25D3" w:rsidRDefault="005747B3" w:rsidP="005747B3">
            <w:pPr>
              <w:jc w:val="center"/>
              <w:rPr>
                <w:rFonts w:ascii="Calibri" w:eastAsia="Times New Roman" w:hAnsi="Calibri" w:cs="Calibri"/>
                <w:sz w:val="20"/>
                <w:szCs w:val="20"/>
              </w:rPr>
            </w:pPr>
            <w:r w:rsidRPr="00AE25D3">
              <w:rPr>
                <w:rFonts w:ascii="Calibri" w:eastAsia="Times New Roman" w:hAnsi="Calibri" w:cs="Calibri"/>
                <w:sz w:val="20"/>
                <w:szCs w:val="20"/>
              </w:rPr>
              <w:t>2017</w:t>
            </w:r>
            <w:r w:rsidRPr="00AE25D3">
              <w:rPr>
                <w:rFonts w:ascii="Calibri" w:eastAsia="Times New Roman" w:hAnsi="Calibri" w:cs="Calibri"/>
                <w:sz w:val="20"/>
                <w:szCs w:val="20"/>
                <w:vertAlign w:val="superscript"/>
              </w:rPr>
              <w:t>a</w:t>
            </w:r>
          </w:p>
        </w:tc>
        <w:tc>
          <w:tcPr>
            <w:tcW w:w="1767" w:type="dxa"/>
            <w:noWrap/>
            <w:hideMark/>
          </w:tcPr>
          <w:p w:rsidR="005747B3" w:rsidRPr="00AE25D3" w:rsidRDefault="005747B3" w:rsidP="005747B3">
            <w:pPr>
              <w:jc w:val="center"/>
              <w:rPr>
                <w:rFonts w:ascii="Calibri" w:eastAsia="Times New Roman" w:hAnsi="Calibri" w:cs="Calibri"/>
                <w:sz w:val="20"/>
                <w:szCs w:val="20"/>
              </w:rPr>
            </w:pPr>
            <w:r w:rsidRPr="00AE25D3">
              <w:rPr>
                <w:rFonts w:ascii="Calibri" w:eastAsia="Times New Roman" w:hAnsi="Calibri" w:cs="Calibri"/>
                <w:sz w:val="20"/>
                <w:szCs w:val="20"/>
              </w:rPr>
              <w:t>591</w:t>
            </w:r>
          </w:p>
        </w:tc>
        <w:tc>
          <w:tcPr>
            <w:tcW w:w="1672" w:type="dxa"/>
            <w:noWrap/>
            <w:hideMark/>
          </w:tcPr>
          <w:p w:rsidR="005747B3" w:rsidRPr="00AE25D3" w:rsidRDefault="005747B3" w:rsidP="005747B3">
            <w:pPr>
              <w:jc w:val="center"/>
              <w:rPr>
                <w:rFonts w:ascii="Calibri" w:eastAsia="Times New Roman" w:hAnsi="Calibri" w:cs="Calibri"/>
                <w:sz w:val="20"/>
                <w:szCs w:val="20"/>
              </w:rPr>
            </w:pPr>
            <w:r w:rsidRPr="00AE25D3">
              <w:rPr>
                <w:rFonts w:ascii="Calibri" w:eastAsia="Times New Roman" w:hAnsi="Calibri" w:cs="Calibri"/>
                <w:sz w:val="20"/>
                <w:szCs w:val="20"/>
              </w:rPr>
              <w:t>591</w:t>
            </w:r>
          </w:p>
        </w:tc>
        <w:tc>
          <w:tcPr>
            <w:tcW w:w="2086" w:type="dxa"/>
            <w:noWrap/>
            <w:hideMark/>
          </w:tcPr>
          <w:p w:rsidR="005747B3" w:rsidRPr="00AE25D3" w:rsidRDefault="005747B3" w:rsidP="005747B3">
            <w:pPr>
              <w:jc w:val="center"/>
              <w:rPr>
                <w:rFonts w:ascii="Calibri" w:eastAsia="Times New Roman" w:hAnsi="Calibri" w:cs="Calibri"/>
                <w:sz w:val="20"/>
                <w:szCs w:val="20"/>
              </w:rPr>
            </w:pPr>
            <w:r w:rsidRPr="00AE25D3">
              <w:rPr>
                <w:rFonts w:ascii="Calibri" w:eastAsia="Times New Roman" w:hAnsi="Calibri" w:cs="Calibri"/>
                <w:sz w:val="20"/>
                <w:szCs w:val="20"/>
              </w:rPr>
              <w:t>695</w:t>
            </w:r>
          </w:p>
        </w:tc>
      </w:tr>
      <w:tr w:rsidR="005747B3" w:rsidRPr="00AE25D3" w:rsidTr="001974A8">
        <w:trPr>
          <w:trHeight w:val="215"/>
        </w:trPr>
        <w:tc>
          <w:tcPr>
            <w:tcW w:w="1672" w:type="dxa"/>
            <w:noWrap/>
            <w:hideMark/>
          </w:tcPr>
          <w:p w:rsidR="005747B3" w:rsidRPr="00AE25D3" w:rsidRDefault="005747B3" w:rsidP="005747B3">
            <w:pPr>
              <w:jc w:val="center"/>
              <w:rPr>
                <w:rFonts w:ascii="Calibri" w:eastAsia="Times New Roman" w:hAnsi="Calibri" w:cs="Calibri"/>
                <w:sz w:val="20"/>
                <w:szCs w:val="20"/>
              </w:rPr>
            </w:pPr>
            <w:r w:rsidRPr="00AE25D3">
              <w:rPr>
                <w:rFonts w:ascii="Calibri" w:eastAsia="Times New Roman" w:hAnsi="Calibri" w:cs="Calibri"/>
                <w:sz w:val="20"/>
                <w:szCs w:val="20"/>
              </w:rPr>
              <w:t>2018</w:t>
            </w:r>
          </w:p>
        </w:tc>
        <w:tc>
          <w:tcPr>
            <w:tcW w:w="1767" w:type="dxa"/>
            <w:noWrap/>
            <w:hideMark/>
          </w:tcPr>
          <w:p w:rsidR="005747B3" w:rsidRPr="00AE25D3" w:rsidRDefault="005747B3" w:rsidP="005747B3">
            <w:pPr>
              <w:jc w:val="center"/>
              <w:rPr>
                <w:rFonts w:ascii="Calibri" w:eastAsia="Times New Roman" w:hAnsi="Calibri" w:cs="Calibri"/>
                <w:sz w:val="20"/>
                <w:szCs w:val="20"/>
              </w:rPr>
            </w:pPr>
            <w:r w:rsidRPr="00AE25D3">
              <w:rPr>
                <w:rFonts w:ascii="Calibri" w:eastAsia="Times New Roman" w:hAnsi="Calibri" w:cs="Calibri"/>
                <w:sz w:val="20"/>
                <w:szCs w:val="20"/>
              </w:rPr>
              <w:t>1,435</w:t>
            </w:r>
          </w:p>
        </w:tc>
        <w:tc>
          <w:tcPr>
            <w:tcW w:w="1672" w:type="dxa"/>
            <w:noWrap/>
            <w:hideMark/>
          </w:tcPr>
          <w:p w:rsidR="005747B3" w:rsidRPr="00AE25D3" w:rsidRDefault="005747B3" w:rsidP="005747B3">
            <w:pPr>
              <w:jc w:val="center"/>
              <w:rPr>
                <w:rFonts w:ascii="Calibri" w:eastAsia="Times New Roman" w:hAnsi="Calibri" w:cs="Calibri"/>
                <w:sz w:val="20"/>
                <w:szCs w:val="20"/>
              </w:rPr>
            </w:pPr>
            <w:r w:rsidRPr="00AE25D3">
              <w:rPr>
                <w:rFonts w:ascii="Calibri" w:eastAsia="Times New Roman" w:hAnsi="Calibri" w:cs="Calibri"/>
                <w:sz w:val="20"/>
                <w:szCs w:val="20"/>
              </w:rPr>
              <w:t>860</w:t>
            </w:r>
          </w:p>
        </w:tc>
        <w:tc>
          <w:tcPr>
            <w:tcW w:w="2086" w:type="dxa"/>
            <w:noWrap/>
            <w:hideMark/>
          </w:tcPr>
          <w:p w:rsidR="005747B3" w:rsidRPr="00AE25D3" w:rsidRDefault="005747B3" w:rsidP="005747B3">
            <w:pPr>
              <w:jc w:val="center"/>
              <w:rPr>
                <w:rFonts w:ascii="Calibri" w:eastAsia="Times New Roman" w:hAnsi="Calibri" w:cs="Calibri"/>
                <w:sz w:val="20"/>
                <w:szCs w:val="20"/>
              </w:rPr>
            </w:pPr>
            <w:r w:rsidRPr="00AE25D3">
              <w:rPr>
                <w:rFonts w:ascii="Calibri" w:eastAsia="Times New Roman" w:hAnsi="Calibri" w:cs="Calibri"/>
                <w:sz w:val="20"/>
                <w:szCs w:val="20"/>
              </w:rPr>
              <w:t>10,986</w:t>
            </w:r>
          </w:p>
        </w:tc>
      </w:tr>
      <w:tr w:rsidR="005747B3" w:rsidRPr="00AE25D3" w:rsidTr="001974A8">
        <w:trPr>
          <w:trHeight w:val="215"/>
        </w:trPr>
        <w:tc>
          <w:tcPr>
            <w:tcW w:w="1672" w:type="dxa"/>
            <w:noWrap/>
            <w:hideMark/>
          </w:tcPr>
          <w:p w:rsidR="005747B3" w:rsidRPr="00AE25D3" w:rsidRDefault="005747B3" w:rsidP="005747B3">
            <w:pPr>
              <w:jc w:val="center"/>
              <w:rPr>
                <w:rFonts w:ascii="Calibri" w:eastAsia="Times New Roman" w:hAnsi="Calibri" w:cs="Calibri"/>
                <w:sz w:val="20"/>
                <w:szCs w:val="20"/>
              </w:rPr>
            </w:pPr>
            <w:r w:rsidRPr="00AE25D3">
              <w:rPr>
                <w:rFonts w:ascii="Calibri" w:eastAsia="Times New Roman" w:hAnsi="Calibri" w:cs="Calibri"/>
                <w:sz w:val="20"/>
                <w:szCs w:val="20"/>
              </w:rPr>
              <w:t>2019</w:t>
            </w:r>
          </w:p>
        </w:tc>
        <w:tc>
          <w:tcPr>
            <w:tcW w:w="1767" w:type="dxa"/>
            <w:noWrap/>
            <w:hideMark/>
          </w:tcPr>
          <w:p w:rsidR="005747B3" w:rsidRPr="00AE25D3" w:rsidRDefault="005747B3" w:rsidP="005747B3">
            <w:pPr>
              <w:jc w:val="center"/>
              <w:rPr>
                <w:rFonts w:ascii="Calibri" w:eastAsia="Times New Roman" w:hAnsi="Calibri" w:cs="Calibri"/>
                <w:sz w:val="20"/>
                <w:szCs w:val="20"/>
              </w:rPr>
            </w:pPr>
            <w:r w:rsidRPr="00AE25D3">
              <w:rPr>
                <w:rFonts w:ascii="Calibri" w:eastAsia="Times New Roman" w:hAnsi="Calibri" w:cs="Calibri"/>
                <w:sz w:val="20"/>
                <w:szCs w:val="20"/>
              </w:rPr>
              <w:t>1,629</w:t>
            </w:r>
          </w:p>
        </w:tc>
        <w:tc>
          <w:tcPr>
            <w:tcW w:w="1672" w:type="dxa"/>
            <w:noWrap/>
            <w:hideMark/>
          </w:tcPr>
          <w:p w:rsidR="005747B3" w:rsidRPr="00AE25D3" w:rsidRDefault="005747B3" w:rsidP="005747B3">
            <w:pPr>
              <w:jc w:val="center"/>
              <w:rPr>
                <w:rFonts w:ascii="Calibri" w:eastAsia="Times New Roman" w:hAnsi="Calibri" w:cs="Calibri"/>
                <w:sz w:val="20"/>
                <w:szCs w:val="20"/>
              </w:rPr>
            </w:pPr>
            <w:r w:rsidRPr="00AE25D3">
              <w:rPr>
                <w:rFonts w:ascii="Calibri" w:eastAsia="Times New Roman" w:hAnsi="Calibri" w:cs="Calibri"/>
                <w:sz w:val="20"/>
                <w:szCs w:val="20"/>
              </w:rPr>
              <w:t>463</w:t>
            </w:r>
          </w:p>
        </w:tc>
        <w:tc>
          <w:tcPr>
            <w:tcW w:w="2086" w:type="dxa"/>
            <w:noWrap/>
            <w:hideMark/>
          </w:tcPr>
          <w:p w:rsidR="005747B3" w:rsidRPr="00AE25D3" w:rsidRDefault="005747B3" w:rsidP="005747B3">
            <w:pPr>
              <w:jc w:val="center"/>
              <w:rPr>
                <w:rFonts w:ascii="Calibri" w:eastAsia="Times New Roman" w:hAnsi="Calibri" w:cs="Calibri"/>
                <w:sz w:val="20"/>
                <w:szCs w:val="20"/>
              </w:rPr>
            </w:pPr>
            <w:r w:rsidRPr="00AE25D3">
              <w:rPr>
                <w:rFonts w:ascii="Calibri" w:eastAsia="Times New Roman" w:hAnsi="Calibri" w:cs="Calibri"/>
                <w:sz w:val="20"/>
                <w:szCs w:val="20"/>
              </w:rPr>
              <w:t>12,963</w:t>
            </w:r>
          </w:p>
        </w:tc>
      </w:tr>
      <w:tr w:rsidR="005747B3" w:rsidRPr="00AE25D3" w:rsidTr="001974A8">
        <w:trPr>
          <w:trHeight w:val="215"/>
        </w:trPr>
        <w:tc>
          <w:tcPr>
            <w:tcW w:w="1672" w:type="dxa"/>
            <w:noWrap/>
            <w:hideMark/>
          </w:tcPr>
          <w:p w:rsidR="005747B3" w:rsidRPr="00AE25D3" w:rsidRDefault="005747B3" w:rsidP="005747B3">
            <w:pPr>
              <w:jc w:val="center"/>
              <w:rPr>
                <w:rFonts w:ascii="Calibri" w:eastAsia="Times New Roman" w:hAnsi="Calibri" w:cs="Calibri"/>
                <w:sz w:val="20"/>
                <w:szCs w:val="20"/>
              </w:rPr>
            </w:pPr>
            <w:r w:rsidRPr="00AE25D3">
              <w:rPr>
                <w:rFonts w:ascii="Calibri" w:eastAsia="Times New Roman" w:hAnsi="Calibri" w:cs="Calibri"/>
                <w:sz w:val="20"/>
                <w:szCs w:val="20"/>
              </w:rPr>
              <w:t>2020</w:t>
            </w:r>
            <w:r w:rsidRPr="00AE25D3">
              <w:rPr>
                <w:rFonts w:ascii="Calibri" w:eastAsia="Times New Roman" w:hAnsi="Calibri" w:cs="Calibri"/>
                <w:sz w:val="20"/>
                <w:szCs w:val="20"/>
                <w:vertAlign w:val="superscript"/>
              </w:rPr>
              <w:t>b</w:t>
            </w:r>
          </w:p>
        </w:tc>
        <w:tc>
          <w:tcPr>
            <w:tcW w:w="1767" w:type="dxa"/>
            <w:noWrap/>
            <w:hideMark/>
          </w:tcPr>
          <w:p w:rsidR="005747B3" w:rsidRPr="00AE25D3" w:rsidRDefault="005747B3" w:rsidP="005747B3">
            <w:pPr>
              <w:jc w:val="center"/>
              <w:rPr>
                <w:rFonts w:ascii="Calibri" w:eastAsia="Times New Roman" w:hAnsi="Calibri" w:cs="Calibri"/>
                <w:sz w:val="20"/>
                <w:szCs w:val="20"/>
              </w:rPr>
            </w:pPr>
            <w:r w:rsidRPr="00AE25D3">
              <w:rPr>
                <w:rFonts w:ascii="Calibri" w:eastAsia="Times New Roman" w:hAnsi="Calibri" w:cs="Calibri"/>
                <w:sz w:val="20"/>
                <w:szCs w:val="20"/>
              </w:rPr>
              <w:t>1,504</w:t>
            </w:r>
          </w:p>
        </w:tc>
        <w:tc>
          <w:tcPr>
            <w:tcW w:w="1672" w:type="dxa"/>
            <w:noWrap/>
            <w:hideMark/>
          </w:tcPr>
          <w:p w:rsidR="005747B3" w:rsidRPr="00AE25D3" w:rsidRDefault="005747B3" w:rsidP="005747B3">
            <w:pPr>
              <w:jc w:val="center"/>
              <w:rPr>
                <w:rFonts w:ascii="Calibri" w:eastAsia="Times New Roman" w:hAnsi="Calibri" w:cs="Calibri"/>
                <w:sz w:val="20"/>
                <w:szCs w:val="20"/>
              </w:rPr>
            </w:pPr>
            <w:r w:rsidRPr="00AE25D3">
              <w:rPr>
                <w:rFonts w:ascii="Calibri" w:eastAsia="Times New Roman" w:hAnsi="Calibri" w:cs="Calibri"/>
                <w:sz w:val="20"/>
                <w:szCs w:val="20"/>
              </w:rPr>
              <w:t>229</w:t>
            </w:r>
          </w:p>
        </w:tc>
        <w:tc>
          <w:tcPr>
            <w:tcW w:w="2086" w:type="dxa"/>
            <w:noWrap/>
            <w:hideMark/>
          </w:tcPr>
          <w:p w:rsidR="005747B3" w:rsidRPr="00AE25D3" w:rsidRDefault="005747B3" w:rsidP="005747B3">
            <w:pPr>
              <w:keepNext/>
              <w:jc w:val="center"/>
              <w:rPr>
                <w:rFonts w:ascii="Calibri" w:eastAsia="Times New Roman" w:hAnsi="Calibri" w:cs="Calibri"/>
                <w:sz w:val="20"/>
                <w:szCs w:val="20"/>
              </w:rPr>
            </w:pPr>
            <w:r w:rsidRPr="00AE25D3">
              <w:rPr>
                <w:rFonts w:ascii="Calibri" w:eastAsia="Times New Roman" w:hAnsi="Calibri" w:cs="Calibri"/>
                <w:sz w:val="20"/>
                <w:szCs w:val="20"/>
              </w:rPr>
              <w:t>6,743</w:t>
            </w:r>
          </w:p>
        </w:tc>
      </w:tr>
    </w:tbl>
    <w:p w:rsidR="009C0649" w:rsidRPr="00AE25D3" w:rsidRDefault="009C0649" w:rsidP="009C0649">
      <w:pPr>
        <w:pStyle w:val="Notes"/>
        <w:spacing w:after="0"/>
      </w:pPr>
      <w:proofErr w:type="gramStart"/>
      <w:r w:rsidRPr="00AE25D3">
        <w:rPr>
          <w:vertAlign w:val="superscript"/>
        </w:rPr>
        <w:t>a</w:t>
      </w:r>
      <w:proofErr w:type="gramEnd"/>
      <w:r w:rsidRPr="00AE25D3">
        <w:rPr>
          <w:vertAlign w:val="superscript"/>
        </w:rPr>
        <w:t xml:space="preserve"> </w:t>
      </w:r>
      <w:r w:rsidRPr="00AE25D3">
        <w:t>Part-year data for the month of December.</w:t>
      </w:r>
    </w:p>
    <w:p w:rsidR="00FD5F96" w:rsidRPr="00AE25D3" w:rsidRDefault="009C0649" w:rsidP="009C0649">
      <w:pPr>
        <w:pStyle w:val="Notes"/>
        <w:spacing w:after="0"/>
      </w:pPr>
      <w:proofErr w:type="gramStart"/>
      <w:r w:rsidRPr="00AE25D3">
        <w:rPr>
          <w:vertAlign w:val="superscript"/>
        </w:rPr>
        <w:t>b</w:t>
      </w:r>
      <w:proofErr w:type="gramEnd"/>
      <w:r w:rsidRPr="00AE25D3">
        <w:rPr>
          <w:vertAlign w:val="superscript"/>
        </w:rPr>
        <w:t xml:space="preserve"> </w:t>
      </w:r>
      <w:r w:rsidRPr="00AE25D3">
        <w:t xml:space="preserve">Part-year data for the period </w:t>
      </w:r>
      <w:r w:rsidR="001B3AFE" w:rsidRPr="00AE25D3">
        <w:t>1 January 2020 to 30 June 202</w:t>
      </w:r>
      <w:r w:rsidRPr="00AE25D3">
        <w:t>0.</w:t>
      </w:r>
    </w:p>
    <w:p w:rsidR="00837C42" w:rsidRPr="00837C42" w:rsidRDefault="00837C42" w:rsidP="00837C42">
      <w:pPr>
        <w:spacing w:after="0"/>
        <w:rPr>
          <w:rFonts w:ascii="Calibri" w:eastAsia="Times New Roman" w:hAnsi="Calibri" w:cs="Calibri"/>
        </w:rPr>
      </w:pPr>
    </w:p>
    <w:p w:rsidR="004358DC" w:rsidRPr="00AE25D3" w:rsidRDefault="00E72A74" w:rsidP="00E72A74">
      <w:pPr>
        <w:rPr>
          <w:rFonts w:cstheme="minorHAnsi"/>
        </w:rPr>
      </w:pPr>
      <w:proofErr w:type="spellStart"/>
      <w:r w:rsidRPr="00AE25D3">
        <w:rPr>
          <w:rFonts w:cstheme="minorHAnsi"/>
        </w:rPr>
        <w:t>Ib</w:t>
      </w:r>
      <w:r w:rsidR="00880A58" w:rsidRPr="00AE25D3">
        <w:rPr>
          <w:rFonts w:cstheme="minorHAnsi"/>
        </w:rPr>
        <w:t>r</w:t>
      </w:r>
      <w:r w:rsidRPr="00AE25D3">
        <w:rPr>
          <w:rFonts w:cstheme="minorHAnsi"/>
        </w:rPr>
        <w:t>utinib</w:t>
      </w:r>
      <w:proofErr w:type="spellEnd"/>
      <w:r w:rsidRPr="00AE25D3">
        <w:rPr>
          <w:rFonts w:cstheme="minorHAnsi"/>
        </w:rPr>
        <w:t xml:space="preserve"> was listed on the PBS on 1 December 2017 for </w:t>
      </w:r>
      <w:r w:rsidR="00714DEF" w:rsidRPr="00AE25D3">
        <w:rPr>
          <w:rFonts w:cstheme="minorHAnsi"/>
        </w:rPr>
        <w:t>relapsed or refractory CLL/SLL with an average of approximately 1,500 prevalent patients per year in 2018 and 2019 (</w:t>
      </w:r>
      <w:r w:rsidR="000B0CA6" w:rsidRPr="00AE25D3">
        <w:rPr>
          <w:rFonts w:cstheme="minorHAnsi"/>
        </w:rPr>
        <w:t>Table</w:t>
      </w:r>
      <w:r w:rsidR="00714DEF" w:rsidRPr="00AE25D3">
        <w:rPr>
          <w:rFonts w:cstheme="minorHAnsi"/>
        </w:rPr>
        <w:t xml:space="preserve"> </w:t>
      </w:r>
      <w:r w:rsidR="000B0CA6" w:rsidRPr="00AE25D3">
        <w:rPr>
          <w:rFonts w:cstheme="minorHAnsi"/>
        </w:rPr>
        <w:t>2</w:t>
      </w:r>
      <w:r w:rsidR="00714DEF" w:rsidRPr="00AE25D3">
        <w:rPr>
          <w:rFonts w:cstheme="minorHAnsi"/>
        </w:rPr>
        <w:t xml:space="preserve">). </w:t>
      </w:r>
      <w:r w:rsidRPr="00AE25D3">
        <w:rPr>
          <w:rFonts w:cstheme="minorHAnsi"/>
        </w:rPr>
        <w:t xml:space="preserve">Since its </w:t>
      </w:r>
      <w:r w:rsidR="00880A58" w:rsidRPr="00AE25D3">
        <w:rPr>
          <w:rFonts w:cstheme="minorHAnsi"/>
        </w:rPr>
        <w:t>listing</w:t>
      </w:r>
      <w:r w:rsidR="00A12AA3" w:rsidRPr="00AE25D3">
        <w:rPr>
          <w:rFonts w:cstheme="minorHAnsi"/>
        </w:rPr>
        <w:t>,</w:t>
      </w:r>
      <w:r w:rsidR="00880A58" w:rsidRPr="00AE25D3">
        <w:rPr>
          <w:rFonts w:cstheme="minorHAnsi"/>
        </w:rPr>
        <w:t xml:space="preserve"> the utilisation of </w:t>
      </w:r>
      <w:proofErr w:type="spellStart"/>
      <w:r w:rsidR="00880A58" w:rsidRPr="00AE25D3">
        <w:rPr>
          <w:rFonts w:cstheme="minorHAnsi"/>
        </w:rPr>
        <w:t>ibru</w:t>
      </w:r>
      <w:r w:rsidRPr="00AE25D3">
        <w:rPr>
          <w:rFonts w:cstheme="minorHAnsi"/>
        </w:rPr>
        <w:t>tinib</w:t>
      </w:r>
      <w:proofErr w:type="spellEnd"/>
      <w:r w:rsidRPr="00AE25D3">
        <w:rPr>
          <w:rFonts w:cstheme="minorHAnsi"/>
        </w:rPr>
        <w:t xml:space="preserve"> has increased steadily </w:t>
      </w:r>
      <w:r w:rsidR="00572CDC" w:rsidRPr="00AE25D3">
        <w:rPr>
          <w:rFonts w:cstheme="minorHAnsi"/>
        </w:rPr>
        <w:t xml:space="preserve">with </w:t>
      </w:r>
      <w:r w:rsidR="005423CE" w:rsidRPr="00AE25D3">
        <w:rPr>
          <w:rFonts w:cstheme="minorHAnsi"/>
        </w:rPr>
        <w:t xml:space="preserve">approximately </w:t>
      </w:r>
      <w:r w:rsidR="00F3035F" w:rsidRPr="00AE25D3">
        <w:rPr>
          <w:rFonts w:cstheme="minorHAnsi"/>
        </w:rPr>
        <w:t xml:space="preserve">40 </w:t>
      </w:r>
      <w:r w:rsidR="00E618A7" w:rsidRPr="00AE25D3">
        <w:rPr>
          <w:rFonts w:cstheme="minorHAnsi"/>
        </w:rPr>
        <w:t xml:space="preserve">first </w:t>
      </w:r>
      <w:r w:rsidR="00F3035F" w:rsidRPr="00AE25D3">
        <w:rPr>
          <w:rFonts w:cstheme="minorHAnsi"/>
        </w:rPr>
        <w:t xml:space="preserve">initiating </w:t>
      </w:r>
      <w:r w:rsidR="00E618A7" w:rsidRPr="00AE25D3">
        <w:rPr>
          <w:rFonts w:cstheme="minorHAnsi"/>
        </w:rPr>
        <w:t xml:space="preserve">(incident) </w:t>
      </w:r>
      <w:r w:rsidR="00F3035F" w:rsidRPr="00AE25D3">
        <w:rPr>
          <w:rFonts w:cstheme="minorHAnsi"/>
        </w:rPr>
        <w:t xml:space="preserve">patients </w:t>
      </w:r>
      <w:r w:rsidR="005423CE" w:rsidRPr="00AE25D3">
        <w:rPr>
          <w:rFonts w:cstheme="minorHAnsi"/>
        </w:rPr>
        <w:t xml:space="preserve">on </w:t>
      </w:r>
      <w:proofErr w:type="spellStart"/>
      <w:r w:rsidR="005423CE" w:rsidRPr="00AE25D3">
        <w:rPr>
          <w:rFonts w:cstheme="minorHAnsi"/>
        </w:rPr>
        <w:t>ibrutinib</w:t>
      </w:r>
      <w:proofErr w:type="spellEnd"/>
      <w:r w:rsidR="005423CE" w:rsidRPr="00AE25D3">
        <w:rPr>
          <w:rFonts w:cstheme="minorHAnsi"/>
        </w:rPr>
        <w:t xml:space="preserve"> per month</w:t>
      </w:r>
      <w:r w:rsidR="00E618A7" w:rsidRPr="00AE25D3">
        <w:rPr>
          <w:rFonts w:cstheme="minorHAnsi"/>
        </w:rPr>
        <w:t xml:space="preserve"> </w:t>
      </w:r>
      <w:r w:rsidR="005747B3" w:rsidRPr="00AE25D3">
        <w:rPr>
          <w:rFonts w:cstheme="minorHAnsi"/>
        </w:rPr>
        <w:t xml:space="preserve">(Figure </w:t>
      </w:r>
      <w:r w:rsidR="000B0CA6" w:rsidRPr="00AE25D3">
        <w:rPr>
          <w:rFonts w:cstheme="minorHAnsi"/>
        </w:rPr>
        <w:t>1</w:t>
      </w:r>
      <w:r w:rsidR="00F3035F" w:rsidRPr="00AE25D3">
        <w:rPr>
          <w:rFonts w:cstheme="minorHAnsi"/>
        </w:rPr>
        <w:t xml:space="preserve">). </w:t>
      </w:r>
    </w:p>
    <w:p w:rsidR="00B555BF" w:rsidRPr="00AE25D3" w:rsidRDefault="008464A6" w:rsidP="00B555BF">
      <w:pPr>
        <w:keepNext/>
      </w:pPr>
      <w:r w:rsidRPr="00AE25D3">
        <w:rPr>
          <w:noProof/>
        </w:rPr>
        <w:drawing>
          <wp:inline distT="0" distB="0" distL="0" distR="0" wp14:anchorId="4E35F6B9" wp14:editId="1C4804E5">
            <wp:extent cx="5687695" cy="3743325"/>
            <wp:effectExtent l="0" t="0" r="8255" b="9525"/>
            <wp:docPr id="1" name="Chart 1" title="Figure 1: Ibrutinib utilization since listing on the PBS in December "/>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0649" w:rsidRPr="00AE25D3" w:rsidRDefault="009C0649" w:rsidP="009C0649">
      <w:pPr>
        <w:pStyle w:val="Figuretitle"/>
      </w:pPr>
      <w:r w:rsidRPr="00AE25D3">
        <w:t xml:space="preserve">Figure 1: </w:t>
      </w:r>
      <w:proofErr w:type="spellStart"/>
      <w:r w:rsidRPr="00AE25D3">
        <w:t>Ibrutinib</w:t>
      </w:r>
      <w:proofErr w:type="spellEnd"/>
      <w:r w:rsidRPr="00AE25D3">
        <w:t xml:space="preserve"> utilization since listing on the PBS in December 2017 </w:t>
      </w:r>
    </w:p>
    <w:p w:rsidR="00762B6C" w:rsidRPr="00837C42" w:rsidRDefault="00762B6C" w:rsidP="00837C42">
      <w:pPr>
        <w:spacing w:after="0"/>
        <w:rPr>
          <w:rFonts w:ascii="Calibri" w:eastAsia="Times New Roman" w:hAnsi="Calibri" w:cs="Calibri"/>
        </w:rPr>
      </w:pPr>
    </w:p>
    <w:p w:rsidR="00322279" w:rsidRPr="00AE25D3" w:rsidRDefault="00E34341" w:rsidP="00A35800">
      <w:proofErr w:type="spellStart"/>
      <w:r w:rsidRPr="00AE25D3">
        <w:lastRenderedPageBreak/>
        <w:t>Idelalisib</w:t>
      </w:r>
      <w:proofErr w:type="spellEnd"/>
      <w:r w:rsidRPr="00AE25D3">
        <w:t xml:space="preserve"> and </w:t>
      </w:r>
      <w:proofErr w:type="spellStart"/>
      <w:r w:rsidRPr="00AE25D3">
        <w:t>Venetoclax</w:t>
      </w:r>
      <w:proofErr w:type="spellEnd"/>
      <w:r w:rsidRPr="00AE25D3">
        <w:t xml:space="preserve"> are two other oral medications used in relapsed or refractory CLL/SLL. Figure </w:t>
      </w:r>
      <w:r w:rsidR="000B0CA6" w:rsidRPr="00AE25D3">
        <w:t>2</w:t>
      </w:r>
      <w:r w:rsidRPr="00AE25D3">
        <w:t xml:space="preserve"> presents the prevalent patients for </w:t>
      </w:r>
      <w:proofErr w:type="spellStart"/>
      <w:r w:rsidRPr="00AE25D3">
        <w:t>idelalisib</w:t>
      </w:r>
      <w:proofErr w:type="spellEnd"/>
      <w:r w:rsidRPr="00AE25D3">
        <w:t xml:space="preserve"> and </w:t>
      </w:r>
      <w:proofErr w:type="spellStart"/>
      <w:r w:rsidRPr="00AE25D3">
        <w:t>venetoclax</w:t>
      </w:r>
      <w:proofErr w:type="spellEnd"/>
      <w:r w:rsidRPr="00AE25D3">
        <w:t xml:space="preserve"> alongside </w:t>
      </w:r>
      <w:proofErr w:type="spellStart"/>
      <w:r w:rsidRPr="00AE25D3">
        <w:t>ibrutinib</w:t>
      </w:r>
      <w:proofErr w:type="spellEnd"/>
      <w:r w:rsidRPr="00AE25D3">
        <w:t xml:space="preserve">. The listing of </w:t>
      </w:r>
      <w:proofErr w:type="spellStart"/>
      <w:r w:rsidRPr="00AE25D3">
        <w:t>venetoclax</w:t>
      </w:r>
      <w:proofErr w:type="spellEnd"/>
      <w:r w:rsidRPr="00AE25D3">
        <w:t xml:space="preserve"> on the PBS in March 2019 and its subsequent steady growth may be the cause of </w:t>
      </w:r>
      <w:proofErr w:type="spellStart"/>
      <w:r w:rsidRPr="00AE25D3">
        <w:t>ibrutinib</w:t>
      </w:r>
      <w:proofErr w:type="spellEnd"/>
      <w:r w:rsidRPr="00AE25D3">
        <w:t xml:space="preserve"> appearing to plateau at approximately 1</w:t>
      </w:r>
      <w:r w:rsidR="00A12AA3" w:rsidRPr="00AE25D3">
        <w:t>,</w:t>
      </w:r>
      <w:r w:rsidRPr="00AE25D3">
        <w:t xml:space="preserve">000 prevalent patients. </w:t>
      </w:r>
    </w:p>
    <w:p w:rsidR="00E34341" w:rsidRPr="00AE25D3" w:rsidRDefault="002B24FB" w:rsidP="00E34341">
      <w:pPr>
        <w:pStyle w:val="Heading3"/>
        <w:keepNext/>
      </w:pPr>
      <w:r w:rsidRPr="00AE25D3">
        <w:rPr>
          <w:noProof/>
        </w:rPr>
        <w:drawing>
          <wp:inline distT="0" distB="0" distL="0" distR="0" wp14:anchorId="166E3F0D" wp14:editId="77B01F7E">
            <wp:extent cx="5687695" cy="3528695"/>
            <wp:effectExtent l="0" t="0" r="8255" b="14605"/>
            <wp:docPr id="2" name="Chart 2" title="Figure 2: Prevalent patients for alternate oral medications used in refractory or relapsed CLL/SLL "/>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0649" w:rsidRPr="00AE25D3" w:rsidRDefault="009C0649" w:rsidP="009C0649">
      <w:pPr>
        <w:pStyle w:val="Figuretitle"/>
      </w:pPr>
      <w:r w:rsidRPr="00AE25D3">
        <w:t xml:space="preserve">Figure 2: Prevalent patients for alternate oral medications used in refractory or relapsed CLL/SLL </w:t>
      </w:r>
    </w:p>
    <w:p w:rsidR="00762B6C" w:rsidRPr="00AE25D3" w:rsidRDefault="00762B6C" w:rsidP="00762B6C">
      <w:pPr>
        <w:pStyle w:val="Heading3"/>
      </w:pPr>
      <w:r w:rsidRPr="00AE25D3">
        <w:t>Patient level analys</w:t>
      </w:r>
      <w:r w:rsidR="00342B5C" w:rsidRPr="00AE25D3">
        <w:t>e</w:t>
      </w:r>
      <w:r w:rsidRPr="00AE25D3">
        <w:t>s</w:t>
      </w:r>
    </w:p>
    <w:p w:rsidR="00762B6C" w:rsidRPr="00AE25D3" w:rsidRDefault="00762B6C" w:rsidP="00A35800">
      <w:pPr>
        <w:rPr>
          <w:b/>
          <w:i/>
        </w:rPr>
      </w:pPr>
      <w:r w:rsidRPr="00AE25D3">
        <w:rPr>
          <w:b/>
          <w:i/>
        </w:rPr>
        <w:t>Time on treatment</w:t>
      </w:r>
    </w:p>
    <w:p w:rsidR="008464A6" w:rsidRPr="00AE25D3" w:rsidRDefault="00423AE6" w:rsidP="00A35800">
      <w:r w:rsidRPr="00AE25D3">
        <w:t xml:space="preserve">A Kaplan-Meier analysis was done to estimate </w:t>
      </w:r>
      <w:r w:rsidR="00A07458" w:rsidRPr="00AE25D3">
        <w:t>time on treatment</w:t>
      </w:r>
      <w:r w:rsidRPr="00AE25D3">
        <w:t xml:space="preserve"> for patients utilising </w:t>
      </w:r>
      <w:proofErr w:type="spellStart"/>
      <w:r w:rsidRPr="00AE25D3">
        <w:t>ibrutinib</w:t>
      </w:r>
      <w:proofErr w:type="spellEnd"/>
      <w:r w:rsidRPr="00AE25D3">
        <w:t xml:space="preserve">. </w:t>
      </w:r>
      <w:r w:rsidR="00715283" w:rsidRPr="00AE25D3">
        <w:t xml:space="preserve">Median </w:t>
      </w:r>
      <w:r w:rsidR="009F7AD6" w:rsidRPr="00AE25D3">
        <w:t xml:space="preserve">time on treatment </w:t>
      </w:r>
      <w:r w:rsidR="00715283" w:rsidRPr="00AE25D3">
        <w:t xml:space="preserve">was not </w:t>
      </w:r>
      <w:r w:rsidR="001B2E54" w:rsidRPr="00AE25D3">
        <w:t>reached (</w:t>
      </w:r>
      <w:r w:rsidR="00056DB4" w:rsidRPr="00AE25D3">
        <w:t xml:space="preserve">Figure </w:t>
      </w:r>
      <w:r w:rsidR="000B0CA6" w:rsidRPr="00AE25D3">
        <w:t>3</w:t>
      </w:r>
      <w:r w:rsidR="00056DB4" w:rsidRPr="00AE25D3">
        <w:t>)</w:t>
      </w:r>
      <w:r w:rsidR="001B2E54" w:rsidRPr="00AE25D3">
        <w:t xml:space="preserve"> however the mean time on treatment was 609</w:t>
      </w:r>
      <w:r w:rsidR="001B2E54" w:rsidRPr="00AE25D3">
        <w:rPr>
          <w:rFonts w:cstheme="minorHAnsi"/>
        </w:rPr>
        <w:t>±</w:t>
      </w:r>
      <w:r w:rsidR="001B2E54" w:rsidRPr="00AE25D3">
        <w:t>7 days (~21.75 months</w:t>
      </w:r>
      <w:r w:rsidR="00717C4F" w:rsidRPr="00AE25D3">
        <w:t>)</w:t>
      </w:r>
      <w:r w:rsidR="003D187D" w:rsidRPr="00AE25D3">
        <w:t>.</w:t>
      </w:r>
      <w:r w:rsidR="00056DB4" w:rsidRPr="00AE25D3">
        <w:t xml:space="preserve"> </w:t>
      </w:r>
      <w:r w:rsidR="00EE4E41" w:rsidRPr="00AE25D3">
        <w:t xml:space="preserve">The Kaplan-Meier analysis of patients utilising </w:t>
      </w:r>
      <w:proofErr w:type="spellStart"/>
      <w:r w:rsidR="00EE4E41" w:rsidRPr="00AE25D3">
        <w:t>ibrutinib</w:t>
      </w:r>
      <w:proofErr w:type="spellEnd"/>
      <w:r w:rsidR="00EE4E41" w:rsidRPr="00AE25D3">
        <w:t xml:space="preserve"> until a treatment break occurs (Figure </w:t>
      </w:r>
      <w:r w:rsidR="000B0CA6" w:rsidRPr="00AE25D3">
        <w:t>4</w:t>
      </w:r>
      <w:r w:rsidR="00EE4E41" w:rsidRPr="00AE25D3">
        <w:t>) shows that the median time for first treatment episode was 508 days (95% CI</w:t>
      </w:r>
      <w:r w:rsidR="00A07458" w:rsidRPr="00AE25D3">
        <w:t>:</w:t>
      </w:r>
      <w:r w:rsidR="00EE4E41" w:rsidRPr="00AE25D3">
        <w:t xml:space="preserve"> 455-557</w:t>
      </w:r>
      <w:r w:rsidR="00A07458" w:rsidRPr="00AE25D3">
        <w:t xml:space="preserve"> days</w:t>
      </w:r>
      <w:r w:rsidR="00EE4E41" w:rsidRPr="00AE25D3">
        <w:t>)</w:t>
      </w:r>
      <w:r w:rsidR="001B2E54" w:rsidRPr="00AE25D3">
        <w:t xml:space="preserve"> and the mean time for first treatment was </w:t>
      </w:r>
      <w:r w:rsidR="009C1CA9" w:rsidRPr="00AE25D3">
        <w:t>482.6</w:t>
      </w:r>
      <w:r w:rsidR="009C1CA9" w:rsidRPr="00AE25D3">
        <w:rPr>
          <w:rFonts w:cstheme="minorHAnsi"/>
        </w:rPr>
        <w:t>±</w:t>
      </w:r>
      <w:r w:rsidR="009C1CA9" w:rsidRPr="00AE25D3">
        <w:t>7.8 days (~17 months)</w:t>
      </w:r>
      <w:r w:rsidR="00EE4E41" w:rsidRPr="00AE25D3">
        <w:t>.</w:t>
      </w:r>
    </w:p>
    <w:p w:rsidR="00B5510D" w:rsidRPr="00AE25D3" w:rsidRDefault="00B507FB" w:rsidP="00B5510D">
      <w:pPr>
        <w:keepNext/>
      </w:pPr>
      <w:r w:rsidRPr="00AE25D3">
        <w:rPr>
          <w:rFonts w:ascii="Arial" w:hAnsi="Arial" w:cs="Arial"/>
          <w:noProof/>
          <w:color w:val="000000"/>
        </w:rPr>
        <w:lastRenderedPageBreak/>
        <w:drawing>
          <wp:inline distT="0" distB="0" distL="0" distR="0" wp14:anchorId="698C12C8" wp14:editId="01287364">
            <wp:extent cx="4658905" cy="3147060"/>
            <wp:effectExtent l="0" t="0" r="8890" b="0"/>
            <wp:docPr id="7" name="Picture 7" descr="img0.png" title="Figure 3: Kaplan-Meier analysis of the number of days patients were supplied ibrutinib, including treatment br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4677454" cy="3159590"/>
                    </a:xfrm>
                    <a:prstGeom prst="rect">
                      <a:avLst/>
                    </a:prstGeom>
                    <a:noFill/>
                    <a:ln>
                      <a:noFill/>
                    </a:ln>
                    <a:extLst>
                      <a:ext uri="{53640926-AAD7-44D8-BBD7-CCE9431645EC}">
                        <a14:shadowObscured xmlns:a14="http://schemas.microsoft.com/office/drawing/2010/main"/>
                      </a:ext>
                    </a:extLst>
                  </pic:spPr>
                </pic:pic>
              </a:graphicData>
            </a:graphic>
          </wp:inline>
        </w:drawing>
      </w:r>
    </w:p>
    <w:p w:rsidR="008464A6" w:rsidRPr="00AE25D3" w:rsidRDefault="00B5510D" w:rsidP="00B5510D">
      <w:pPr>
        <w:pStyle w:val="Caption"/>
        <w:rPr>
          <w:b/>
          <w:i w:val="0"/>
          <w:color w:val="auto"/>
          <w:sz w:val="24"/>
          <w:szCs w:val="24"/>
        </w:rPr>
      </w:pPr>
      <w:r w:rsidRPr="00AE25D3">
        <w:rPr>
          <w:b/>
          <w:i w:val="0"/>
          <w:color w:val="auto"/>
          <w:sz w:val="24"/>
          <w:szCs w:val="24"/>
        </w:rPr>
        <w:t xml:space="preserve">Figure </w:t>
      </w:r>
      <w:r w:rsidR="000B0CA6" w:rsidRPr="00AE25D3">
        <w:rPr>
          <w:b/>
          <w:i w:val="0"/>
          <w:color w:val="auto"/>
          <w:sz w:val="24"/>
          <w:szCs w:val="24"/>
        </w:rPr>
        <w:t>3</w:t>
      </w:r>
      <w:r w:rsidRPr="00AE25D3">
        <w:rPr>
          <w:b/>
          <w:i w:val="0"/>
          <w:color w:val="auto"/>
          <w:sz w:val="24"/>
          <w:szCs w:val="24"/>
        </w:rPr>
        <w:t xml:space="preserve">: Kaplan-Meier analysis of </w:t>
      </w:r>
      <w:r w:rsidR="00977E7A" w:rsidRPr="00AE25D3">
        <w:rPr>
          <w:b/>
          <w:i w:val="0"/>
          <w:color w:val="auto"/>
          <w:sz w:val="24"/>
          <w:szCs w:val="24"/>
        </w:rPr>
        <w:t xml:space="preserve">the number of days </w:t>
      </w:r>
      <w:r w:rsidRPr="00AE25D3">
        <w:rPr>
          <w:b/>
          <w:i w:val="0"/>
          <w:color w:val="auto"/>
          <w:sz w:val="24"/>
          <w:szCs w:val="24"/>
        </w:rPr>
        <w:t xml:space="preserve">patients </w:t>
      </w:r>
      <w:r w:rsidR="00977E7A" w:rsidRPr="00AE25D3">
        <w:rPr>
          <w:b/>
          <w:i w:val="0"/>
          <w:color w:val="auto"/>
          <w:sz w:val="24"/>
          <w:szCs w:val="24"/>
        </w:rPr>
        <w:t xml:space="preserve">were </w:t>
      </w:r>
      <w:r w:rsidR="009F7AD6" w:rsidRPr="00AE25D3">
        <w:rPr>
          <w:b/>
          <w:i w:val="0"/>
          <w:color w:val="auto"/>
          <w:sz w:val="24"/>
          <w:szCs w:val="24"/>
        </w:rPr>
        <w:t xml:space="preserve">supplied </w:t>
      </w:r>
      <w:proofErr w:type="spellStart"/>
      <w:r w:rsidRPr="00AE25D3">
        <w:rPr>
          <w:b/>
          <w:i w:val="0"/>
          <w:color w:val="auto"/>
          <w:sz w:val="24"/>
          <w:szCs w:val="24"/>
        </w:rPr>
        <w:t>ibrutinib</w:t>
      </w:r>
      <w:proofErr w:type="spellEnd"/>
      <w:r w:rsidR="00DE5622" w:rsidRPr="00AE25D3">
        <w:rPr>
          <w:b/>
          <w:i w:val="0"/>
          <w:color w:val="auto"/>
          <w:sz w:val="24"/>
          <w:szCs w:val="24"/>
        </w:rPr>
        <w:t>, including treatment breaks</w:t>
      </w:r>
      <w:r w:rsidRPr="00AE25D3">
        <w:rPr>
          <w:b/>
          <w:i w:val="0"/>
          <w:color w:val="auto"/>
          <w:sz w:val="24"/>
          <w:szCs w:val="24"/>
        </w:rPr>
        <w:t xml:space="preserve">. </w:t>
      </w:r>
    </w:p>
    <w:p w:rsidR="00B5510D" w:rsidRPr="00AE25D3" w:rsidRDefault="00A06D96" w:rsidP="00B5510D">
      <w:pPr>
        <w:pStyle w:val="Figurecaption"/>
        <w:keepNext/>
      </w:pPr>
      <w:r w:rsidRPr="00AE25D3">
        <w:rPr>
          <w:rFonts w:ascii="Arial" w:hAnsi="Arial" w:cs="Arial"/>
          <w:noProof/>
          <w:color w:val="000000"/>
          <w:lang w:eastAsia="en-AU"/>
        </w:rPr>
        <w:drawing>
          <wp:inline distT="0" distB="0" distL="0" distR="0" wp14:anchorId="0A497CFE" wp14:editId="046F7FD2">
            <wp:extent cx="4709160" cy="3211004"/>
            <wp:effectExtent l="0" t="0" r="0" b="8890"/>
            <wp:docPr id="9" name="Picture 9" descr="img1.png" title="Figure 4: Kaplan-Meier analysis of patients supplied ibrutinib as a first episode of therapy (excluding treatment br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1.png"/>
                    <pic:cNvPicPr>
                      <a:picLocks noChangeAspect="1" noChangeArrowheads="1"/>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4727116" cy="3223248"/>
                    </a:xfrm>
                    <a:prstGeom prst="rect">
                      <a:avLst/>
                    </a:prstGeom>
                    <a:noFill/>
                    <a:ln>
                      <a:noFill/>
                    </a:ln>
                    <a:extLst>
                      <a:ext uri="{53640926-AAD7-44D8-BBD7-CCE9431645EC}">
                        <a14:shadowObscured xmlns:a14="http://schemas.microsoft.com/office/drawing/2010/main"/>
                      </a:ext>
                    </a:extLst>
                  </pic:spPr>
                </pic:pic>
              </a:graphicData>
            </a:graphic>
          </wp:inline>
        </w:drawing>
      </w:r>
    </w:p>
    <w:p w:rsidR="00A06D96" w:rsidRPr="00AE25D3" w:rsidRDefault="00B5510D" w:rsidP="00B5510D">
      <w:pPr>
        <w:pStyle w:val="Caption"/>
        <w:spacing w:before="60" w:after="60"/>
        <w:rPr>
          <w:b/>
          <w:i w:val="0"/>
          <w:color w:val="auto"/>
          <w:sz w:val="24"/>
          <w:szCs w:val="24"/>
        </w:rPr>
      </w:pPr>
      <w:r w:rsidRPr="00AE25D3">
        <w:rPr>
          <w:b/>
          <w:i w:val="0"/>
          <w:color w:val="auto"/>
          <w:sz w:val="24"/>
          <w:szCs w:val="24"/>
        </w:rPr>
        <w:t xml:space="preserve">Figure </w:t>
      </w:r>
      <w:r w:rsidR="000B0CA6" w:rsidRPr="00AE25D3">
        <w:rPr>
          <w:b/>
          <w:i w:val="0"/>
          <w:color w:val="auto"/>
          <w:sz w:val="24"/>
          <w:szCs w:val="24"/>
        </w:rPr>
        <w:t>4</w:t>
      </w:r>
      <w:r w:rsidRPr="00AE25D3">
        <w:rPr>
          <w:b/>
          <w:i w:val="0"/>
          <w:color w:val="auto"/>
          <w:sz w:val="24"/>
          <w:szCs w:val="24"/>
        </w:rPr>
        <w:t xml:space="preserve">: Kaplan-Meier analysis of patients </w:t>
      </w:r>
      <w:r w:rsidR="009E43B2" w:rsidRPr="00AE25D3">
        <w:rPr>
          <w:b/>
          <w:i w:val="0"/>
          <w:color w:val="auto"/>
          <w:sz w:val="24"/>
          <w:szCs w:val="24"/>
        </w:rPr>
        <w:t xml:space="preserve">supplied </w:t>
      </w:r>
      <w:proofErr w:type="spellStart"/>
      <w:r w:rsidRPr="00AE25D3">
        <w:rPr>
          <w:b/>
          <w:i w:val="0"/>
          <w:color w:val="auto"/>
          <w:sz w:val="24"/>
          <w:szCs w:val="24"/>
        </w:rPr>
        <w:t>ibrutinib</w:t>
      </w:r>
      <w:proofErr w:type="spellEnd"/>
      <w:r w:rsidRPr="00AE25D3">
        <w:rPr>
          <w:b/>
          <w:i w:val="0"/>
          <w:color w:val="auto"/>
          <w:sz w:val="24"/>
          <w:szCs w:val="24"/>
        </w:rPr>
        <w:t xml:space="preserve"> </w:t>
      </w:r>
      <w:r w:rsidR="009259BF" w:rsidRPr="00AE25D3">
        <w:rPr>
          <w:b/>
          <w:i w:val="0"/>
          <w:color w:val="auto"/>
          <w:sz w:val="24"/>
          <w:szCs w:val="24"/>
        </w:rPr>
        <w:t>as a first episode of therapy (excluding treatment breaks)</w:t>
      </w:r>
    </w:p>
    <w:p w:rsidR="00EE4E41" w:rsidRPr="00AE25D3" w:rsidRDefault="004D202B" w:rsidP="00EE4E41">
      <w:r w:rsidRPr="00AE25D3">
        <w:t xml:space="preserve">The breakdown of </w:t>
      </w:r>
      <w:proofErr w:type="spellStart"/>
      <w:r w:rsidRPr="00AE25D3">
        <w:t>ibrutinib</w:t>
      </w:r>
      <w:proofErr w:type="spellEnd"/>
      <w:r w:rsidRPr="00AE25D3">
        <w:t xml:space="preserve"> </w:t>
      </w:r>
      <w:r w:rsidR="009C117E" w:rsidRPr="00AE25D3">
        <w:t xml:space="preserve">first </w:t>
      </w:r>
      <w:r w:rsidRPr="00AE25D3">
        <w:t>initiators</w:t>
      </w:r>
      <w:r w:rsidR="003D187D" w:rsidRPr="00AE25D3">
        <w:t xml:space="preserve"> from the 1 December 2017 (date of listing on the PBS) until 30 June 2020</w:t>
      </w:r>
      <w:r w:rsidRPr="00AE25D3">
        <w:t xml:space="preserve"> by gender and age (Figure </w:t>
      </w:r>
      <w:r w:rsidR="000B0CA6" w:rsidRPr="00AE25D3">
        <w:t>5</w:t>
      </w:r>
      <w:r w:rsidRPr="00AE25D3">
        <w:t>) indicates that the majority of patients</w:t>
      </w:r>
      <w:r w:rsidR="00625413" w:rsidRPr="00AE25D3">
        <w:t xml:space="preserve"> utilising </w:t>
      </w:r>
      <w:proofErr w:type="spellStart"/>
      <w:r w:rsidR="00625413" w:rsidRPr="00AE25D3">
        <w:t>ibrutinib</w:t>
      </w:r>
      <w:proofErr w:type="spellEnd"/>
      <w:r w:rsidR="00625413" w:rsidRPr="00AE25D3">
        <w:t xml:space="preserve"> are male and</w:t>
      </w:r>
      <w:r w:rsidRPr="00AE25D3">
        <w:t xml:space="preserve"> initiate on to </w:t>
      </w:r>
      <w:proofErr w:type="spellStart"/>
      <w:r w:rsidRPr="00AE25D3">
        <w:t>ibrutinib</w:t>
      </w:r>
      <w:proofErr w:type="spellEnd"/>
      <w:r w:rsidRPr="00AE25D3">
        <w:t xml:space="preserve"> over 50 years of age. There are also </w:t>
      </w:r>
      <w:r w:rsidR="009C117E" w:rsidRPr="00AE25D3">
        <w:t xml:space="preserve">around </w:t>
      </w:r>
      <w:r w:rsidRPr="00AE25D3">
        <w:t xml:space="preserve">double the amount of males than females initiating on </w:t>
      </w:r>
      <w:proofErr w:type="spellStart"/>
      <w:r w:rsidRPr="00AE25D3">
        <w:t>ibrutinib</w:t>
      </w:r>
      <w:proofErr w:type="spellEnd"/>
      <w:r w:rsidRPr="00AE25D3">
        <w:t xml:space="preserve"> at each age group until 70-74 years old. The disparity between genders decreases as the age of initiation on to </w:t>
      </w:r>
      <w:proofErr w:type="spellStart"/>
      <w:r w:rsidRPr="00AE25D3">
        <w:t>ibrutinib</w:t>
      </w:r>
      <w:proofErr w:type="spellEnd"/>
      <w:r w:rsidRPr="00AE25D3">
        <w:t xml:space="preserve"> increases. </w:t>
      </w:r>
    </w:p>
    <w:p w:rsidR="00B5510D" w:rsidRPr="00AE25D3" w:rsidRDefault="00EE4E41" w:rsidP="00B5510D">
      <w:pPr>
        <w:keepNext/>
      </w:pPr>
      <w:r w:rsidRPr="00AE25D3">
        <w:rPr>
          <w:noProof/>
        </w:rPr>
        <w:lastRenderedPageBreak/>
        <w:drawing>
          <wp:inline distT="0" distB="0" distL="0" distR="0" wp14:anchorId="6BA3C2CF" wp14:editId="47E35036">
            <wp:extent cx="5677633" cy="3524864"/>
            <wp:effectExtent l="0" t="0" r="18415" b="0"/>
            <wp:docPr id="6" name="Chart 6" title="Figure 5: Breakdown of ibrutinib utilisation by Age and Gender from 1 December 2017 (Date of PBS listing) to 30 June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4E41" w:rsidRPr="00AE25D3" w:rsidRDefault="00B5510D" w:rsidP="00B5510D">
      <w:pPr>
        <w:pStyle w:val="Caption"/>
        <w:spacing w:before="60" w:after="60"/>
        <w:rPr>
          <w:b/>
          <w:i w:val="0"/>
          <w:color w:val="auto"/>
          <w:sz w:val="24"/>
          <w:szCs w:val="24"/>
        </w:rPr>
      </w:pPr>
      <w:r w:rsidRPr="00AE25D3">
        <w:rPr>
          <w:b/>
          <w:i w:val="0"/>
          <w:color w:val="auto"/>
          <w:sz w:val="24"/>
          <w:szCs w:val="24"/>
        </w:rPr>
        <w:t xml:space="preserve">Figure </w:t>
      </w:r>
      <w:r w:rsidR="000B0CA6" w:rsidRPr="00AE25D3">
        <w:rPr>
          <w:b/>
          <w:i w:val="0"/>
          <w:color w:val="auto"/>
          <w:sz w:val="24"/>
          <w:szCs w:val="24"/>
        </w:rPr>
        <w:t>5</w:t>
      </w:r>
      <w:r w:rsidRPr="00AE25D3">
        <w:rPr>
          <w:b/>
          <w:i w:val="0"/>
          <w:color w:val="auto"/>
          <w:sz w:val="24"/>
          <w:szCs w:val="24"/>
        </w:rPr>
        <w:t xml:space="preserve">: Breakdown of </w:t>
      </w:r>
      <w:proofErr w:type="spellStart"/>
      <w:r w:rsidRPr="00AE25D3">
        <w:rPr>
          <w:b/>
          <w:i w:val="0"/>
          <w:color w:val="auto"/>
          <w:sz w:val="24"/>
          <w:szCs w:val="24"/>
        </w:rPr>
        <w:t>ibrutinib</w:t>
      </w:r>
      <w:proofErr w:type="spellEnd"/>
      <w:r w:rsidRPr="00AE25D3">
        <w:rPr>
          <w:b/>
          <w:i w:val="0"/>
          <w:color w:val="auto"/>
          <w:sz w:val="24"/>
          <w:szCs w:val="24"/>
        </w:rPr>
        <w:t xml:space="preserve"> utilisation by Age and Gender</w:t>
      </w:r>
      <w:r w:rsidR="003D187D" w:rsidRPr="00AE25D3">
        <w:rPr>
          <w:b/>
          <w:i w:val="0"/>
          <w:color w:val="auto"/>
          <w:sz w:val="24"/>
          <w:szCs w:val="24"/>
        </w:rPr>
        <w:t xml:space="preserve"> from 1 December 2017 (Date of PBS listing) to 30 June 2020</w:t>
      </w:r>
    </w:p>
    <w:p w:rsidR="001D29C5" w:rsidRPr="00AE25D3" w:rsidRDefault="001D29C5" w:rsidP="001D29C5"/>
    <w:p w:rsidR="001D29C5" w:rsidRPr="00AE25D3" w:rsidRDefault="00BC70F8" w:rsidP="001D29C5">
      <w:r w:rsidRPr="00AE25D3">
        <w:t xml:space="preserve">The number of patients initiating treatment on to </w:t>
      </w:r>
      <w:proofErr w:type="spellStart"/>
      <w:r w:rsidRPr="00AE25D3">
        <w:t>ibrutinib</w:t>
      </w:r>
      <w:proofErr w:type="spellEnd"/>
      <w:r w:rsidRPr="00AE25D3">
        <w:t xml:space="preserve"> with a history of previous </w:t>
      </w:r>
      <w:proofErr w:type="spellStart"/>
      <w:r w:rsidRPr="00AE25D3">
        <w:t>fludarabine</w:t>
      </w:r>
      <w:proofErr w:type="spellEnd"/>
      <w:r w:rsidRPr="00AE25D3">
        <w:t xml:space="preserve"> use (the purine analogue of choice in treating CLL/SLL) is approximately </w:t>
      </w:r>
      <w:r w:rsidR="0049371E" w:rsidRPr="00AE25D3">
        <w:t>38</w:t>
      </w:r>
      <w:r w:rsidRPr="00AE25D3">
        <w:t>% in people aged less than 70</w:t>
      </w:r>
      <w:r w:rsidR="00CF2F09" w:rsidRPr="00AE25D3">
        <w:t xml:space="preserve"> (Figure </w:t>
      </w:r>
      <w:r w:rsidR="000B0CA6" w:rsidRPr="00AE25D3">
        <w:t>6</w:t>
      </w:r>
      <w:r w:rsidRPr="00AE25D3">
        <w:t xml:space="preserve">). In patients aged 70 or older </w:t>
      </w:r>
      <w:r w:rsidR="0049371E" w:rsidRPr="00AE25D3">
        <w:t>this number decreases to approximately 23%</w:t>
      </w:r>
      <w:r w:rsidR="00CF2F09" w:rsidRPr="00AE25D3">
        <w:t xml:space="preserve"> (Figure </w:t>
      </w:r>
      <w:r w:rsidR="000B0CA6" w:rsidRPr="00AE25D3">
        <w:t>6</w:t>
      </w:r>
      <w:r w:rsidR="00CF2F09" w:rsidRPr="00AE25D3">
        <w:t>)</w:t>
      </w:r>
      <w:r w:rsidRPr="00AE25D3">
        <w:t xml:space="preserve">. </w:t>
      </w:r>
    </w:p>
    <w:p w:rsidR="008464A6" w:rsidRPr="00AE25D3" w:rsidRDefault="00CE35CA" w:rsidP="008464A6">
      <w:r w:rsidRPr="00AE25D3">
        <w:t xml:space="preserve">The difference in </w:t>
      </w:r>
      <w:r w:rsidR="00A71398" w:rsidRPr="00AE25D3">
        <w:t>time</w:t>
      </w:r>
      <w:r w:rsidRPr="00AE25D3">
        <w:t xml:space="preserve"> between when a patient ceased their first episode of treatment which was assumed to be first line </w:t>
      </w:r>
      <w:r w:rsidR="00834A2E" w:rsidRPr="00AE25D3">
        <w:t xml:space="preserve">treatment for CLL/SLL </w:t>
      </w:r>
      <w:r w:rsidRPr="00AE25D3">
        <w:t xml:space="preserve">and when they began </w:t>
      </w:r>
      <w:proofErr w:type="spellStart"/>
      <w:r w:rsidRPr="00AE25D3">
        <w:t>ibrutinib</w:t>
      </w:r>
      <w:proofErr w:type="spellEnd"/>
      <w:r w:rsidRPr="00AE25D3">
        <w:t xml:space="preserve"> as subsequent treatment was also examined (Figure </w:t>
      </w:r>
      <w:r w:rsidR="000B0CA6" w:rsidRPr="00AE25D3">
        <w:t>7</w:t>
      </w:r>
      <w:r w:rsidRPr="00AE25D3">
        <w:t xml:space="preserve">). </w:t>
      </w:r>
      <w:r w:rsidR="00AF5054" w:rsidRPr="00AE25D3">
        <w:t xml:space="preserve">The results from this analysis indicate that </w:t>
      </w:r>
      <w:r w:rsidR="00A71398" w:rsidRPr="00AE25D3">
        <w:t>a large portion of patients</w:t>
      </w:r>
      <w:r w:rsidR="00CF2F09" w:rsidRPr="00AE25D3">
        <w:t xml:space="preserve"> (19%) </w:t>
      </w:r>
      <w:r w:rsidR="00AF5054" w:rsidRPr="00AE25D3">
        <w:t xml:space="preserve">move on to treatment with </w:t>
      </w:r>
      <w:proofErr w:type="spellStart"/>
      <w:r w:rsidR="00AF5054" w:rsidRPr="00AE25D3">
        <w:t>ibrutinib</w:t>
      </w:r>
      <w:proofErr w:type="spellEnd"/>
      <w:r w:rsidR="00AF5054" w:rsidRPr="00AE25D3">
        <w:t xml:space="preserve"> within </w:t>
      </w:r>
      <w:r w:rsidR="00A12AA3" w:rsidRPr="00AE25D3">
        <w:t>six</w:t>
      </w:r>
      <w:r w:rsidR="00A71398" w:rsidRPr="00AE25D3">
        <w:t xml:space="preserve"> months</w:t>
      </w:r>
      <w:r w:rsidR="00AF5054" w:rsidRPr="00AE25D3">
        <w:t xml:space="preserve"> of ceasing t</w:t>
      </w:r>
      <w:r w:rsidR="00CF2F09" w:rsidRPr="00AE25D3">
        <w:t xml:space="preserve">heir previous line medications and 68% within 42 months. </w:t>
      </w:r>
    </w:p>
    <w:p w:rsidR="00CF2F09" w:rsidRPr="00AE25D3" w:rsidRDefault="00025721" w:rsidP="00CF2F09">
      <w:pPr>
        <w:keepNext/>
      </w:pPr>
      <w:r w:rsidRPr="00AE25D3">
        <w:rPr>
          <w:noProof/>
        </w:rPr>
        <w:lastRenderedPageBreak/>
        <w:drawing>
          <wp:inline distT="0" distB="0" distL="0" distR="0" wp14:anchorId="570C6A13" wp14:editId="54BEDFB4">
            <wp:extent cx="5467350" cy="3280410"/>
            <wp:effectExtent l="0" t="0" r="0" b="15240"/>
            <wp:docPr id="8" name="Chart 8" title="Figure 6: History of purine analogue (fludarabine) use in patients initiating on to ibrutinib."/>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1CA9" w:rsidRPr="00AE25D3" w:rsidRDefault="00CF2F09" w:rsidP="00CF2F09">
      <w:pPr>
        <w:pStyle w:val="Caption"/>
        <w:rPr>
          <w:b/>
          <w:i w:val="0"/>
          <w:color w:val="auto"/>
          <w:sz w:val="24"/>
          <w:szCs w:val="24"/>
        </w:rPr>
      </w:pPr>
      <w:r w:rsidRPr="00AE25D3">
        <w:rPr>
          <w:b/>
          <w:i w:val="0"/>
          <w:color w:val="auto"/>
          <w:sz w:val="24"/>
          <w:szCs w:val="24"/>
        </w:rPr>
        <w:t xml:space="preserve">Figure </w:t>
      </w:r>
      <w:r w:rsidR="000B0CA6" w:rsidRPr="00AE25D3">
        <w:rPr>
          <w:b/>
          <w:i w:val="0"/>
          <w:color w:val="auto"/>
          <w:sz w:val="24"/>
          <w:szCs w:val="24"/>
        </w:rPr>
        <w:t>6</w:t>
      </w:r>
      <w:r w:rsidRPr="00AE25D3">
        <w:rPr>
          <w:b/>
          <w:i w:val="0"/>
          <w:color w:val="auto"/>
          <w:sz w:val="24"/>
          <w:szCs w:val="24"/>
        </w:rPr>
        <w:t>: History of purine analogue (</w:t>
      </w:r>
      <w:proofErr w:type="spellStart"/>
      <w:r w:rsidRPr="00AE25D3">
        <w:rPr>
          <w:b/>
          <w:i w:val="0"/>
          <w:color w:val="auto"/>
          <w:sz w:val="24"/>
          <w:szCs w:val="24"/>
        </w:rPr>
        <w:t>fludarabine</w:t>
      </w:r>
      <w:proofErr w:type="spellEnd"/>
      <w:r w:rsidRPr="00AE25D3">
        <w:rPr>
          <w:b/>
          <w:i w:val="0"/>
          <w:color w:val="auto"/>
          <w:sz w:val="24"/>
          <w:szCs w:val="24"/>
        </w:rPr>
        <w:t xml:space="preserve">) use in patients initiating on to </w:t>
      </w:r>
      <w:proofErr w:type="spellStart"/>
      <w:r w:rsidRPr="00AE25D3">
        <w:rPr>
          <w:b/>
          <w:i w:val="0"/>
          <w:color w:val="auto"/>
          <w:sz w:val="24"/>
          <w:szCs w:val="24"/>
        </w:rPr>
        <w:t>ibrutinib</w:t>
      </w:r>
      <w:proofErr w:type="spellEnd"/>
      <w:r w:rsidRPr="00AE25D3">
        <w:rPr>
          <w:b/>
          <w:i w:val="0"/>
          <w:color w:val="auto"/>
          <w:sz w:val="24"/>
          <w:szCs w:val="24"/>
        </w:rPr>
        <w:t>.</w:t>
      </w:r>
    </w:p>
    <w:p w:rsidR="009C1CA9" w:rsidRPr="00AE25D3" w:rsidRDefault="009C1CA9" w:rsidP="008464A6"/>
    <w:p w:rsidR="00B5510D" w:rsidRPr="00AE25D3" w:rsidRDefault="00A71398" w:rsidP="00B5510D">
      <w:pPr>
        <w:keepNext/>
      </w:pPr>
      <w:r w:rsidRPr="00AE25D3">
        <w:rPr>
          <w:noProof/>
        </w:rPr>
        <w:drawing>
          <wp:inline distT="0" distB="0" distL="0" distR="0" wp14:anchorId="7A3EB7B0" wp14:editId="7C5A8CEF">
            <wp:extent cx="5486400" cy="3938545"/>
            <wp:effectExtent l="0" t="0" r="0" b="5080"/>
            <wp:docPr id="4" name="Chart 4" title="Figure 7: Time between previous line of therapy and initiating on ibrutinib"/>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64A6" w:rsidRPr="00AE25D3" w:rsidRDefault="00B5510D" w:rsidP="00B5510D">
      <w:pPr>
        <w:pStyle w:val="Caption"/>
        <w:spacing w:before="60" w:after="60"/>
        <w:rPr>
          <w:b/>
          <w:i w:val="0"/>
          <w:color w:val="auto"/>
          <w:sz w:val="24"/>
          <w:szCs w:val="24"/>
        </w:rPr>
      </w:pPr>
      <w:r w:rsidRPr="00AE25D3">
        <w:rPr>
          <w:b/>
          <w:i w:val="0"/>
          <w:color w:val="auto"/>
          <w:sz w:val="24"/>
          <w:szCs w:val="24"/>
        </w:rPr>
        <w:t xml:space="preserve">Figure </w:t>
      </w:r>
      <w:r w:rsidR="000B0CA6" w:rsidRPr="00AE25D3">
        <w:rPr>
          <w:b/>
          <w:i w:val="0"/>
          <w:color w:val="auto"/>
          <w:sz w:val="24"/>
          <w:szCs w:val="24"/>
        </w:rPr>
        <w:t>7</w:t>
      </w:r>
      <w:r w:rsidRPr="00AE25D3">
        <w:rPr>
          <w:b/>
          <w:i w:val="0"/>
          <w:color w:val="auto"/>
          <w:sz w:val="24"/>
          <w:szCs w:val="24"/>
        </w:rPr>
        <w:t xml:space="preserve">: Time between previous line of therapy and initiating on </w:t>
      </w:r>
      <w:proofErr w:type="spellStart"/>
      <w:r w:rsidRPr="00AE25D3">
        <w:rPr>
          <w:b/>
          <w:i w:val="0"/>
          <w:color w:val="auto"/>
          <w:sz w:val="24"/>
          <w:szCs w:val="24"/>
        </w:rPr>
        <w:t>ibrutinib</w:t>
      </w:r>
      <w:proofErr w:type="spellEnd"/>
    </w:p>
    <w:p w:rsidR="00087873" w:rsidRPr="00AE25D3" w:rsidRDefault="00087873" w:rsidP="008464A6"/>
    <w:p w:rsidR="00A871C9" w:rsidRPr="00AE25D3" w:rsidRDefault="00A871C9" w:rsidP="008464A6">
      <w:pPr>
        <w:rPr>
          <w:b/>
          <w:i/>
        </w:rPr>
      </w:pPr>
      <w:r w:rsidRPr="00AE25D3">
        <w:rPr>
          <w:b/>
          <w:i/>
        </w:rPr>
        <w:lastRenderedPageBreak/>
        <w:t>Concomitant use</w:t>
      </w:r>
    </w:p>
    <w:p w:rsidR="00A871C9" w:rsidRPr="00AE25D3" w:rsidRDefault="00D749C6" w:rsidP="008464A6">
      <w:r w:rsidRPr="00AE25D3">
        <w:t xml:space="preserve">A sequence of medications was generated for patients initiating on to </w:t>
      </w:r>
      <w:proofErr w:type="spellStart"/>
      <w:r w:rsidRPr="00AE25D3">
        <w:t>ibrutinib</w:t>
      </w:r>
      <w:proofErr w:type="spellEnd"/>
      <w:r w:rsidRPr="00AE25D3">
        <w:t xml:space="preserve">. Since the listing of </w:t>
      </w:r>
      <w:proofErr w:type="spellStart"/>
      <w:r w:rsidRPr="00AE25D3">
        <w:t>ibrutinib</w:t>
      </w:r>
      <w:proofErr w:type="spellEnd"/>
      <w:r w:rsidRPr="00AE25D3">
        <w:t xml:space="preserve"> on the PBS approximately 51 patients appeared to be switching between rituximab and </w:t>
      </w:r>
      <w:proofErr w:type="spellStart"/>
      <w:r w:rsidRPr="00AE25D3">
        <w:t>ibrutinib</w:t>
      </w:r>
      <w:proofErr w:type="spellEnd"/>
      <w:r w:rsidRPr="00AE25D3">
        <w:t xml:space="preserve"> and approximately 10 patients appeared to switch between </w:t>
      </w:r>
      <w:proofErr w:type="spellStart"/>
      <w:r w:rsidRPr="00AE25D3">
        <w:t>venetoclax</w:t>
      </w:r>
      <w:proofErr w:type="spellEnd"/>
      <w:r w:rsidRPr="00AE25D3">
        <w:t xml:space="preserve"> and </w:t>
      </w:r>
      <w:proofErr w:type="spellStart"/>
      <w:r w:rsidRPr="00AE25D3">
        <w:t>ibrutinib</w:t>
      </w:r>
      <w:proofErr w:type="spellEnd"/>
      <w:r w:rsidRPr="00AE25D3">
        <w:t>.</w:t>
      </w:r>
    </w:p>
    <w:p w:rsidR="00736041" w:rsidRPr="00AE25D3" w:rsidRDefault="00D151EB" w:rsidP="00F73113">
      <w:pPr>
        <w:pStyle w:val="Heading2"/>
      </w:pPr>
      <w:r w:rsidRPr="00AE25D3">
        <w:t xml:space="preserve">Analysis </w:t>
      </w:r>
      <w:r w:rsidR="00C0076F" w:rsidRPr="00AE25D3">
        <w:t xml:space="preserve">of </w:t>
      </w:r>
      <w:r w:rsidR="0063631C" w:rsidRPr="00AE25D3">
        <w:t>a</w:t>
      </w:r>
      <w:r w:rsidR="00C0076F" w:rsidRPr="00AE25D3">
        <w:t xml:space="preserve">ctual versus </w:t>
      </w:r>
      <w:r w:rsidR="0063631C" w:rsidRPr="00AE25D3">
        <w:t>p</w:t>
      </w:r>
      <w:r w:rsidR="00C0076F" w:rsidRPr="00AE25D3">
        <w:t xml:space="preserve">redicted </w:t>
      </w:r>
      <w:r w:rsidR="0063631C" w:rsidRPr="00AE25D3">
        <w:t>u</w:t>
      </w:r>
      <w:r w:rsidR="00C0076F" w:rsidRPr="00AE25D3">
        <w:t>tilisation</w:t>
      </w:r>
    </w:p>
    <w:p w:rsidR="00E84361" w:rsidRPr="00AE25D3" w:rsidRDefault="00E84361" w:rsidP="00E84361">
      <w:r w:rsidRPr="00AE25D3">
        <w:t xml:space="preserve">In the first year of listing </w:t>
      </w:r>
      <w:proofErr w:type="spellStart"/>
      <w:r w:rsidRPr="00AE25D3">
        <w:t>ibrutinib</w:t>
      </w:r>
      <w:proofErr w:type="spellEnd"/>
      <w:r w:rsidRPr="00AE25D3">
        <w:t xml:space="preserve"> had 1,435 initiating patients. This is similar to the predicted number of patients (</w:t>
      </w:r>
      <w:r w:rsidR="00EE2ED4">
        <w:rPr>
          <w:noProof/>
          <w:color w:val="000000"/>
          <w:highlight w:val="black"/>
        </w:rPr>
        <w:t>'''''''''''</w:t>
      </w:r>
      <w:r w:rsidRPr="00AE25D3">
        <w:t xml:space="preserve">). There is a </w:t>
      </w:r>
      <w:r w:rsidR="00EE2ED4">
        <w:rPr>
          <w:noProof/>
          <w:color w:val="000000"/>
          <w:highlight w:val="black"/>
        </w:rPr>
        <w:t>''''''''</w:t>
      </w:r>
      <w:r w:rsidRPr="00AE25D3">
        <w:t xml:space="preserve"> decrease in initiating patients in 2019 compared to Year 2 of the estimates model. Initiating patients are used in the estimates model as it was assumed that patients would likely be on </w:t>
      </w:r>
      <w:proofErr w:type="spellStart"/>
      <w:r w:rsidRPr="00AE25D3">
        <w:t>ibrutinib</w:t>
      </w:r>
      <w:proofErr w:type="spellEnd"/>
      <w:r w:rsidRPr="00AE25D3">
        <w:t xml:space="preserve"> therapy for approximately </w:t>
      </w:r>
      <w:r w:rsidR="00EE2ED4">
        <w:rPr>
          <w:noProof/>
          <w:color w:val="000000"/>
          <w:highlight w:val="black"/>
        </w:rPr>
        <w:t>'''''' ''''''''''''''''</w:t>
      </w:r>
      <w:r w:rsidRPr="00AE25D3">
        <w:t xml:space="preserve">. The estimated number of packs per patient in their first year of treatment is </w:t>
      </w:r>
      <w:r w:rsidR="00EE2ED4">
        <w:rPr>
          <w:noProof/>
          <w:color w:val="000000"/>
          <w:highlight w:val="black"/>
        </w:rPr>
        <w:t>''''''''</w:t>
      </w:r>
      <w:r w:rsidRPr="00AE25D3">
        <w:t xml:space="preserve"> and the remainder in their second year. </w:t>
      </w:r>
    </w:p>
    <w:p w:rsidR="00E84361" w:rsidRPr="00AE25D3" w:rsidRDefault="00E84361" w:rsidP="00E84361">
      <w:pPr>
        <w:pStyle w:val="Caption"/>
      </w:pPr>
      <w:r w:rsidRPr="00AE25D3">
        <w:rPr>
          <w:b/>
          <w:i w:val="0"/>
          <w:color w:val="auto"/>
          <w:sz w:val="24"/>
          <w:szCs w:val="24"/>
        </w:rPr>
        <w:t>Table 3: Actual versus predicted cost to PBS/RPBS</w:t>
      </w:r>
    </w:p>
    <w:tbl>
      <w:tblPr>
        <w:tblW w:w="8922" w:type="dxa"/>
        <w:jc w:val="center"/>
        <w:tblLook w:val="04A0" w:firstRow="1" w:lastRow="0" w:firstColumn="1" w:lastColumn="0" w:noHBand="0" w:noVBand="1"/>
      </w:tblPr>
      <w:tblGrid>
        <w:gridCol w:w="1678"/>
        <w:gridCol w:w="1229"/>
        <w:gridCol w:w="1229"/>
        <w:gridCol w:w="1145"/>
        <w:gridCol w:w="1229"/>
        <w:gridCol w:w="1330"/>
        <w:gridCol w:w="1082"/>
      </w:tblGrid>
      <w:tr w:rsidR="00E84361" w:rsidRPr="00AE25D3" w:rsidTr="00BD66EF">
        <w:trPr>
          <w:trHeight w:val="69"/>
          <w:jc w:val="center"/>
        </w:trPr>
        <w:tc>
          <w:tcPr>
            <w:tcW w:w="1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84361" w:rsidRPr="00AE25D3" w:rsidRDefault="00E84361" w:rsidP="00156724">
            <w:pPr>
              <w:spacing w:before="60" w:after="60"/>
              <w:jc w:val="center"/>
              <w:rPr>
                <w:rFonts w:eastAsia="Times New Roman" w:cstheme="minorHAnsi"/>
                <w:b/>
                <w:sz w:val="20"/>
                <w:szCs w:val="20"/>
              </w:rPr>
            </w:pPr>
          </w:p>
        </w:tc>
        <w:tc>
          <w:tcPr>
            <w:tcW w:w="3603"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E84361" w:rsidRPr="00AE25D3" w:rsidRDefault="00E84361" w:rsidP="00156724">
            <w:pPr>
              <w:spacing w:before="60" w:after="60"/>
              <w:jc w:val="center"/>
              <w:rPr>
                <w:rFonts w:eastAsia="Times New Roman" w:cstheme="minorHAnsi"/>
                <w:b/>
                <w:bCs/>
                <w:color w:val="000000"/>
                <w:sz w:val="20"/>
                <w:szCs w:val="20"/>
              </w:rPr>
            </w:pPr>
            <w:r w:rsidRPr="00AE25D3">
              <w:rPr>
                <w:rFonts w:eastAsia="Times New Roman" w:cstheme="minorHAnsi"/>
                <w:b/>
                <w:bCs/>
                <w:color w:val="000000"/>
                <w:sz w:val="20"/>
                <w:szCs w:val="20"/>
              </w:rPr>
              <w:t>2018 (Year 1)</w:t>
            </w:r>
          </w:p>
        </w:tc>
        <w:tc>
          <w:tcPr>
            <w:tcW w:w="3641"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E84361" w:rsidRPr="00AE25D3" w:rsidRDefault="00E84361" w:rsidP="00156724">
            <w:pPr>
              <w:spacing w:before="60" w:after="60"/>
              <w:jc w:val="center"/>
              <w:rPr>
                <w:rFonts w:eastAsia="Times New Roman" w:cstheme="minorHAnsi"/>
                <w:b/>
                <w:bCs/>
                <w:color w:val="000000"/>
                <w:sz w:val="20"/>
                <w:szCs w:val="20"/>
              </w:rPr>
            </w:pPr>
            <w:r w:rsidRPr="00AE25D3">
              <w:rPr>
                <w:rFonts w:eastAsia="Times New Roman" w:cstheme="minorHAnsi"/>
                <w:b/>
                <w:bCs/>
                <w:color w:val="000000"/>
                <w:sz w:val="20"/>
                <w:szCs w:val="20"/>
              </w:rPr>
              <w:t>2019 (Year 2)</w:t>
            </w:r>
          </w:p>
        </w:tc>
      </w:tr>
      <w:tr w:rsidR="00E84361" w:rsidRPr="00AE25D3" w:rsidTr="00BD66EF">
        <w:trPr>
          <w:trHeight w:val="358"/>
          <w:jc w:val="center"/>
        </w:trPr>
        <w:tc>
          <w:tcPr>
            <w:tcW w:w="1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E84361" w:rsidRPr="00AE25D3" w:rsidRDefault="00E84361" w:rsidP="00156724">
            <w:pPr>
              <w:spacing w:before="60" w:after="60"/>
              <w:jc w:val="center"/>
              <w:rPr>
                <w:rFonts w:eastAsia="Times New Roman" w:cstheme="minorHAnsi"/>
                <w:b/>
                <w:sz w:val="20"/>
                <w:szCs w:val="20"/>
              </w:rPr>
            </w:pPr>
            <w:r w:rsidRPr="00AE25D3">
              <w:rPr>
                <w:rFonts w:eastAsia="Times New Roman" w:cstheme="minorHAnsi"/>
                <w:b/>
                <w:sz w:val="20"/>
                <w:szCs w:val="20"/>
              </w:rPr>
              <w:t>Parameter </w:t>
            </w:r>
          </w:p>
        </w:tc>
        <w:tc>
          <w:tcPr>
            <w:tcW w:w="122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E84361" w:rsidRPr="00AE25D3" w:rsidRDefault="00E84361" w:rsidP="00156724">
            <w:pPr>
              <w:spacing w:before="60" w:after="60"/>
              <w:jc w:val="center"/>
              <w:rPr>
                <w:rFonts w:eastAsia="Times New Roman" w:cstheme="minorHAnsi"/>
                <w:b/>
                <w:bCs/>
                <w:color w:val="000000"/>
                <w:sz w:val="20"/>
                <w:szCs w:val="20"/>
              </w:rPr>
            </w:pPr>
            <w:r w:rsidRPr="00AE25D3">
              <w:rPr>
                <w:rFonts w:eastAsia="Times New Roman" w:cstheme="minorHAnsi"/>
                <w:b/>
                <w:bCs/>
                <w:color w:val="000000"/>
                <w:sz w:val="20"/>
                <w:szCs w:val="20"/>
              </w:rPr>
              <w:t>Actual</w:t>
            </w:r>
          </w:p>
        </w:tc>
        <w:tc>
          <w:tcPr>
            <w:tcW w:w="122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E84361" w:rsidRPr="00AE25D3" w:rsidRDefault="00E84361" w:rsidP="00156724">
            <w:pPr>
              <w:spacing w:before="60" w:after="60"/>
              <w:jc w:val="center"/>
              <w:rPr>
                <w:rFonts w:eastAsia="Times New Roman" w:cstheme="minorHAnsi"/>
                <w:b/>
                <w:bCs/>
                <w:color w:val="000000"/>
                <w:sz w:val="20"/>
                <w:szCs w:val="20"/>
              </w:rPr>
            </w:pPr>
            <w:r w:rsidRPr="00AE25D3">
              <w:rPr>
                <w:rFonts w:eastAsia="Times New Roman" w:cstheme="minorHAnsi"/>
                <w:b/>
                <w:bCs/>
                <w:color w:val="000000"/>
                <w:sz w:val="20"/>
                <w:szCs w:val="20"/>
              </w:rPr>
              <w:t xml:space="preserve">Predicted </w:t>
            </w:r>
          </w:p>
        </w:tc>
        <w:tc>
          <w:tcPr>
            <w:tcW w:w="114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E84361" w:rsidRPr="00AE25D3" w:rsidRDefault="00E84361" w:rsidP="00156724">
            <w:pPr>
              <w:spacing w:before="60" w:after="60"/>
              <w:jc w:val="center"/>
              <w:rPr>
                <w:rFonts w:eastAsia="Times New Roman" w:cstheme="minorHAnsi"/>
                <w:b/>
                <w:bCs/>
                <w:color w:val="000000"/>
                <w:sz w:val="20"/>
                <w:szCs w:val="20"/>
              </w:rPr>
            </w:pPr>
            <w:r w:rsidRPr="00AE25D3">
              <w:rPr>
                <w:rFonts w:eastAsia="Times New Roman" w:cstheme="minorHAnsi"/>
                <w:b/>
                <w:bCs/>
                <w:color w:val="000000"/>
                <w:sz w:val="20"/>
                <w:szCs w:val="20"/>
              </w:rPr>
              <w:t>Difference</w:t>
            </w:r>
          </w:p>
        </w:tc>
        <w:tc>
          <w:tcPr>
            <w:tcW w:w="122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E84361" w:rsidRPr="00AE25D3" w:rsidRDefault="00E84361" w:rsidP="00156724">
            <w:pPr>
              <w:spacing w:before="60" w:after="60"/>
              <w:jc w:val="center"/>
              <w:rPr>
                <w:rFonts w:eastAsia="Times New Roman" w:cstheme="minorHAnsi"/>
                <w:b/>
                <w:bCs/>
                <w:color w:val="000000"/>
                <w:sz w:val="20"/>
                <w:szCs w:val="20"/>
              </w:rPr>
            </w:pPr>
            <w:r w:rsidRPr="00AE25D3">
              <w:rPr>
                <w:rFonts w:eastAsia="Times New Roman" w:cstheme="minorHAnsi"/>
                <w:b/>
                <w:bCs/>
                <w:color w:val="000000"/>
                <w:sz w:val="20"/>
                <w:szCs w:val="20"/>
              </w:rPr>
              <w:t>Actual</w:t>
            </w:r>
          </w:p>
        </w:tc>
        <w:tc>
          <w:tcPr>
            <w:tcW w:w="133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E84361" w:rsidRPr="00AE25D3" w:rsidRDefault="00E84361" w:rsidP="00156724">
            <w:pPr>
              <w:spacing w:before="60" w:after="60"/>
              <w:jc w:val="center"/>
              <w:rPr>
                <w:rFonts w:eastAsia="Times New Roman" w:cstheme="minorHAnsi"/>
                <w:b/>
                <w:bCs/>
                <w:color w:val="000000"/>
                <w:sz w:val="20"/>
                <w:szCs w:val="20"/>
              </w:rPr>
            </w:pPr>
            <w:r w:rsidRPr="00AE25D3">
              <w:rPr>
                <w:rFonts w:eastAsia="Times New Roman" w:cstheme="minorHAnsi"/>
                <w:b/>
                <w:bCs/>
                <w:color w:val="000000"/>
                <w:sz w:val="20"/>
                <w:szCs w:val="20"/>
              </w:rPr>
              <w:t xml:space="preserve">Predicted </w:t>
            </w:r>
          </w:p>
        </w:tc>
        <w:tc>
          <w:tcPr>
            <w:tcW w:w="108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E84361" w:rsidRPr="00AE25D3" w:rsidRDefault="00E84361" w:rsidP="00156724">
            <w:pPr>
              <w:spacing w:before="60" w:after="60"/>
              <w:jc w:val="center"/>
              <w:rPr>
                <w:rFonts w:eastAsia="Times New Roman" w:cstheme="minorHAnsi"/>
                <w:b/>
                <w:bCs/>
                <w:color w:val="000000"/>
                <w:sz w:val="20"/>
                <w:szCs w:val="20"/>
              </w:rPr>
            </w:pPr>
            <w:r w:rsidRPr="00AE25D3">
              <w:rPr>
                <w:rFonts w:eastAsia="Times New Roman" w:cstheme="minorHAnsi"/>
                <w:b/>
                <w:bCs/>
                <w:color w:val="000000"/>
                <w:sz w:val="20"/>
                <w:szCs w:val="20"/>
              </w:rPr>
              <w:t>Difference</w:t>
            </w:r>
          </w:p>
        </w:tc>
      </w:tr>
      <w:tr w:rsidR="00E84361" w:rsidRPr="00AE25D3" w:rsidTr="00BD66EF">
        <w:trPr>
          <w:trHeight w:val="298"/>
          <w:jc w:val="center"/>
        </w:trPr>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E84361" w:rsidRPr="00AE25D3" w:rsidRDefault="00E84361" w:rsidP="00156724">
            <w:pPr>
              <w:spacing w:before="60" w:afterLines="60" w:after="144"/>
              <w:jc w:val="center"/>
              <w:rPr>
                <w:rFonts w:eastAsia="Times New Roman" w:cstheme="minorHAnsi"/>
                <w:sz w:val="20"/>
                <w:szCs w:val="20"/>
              </w:rPr>
            </w:pPr>
            <w:r w:rsidRPr="00AE25D3">
              <w:rPr>
                <w:rFonts w:eastAsia="Times New Roman" w:cstheme="minorHAnsi"/>
                <w:sz w:val="20"/>
                <w:szCs w:val="20"/>
              </w:rPr>
              <w:t>Patients</w:t>
            </w:r>
          </w:p>
        </w:tc>
        <w:tc>
          <w:tcPr>
            <w:tcW w:w="1229" w:type="dxa"/>
            <w:tcBorders>
              <w:top w:val="nil"/>
              <w:left w:val="nil"/>
              <w:bottom w:val="single" w:sz="4" w:space="0" w:color="auto"/>
              <w:right w:val="single" w:sz="4" w:space="0" w:color="auto"/>
            </w:tcBorders>
            <w:shd w:val="clear" w:color="auto" w:fill="auto"/>
            <w:noWrap/>
            <w:vAlign w:val="bottom"/>
            <w:hideMark/>
          </w:tcPr>
          <w:p w:rsidR="00E84361" w:rsidRPr="00AE25D3" w:rsidRDefault="00E84361" w:rsidP="00156724">
            <w:pPr>
              <w:spacing w:before="60" w:afterLines="60" w:after="144"/>
              <w:jc w:val="center"/>
              <w:rPr>
                <w:rFonts w:eastAsia="Times New Roman" w:cstheme="minorHAnsi"/>
                <w:sz w:val="20"/>
                <w:szCs w:val="20"/>
              </w:rPr>
            </w:pPr>
            <w:r w:rsidRPr="00AE25D3">
              <w:rPr>
                <w:rFonts w:eastAsia="Times New Roman" w:cstheme="minorHAnsi"/>
                <w:sz w:val="20"/>
                <w:szCs w:val="20"/>
              </w:rPr>
              <w:t xml:space="preserve">1,435 </w:t>
            </w:r>
          </w:p>
        </w:tc>
        <w:tc>
          <w:tcPr>
            <w:tcW w:w="1229" w:type="dxa"/>
            <w:tcBorders>
              <w:top w:val="nil"/>
              <w:left w:val="nil"/>
              <w:bottom w:val="single" w:sz="4" w:space="0" w:color="auto"/>
              <w:right w:val="single" w:sz="4" w:space="0" w:color="auto"/>
            </w:tcBorders>
            <w:shd w:val="clear" w:color="auto" w:fill="auto"/>
            <w:noWrap/>
            <w:vAlign w:val="bottom"/>
            <w:hideMark/>
          </w:tcPr>
          <w:p w:rsidR="00E84361" w:rsidRPr="00EE2ED4" w:rsidRDefault="00EE2ED4" w:rsidP="00156724">
            <w:pPr>
              <w:spacing w:before="60" w:afterLines="60" w:after="144"/>
              <w:jc w:val="center"/>
              <w:rPr>
                <w:rFonts w:eastAsia="Times New Roman" w:cstheme="minorHAnsi"/>
                <w:sz w:val="20"/>
                <w:szCs w:val="20"/>
                <w:highlight w:val="black"/>
              </w:rPr>
            </w:pPr>
            <w:r>
              <w:rPr>
                <w:rFonts w:eastAsia="Times New Roman" w:cstheme="minorHAnsi"/>
                <w:noProof/>
                <w:color w:val="000000"/>
                <w:sz w:val="20"/>
                <w:szCs w:val="20"/>
                <w:highlight w:val="black"/>
              </w:rPr>
              <w:t>''''''''''</w:t>
            </w:r>
            <w:r w:rsidR="00E84361" w:rsidRPr="00EE2ED4">
              <w:rPr>
                <w:rFonts w:eastAsia="Times New Roman" w:cstheme="minorHAnsi"/>
                <w:sz w:val="20"/>
                <w:szCs w:val="20"/>
                <w:highlight w:val="black"/>
              </w:rPr>
              <w:t xml:space="preserve"> </w:t>
            </w:r>
          </w:p>
        </w:tc>
        <w:tc>
          <w:tcPr>
            <w:tcW w:w="1145" w:type="dxa"/>
            <w:tcBorders>
              <w:top w:val="nil"/>
              <w:left w:val="nil"/>
              <w:bottom w:val="single" w:sz="4" w:space="0" w:color="auto"/>
              <w:right w:val="single" w:sz="4" w:space="0" w:color="auto"/>
            </w:tcBorders>
            <w:shd w:val="clear" w:color="auto" w:fill="auto"/>
            <w:noWrap/>
            <w:vAlign w:val="bottom"/>
            <w:hideMark/>
          </w:tcPr>
          <w:p w:rsidR="00E84361" w:rsidRPr="00EE2ED4" w:rsidRDefault="00E84361" w:rsidP="00156724">
            <w:pPr>
              <w:spacing w:before="60" w:afterLines="60" w:after="144"/>
              <w:jc w:val="center"/>
              <w:rPr>
                <w:rFonts w:eastAsia="Times New Roman" w:cstheme="minorHAnsi"/>
                <w:sz w:val="20"/>
                <w:szCs w:val="20"/>
                <w:highlight w:val="black"/>
              </w:rPr>
            </w:pPr>
            <w:r w:rsidRPr="00AE25D3">
              <w:rPr>
                <w:rFonts w:eastAsia="Times New Roman" w:cstheme="minorHAnsi"/>
                <w:sz w:val="20"/>
                <w:szCs w:val="20"/>
              </w:rPr>
              <w:t> </w:t>
            </w:r>
            <w:r w:rsidR="00EE2ED4">
              <w:rPr>
                <w:rFonts w:eastAsia="Times New Roman" w:cstheme="minorHAnsi"/>
                <w:noProof/>
                <w:color w:val="000000"/>
                <w:sz w:val="20"/>
                <w:szCs w:val="20"/>
                <w:highlight w:val="black"/>
              </w:rPr>
              <w:t>''''''''</w:t>
            </w:r>
            <w:r w:rsidRPr="00EE2ED4">
              <w:rPr>
                <w:rFonts w:eastAsia="Times New Roman" w:cstheme="minorHAnsi"/>
                <w:sz w:val="20"/>
                <w:szCs w:val="20"/>
                <w:highlight w:val="black"/>
              </w:rPr>
              <w:t> </w:t>
            </w:r>
          </w:p>
        </w:tc>
        <w:tc>
          <w:tcPr>
            <w:tcW w:w="1229" w:type="dxa"/>
            <w:tcBorders>
              <w:top w:val="nil"/>
              <w:left w:val="nil"/>
              <w:bottom w:val="single" w:sz="4" w:space="0" w:color="auto"/>
              <w:right w:val="single" w:sz="4" w:space="0" w:color="auto"/>
            </w:tcBorders>
            <w:shd w:val="clear" w:color="auto" w:fill="auto"/>
            <w:noWrap/>
            <w:vAlign w:val="bottom"/>
            <w:hideMark/>
          </w:tcPr>
          <w:p w:rsidR="00E84361" w:rsidRPr="00AE25D3" w:rsidRDefault="00E84361" w:rsidP="00156724">
            <w:pPr>
              <w:spacing w:before="60" w:afterLines="60" w:after="144"/>
              <w:jc w:val="center"/>
              <w:rPr>
                <w:rFonts w:eastAsia="Times New Roman" w:cstheme="minorHAnsi"/>
                <w:sz w:val="20"/>
                <w:szCs w:val="20"/>
              </w:rPr>
            </w:pPr>
            <w:r w:rsidRPr="00AE25D3">
              <w:rPr>
                <w:rFonts w:eastAsia="Times New Roman" w:cstheme="minorHAnsi"/>
                <w:sz w:val="20"/>
                <w:szCs w:val="20"/>
              </w:rPr>
              <w:t xml:space="preserve">463 </w:t>
            </w:r>
          </w:p>
        </w:tc>
        <w:tc>
          <w:tcPr>
            <w:tcW w:w="1330" w:type="dxa"/>
            <w:tcBorders>
              <w:top w:val="nil"/>
              <w:left w:val="nil"/>
              <w:bottom w:val="single" w:sz="4" w:space="0" w:color="auto"/>
              <w:right w:val="single" w:sz="4" w:space="0" w:color="auto"/>
            </w:tcBorders>
            <w:shd w:val="clear" w:color="auto" w:fill="auto"/>
            <w:noWrap/>
            <w:vAlign w:val="bottom"/>
            <w:hideMark/>
          </w:tcPr>
          <w:p w:rsidR="00E84361" w:rsidRPr="00EE2ED4" w:rsidRDefault="00EE2ED4" w:rsidP="00156724">
            <w:pPr>
              <w:spacing w:before="60" w:afterLines="60" w:after="144"/>
              <w:jc w:val="center"/>
              <w:rPr>
                <w:rFonts w:eastAsia="Times New Roman" w:cstheme="minorHAnsi"/>
                <w:sz w:val="20"/>
                <w:szCs w:val="20"/>
                <w:highlight w:val="black"/>
              </w:rPr>
            </w:pPr>
            <w:r>
              <w:rPr>
                <w:rFonts w:eastAsia="Times New Roman" w:cstheme="minorHAnsi"/>
                <w:noProof/>
                <w:color w:val="000000"/>
                <w:sz w:val="20"/>
                <w:szCs w:val="20"/>
                <w:highlight w:val="black"/>
              </w:rPr>
              <w:t xml:space="preserve">'''''''' </w:t>
            </w:r>
          </w:p>
        </w:tc>
        <w:tc>
          <w:tcPr>
            <w:tcW w:w="1082" w:type="dxa"/>
            <w:tcBorders>
              <w:top w:val="nil"/>
              <w:left w:val="nil"/>
              <w:bottom w:val="single" w:sz="4" w:space="0" w:color="auto"/>
              <w:right w:val="single" w:sz="4" w:space="0" w:color="auto"/>
            </w:tcBorders>
            <w:shd w:val="clear" w:color="auto" w:fill="auto"/>
            <w:noWrap/>
            <w:vAlign w:val="bottom"/>
            <w:hideMark/>
          </w:tcPr>
          <w:p w:rsidR="00E84361" w:rsidRPr="00EE2ED4" w:rsidRDefault="00E84361" w:rsidP="00156724">
            <w:pPr>
              <w:spacing w:before="60" w:afterLines="60" w:after="144"/>
              <w:jc w:val="center"/>
              <w:rPr>
                <w:rFonts w:eastAsia="Times New Roman" w:cstheme="minorHAnsi"/>
                <w:sz w:val="20"/>
                <w:szCs w:val="20"/>
                <w:highlight w:val="black"/>
              </w:rPr>
            </w:pPr>
            <w:r w:rsidRPr="00AE25D3">
              <w:rPr>
                <w:rFonts w:eastAsia="Times New Roman" w:cstheme="minorHAnsi"/>
                <w:sz w:val="20"/>
                <w:szCs w:val="20"/>
              </w:rPr>
              <w:t> </w:t>
            </w:r>
            <w:r w:rsidR="00EE2ED4">
              <w:rPr>
                <w:rFonts w:eastAsia="Times New Roman" w:cstheme="minorHAnsi"/>
                <w:noProof/>
                <w:color w:val="000000"/>
                <w:sz w:val="20"/>
                <w:szCs w:val="20"/>
                <w:highlight w:val="black"/>
              </w:rPr>
              <w:t>'''''''''</w:t>
            </w:r>
          </w:p>
        </w:tc>
      </w:tr>
      <w:tr w:rsidR="00E84361" w:rsidRPr="00AE25D3" w:rsidTr="00BD66EF">
        <w:trPr>
          <w:trHeight w:val="298"/>
          <w:jc w:val="center"/>
        </w:trPr>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E84361" w:rsidRPr="00AE25D3" w:rsidRDefault="00E84361" w:rsidP="00156724">
            <w:pPr>
              <w:spacing w:before="60" w:afterLines="60" w:after="144"/>
              <w:jc w:val="center"/>
              <w:rPr>
                <w:rFonts w:eastAsia="Times New Roman" w:cstheme="minorHAnsi"/>
                <w:sz w:val="20"/>
                <w:szCs w:val="20"/>
              </w:rPr>
            </w:pPr>
            <w:r w:rsidRPr="00AE25D3">
              <w:rPr>
                <w:rFonts w:eastAsia="Times New Roman" w:cstheme="minorHAnsi"/>
                <w:sz w:val="20"/>
                <w:szCs w:val="20"/>
              </w:rPr>
              <w:t xml:space="preserve">Estimated Packs </w:t>
            </w:r>
          </w:p>
        </w:tc>
        <w:tc>
          <w:tcPr>
            <w:tcW w:w="1229" w:type="dxa"/>
            <w:tcBorders>
              <w:top w:val="nil"/>
              <w:left w:val="nil"/>
              <w:bottom w:val="single" w:sz="4" w:space="0" w:color="auto"/>
              <w:right w:val="single" w:sz="4" w:space="0" w:color="auto"/>
            </w:tcBorders>
            <w:shd w:val="clear" w:color="auto" w:fill="auto"/>
            <w:noWrap/>
            <w:vAlign w:val="bottom"/>
            <w:hideMark/>
          </w:tcPr>
          <w:p w:rsidR="00E84361" w:rsidRPr="00AE25D3" w:rsidRDefault="00E84361" w:rsidP="00156724">
            <w:pPr>
              <w:spacing w:before="60" w:afterLines="60" w:after="144"/>
              <w:jc w:val="center"/>
              <w:rPr>
                <w:rFonts w:eastAsia="Times New Roman" w:cstheme="minorHAnsi"/>
                <w:sz w:val="20"/>
                <w:szCs w:val="20"/>
              </w:rPr>
            </w:pPr>
            <w:r w:rsidRPr="00AE25D3">
              <w:rPr>
                <w:rFonts w:eastAsia="Times New Roman" w:cstheme="minorHAnsi"/>
                <w:sz w:val="20"/>
                <w:szCs w:val="20"/>
              </w:rPr>
              <w:t xml:space="preserve">16,503 </w:t>
            </w:r>
          </w:p>
        </w:tc>
        <w:tc>
          <w:tcPr>
            <w:tcW w:w="1229" w:type="dxa"/>
            <w:tcBorders>
              <w:top w:val="nil"/>
              <w:left w:val="nil"/>
              <w:bottom w:val="single" w:sz="4" w:space="0" w:color="auto"/>
              <w:right w:val="single" w:sz="4" w:space="0" w:color="auto"/>
            </w:tcBorders>
            <w:shd w:val="clear" w:color="auto" w:fill="auto"/>
            <w:noWrap/>
            <w:vAlign w:val="bottom"/>
            <w:hideMark/>
          </w:tcPr>
          <w:p w:rsidR="00E84361" w:rsidRPr="00EE2ED4" w:rsidRDefault="00EE2ED4" w:rsidP="00156724">
            <w:pPr>
              <w:spacing w:before="60" w:afterLines="60" w:after="144"/>
              <w:jc w:val="center"/>
              <w:rPr>
                <w:rFonts w:eastAsia="Times New Roman" w:cstheme="minorHAnsi"/>
                <w:sz w:val="20"/>
                <w:szCs w:val="20"/>
                <w:highlight w:val="black"/>
              </w:rPr>
            </w:pPr>
            <w:r>
              <w:rPr>
                <w:rFonts w:eastAsia="Times New Roman" w:cstheme="minorHAnsi"/>
                <w:noProof/>
                <w:color w:val="000000"/>
                <w:sz w:val="20"/>
                <w:szCs w:val="20"/>
                <w:highlight w:val="black"/>
              </w:rPr>
              <w:t>''''''''''''</w:t>
            </w:r>
            <w:r w:rsidR="00E84361" w:rsidRPr="00EE2ED4">
              <w:rPr>
                <w:rFonts w:eastAsia="Times New Roman" w:cstheme="minorHAnsi"/>
                <w:sz w:val="20"/>
                <w:szCs w:val="20"/>
                <w:highlight w:val="black"/>
              </w:rPr>
              <w:t xml:space="preserve"> </w:t>
            </w:r>
          </w:p>
        </w:tc>
        <w:tc>
          <w:tcPr>
            <w:tcW w:w="1145" w:type="dxa"/>
            <w:tcBorders>
              <w:top w:val="nil"/>
              <w:left w:val="nil"/>
              <w:bottom w:val="single" w:sz="4" w:space="0" w:color="auto"/>
              <w:right w:val="single" w:sz="4" w:space="0" w:color="auto"/>
            </w:tcBorders>
            <w:shd w:val="clear" w:color="auto" w:fill="auto"/>
            <w:noWrap/>
            <w:vAlign w:val="bottom"/>
            <w:hideMark/>
          </w:tcPr>
          <w:p w:rsidR="00E84361" w:rsidRPr="00EE2ED4" w:rsidRDefault="00EE2ED4" w:rsidP="00156724">
            <w:pPr>
              <w:spacing w:before="60" w:afterLines="60" w:after="144"/>
              <w:jc w:val="center"/>
              <w:rPr>
                <w:rFonts w:eastAsia="Times New Roman" w:cstheme="minorHAnsi"/>
                <w:sz w:val="20"/>
                <w:szCs w:val="20"/>
                <w:highlight w:val="black"/>
              </w:rPr>
            </w:pPr>
            <w:r>
              <w:rPr>
                <w:rFonts w:eastAsia="Times New Roman" w:cstheme="minorHAnsi"/>
                <w:noProof/>
                <w:color w:val="000000"/>
                <w:sz w:val="20"/>
                <w:szCs w:val="20"/>
                <w:highlight w:val="black"/>
              </w:rPr>
              <w:t>'''''''</w:t>
            </w:r>
          </w:p>
        </w:tc>
        <w:tc>
          <w:tcPr>
            <w:tcW w:w="1229" w:type="dxa"/>
            <w:tcBorders>
              <w:top w:val="nil"/>
              <w:left w:val="nil"/>
              <w:bottom w:val="single" w:sz="4" w:space="0" w:color="auto"/>
              <w:right w:val="single" w:sz="4" w:space="0" w:color="auto"/>
            </w:tcBorders>
            <w:shd w:val="clear" w:color="auto" w:fill="auto"/>
            <w:noWrap/>
            <w:vAlign w:val="bottom"/>
            <w:hideMark/>
          </w:tcPr>
          <w:p w:rsidR="00E84361" w:rsidRPr="00AE25D3" w:rsidRDefault="00E84361" w:rsidP="00156724">
            <w:pPr>
              <w:spacing w:before="60" w:afterLines="60" w:after="144"/>
              <w:jc w:val="center"/>
              <w:rPr>
                <w:rFonts w:eastAsia="Times New Roman" w:cstheme="minorHAnsi"/>
                <w:sz w:val="20"/>
                <w:szCs w:val="20"/>
              </w:rPr>
            </w:pPr>
            <w:r w:rsidRPr="00AE25D3">
              <w:rPr>
                <w:rFonts w:eastAsia="Times New Roman" w:cstheme="minorHAnsi"/>
                <w:sz w:val="20"/>
                <w:szCs w:val="20"/>
              </w:rPr>
              <w:t>19,393</w:t>
            </w:r>
          </w:p>
        </w:tc>
        <w:tc>
          <w:tcPr>
            <w:tcW w:w="1330" w:type="dxa"/>
            <w:tcBorders>
              <w:top w:val="nil"/>
              <w:left w:val="nil"/>
              <w:bottom w:val="single" w:sz="4" w:space="0" w:color="auto"/>
              <w:right w:val="single" w:sz="4" w:space="0" w:color="auto"/>
            </w:tcBorders>
            <w:shd w:val="clear" w:color="auto" w:fill="auto"/>
            <w:noWrap/>
            <w:vAlign w:val="bottom"/>
            <w:hideMark/>
          </w:tcPr>
          <w:p w:rsidR="00E84361" w:rsidRPr="00EE2ED4" w:rsidRDefault="00EE2ED4" w:rsidP="00156724">
            <w:pPr>
              <w:spacing w:before="60" w:afterLines="60" w:after="144"/>
              <w:jc w:val="center"/>
              <w:rPr>
                <w:rFonts w:eastAsia="Times New Roman" w:cstheme="minorHAnsi"/>
                <w:sz w:val="20"/>
                <w:szCs w:val="20"/>
                <w:highlight w:val="black"/>
              </w:rPr>
            </w:pPr>
            <w:r>
              <w:rPr>
                <w:rFonts w:eastAsia="Times New Roman" w:cstheme="minorHAnsi"/>
                <w:noProof/>
                <w:color w:val="000000"/>
                <w:sz w:val="20"/>
                <w:szCs w:val="20"/>
                <w:highlight w:val="black"/>
              </w:rPr>
              <w:t>''''''''''''''</w:t>
            </w:r>
          </w:p>
        </w:tc>
        <w:tc>
          <w:tcPr>
            <w:tcW w:w="1082" w:type="dxa"/>
            <w:tcBorders>
              <w:top w:val="nil"/>
              <w:left w:val="nil"/>
              <w:bottom w:val="single" w:sz="4" w:space="0" w:color="auto"/>
              <w:right w:val="single" w:sz="4" w:space="0" w:color="auto"/>
            </w:tcBorders>
            <w:shd w:val="clear" w:color="auto" w:fill="auto"/>
            <w:noWrap/>
            <w:vAlign w:val="bottom"/>
            <w:hideMark/>
          </w:tcPr>
          <w:p w:rsidR="00E84361" w:rsidRPr="00EE2ED4" w:rsidRDefault="00EE2ED4" w:rsidP="00156724">
            <w:pPr>
              <w:spacing w:before="60" w:afterLines="60" w:after="144"/>
              <w:jc w:val="center"/>
              <w:rPr>
                <w:rFonts w:eastAsia="Times New Roman" w:cstheme="minorHAnsi"/>
                <w:sz w:val="20"/>
                <w:szCs w:val="20"/>
                <w:highlight w:val="black"/>
              </w:rPr>
            </w:pPr>
            <w:r>
              <w:rPr>
                <w:rFonts w:eastAsia="Times New Roman" w:cstheme="minorHAnsi"/>
                <w:noProof/>
                <w:color w:val="000000"/>
                <w:sz w:val="20"/>
                <w:szCs w:val="20"/>
                <w:highlight w:val="black"/>
              </w:rPr>
              <w:t>'''''''''''</w:t>
            </w:r>
          </w:p>
        </w:tc>
      </w:tr>
      <w:tr w:rsidR="00BD66EF" w:rsidRPr="00AE25D3" w:rsidTr="00054823">
        <w:trPr>
          <w:trHeight w:val="298"/>
          <w:jc w:val="center"/>
        </w:trPr>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BD66EF" w:rsidRPr="00AE25D3" w:rsidRDefault="00BD66EF" w:rsidP="00BD66EF">
            <w:pPr>
              <w:spacing w:before="60" w:afterLines="60" w:after="144"/>
              <w:jc w:val="center"/>
              <w:rPr>
                <w:rFonts w:eastAsia="Times New Roman" w:cstheme="minorHAnsi"/>
                <w:sz w:val="20"/>
                <w:szCs w:val="20"/>
              </w:rPr>
            </w:pPr>
            <w:r w:rsidRPr="00AE25D3">
              <w:rPr>
                <w:rFonts w:eastAsia="Times New Roman" w:cstheme="minorHAnsi"/>
                <w:sz w:val="20"/>
                <w:szCs w:val="20"/>
              </w:rPr>
              <w:t>Total cost</w:t>
            </w:r>
          </w:p>
        </w:tc>
        <w:tc>
          <w:tcPr>
            <w:tcW w:w="1229" w:type="dxa"/>
            <w:tcBorders>
              <w:top w:val="nil"/>
              <w:left w:val="nil"/>
              <w:bottom w:val="single" w:sz="4" w:space="0" w:color="auto"/>
              <w:right w:val="single" w:sz="4" w:space="0" w:color="auto"/>
            </w:tcBorders>
            <w:shd w:val="clear" w:color="auto" w:fill="auto"/>
            <w:noWrap/>
            <w:hideMark/>
          </w:tcPr>
          <w:p w:rsidR="00BD66EF" w:rsidRPr="00EE2ED4" w:rsidRDefault="00EE2ED4" w:rsidP="00BD66EF">
            <w:pPr>
              <w:spacing w:before="60" w:afterLines="60" w:after="144"/>
              <w:jc w:val="center"/>
              <w:rPr>
                <w:rFonts w:eastAsia="Times New Roman" w:cstheme="minorHAnsi"/>
                <w:sz w:val="20"/>
                <w:szCs w:val="20"/>
                <w:highlight w:val="black"/>
              </w:rPr>
            </w:pPr>
            <w:r>
              <w:rPr>
                <w:rFonts w:eastAsia="Times New Roman" w:cstheme="minorHAnsi"/>
                <w:noProof/>
                <w:color w:val="000000"/>
                <w:sz w:val="20"/>
                <w:szCs w:val="20"/>
                <w:highlight w:val="black"/>
              </w:rPr>
              <w:t>'''''</w:t>
            </w:r>
          </w:p>
        </w:tc>
        <w:tc>
          <w:tcPr>
            <w:tcW w:w="1229" w:type="dxa"/>
            <w:tcBorders>
              <w:top w:val="nil"/>
              <w:left w:val="nil"/>
              <w:bottom w:val="single" w:sz="4" w:space="0" w:color="auto"/>
              <w:right w:val="single" w:sz="4" w:space="0" w:color="auto"/>
            </w:tcBorders>
            <w:shd w:val="clear" w:color="auto" w:fill="auto"/>
            <w:noWrap/>
            <w:hideMark/>
          </w:tcPr>
          <w:p w:rsidR="00BD66EF" w:rsidRPr="00EE2ED4" w:rsidRDefault="00EE2ED4" w:rsidP="00BD66EF">
            <w:pPr>
              <w:spacing w:before="60" w:afterLines="60" w:after="144"/>
              <w:jc w:val="center"/>
              <w:rPr>
                <w:rFonts w:eastAsia="Times New Roman" w:cstheme="minorHAnsi"/>
                <w:sz w:val="20"/>
                <w:szCs w:val="20"/>
                <w:highlight w:val="black"/>
              </w:rPr>
            </w:pPr>
            <w:r>
              <w:rPr>
                <w:rFonts w:eastAsia="Times New Roman" w:cstheme="minorHAnsi"/>
                <w:noProof/>
                <w:color w:val="000000"/>
                <w:sz w:val="20"/>
                <w:szCs w:val="20"/>
                <w:highlight w:val="black"/>
              </w:rPr>
              <w:t>'''''</w:t>
            </w:r>
          </w:p>
        </w:tc>
        <w:tc>
          <w:tcPr>
            <w:tcW w:w="1145" w:type="dxa"/>
            <w:tcBorders>
              <w:top w:val="nil"/>
              <w:left w:val="nil"/>
              <w:bottom w:val="single" w:sz="4" w:space="0" w:color="auto"/>
              <w:right w:val="single" w:sz="4" w:space="0" w:color="auto"/>
            </w:tcBorders>
            <w:shd w:val="clear" w:color="auto" w:fill="auto"/>
            <w:noWrap/>
            <w:vAlign w:val="bottom"/>
            <w:hideMark/>
          </w:tcPr>
          <w:p w:rsidR="00BD66EF" w:rsidRPr="00AE25D3" w:rsidRDefault="00BD66EF" w:rsidP="00BD66EF">
            <w:pPr>
              <w:spacing w:before="60" w:afterLines="60" w:after="144"/>
              <w:jc w:val="center"/>
              <w:rPr>
                <w:rFonts w:eastAsia="Times New Roman" w:cstheme="minorHAnsi"/>
                <w:sz w:val="20"/>
                <w:szCs w:val="20"/>
              </w:rPr>
            </w:pPr>
            <w:r w:rsidRPr="00AE25D3">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noWrap/>
            <w:hideMark/>
          </w:tcPr>
          <w:p w:rsidR="00BD66EF" w:rsidRPr="00EE2ED4" w:rsidRDefault="00EE2ED4" w:rsidP="00BD66EF">
            <w:pPr>
              <w:spacing w:before="60" w:afterLines="60" w:after="144"/>
              <w:jc w:val="center"/>
              <w:rPr>
                <w:rFonts w:eastAsia="Times New Roman" w:cstheme="minorHAnsi"/>
                <w:sz w:val="20"/>
                <w:szCs w:val="20"/>
                <w:highlight w:val="black"/>
              </w:rPr>
            </w:pPr>
            <w:r>
              <w:rPr>
                <w:rFonts w:eastAsia="Times New Roman" w:cstheme="minorHAnsi"/>
                <w:noProof/>
                <w:color w:val="000000"/>
                <w:sz w:val="20"/>
                <w:szCs w:val="20"/>
                <w:highlight w:val="black"/>
              </w:rPr>
              <w:t>'''''</w:t>
            </w:r>
          </w:p>
        </w:tc>
        <w:tc>
          <w:tcPr>
            <w:tcW w:w="1330" w:type="dxa"/>
            <w:tcBorders>
              <w:top w:val="nil"/>
              <w:left w:val="nil"/>
              <w:bottom w:val="single" w:sz="4" w:space="0" w:color="auto"/>
              <w:right w:val="single" w:sz="4" w:space="0" w:color="auto"/>
            </w:tcBorders>
            <w:shd w:val="clear" w:color="auto" w:fill="auto"/>
            <w:noWrap/>
            <w:hideMark/>
          </w:tcPr>
          <w:p w:rsidR="00BD66EF" w:rsidRPr="00EE2ED4" w:rsidRDefault="00EE2ED4" w:rsidP="00BD66EF">
            <w:pPr>
              <w:spacing w:before="60" w:afterLines="60" w:after="144"/>
              <w:jc w:val="center"/>
              <w:rPr>
                <w:rFonts w:eastAsia="Times New Roman" w:cstheme="minorHAnsi"/>
                <w:sz w:val="20"/>
                <w:szCs w:val="20"/>
                <w:highlight w:val="black"/>
              </w:rPr>
            </w:pPr>
            <w:r>
              <w:rPr>
                <w:rFonts w:eastAsia="Times New Roman" w:cstheme="minorHAnsi"/>
                <w:noProof/>
                <w:color w:val="000000"/>
                <w:sz w:val="20"/>
                <w:szCs w:val="20"/>
                <w:highlight w:val="black"/>
              </w:rPr>
              <w:t>''''''</w:t>
            </w:r>
          </w:p>
        </w:tc>
        <w:tc>
          <w:tcPr>
            <w:tcW w:w="1082" w:type="dxa"/>
            <w:tcBorders>
              <w:top w:val="nil"/>
              <w:left w:val="nil"/>
              <w:bottom w:val="single" w:sz="4" w:space="0" w:color="auto"/>
              <w:right w:val="single" w:sz="4" w:space="0" w:color="auto"/>
            </w:tcBorders>
            <w:shd w:val="clear" w:color="auto" w:fill="auto"/>
            <w:noWrap/>
            <w:vAlign w:val="bottom"/>
            <w:hideMark/>
          </w:tcPr>
          <w:p w:rsidR="00BD66EF" w:rsidRPr="00AE25D3" w:rsidRDefault="00BD66EF" w:rsidP="00BD66EF">
            <w:pPr>
              <w:spacing w:before="60" w:afterLines="60" w:after="144"/>
              <w:jc w:val="center"/>
              <w:rPr>
                <w:rFonts w:eastAsia="Times New Roman" w:cstheme="minorHAnsi"/>
                <w:sz w:val="20"/>
                <w:szCs w:val="20"/>
              </w:rPr>
            </w:pPr>
            <w:r w:rsidRPr="00AE25D3">
              <w:rPr>
                <w:rFonts w:eastAsia="Times New Roman" w:cstheme="minorHAnsi"/>
                <w:sz w:val="20"/>
                <w:szCs w:val="20"/>
              </w:rPr>
              <w:t> </w:t>
            </w:r>
          </w:p>
        </w:tc>
      </w:tr>
      <w:tr w:rsidR="00BD66EF" w:rsidRPr="00AE25D3" w:rsidTr="00054823">
        <w:trPr>
          <w:trHeight w:val="298"/>
          <w:jc w:val="center"/>
        </w:trPr>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BD66EF" w:rsidRPr="00AE25D3" w:rsidRDefault="00BD66EF" w:rsidP="00BD66EF">
            <w:pPr>
              <w:spacing w:before="60" w:afterLines="60" w:after="144"/>
              <w:jc w:val="center"/>
              <w:rPr>
                <w:rFonts w:eastAsia="Times New Roman" w:cstheme="minorHAnsi"/>
                <w:sz w:val="20"/>
                <w:szCs w:val="20"/>
              </w:rPr>
            </w:pPr>
            <w:r w:rsidRPr="00AE25D3">
              <w:rPr>
                <w:rFonts w:eastAsia="Times New Roman" w:cstheme="minorHAnsi"/>
                <w:sz w:val="20"/>
                <w:szCs w:val="20"/>
              </w:rPr>
              <w:t>Co-pays</w:t>
            </w:r>
          </w:p>
        </w:tc>
        <w:tc>
          <w:tcPr>
            <w:tcW w:w="1229" w:type="dxa"/>
            <w:tcBorders>
              <w:top w:val="nil"/>
              <w:left w:val="nil"/>
              <w:bottom w:val="single" w:sz="4" w:space="0" w:color="auto"/>
              <w:right w:val="single" w:sz="4" w:space="0" w:color="auto"/>
            </w:tcBorders>
            <w:shd w:val="clear" w:color="auto" w:fill="auto"/>
            <w:noWrap/>
            <w:hideMark/>
          </w:tcPr>
          <w:p w:rsidR="00BD66EF" w:rsidRPr="00EE2ED4" w:rsidRDefault="00EE2ED4" w:rsidP="00BD66EF">
            <w:pPr>
              <w:spacing w:before="60" w:afterLines="60" w:after="144"/>
              <w:jc w:val="center"/>
              <w:rPr>
                <w:rFonts w:eastAsia="Times New Roman" w:cstheme="minorHAnsi"/>
                <w:sz w:val="20"/>
                <w:szCs w:val="20"/>
                <w:highlight w:val="black"/>
              </w:rPr>
            </w:pPr>
            <w:r>
              <w:rPr>
                <w:rFonts w:eastAsia="Times New Roman" w:cstheme="minorHAnsi"/>
                <w:noProof/>
                <w:color w:val="000000"/>
                <w:sz w:val="20"/>
                <w:szCs w:val="20"/>
                <w:highlight w:val="black"/>
              </w:rPr>
              <w:t>'''''</w:t>
            </w:r>
          </w:p>
        </w:tc>
        <w:tc>
          <w:tcPr>
            <w:tcW w:w="1229" w:type="dxa"/>
            <w:tcBorders>
              <w:top w:val="nil"/>
              <w:left w:val="nil"/>
              <w:bottom w:val="single" w:sz="4" w:space="0" w:color="auto"/>
              <w:right w:val="single" w:sz="4" w:space="0" w:color="auto"/>
            </w:tcBorders>
            <w:shd w:val="clear" w:color="auto" w:fill="auto"/>
            <w:noWrap/>
            <w:hideMark/>
          </w:tcPr>
          <w:p w:rsidR="00BD66EF" w:rsidRPr="00EE2ED4" w:rsidRDefault="00EE2ED4" w:rsidP="00BD66EF">
            <w:pPr>
              <w:spacing w:before="60" w:afterLines="60" w:after="144"/>
              <w:jc w:val="center"/>
              <w:rPr>
                <w:rFonts w:eastAsia="Times New Roman" w:cstheme="minorHAnsi"/>
                <w:sz w:val="20"/>
                <w:szCs w:val="20"/>
                <w:highlight w:val="black"/>
              </w:rPr>
            </w:pPr>
            <w:r>
              <w:rPr>
                <w:rFonts w:eastAsia="Times New Roman" w:cstheme="minorHAnsi"/>
                <w:noProof/>
                <w:color w:val="000000"/>
                <w:sz w:val="20"/>
                <w:szCs w:val="20"/>
                <w:highlight w:val="black"/>
              </w:rPr>
              <w:t>'''''</w:t>
            </w:r>
          </w:p>
        </w:tc>
        <w:tc>
          <w:tcPr>
            <w:tcW w:w="1145" w:type="dxa"/>
            <w:tcBorders>
              <w:top w:val="nil"/>
              <w:left w:val="nil"/>
              <w:bottom w:val="single" w:sz="4" w:space="0" w:color="auto"/>
              <w:right w:val="single" w:sz="4" w:space="0" w:color="auto"/>
            </w:tcBorders>
            <w:shd w:val="clear" w:color="auto" w:fill="auto"/>
            <w:noWrap/>
            <w:vAlign w:val="bottom"/>
            <w:hideMark/>
          </w:tcPr>
          <w:p w:rsidR="00BD66EF" w:rsidRPr="00AE25D3" w:rsidRDefault="00BD66EF" w:rsidP="00BD66EF">
            <w:pPr>
              <w:spacing w:before="60" w:afterLines="60" w:after="144"/>
              <w:jc w:val="center"/>
              <w:rPr>
                <w:rFonts w:eastAsia="Times New Roman" w:cstheme="minorHAnsi"/>
                <w:sz w:val="20"/>
                <w:szCs w:val="20"/>
              </w:rPr>
            </w:pPr>
            <w:r w:rsidRPr="00AE25D3">
              <w:rPr>
                <w:rFonts w:eastAsia="Times New Roman" w:cstheme="minorHAnsi"/>
                <w:sz w:val="20"/>
                <w:szCs w:val="20"/>
              </w:rPr>
              <w:t> </w:t>
            </w:r>
          </w:p>
        </w:tc>
        <w:tc>
          <w:tcPr>
            <w:tcW w:w="1229" w:type="dxa"/>
            <w:tcBorders>
              <w:top w:val="nil"/>
              <w:left w:val="nil"/>
              <w:bottom w:val="single" w:sz="4" w:space="0" w:color="auto"/>
              <w:right w:val="single" w:sz="4" w:space="0" w:color="auto"/>
            </w:tcBorders>
            <w:shd w:val="clear" w:color="auto" w:fill="auto"/>
            <w:noWrap/>
            <w:hideMark/>
          </w:tcPr>
          <w:p w:rsidR="00BD66EF" w:rsidRPr="00EE2ED4" w:rsidRDefault="00EE2ED4" w:rsidP="00BD66EF">
            <w:pPr>
              <w:spacing w:before="60" w:afterLines="60" w:after="144"/>
              <w:jc w:val="center"/>
              <w:rPr>
                <w:rFonts w:eastAsia="Times New Roman" w:cstheme="minorHAnsi"/>
                <w:sz w:val="20"/>
                <w:szCs w:val="20"/>
                <w:highlight w:val="black"/>
              </w:rPr>
            </w:pPr>
            <w:r>
              <w:rPr>
                <w:rFonts w:eastAsia="Times New Roman" w:cstheme="minorHAnsi"/>
                <w:noProof/>
                <w:color w:val="000000"/>
                <w:sz w:val="20"/>
                <w:szCs w:val="20"/>
                <w:highlight w:val="black"/>
              </w:rPr>
              <w:t>''''''</w:t>
            </w:r>
          </w:p>
        </w:tc>
        <w:tc>
          <w:tcPr>
            <w:tcW w:w="1330" w:type="dxa"/>
            <w:tcBorders>
              <w:top w:val="nil"/>
              <w:left w:val="nil"/>
              <w:bottom w:val="single" w:sz="4" w:space="0" w:color="auto"/>
              <w:right w:val="single" w:sz="4" w:space="0" w:color="auto"/>
            </w:tcBorders>
            <w:shd w:val="clear" w:color="auto" w:fill="auto"/>
            <w:noWrap/>
            <w:hideMark/>
          </w:tcPr>
          <w:p w:rsidR="00BD66EF" w:rsidRPr="00EE2ED4" w:rsidRDefault="00EE2ED4" w:rsidP="00BD66EF">
            <w:pPr>
              <w:spacing w:before="60" w:afterLines="60" w:after="144"/>
              <w:jc w:val="center"/>
              <w:rPr>
                <w:rFonts w:eastAsia="Times New Roman" w:cstheme="minorHAnsi"/>
                <w:sz w:val="20"/>
                <w:szCs w:val="20"/>
                <w:highlight w:val="black"/>
              </w:rPr>
            </w:pPr>
            <w:r>
              <w:rPr>
                <w:rFonts w:eastAsia="Times New Roman" w:cstheme="minorHAnsi"/>
                <w:noProof/>
                <w:color w:val="000000"/>
                <w:sz w:val="20"/>
                <w:szCs w:val="20"/>
                <w:highlight w:val="black"/>
              </w:rPr>
              <w:t>'''''</w:t>
            </w:r>
          </w:p>
        </w:tc>
        <w:tc>
          <w:tcPr>
            <w:tcW w:w="1082" w:type="dxa"/>
            <w:tcBorders>
              <w:top w:val="nil"/>
              <w:left w:val="nil"/>
              <w:bottom w:val="single" w:sz="4" w:space="0" w:color="auto"/>
              <w:right w:val="single" w:sz="4" w:space="0" w:color="auto"/>
            </w:tcBorders>
            <w:shd w:val="clear" w:color="auto" w:fill="auto"/>
            <w:noWrap/>
            <w:vAlign w:val="bottom"/>
            <w:hideMark/>
          </w:tcPr>
          <w:p w:rsidR="00BD66EF" w:rsidRPr="00AE25D3" w:rsidRDefault="00BD66EF" w:rsidP="00BD66EF">
            <w:pPr>
              <w:spacing w:before="60" w:afterLines="60" w:after="144"/>
              <w:jc w:val="center"/>
              <w:rPr>
                <w:rFonts w:eastAsia="Times New Roman" w:cstheme="minorHAnsi"/>
                <w:sz w:val="20"/>
                <w:szCs w:val="20"/>
              </w:rPr>
            </w:pPr>
            <w:r w:rsidRPr="00AE25D3">
              <w:rPr>
                <w:rFonts w:eastAsia="Times New Roman" w:cstheme="minorHAnsi"/>
                <w:sz w:val="20"/>
                <w:szCs w:val="20"/>
              </w:rPr>
              <w:t> </w:t>
            </w:r>
          </w:p>
        </w:tc>
      </w:tr>
      <w:tr w:rsidR="00BD66EF" w:rsidRPr="00AE25D3" w:rsidTr="00054823">
        <w:trPr>
          <w:trHeight w:val="298"/>
          <w:jc w:val="center"/>
        </w:trPr>
        <w:tc>
          <w:tcPr>
            <w:tcW w:w="1678" w:type="dxa"/>
            <w:tcBorders>
              <w:top w:val="nil"/>
              <w:left w:val="single" w:sz="4" w:space="0" w:color="auto"/>
              <w:bottom w:val="single" w:sz="4" w:space="0" w:color="auto"/>
              <w:right w:val="single" w:sz="4" w:space="0" w:color="auto"/>
            </w:tcBorders>
            <w:shd w:val="clear" w:color="auto" w:fill="auto"/>
            <w:noWrap/>
            <w:vAlign w:val="bottom"/>
            <w:hideMark/>
          </w:tcPr>
          <w:p w:rsidR="00BD66EF" w:rsidRPr="00AE25D3" w:rsidRDefault="00BD66EF" w:rsidP="00BD66EF">
            <w:pPr>
              <w:spacing w:before="60" w:afterLines="60" w:after="144"/>
              <w:jc w:val="center"/>
              <w:rPr>
                <w:rFonts w:eastAsia="Times New Roman" w:cstheme="minorHAnsi"/>
                <w:sz w:val="20"/>
                <w:szCs w:val="20"/>
              </w:rPr>
            </w:pPr>
            <w:r w:rsidRPr="00AE25D3">
              <w:rPr>
                <w:rFonts w:eastAsia="Times New Roman" w:cstheme="minorHAnsi"/>
                <w:sz w:val="20"/>
                <w:szCs w:val="20"/>
              </w:rPr>
              <w:t>Net cost</w:t>
            </w:r>
          </w:p>
        </w:tc>
        <w:tc>
          <w:tcPr>
            <w:tcW w:w="1229" w:type="dxa"/>
            <w:tcBorders>
              <w:top w:val="nil"/>
              <w:left w:val="nil"/>
              <w:bottom w:val="single" w:sz="4" w:space="0" w:color="auto"/>
              <w:right w:val="single" w:sz="4" w:space="0" w:color="auto"/>
            </w:tcBorders>
            <w:shd w:val="clear" w:color="auto" w:fill="auto"/>
            <w:noWrap/>
            <w:hideMark/>
          </w:tcPr>
          <w:p w:rsidR="00BD66EF" w:rsidRPr="00EE2ED4" w:rsidRDefault="00EE2ED4" w:rsidP="00BD66EF">
            <w:pPr>
              <w:spacing w:before="60" w:afterLines="60" w:after="144"/>
              <w:jc w:val="center"/>
              <w:rPr>
                <w:rFonts w:eastAsia="Times New Roman" w:cstheme="minorHAnsi"/>
                <w:bCs/>
                <w:color w:val="000000"/>
                <w:sz w:val="20"/>
                <w:szCs w:val="20"/>
                <w:highlight w:val="black"/>
              </w:rPr>
            </w:pPr>
            <w:r>
              <w:rPr>
                <w:rFonts w:eastAsia="Times New Roman" w:cstheme="minorHAnsi"/>
                <w:noProof/>
                <w:color w:val="000000"/>
                <w:sz w:val="20"/>
                <w:szCs w:val="20"/>
                <w:highlight w:val="black"/>
              </w:rPr>
              <w:t>'''''</w:t>
            </w:r>
          </w:p>
        </w:tc>
        <w:tc>
          <w:tcPr>
            <w:tcW w:w="1229" w:type="dxa"/>
            <w:tcBorders>
              <w:top w:val="nil"/>
              <w:left w:val="nil"/>
              <w:bottom w:val="single" w:sz="4" w:space="0" w:color="auto"/>
              <w:right w:val="single" w:sz="4" w:space="0" w:color="auto"/>
            </w:tcBorders>
            <w:shd w:val="clear" w:color="auto" w:fill="auto"/>
            <w:noWrap/>
            <w:hideMark/>
          </w:tcPr>
          <w:p w:rsidR="00BD66EF" w:rsidRPr="00EE2ED4" w:rsidRDefault="00EE2ED4" w:rsidP="00BD66EF">
            <w:pPr>
              <w:spacing w:before="60" w:afterLines="60" w:after="144"/>
              <w:jc w:val="center"/>
              <w:rPr>
                <w:rFonts w:eastAsia="Times New Roman" w:cstheme="minorHAnsi"/>
                <w:bCs/>
                <w:color w:val="000000"/>
                <w:sz w:val="20"/>
                <w:szCs w:val="20"/>
                <w:highlight w:val="black"/>
              </w:rPr>
            </w:pPr>
            <w:r>
              <w:rPr>
                <w:rFonts w:eastAsia="Times New Roman" w:cstheme="minorHAnsi"/>
                <w:noProof/>
                <w:color w:val="000000"/>
                <w:sz w:val="20"/>
                <w:szCs w:val="20"/>
                <w:highlight w:val="black"/>
              </w:rPr>
              <w:t>''''''</w:t>
            </w:r>
          </w:p>
        </w:tc>
        <w:tc>
          <w:tcPr>
            <w:tcW w:w="1145" w:type="dxa"/>
            <w:tcBorders>
              <w:top w:val="nil"/>
              <w:left w:val="nil"/>
              <w:bottom w:val="single" w:sz="4" w:space="0" w:color="auto"/>
              <w:right w:val="single" w:sz="4" w:space="0" w:color="auto"/>
            </w:tcBorders>
            <w:shd w:val="clear" w:color="auto" w:fill="auto"/>
            <w:noWrap/>
            <w:vAlign w:val="bottom"/>
            <w:hideMark/>
          </w:tcPr>
          <w:p w:rsidR="00BD66EF" w:rsidRPr="00EE2ED4" w:rsidRDefault="00EE2ED4" w:rsidP="00BD66EF">
            <w:pPr>
              <w:spacing w:before="60" w:afterLines="60" w:after="144"/>
              <w:jc w:val="center"/>
              <w:rPr>
                <w:rFonts w:eastAsia="Times New Roman" w:cstheme="minorHAnsi"/>
                <w:sz w:val="20"/>
                <w:szCs w:val="20"/>
                <w:highlight w:val="black"/>
              </w:rPr>
            </w:pPr>
            <w:r>
              <w:rPr>
                <w:rFonts w:eastAsia="Times New Roman" w:cstheme="minorHAnsi"/>
                <w:noProof/>
                <w:color w:val="000000"/>
                <w:sz w:val="20"/>
                <w:szCs w:val="20"/>
                <w:highlight w:val="black"/>
              </w:rPr>
              <w:t>'''''''</w:t>
            </w:r>
          </w:p>
        </w:tc>
        <w:tc>
          <w:tcPr>
            <w:tcW w:w="1229" w:type="dxa"/>
            <w:tcBorders>
              <w:top w:val="nil"/>
              <w:left w:val="nil"/>
              <w:bottom w:val="single" w:sz="4" w:space="0" w:color="auto"/>
              <w:right w:val="single" w:sz="4" w:space="0" w:color="auto"/>
            </w:tcBorders>
            <w:shd w:val="clear" w:color="auto" w:fill="auto"/>
            <w:noWrap/>
            <w:hideMark/>
          </w:tcPr>
          <w:p w:rsidR="00BD66EF" w:rsidRPr="00EE2ED4" w:rsidRDefault="00EE2ED4" w:rsidP="00BD66EF">
            <w:pPr>
              <w:spacing w:before="60" w:afterLines="60" w:after="144"/>
              <w:jc w:val="center"/>
              <w:rPr>
                <w:rFonts w:eastAsia="Times New Roman" w:cstheme="minorHAnsi"/>
                <w:bCs/>
                <w:color w:val="000000"/>
                <w:sz w:val="20"/>
                <w:szCs w:val="20"/>
                <w:highlight w:val="black"/>
              </w:rPr>
            </w:pPr>
            <w:r>
              <w:rPr>
                <w:rFonts w:eastAsia="Times New Roman" w:cstheme="minorHAnsi"/>
                <w:noProof/>
                <w:color w:val="000000"/>
                <w:sz w:val="20"/>
                <w:szCs w:val="20"/>
                <w:highlight w:val="black"/>
              </w:rPr>
              <w:t>'''''</w:t>
            </w:r>
          </w:p>
        </w:tc>
        <w:tc>
          <w:tcPr>
            <w:tcW w:w="1330" w:type="dxa"/>
            <w:tcBorders>
              <w:top w:val="nil"/>
              <w:left w:val="nil"/>
              <w:bottom w:val="single" w:sz="4" w:space="0" w:color="auto"/>
              <w:right w:val="single" w:sz="4" w:space="0" w:color="auto"/>
            </w:tcBorders>
            <w:shd w:val="clear" w:color="auto" w:fill="auto"/>
            <w:noWrap/>
            <w:hideMark/>
          </w:tcPr>
          <w:p w:rsidR="00BD66EF" w:rsidRPr="00EE2ED4" w:rsidRDefault="00EE2ED4" w:rsidP="00BD66EF">
            <w:pPr>
              <w:spacing w:before="60" w:afterLines="60" w:after="144"/>
              <w:jc w:val="center"/>
              <w:rPr>
                <w:rFonts w:eastAsia="Times New Roman" w:cstheme="minorHAnsi"/>
                <w:bCs/>
                <w:color w:val="000000"/>
                <w:sz w:val="20"/>
                <w:szCs w:val="20"/>
                <w:highlight w:val="black"/>
              </w:rPr>
            </w:pPr>
            <w:r>
              <w:rPr>
                <w:rFonts w:eastAsia="Times New Roman" w:cstheme="minorHAnsi"/>
                <w:noProof/>
                <w:color w:val="000000"/>
                <w:sz w:val="20"/>
                <w:szCs w:val="20"/>
                <w:highlight w:val="black"/>
              </w:rPr>
              <w:t>'''''</w:t>
            </w:r>
          </w:p>
        </w:tc>
        <w:tc>
          <w:tcPr>
            <w:tcW w:w="1082" w:type="dxa"/>
            <w:tcBorders>
              <w:top w:val="nil"/>
              <w:left w:val="nil"/>
              <w:bottom w:val="single" w:sz="4" w:space="0" w:color="auto"/>
              <w:right w:val="single" w:sz="4" w:space="0" w:color="auto"/>
            </w:tcBorders>
            <w:shd w:val="clear" w:color="auto" w:fill="auto"/>
            <w:noWrap/>
            <w:vAlign w:val="bottom"/>
            <w:hideMark/>
          </w:tcPr>
          <w:p w:rsidR="00BD66EF" w:rsidRPr="00AE25D3" w:rsidRDefault="00BD66EF" w:rsidP="00BD66EF">
            <w:pPr>
              <w:keepNext/>
              <w:spacing w:before="60" w:afterLines="60" w:after="144"/>
              <w:jc w:val="center"/>
              <w:rPr>
                <w:rFonts w:eastAsia="Times New Roman" w:cstheme="minorHAnsi"/>
                <w:sz w:val="20"/>
                <w:szCs w:val="20"/>
              </w:rPr>
            </w:pPr>
            <w:r w:rsidRPr="00AE25D3">
              <w:rPr>
                <w:rFonts w:eastAsia="Times New Roman" w:cstheme="minorHAnsi"/>
                <w:sz w:val="20"/>
                <w:szCs w:val="20"/>
              </w:rPr>
              <w:t>-</w:t>
            </w:r>
            <w:r w:rsidR="00EE2ED4">
              <w:rPr>
                <w:rFonts w:eastAsia="Times New Roman" w:cstheme="minorHAnsi"/>
                <w:noProof/>
                <w:color w:val="000000"/>
                <w:sz w:val="20"/>
                <w:szCs w:val="20"/>
                <w:highlight w:val="black"/>
              </w:rPr>
              <w:t>'''''''''</w:t>
            </w:r>
          </w:p>
        </w:tc>
      </w:tr>
    </w:tbl>
    <w:p w:rsidR="00591512" w:rsidRPr="00AE25D3" w:rsidRDefault="00AB3733" w:rsidP="00F73113">
      <w:pPr>
        <w:pStyle w:val="Heading1"/>
      </w:pPr>
      <w:r w:rsidRPr="00AE25D3">
        <w:t>D</w:t>
      </w:r>
      <w:r w:rsidR="00F073C0" w:rsidRPr="00AE25D3">
        <w:t>USC consideration</w:t>
      </w:r>
    </w:p>
    <w:p w:rsidR="00F073C0" w:rsidRPr="00AE25D3" w:rsidRDefault="00F073C0" w:rsidP="00F073C0">
      <w:pPr>
        <w:rPr>
          <w:i/>
        </w:rPr>
      </w:pPr>
      <w:r w:rsidRPr="00AE25D3">
        <w:t xml:space="preserve">The actual utilisation in its first year of listing was similar to predicted. However the uptake of </w:t>
      </w:r>
      <w:proofErr w:type="spellStart"/>
      <w:r w:rsidRPr="00AE25D3">
        <w:t>ibrutinib</w:t>
      </w:r>
      <w:proofErr w:type="spellEnd"/>
      <w:r w:rsidRPr="00AE25D3">
        <w:t xml:space="preserve"> in the second year of listing appears was overestimated resulting in a difference of </w:t>
      </w:r>
      <w:r w:rsidR="00E84361" w:rsidRPr="00AE25D3">
        <w:t>-53</w:t>
      </w:r>
      <w:r w:rsidRPr="00AE25D3">
        <w:t xml:space="preserve">% in initiating patients. The entrance of </w:t>
      </w:r>
      <w:proofErr w:type="spellStart"/>
      <w:r w:rsidRPr="00AE25D3">
        <w:t>venetoclax</w:t>
      </w:r>
      <w:proofErr w:type="spellEnd"/>
      <w:r w:rsidRPr="00AE25D3">
        <w:t xml:space="preserve"> in April 2019 to the PBS may be responsible for the overestimation as the combined number of prevalent patients in June 2020 of approximately 1200 is closer to what was predicted. DUSC noted that the revision of eligible population provided by DUSC in 2015 was appropriate and provided an accurate estimation of utilisation in the first year of listing.</w:t>
      </w:r>
    </w:p>
    <w:p w:rsidR="00F073C0" w:rsidRPr="00AE25D3" w:rsidRDefault="00F073C0" w:rsidP="00F073C0">
      <w:pPr>
        <w:rPr>
          <w:i/>
        </w:rPr>
      </w:pPr>
      <w:r w:rsidRPr="00AE25D3">
        <w:t xml:space="preserve">In its previous advice on </w:t>
      </w:r>
      <w:proofErr w:type="spellStart"/>
      <w:r w:rsidRPr="00AE25D3">
        <w:t>ibrutinib</w:t>
      </w:r>
      <w:proofErr w:type="spellEnd"/>
      <w:r w:rsidRPr="00AE25D3">
        <w:t xml:space="preserve"> DUSC considered ‘due to the long duration of the disease, the prevalent number of patients treated with </w:t>
      </w:r>
      <w:proofErr w:type="spellStart"/>
      <w:r w:rsidRPr="00AE25D3">
        <w:t>ibrutinib</w:t>
      </w:r>
      <w:proofErr w:type="spellEnd"/>
      <w:r w:rsidRPr="00AE25D3">
        <w:t xml:space="preserve"> should plateau, however, the plateau may not occur within the first five year estimates, and the market is likely to keep growing beyond the first five years.’ The Kaplan-Meier analysis supports this idea as the median survival was not reached in the 942 days (~31 months) of data. </w:t>
      </w:r>
      <w:r w:rsidR="00493CE6" w:rsidRPr="00AE25D3">
        <w:t>DUSC agreed with the sponsor</w:t>
      </w:r>
      <w:r w:rsidRPr="00AE25D3">
        <w:t xml:space="preserve"> that patients are continuing on </w:t>
      </w:r>
      <w:proofErr w:type="spellStart"/>
      <w:r w:rsidRPr="00AE25D3">
        <w:t>ibrutinib</w:t>
      </w:r>
      <w:proofErr w:type="spellEnd"/>
      <w:r w:rsidRPr="00AE25D3">
        <w:t xml:space="preserve"> longer than expected and likely will lead to an increase in expenditure in year 3-5. In the July 2015 PBAC submission it was </w:t>
      </w:r>
      <w:r w:rsidRPr="00AE25D3">
        <w:lastRenderedPageBreak/>
        <w:t xml:space="preserve">estimated that mean time on treatment would be </w:t>
      </w:r>
      <w:r w:rsidR="00EE2ED4">
        <w:rPr>
          <w:noProof/>
          <w:color w:val="000000"/>
          <w:highlight w:val="black"/>
        </w:rPr>
        <w:t>'''''''' '''''''''''''''</w:t>
      </w:r>
      <w:r w:rsidRPr="00AE25D3">
        <w:t xml:space="preserve"> with the expectation that this could be longer. In the six year follow up data from the RESONATE clinical trial, median time on treatment was 41 months, reflective of the long time on treatment in the PBS population.</w:t>
      </w:r>
    </w:p>
    <w:p w:rsidR="00F073C0" w:rsidRPr="00AE25D3" w:rsidRDefault="00F073C0" w:rsidP="00F073C0">
      <w:pPr>
        <w:rPr>
          <w:i/>
        </w:rPr>
      </w:pPr>
      <w:r w:rsidRPr="00AE25D3">
        <w:t xml:space="preserve">The restriction for </w:t>
      </w:r>
      <w:proofErr w:type="spellStart"/>
      <w:r w:rsidRPr="00AE25D3">
        <w:t>ibrutinib</w:t>
      </w:r>
      <w:proofErr w:type="spellEnd"/>
      <w:r w:rsidRPr="00AE25D3">
        <w:t xml:space="preserve"> involves being refractory or unsuitable to previous treatment for CLL/SLL. An analysis was done on the prior therapy of those patients initiating </w:t>
      </w:r>
      <w:proofErr w:type="spellStart"/>
      <w:r w:rsidRPr="00AE25D3">
        <w:t>ibrutinib</w:t>
      </w:r>
      <w:proofErr w:type="spellEnd"/>
      <w:r w:rsidRPr="00AE25D3">
        <w:t xml:space="preserve"> to observe if there was any leakage from the restriction where patients had accessed </w:t>
      </w:r>
      <w:proofErr w:type="spellStart"/>
      <w:r w:rsidRPr="00AE25D3">
        <w:t>ibrutinib</w:t>
      </w:r>
      <w:proofErr w:type="spellEnd"/>
      <w:r w:rsidRPr="00AE25D3">
        <w:t xml:space="preserve"> as first line therapy rather than in the relapsed or refractory setting. There were negligible cases detected of </w:t>
      </w:r>
      <w:proofErr w:type="spellStart"/>
      <w:r w:rsidRPr="00AE25D3">
        <w:t>ibrutinib</w:t>
      </w:r>
      <w:proofErr w:type="spellEnd"/>
      <w:r w:rsidRPr="00AE25D3">
        <w:t xml:space="preserve"> use as first line therapy. DUSC noted that the PBAC did not recommend </w:t>
      </w:r>
      <w:proofErr w:type="spellStart"/>
      <w:r w:rsidRPr="00AE25D3">
        <w:t>ibrutinib</w:t>
      </w:r>
      <w:proofErr w:type="spellEnd"/>
      <w:r w:rsidRPr="00AE25D3">
        <w:t xml:space="preserve"> for first line use in November 2017 and that there has not been any appreciable leakage into this setting. </w:t>
      </w:r>
    </w:p>
    <w:p w:rsidR="00F073C0" w:rsidRPr="00EE2ED4" w:rsidRDefault="00F073C0" w:rsidP="00F073C0">
      <w:pPr>
        <w:rPr>
          <w:i/>
        </w:rPr>
      </w:pPr>
      <w:r w:rsidRPr="00AE25D3">
        <w:t xml:space="preserve">The PBS restriction for </w:t>
      </w:r>
      <w:proofErr w:type="spellStart"/>
      <w:r w:rsidRPr="00AE25D3">
        <w:t>ibrutinib</w:t>
      </w:r>
      <w:proofErr w:type="spellEnd"/>
      <w:r w:rsidRPr="00AE25D3">
        <w:t xml:space="preserve"> in relapsed or refractory </w:t>
      </w:r>
      <w:proofErr w:type="spellStart"/>
      <w:r w:rsidRPr="00AE25D3">
        <w:t>ibrutinib</w:t>
      </w:r>
      <w:proofErr w:type="spellEnd"/>
      <w:r w:rsidRPr="00AE25D3">
        <w:t xml:space="preserve"> states that a “Patient must be considered unsuitable for treatment or retreatment with a purine analogue”. The average proportion of incident patients utilising </w:t>
      </w:r>
      <w:proofErr w:type="spellStart"/>
      <w:r w:rsidRPr="00AE25D3">
        <w:t>ibrutinib</w:t>
      </w:r>
      <w:proofErr w:type="spellEnd"/>
      <w:r w:rsidRPr="00AE25D3">
        <w:t xml:space="preserve"> without a history of </w:t>
      </w:r>
      <w:proofErr w:type="spellStart"/>
      <w:r w:rsidRPr="00AE25D3">
        <w:t>fludarabine</w:t>
      </w:r>
      <w:proofErr w:type="spellEnd"/>
      <w:r w:rsidRPr="00AE25D3">
        <w:t xml:space="preserve"> is 68%. In its submission the sponsor estimated the proportion of patients who were unsuitable for treatment or retreatment with a purine analogue to be </w:t>
      </w:r>
      <w:r w:rsidR="00EE2ED4">
        <w:rPr>
          <w:noProof/>
          <w:color w:val="000000"/>
          <w:highlight w:val="black"/>
        </w:rPr>
        <w:t>''''''''</w:t>
      </w:r>
      <w:r w:rsidRPr="00AE25D3">
        <w:t xml:space="preserve"> whereas this analysis indicates that 68% of patients were considered untreatable with a purine analogue. It should be noted however that the data does not include those patients who could be considered refractory and therefore not suitable for retreatment with a purine analogue. It may be that in practice a larger proportion than 68% would be utilising this restriction clause to access </w:t>
      </w:r>
      <w:proofErr w:type="spellStart"/>
      <w:r w:rsidRPr="00AE25D3">
        <w:t>ibrutinib</w:t>
      </w:r>
      <w:proofErr w:type="spellEnd"/>
      <w:r w:rsidRPr="00AE25D3">
        <w:t xml:space="preserve">.  </w:t>
      </w:r>
      <w:r w:rsidR="00EE2ED4">
        <w:rPr>
          <w:noProof/>
          <w:color w:val="000000"/>
          <w:highlight w:val="black"/>
        </w:rPr>
        <w:t>'''''''' ''''''''''''''''' ''''''''''' '''''''' '''''''' '''' '''''''' ''''''''''''''''''''''''' ''' '''''''''' ''''''''''' '''' '''''' ''''''''' ''''''' ''''''''''''''' ''''' ''''''''''''''' ''''''' ''''''''''' '''' ''''''''''''' '''''' '''''''''''''''''' ''''''''''''''''''''''' ''''''''' '''''' ''''''' '''' ''''''' ''''''''' ''''' ''''''''''''''''''''''</w:t>
      </w:r>
    </w:p>
    <w:p w:rsidR="00F073C0" w:rsidRPr="00AE25D3" w:rsidRDefault="00F073C0" w:rsidP="00F073C0">
      <w:r w:rsidRPr="00AE25D3">
        <w:t xml:space="preserve">The concomitant use of other medications with </w:t>
      </w:r>
      <w:proofErr w:type="spellStart"/>
      <w:r w:rsidRPr="00AE25D3">
        <w:t>ibrutinib</w:t>
      </w:r>
      <w:proofErr w:type="spellEnd"/>
      <w:r w:rsidRPr="00AE25D3">
        <w:t xml:space="preserve"> which have the potential for treating CLL/SLL was examined. It was found that since listing there were approximately 50 patients who appeared to receive concurrent rituximab with </w:t>
      </w:r>
      <w:proofErr w:type="spellStart"/>
      <w:r w:rsidRPr="00AE25D3">
        <w:t>ibrutinib</w:t>
      </w:r>
      <w:proofErr w:type="spellEnd"/>
      <w:r w:rsidRPr="00AE25D3">
        <w:t xml:space="preserve">, and there was also potential use of </w:t>
      </w:r>
      <w:proofErr w:type="spellStart"/>
      <w:r w:rsidRPr="00AE25D3">
        <w:t>ibrutinib</w:t>
      </w:r>
      <w:proofErr w:type="spellEnd"/>
      <w:r w:rsidRPr="00AE25D3">
        <w:t xml:space="preserve"> and </w:t>
      </w:r>
      <w:proofErr w:type="spellStart"/>
      <w:r w:rsidRPr="00AE25D3">
        <w:t>venetoclax</w:t>
      </w:r>
      <w:proofErr w:type="spellEnd"/>
      <w:r w:rsidRPr="00AE25D3">
        <w:t xml:space="preserve"> in combination. The Food and Drug Administration (FDA) has recently expanded the indication of </w:t>
      </w:r>
      <w:proofErr w:type="spellStart"/>
      <w:r w:rsidRPr="00AE25D3">
        <w:t>ibrutinib</w:t>
      </w:r>
      <w:proofErr w:type="spellEnd"/>
      <w:r w:rsidRPr="00AE25D3">
        <w:t xml:space="preserve"> to include its combination with rituximab as first line treatment for CLL/SLL in April 2020.  </w:t>
      </w:r>
      <w:proofErr w:type="spellStart"/>
      <w:r w:rsidRPr="00AE25D3">
        <w:t>Venetoclax</w:t>
      </w:r>
      <w:proofErr w:type="spellEnd"/>
      <w:r w:rsidRPr="00AE25D3">
        <w:t xml:space="preserve"> and </w:t>
      </w:r>
      <w:proofErr w:type="spellStart"/>
      <w:r w:rsidRPr="00AE25D3">
        <w:t>ibrutinib</w:t>
      </w:r>
      <w:proofErr w:type="spellEnd"/>
      <w:r w:rsidRPr="00AE25D3">
        <w:t xml:space="preserve"> also appears to be an emerging first line treatment option for CLL/SLL.  Further analysis could be considered to more accurately estimate the number of patients utilising these treatment options. DUSC noted that monitoring may need to be done to observe if the number of patients receiving both </w:t>
      </w:r>
      <w:proofErr w:type="spellStart"/>
      <w:r w:rsidRPr="00AE25D3">
        <w:t>ibrutinib</w:t>
      </w:r>
      <w:proofErr w:type="spellEnd"/>
      <w:r w:rsidRPr="00AE25D3">
        <w:t xml:space="preserve"> and rituximab is growing.</w:t>
      </w:r>
      <w:r w:rsidRPr="00AE25D3">
        <w:rPr>
          <w:i/>
        </w:rPr>
        <w:t xml:space="preserve"> </w:t>
      </w:r>
    </w:p>
    <w:p w:rsidR="00F073C0" w:rsidRPr="00AE25D3" w:rsidRDefault="00F073C0" w:rsidP="00F073C0">
      <w:pPr>
        <w:rPr>
          <w:i/>
        </w:rPr>
      </w:pPr>
      <w:r w:rsidRPr="00AE25D3">
        <w:t xml:space="preserve">There was a large portion of patients (19%) initiating on </w:t>
      </w:r>
      <w:proofErr w:type="spellStart"/>
      <w:r w:rsidRPr="00AE25D3">
        <w:t>ibrutinib</w:t>
      </w:r>
      <w:proofErr w:type="spellEnd"/>
      <w:r w:rsidRPr="00AE25D3">
        <w:t xml:space="preserve"> within six months of ceasing their previous line treatment. This may indicate that these patients are refractory to their prior therapy. DUSC noted it may be interesting to observe the time on </w:t>
      </w:r>
      <w:proofErr w:type="spellStart"/>
      <w:r w:rsidRPr="00AE25D3">
        <w:t>ibrutinib</w:t>
      </w:r>
      <w:proofErr w:type="spellEnd"/>
      <w:r w:rsidRPr="00AE25D3">
        <w:t xml:space="preserve"> treatment in those patients who were refractory to prior treatment as more data becomes available.</w:t>
      </w:r>
      <w:r w:rsidRPr="00AE25D3">
        <w:rPr>
          <w:i/>
        </w:rPr>
        <w:t xml:space="preserve"> </w:t>
      </w:r>
    </w:p>
    <w:p w:rsidR="004D14A2" w:rsidRPr="00AE25D3" w:rsidRDefault="004D14A2" w:rsidP="004D14A2">
      <w:pPr>
        <w:pStyle w:val="Heading1"/>
      </w:pPr>
      <w:r w:rsidRPr="00AE25D3">
        <w:t>DUSC actions</w:t>
      </w:r>
    </w:p>
    <w:p w:rsidR="004D14A2" w:rsidRPr="00AE25D3" w:rsidRDefault="00FF2464" w:rsidP="004D14A2">
      <w:r w:rsidRPr="00AE25D3">
        <w:t>DUSC requested that the report be provided to the PBAC for consideration.</w:t>
      </w:r>
    </w:p>
    <w:p w:rsidR="004D14A2" w:rsidRPr="00AE25D3" w:rsidRDefault="004D14A2" w:rsidP="004D14A2">
      <w:pPr>
        <w:pStyle w:val="Heading1"/>
      </w:pPr>
      <w:r w:rsidRPr="00AE25D3">
        <w:lastRenderedPageBreak/>
        <w:t>Context for analysis</w:t>
      </w:r>
    </w:p>
    <w:p w:rsidR="004D14A2" w:rsidRPr="00AE25D3" w:rsidRDefault="004D14A2" w:rsidP="004D14A2">
      <w:r w:rsidRPr="00AE25D3">
        <w:t>The DUSC is a Sub Committee of the Pharmaceutical Benefits Advisory Committee (PBAC). The DUSC assesses estimates on projected usage and financial cost of medicines.</w:t>
      </w:r>
    </w:p>
    <w:p w:rsidR="004D14A2" w:rsidRPr="00AE25D3" w:rsidRDefault="004D14A2" w:rsidP="004D14A2">
      <w:r w:rsidRPr="00AE25D3">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4D14A2" w:rsidRPr="00AE25D3" w:rsidRDefault="004D14A2" w:rsidP="00837C42">
      <w:pPr>
        <w:ind w:right="-257"/>
      </w:pPr>
      <w:r w:rsidRPr="00AE25D3">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4D14A2" w:rsidRPr="00AE25D3" w:rsidRDefault="004D14A2" w:rsidP="00837C42">
      <w:pPr>
        <w:ind w:right="-115"/>
      </w:pPr>
      <w:r w:rsidRPr="00AE25D3">
        <w:t>The utilisation analysis report was provided to the pharmaceutical sponsors of each drug and comments on the report were provided to DUSC prior to its consideration of the analysis.</w:t>
      </w:r>
    </w:p>
    <w:p w:rsidR="004D14A2" w:rsidRPr="00AE25D3" w:rsidRDefault="004D14A2" w:rsidP="004D14A2">
      <w:pPr>
        <w:pStyle w:val="Heading1"/>
      </w:pPr>
      <w:r w:rsidRPr="00AE25D3">
        <w:t>Sponsors’ comments</w:t>
      </w:r>
    </w:p>
    <w:p w:rsidR="004D14A2" w:rsidRPr="00AE25D3" w:rsidRDefault="006644F0" w:rsidP="004D14A2">
      <w:r w:rsidRPr="00AE25D3">
        <w:t>Janssen-</w:t>
      </w:r>
      <w:proofErr w:type="spellStart"/>
      <w:r w:rsidRPr="00AE25D3">
        <w:t>Cilag</w:t>
      </w:r>
      <w:proofErr w:type="spellEnd"/>
      <w:r w:rsidRPr="00AE25D3">
        <w:t xml:space="preserve"> Pty Ltd : </w:t>
      </w:r>
      <w:r w:rsidR="00C626AD">
        <w:t>The sponsor had</w:t>
      </w:r>
      <w:bookmarkStart w:id="0" w:name="_GoBack"/>
      <w:bookmarkEnd w:id="0"/>
      <w:r w:rsidR="00AE25D3" w:rsidRPr="00AE25D3">
        <w:t xml:space="preserve"> no comment</w:t>
      </w:r>
      <w:r w:rsidR="00C626AD">
        <w:t>.</w:t>
      </w:r>
    </w:p>
    <w:p w:rsidR="004D14A2" w:rsidRPr="00AE25D3" w:rsidRDefault="004D14A2" w:rsidP="004D14A2">
      <w:pPr>
        <w:pStyle w:val="Heading1"/>
      </w:pPr>
      <w:r w:rsidRPr="00AE25D3">
        <w:t>Disclaimer</w:t>
      </w:r>
    </w:p>
    <w:p w:rsidR="004D14A2" w:rsidRPr="00AE25D3" w:rsidRDefault="004D14A2" w:rsidP="004D14A2">
      <w:r w:rsidRPr="00AE25D3">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4D14A2" w:rsidRPr="00AE25D3" w:rsidRDefault="004D14A2" w:rsidP="00837C42">
      <w:pPr>
        <w:ind w:right="-257"/>
      </w:pPr>
      <w:r w:rsidRPr="00AE25D3">
        <w:t>The Department of Health (</w:t>
      </w:r>
      <w:proofErr w:type="spellStart"/>
      <w:r w:rsidRPr="00AE25D3">
        <w:t>DoH</w:t>
      </w:r>
      <w:proofErr w:type="spellEnd"/>
      <w:r w:rsidRPr="00AE25D3">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4D14A2" w:rsidRPr="00AE25D3" w:rsidRDefault="004D14A2" w:rsidP="004D14A2">
      <w:r w:rsidRPr="00AE25D3">
        <w:t xml:space="preserve">To the extent provided by law, </w:t>
      </w:r>
      <w:proofErr w:type="spellStart"/>
      <w:r w:rsidRPr="00AE25D3">
        <w:t>DoH</w:t>
      </w:r>
      <w:proofErr w:type="spellEnd"/>
      <w:r w:rsidRPr="00AE25D3">
        <w:t xml:space="preserve"> makes no warranties or representations as to accuracy or completeness of information contained in this report. </w:t>
      </w:r>
    </w:p>
    <w:p w:rsidR="004D14A2" w:rsidRPr="00AE25D3" w:rsidRDefault="004D14A2" w:rsidP="004D14A2">
      <w:r w:rsidRPr="00AE25D3">
        <w:t xml:space="preserve">To the fullest extent permitted by law, neither the </w:t>
      </w:r>
      <w:proofErr w:type="spellStart"/>
      <w:r w:rsidRPr="00AE25D3">
        <w:t>DoH</w:t>
      </w:r>
      <w:proofErr w:type="spellEnd"/>
      <w:r w:rsidRPr="00AE25D3">
        <w:t xml:space="preserve"> nor any </w:t>
      </w:r>
      <w:proofErr w:type="spellStart"/>
      <w:r w:rsidRPr="00AE25D3">
        <w:t>DoH</w:t>
      </w:r>
      <w:proofErr w:type="spellEnd"/>
      <w:r w:rsidRPr="00AE25D3">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837C42" w:rsidRDefault="00837C42" w:rsidP="00805C18">
      <w:pPr>
        <w:rPr>
          <w:rFonts w:eastAsiaTheme="majorEastAsia" w:cstheme="majorBidi"/>
          <w:b/>
          <w:bCs/>
          <w:sz w:val="32"/>
          <w:szCs w:val="32"/>
        </w:rPr>
      </w:pPr>
    </w:p>
    <w:p w:rsidR="00805C18" w:rsidRPr="00AE25D3" w:rsidRDefault="00805C18" w:rsidP="00805C18">
      <w:pPr>
        <w:rPr>
          <w:rFonts w:eastAsiaTheme="majorEastAsia" w:cstheme="majorBidi"/>
          <w:b/>
          <w:bCs/>
          <w:sz w:val="32"/>
          <w:szCs w:val="32"/>
        </w:rPr>
      </w:pPr>
      <w:r w:rsidRPr="00AE25D3">
        <w:rPr>
          <w:rFonts w:eastAsiaTheme="majorEastAsia" w:cstheme="majorBidi"/>
          <w:b/>
          <w:bCs/>
          <w:sz w:val="32"/>
          <w:szCs w:val="32"/>
        </w:rPr>
        <w:lastRenderedPageBreak/>
        <w:t>References</w:t>
      </w:r>
    </w:p>
    <w:p w:rsidR="00AE2906" w:rsidRPr="00AE25D3" w:rsidRDefault="00AE2906" w:rsidP="00AE2906">
      <w:pPr>
        <w:pStyle w:val="ListParagraph"/>
        <w:numPr>
          <w:ilvl w:val="0"/>
          <w:numId w:val="10"/>
        </w:numPr>
        <w:spacing w:line="276" w:lineRule="auto"/>
      </w:pPr>
      <w:r w:rsidRPr="00AE25D3">
        <w:t xml:space="preserve">The Leukaemia Foundation. Chronic Lymphocytic </w:t>
      </w:r>
      <w:proofErr w:type="spellStart"/>
      <w:r w:rsidRPr="00AE25D3">
        <w:t>Leukemia</w:t>
      </w:r>
      <w:proofErr w:type="spellEnd"/>
      <w:r w:rsidRPr="00AE25D3">
        <w:t>. &lt;https://www.leukaemia.org.au/blood-cancer-information/types-of-blood-cancer/leukaemia/chronic-lymphocytic-leukaemia/&gt; Last Accessed 19/8/20</w:t>
      </w:r>
    </w:p>
    <w:p w:rsidR="00AE2906" w:rsidRPr="00AE25D3" w:rsidRDefault="00AE2906" w:rsidP="00AE2906">
      <w:pPr>
        <w:pStyle w:val="ListParagraph"/>
        <w:numPr>
          <w:ilvl w:val="0"/>
          <w:numId w:val="10"/>
        </w:numPr>
        <w:spacing w:line="276" w:lineRule="auto"/>
      </w:pPr>
      <w:r w:rsidRPr="00AE25D3">
        <w:t>The Australian Institute for Health and Welfare. Cancer summary data visualisation. &lt;https://www.aihw.gov.au/reports/cancer/cancer-data-in-australia/contents/cancer-summary-data-visualisation&gt; Last Accessed 19/8/20.</w:t>
      </w:r>
    </w:p>
    <w:p w:rsidR="00FE645A" w:rsidRPr="00AE25D3" w:rsidRDefault="00AE2906" w:rsidP="00AE2906">
      <w:pPr>
        <w:pStyle w:val="ListParagraph"/>
        <w:numPr>
          <w:ilvl w:val="0"/>
          <w:numId w:val="10"/>
        </w:numPr>
        <w:spacing w:line="276" w:lineRule="auto"/>
      </w:pPr>
      <w:proofErr w:type="spellStart"/>
      <w:r w:rsidRPr="00AE25D3">
        <w:t>Munir</w:t>
      </w:r>
      <w:proofErr w:type="spellEnd"/>
      <w:r w:rsidRPr="00AE25D3">
        <w:t xml:space="preserve"> T, Brown JR, O'Brien S, et al. Final analysis from RESONATE: Up to six years of follow-up on </w:t>
      </w:r>
      <w:proofErr w:type="spellStart"/>
      <w:r w:rsidRPr="00AE25D3">
        <w:t>ibrutinib</w:t>
      </w:r>
      <w:proofErr w:type="spellEnd"/>
      <w:r w:rsidRPr="00AE25D3">
        <w:t xml:space="preserve"> in patients with previously treated chronic lymphocytic </w:t>
      </w:r>
      <w:proofErr w:type="spellStart"/>
      <w:r w:rsidRPr="00AE25D3">
        <w:t>leukemia</w:t>
      </w:r>
      <w:proofErr w:type="spellEnd"/>
      <w:r w:rsidRPr="00AE25D3">
        <w:t xml:space="preserve"> or small lymphocytic lymphoma. Am J </w:t>
      </w:r>
      <w:proofErr w:type="spellStart"/>
      <w:r w:rsidRPr="00AE25D3">
        <w:t>Hematol</w:t>
      </w:r>
      <w:proofErr w:type="spellEnd"/>
      <w:r w:rsidRPr="00AE25D3">
        <w:t>. 2019</w:t>
      </w:r>
      <w:proofErr w:type="gramStart"/>
      <w:r w:rsidRPr="00AE25D3">
        <w:t>;94</w:t>
      </w:r>
      <w:proofErr w:type="gramEnd"/>
      <w:r w:rsidRPr="00AE25D3">
        <w:t>(12):1353-1363. doi:10.1002/ajh.25638</w:t>
      </w:r>
    </w:p>
    <w:p w:rsidR="00AE2906" w:rsidRPr="00AE25D3" w:rsidRDefault="00AE2906" w:rsidP="00AE2906">
      <w:pPr>
        <w:pStyle w:val="ListParagraph"/>
        <w:numPr>
          <w:ilvl w:val="0"/>
          <w:numId w:val="10"/>
        </w:numPr>
        <w:spacing w:line="276" w:lineRule="auto"/>
      </w:pPr>
      <w:proofErr w:type="spellStart"/>
      <w:r w:rsidRPr="00AE25D3">
        <w:t>Hallek</w:t>
      </w:r>
      <w:proofErr w:type="spellEnd"/>
      <w:r w:rsidRPr="00AE25D3">
        <w:t xml:space="preserve">, M. Chronic lymphocytic </w:t>
      </w:r>
      <w:proofErr w:type="spellStart"/>
      <w:r w:rsidRPr="00AE25D3">
        <w:t>leukemia</w:t>
      </w:r>
      <w:proofErr w:type="spellEnd"/>
      <w:r w:rsidRPr="00AE25D3">
        <w:t xml:space="preserve">: 2020 update on diagnosis, risk stratification and treatment. Am J </w:t>
      </w:r>
      <w:proofErr w:type="spellStart"/>
      <w:r w:rsidRPr="00AE25D3">
        <w:t>Hematol</w:t>
      </w:r>
      <w:proofErr w:type="spellEnd"/>
      <w:r w:rsidRPr="00AE25D3">
        <w:t>. 2019; 94: 1266– 1287. https://doi.org/10.1002/ajh.25595</w:t>
      </w:r>
    </w:p>
    <w:p w:rsidR="00AE2906" w:rsidRPr="00AE25D3" w:rsidRDefault="00AE2906" w:rsidP="00AE2906">
      <w:pPr>
        <w:pStyle w:val="ListParagraph"/>
        <w:numPr>
          <w:ilvl w:val="0"/>
          <w:numId w:val="10"/>
        </w:numPr>
        <w:spacing w:line="276" w:lineRule="auto"/>
      </w:pPr>
      <w:r w:rsidRPr="00AE25D3">
        <w:t>Imbruvica (</w:t>
      </w:r>
      <w:proofErr w:type="spellStart"/>
      <w:r w:rsidRPr="00AE25D3">
        <w:t>ibrutinib</w:t>
      </w:r>
      <w:proofErr w:type="spellEnd"/>
      <w:r w:rsidRPr="00AE25D3">
        <w:t>). Australian Approved Product Information Macquarie Park: Janssen-</w:t>
      </w:r>
      <w:proofErr w:type="spellStart"/>
      <w:r w:rsidRPr="00AE25D3">
        <w:t>Cilag</w:t>
      </w:r>
      <w:proofErr w:type="spellEnd"/>
      <w:r w:rsidRPr="00AE25D3">
        <w:t xml:space="preserve"> Pty Ltd. Approved 20 April 2015. Updated 22 August 2019. Available from https://www.tga.gov.au/product-information-pi</w:t>
      </w:r>
    </w:p>
    <w:p w:rsidR="00AE2906" w:rsidRPr="00AE25D3" w:rsidRDefault="00AE2906" w:rsidP="00AE2906">
      <w:pPr>
        <w:pStyle w:val="ListParagraph"/>
        <w:numPr>
          <w:ilvl w:val="0"/>
          <w:numId w:val="10"/>
        </w:numPr>
        <w:spacing w:line="276" w:lineRule="auto"/>
      </w:pPr>
      <w:proofErr w:type="spellStart"/>
      <w:proofErr w:type="gramStart"/>
      <w:r w:rsidRPr="00AE25D3">
        <w:t>eviQ</w:t>
      </w:r>
      <w:proofErr w:type="spellEnd"/>
      <w:proofErr w:type="gramEnd"/>
      <w:r w:rsidRPr="00AE25D3">
        <w:t>. Chronic lymphocytic leukaemia FCR &lt;https://www.eviq.org.au/haematology-and-bmt/leukaemias/chronic-lymphocytic-leukaemia/496-fcr-fludarabine-cyclophosphamide-rituximab&gt; Last Accessed 19/8/20</w:t>
      </w:r>
    </w:p>
    <w:p w:rsidR="00AE2906" w:rsidRPr="00AE25D3" w:rsidRDefault="00AE2906" w:rsidP="00AE2906">
      <w:pPr>
        <w:pStyle w:val="ListParagraph"/>
        <w:numPr>
          <w:ilvl w:val="0"/>
          <w:numId w:val="10"/>
        </w:numPr>
        <w:spacing w:line="276" w:lineRule="auto"/>
      </w:pPr>
      <w:r w:rsidRPr="00AE25D3">
        <w:t xml:space="preserve">Food and Drug Administration. FDA approves </w:t>
      </w:r>
      <w:proofErr w:type="spellStart"/>
      <w:r w:rsidRPr="00AE25D3">
        <w:t>ibrutinib</w:t>
      </w:r>
      <w:proofErr w:type="spellEnd"/>
      <w:r w:rsidRPr="00AE25D3">
        <w:t xml:space="preserve"> plus rituximab for chronic lymphocytic </w:t>
      </w:r>
      <w:proofErr w:type="spellStart"/>
      <w:r w:rsidRPr="00AE25D3">
        <w:t>leukemia</w:t>
      </w:r>
      <w:proofErr w:type="spellEnd"/>
      <w:r w:rsidRPr="00AE25D3">
        <w:t>. &lt;https://www.fda.gov/drugs/drug-approvals-and-databases/fda-approves-ibrutinib-plus-rituximab-chronic-lymphocytic-leukemia&gt; Last Accessed 14/8/20</w:t>
      </w:r>
      <w:r w:rsidRPr="00AE25D3">
        <w:tab/>
      </w:r>
    </w:p>
    <w:p w:rsidR="00AE2906" w:rsidRPr="00AE25D3" w:rsidRDefault="00AE2906" w:rsidP="00AE2906">
      <w:pPr>
        <w:pStyle w:val="ListParagraph"/>
        <w:numPr>
          <w:ilvl w:val="0"/>
          <w:numId w:val="10"/>
        </w:numPr>
        <w:spacing w:line="276" w:lineRule="auto"/>
      </w:pPr>
      <w:r w:rsidRPr="00AE25D3">
        <w:t xml:space="preserve">Nitin, J et al. </w:t>
      </w:r>
      <w:proofErr w:type="spellStart"/>
      <w:r w:rsidRPr="00AE25D3">
        <w:t>Ibrutinib</w:t>
      </w:r>
      <w:proofErr w:type="spellEnd"/>
      <w:r w:rsidRPr="00AE25D3">
        <w:t xml:space="preserve"> and </w:t>
      </w:r>
      <w:proofErr w:type="spellStart"/>
      <w:r w:rsidRPr="00AE25D3">
        <w:t>Venetoclax</w:t>
      </w:r>
      <w:proofErr w:type="spellEnd"/>
      <w:r w:rsidRPr="00AE25D3">
        <w:t xml:space="preserve"> for First-Line Treatment of CLL. New England Journal of Medicine; 380:2095-2103. https://doi.org/10.1056/NEJMoa1900574</w:t>
      </w:r>
    </w:p>
    <w:p w:rsidR="00AE2906" w:rsidRDefault="00AE2906" w:rsidP="00AE2906">
      <w:pPr>
        <w:spacing w:line="276" w:lineRule="auto"/>
      </w:pPr>
    </w:p>
    <w:sectPr w:rsidR="00AE2906" w:rsidSect="00DD188C">
      <w:headerReference w:type="even" r:id="rId15"/>
      <w:headerReference w:type="default" r:id="rId16"/>
      <w:footerReference w:type="even" r:id="rId17"/>
      <w:footerReference w:type="default" r:id="rId18"/>
      <w:headerReference w:type="first" r:id="rId19"/>
      <w:footerReference w:type="first" r:id="rId20"/>
      <w:pgSz w:w="11906" w:h="16838"/>
      <w:pgMar w:top="1644" w:right="1361" w:bottom="1644" w:left="158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9189" w16cex:dateUtc="2021-02-23T03:36:00Z"/>
  <w16cex:commentExtensible w16cex:durableId="23DF91A7" w16cex:dateUtc="2021-02-23T03:37:00Z"/>
  <w16cex:commentExtensible w16cex:durableId="23DF69D7" w16cex:dateUtc="2021-02-23T00:47:00Z"/>
  <w16cex:commentExtensible w16cex:durableId="23DF8CE7" w16cex:dateUtc="2021-02-23T03:17:00Z"/>
  <w16cex:commentExtensible w16cex:durableId="23DF6993" w16cex:dateUtc="2021-02-23T00:46:00Z"/>
  <w16cex:commentExtensible w16cex:durableId="23DF693E" w16cex:dateUtc="2021-02-23T00:45:00Z"/>
  <w16cex:commentExtensible w16cex:durableId="23DF695D" w16cex:dateUtc="2021-02-23T00:45:00Z"/>
  <w16cex:commentExtensible w16cex:durableId="23DF6962" w16cex:dateUtc="2021-02-23T00:45:00Z"/>
  <w16cex:commentExtensible w16cex:durableId="23DF685B" w16cex:dateUtc="2021-02-23T00:41:00Z"/>
  <w16cex:commentExtensible w16cex:durableId="23DF68A1" w16cex:dateUtc="2021-02-23T00:42:00Z"/>
  <w16cex:commentExtensible w16cex:durableId="23DF68AB" w16cex:dateUtc="2021-02-23T00:42:00Z"/>
  <w16cex:commentExtensible w16cex:durableId="23DF68B8" w16cex:dateUtc="2021-02-23T00:42:00Z"/>
  <w16cex:commentExtensible w16cex:durableId="23DF8DBD" w16cex:dateUtc="2021-02-23T03:20:00Z"/>
  <w16cex:commentExtensible w16cex:durableId="23DF8DCA" w16cex:dateUtc="2021-02-23T03:20:00Z"/>
  <w16cex:commentExtensible w16cex:durableId="23DF68F0" w16cex:dateUtc="2021-02-23T00:43:00Z"/>
  <w16cex:commentExtensible w16cex:durableId="23DF68FB" w16cex:dateUtc="2021-02-23T00:43:00Z"/>
  <w16cex:commentExtensible w16cex:durableId="23DF690B" w16cex:dateUtc="2021-02-23T00:44:00Z"/>
  <w16cex:commentExtensible w16cex:durableId="23DF8D6F" w16cex:dateUtc="2021-02-23T03:19:00Z"/>
  <w16cex:commentExtensible w16cex:durableId="23DF8D77" w16cex:dateUtc="2021-02-23T03:19:00Z"/>
  <w16cex:commentExtensible w16cex:durableId="23DF68C9" w16cex:dateUtc="2021-02-23T00:43:00Z"/>
  <w16cex:commentExtensible w16cex:durableId="23DF90AD" w16cex:dateUtc="2021-02-23T03:33:00Z"/>
  <w16cex:commentExtensible w16cex:durableId="23DF907F" w16cex:dateUtc="2021-02-23T0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BF7B81" w16cid:durableId="23DF9189"/>
  <w16cid:commentId w16cid:paraId="1916F040" w16cid:durableId="23DF91A7"/>
  <w16cid:commentId w16cid:paraId="256389A9" w16cid:durableId="23DF69D7"/>
  <w16cid:commentId w16cid:paraId="5C186F53" w16cid:durableId="23DF8CE7"/>
  <w16cid:commentId w16cid:paraId="40D12ADF" w16cid:durableId="23DF6993"/>
  <w16cid:commentId w16cid:paraId="5CABE5C3" w16cid:durableId="23DF693E"/>
  <w16cid:commentId w16cid:paraId="2AEFA092" w16cid:durableId="23DF695D"/>
  <w16cid:commentId w16cid:paraId="2C1F39A9" w16cid:durableId="23DF6962"/>
  <w16cid:commentId w16cid:paraId="457F93D6" w16cid:durableId="23DF685B"/>
  <w16cid:commentId w16cid:paraId="46850BB8" w16cid:durableId="23DF68A1"/>
  <w16cid:commentId w16cid:paraId="20A510AD" w16cid:durableId="23DF68AB"/>
  <w16cid:commentId w16cid:paraId="03625511" w16cid:durableId="23DF68B8"/>
  <w16cid:commentId w16cid:paraId="2AF32A60" w16cid:durableId="23DF8DBD"/>
  <w16cid:commentId w16cid:paraId="2E8E0338" w16cid:durableId="23DF8DCA"/>
  <w16cid:commentId w16cid:paraId="7BF1B7C4" w16cid:durableId="23DF68F0"/>
  <w16cid:commentId w16cid:paraId="172D8E90" w16cid:durableId="23DF68FB"/>
  <w16cid:commentId w16cid:paraId="18B4F066" w16cid:durableId="23DF690B"/>
  <w16cid:commentId w16cid:paraId="047388B6" w16cid:durableId="23DF8D6F"/>
  <w16cid:commentId w16cid:paraId="6BE6772D" w16cid:durableId="23DF8D77"/>
  <w16cid:commentId w16cid:paraId="4B81670C" w16cid:durableId="23DF68C9"/>
  <w16cid:commentId w16cid:paraId="3A4026BA" w16cid:durableId="23DF90AD"/>
  <w16cid:commentId w16cid:paraId="29377FEA" w16cid:durableId="23DF90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ED4" w:rsidRDefault="00EE2ED4" w:rsidP="00A35800">
      <w:r>
        <w:separator/>
      </w:r>
    </w:p>
  </w:endnote>
  <w:endnote w:type="continuationSeparator" w:id="0">
    <w:p w:rsidR="00EE2ED4" w:rsidRDefault="00EE2ED4"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AF" w:rsidRDefault="003155AF"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155AF" w:rsidRDefault="003155AF"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3155AF" w:rsidRPr="000E72C6" w:rsidRDefault="0017154E" w:rsidP="000E72C6">
            <w:pPr>
              <w:pStyle w:val="Footer"/>
              <w:jc w:val="center"/>
              <w:rPr>
                <w:i/>
                <w:sz w:val="20"/>
              </w:rPr>
            </w:pPr>
            <w:r>
              <w:rPr>
                <w:i/>
                <w:sz w:val="20"/>
              </w:rPr>
              <w:t>Public Release Document October 2020 DUSC Meeting</w:t>
            </w:r>
          </w:p>
          <w:p w:rsidR="003155AF" w:rsidRDefault="003155AF"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C626AD">
              <w:rPr>
                <w:bCs/>
                <w:i/>
                <w:noProof/>
                <w:sz w:val="20"/>
              </w:rPr>
              <w:t>17</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C626AD">
              <w:rPr>
                <w:bCs/>
                <w:i/>
                <w:noProof/>
                <w:sz w:val="20"/>
              </w:rPr>
              <w:t>17</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AF" w:rsidRDefault="003155AF" w:rsidP="007A5733">
    <w:pPr>
      <w:pStyle w:val="Footer"/>
      <w:jc w:val="center"/>
      <w:rPr>
        <w:rStyle w:val="PageNumber"/>
      </w:rPr>
    </w:pPr>
    <w:r>
      <w:rPr>
        <w:rStyle w:val="PageNumber"/>
      </w:rPr>
      <w:t>Committee-in-Confidence</w:t>
    </w:r>
  </w:p>
  <w:p w:rsidR="003155AF" w:rsidRDefault="003155AF"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ED4" w:rsidRDefault="00EE2ED4" w:rsidP="00A35800">
      <w:r>
        <w:separator/>
      </w:r>
    </w:p>
  </w:footnote>
  <w:footnote w:type="continuationSeparator" w:id="0">
    <w:p w:rsidR="00EE2ED4" w:rsidRDefault="00EE2ED4" w:rsidP="00A35800">
      <w:r>
        <w:continuationSeparator/>
      </w:r>
    </w:p>
  </w:footnote>
  <w:footnote w:id="1">
    <w:p w:rsidR="00240661" w:rsidRDefault="00240661">
      <w:pPr>
        <w:pStyle w:val="FootnoteText"/>
      </w:pPr>
      <w:r>
        <w:rPr>
          <w:rStyle w:val="FootnoteReference"/>
        </w:rPr>
        <w:footnoteRef/>
      </w:r>
      <w:r>
        <w:t xml:space="preserve"> The Leukaemia Foundation. C</w:t>
      </w:r>
      <w:r w:rsidRPr="004B0D61">
        <w:t xml:space="preserve">hronic </w:t>
      </w:r>
      <w:r>
        <w:t>Lymphocytic L</w:t>
      </w:r>
      <w:r w:rsidRPr="004B0D61">
        <w:t>euk</w:t>
      </w:r>
      <w:r w:rsidR="00697270">
        <w:t>a</w:t>
      </w:r>
      <w:r w:rsidRPr="004B0D61">
        <w:t>emia</w:t>
      </w:r>
      <w:r>
        <w:t>. &lt;</w:t>
      </w:r>
      <w:r w:rsidRPr="00240661">
        <w:t xml:space="preserve"> </w:t>
      </w:r>
      <w:hyperlink r:id="rId1" w:history="1">
        <w:r>
          <w:rPr>
            <w:rStyle w:val="Hyperlink"/>
          </w:rPr>
          <w:t>https://www.leukaemia.org.au/blood-cancer-information/types-of-blood-cancer/leukaemia/chronic-lymphocytic-leukaemia/</w:t>
        </w:r>
      </w:hyperlink>
      <w:r>
        <w:t>&gt; Last Accessed 19/8/20</w:t>
      </w:r>
    </w:p>
  </w:footnote>
  <w:footnote w:id="2">
    <w:p w:rsidR="00240661" w:rsidRDefault="00240661">
      <w:pPr>
        <w:pStyle w:val="FootnoteText"/>
      </w:pPr>
      <w:r>
        <w:rPr>
          <w:rStyle w:val="FootnoteReference"/>
        </w:rPr>
        <w:footnoteRef/>
      </w:r>
      <w:r>
        <w:t xml:space="preserve"> </w:t>
      </w:r>
      <w:r w:rsidR="00AE2906">
        <w:t xml:space="preserve">The Australian Institute for Health and Welfare. </w:t>
      </w:r>
      <w:r w:rsidR="00AE2906" w:rsidRPr="00AE2906">
        <w:t>Cancer summary data visualisation</w:t>
      </w:r>
      <w:r w:rsidR="00AE2906">
        <w:t>. &lt;</w:t>
      </w:r>
      <w:hyperlink r:id="rId2" w:history="1">
        <w:r w:rsidR="00AE2906">
          <w:rPr>
            <w:rStyle w:val="Hyperlink"/>
          </w:rPr>
          <w:t>https://www.aihw.gov.au/reports/cancer/cancer-data-in-australia/contents/cancer-summary-data-visualisation</w:t>
        </w:r>
      </w:hyperlink>
      <w:r w:rsidR="00AE2906">
        <w:t xml:space="preserve"> </w:t>
      </w:r>
      <w:proofErr w:type="gramStart"/>
      <w:r w:rsidR="00AE2906">
        <w:t>&gt;  Last</w:t>
      </w:r>
      <w:proofErr w:type="gramEnd"/>
      <w:r w:rsidR="00AE2906">
        <w:t xml:space="preserve"> Accessed 19/8/20.</w:t>
      </w:r>
    </w:p>
  </w:footnote>
  <w:footnote w:id="3">
    <w:p w:rsidR="003155AF" w:rsidRDefault="003155AF">
      <w:pPr>
        <w:pStyle w:val="FootnoteText"/>
      </w:pPr>
      <w:r>
        <w:rPr>
          <w:rStyle w:val="FootnoteReference"/>
        </w:rPr>
        <w:footnoteRef/>
      </w:r>
      <w:r>
        <w:t xml:space="preserve"> </w:t>
      </w:r>
      <w:proofErr w:type="spellStart"/>
      <w:r w:rsidRPr="009E7252">
        <w:t>Munir</w:t>
      </w:r>
      <w:proofErr w:type="spellEnd"/>
      <w:r w:rsidRPr="009E7252">
        <w:t xml:space="preserve"> T, Brown JR, O'Brien S, et al. Final analysis from RESONATE: Up to six years of follow-up on </w:t>
      </w:r>
      <w:proofErr w:type="spellStart"/>
      <w:r w:rsidRPr="009E7252">
        <w:t>ibrutinib</w:t>
      </w:r>
      <w:proofErr w:type="spellEnd"/>
      <w:r w:rsidRPr="009E7252">
        <w:t xml:space="preserve"> in patients with previously treated chronic lymphocytic </w:t>
      </w:r>
      <w:proofErr w:type="spellStart"/>
      <w:r w:rsidRPr="009E7252">
        <w:t>leukemia</w:t>
      </w:r>
      <w:proofErr w:type="spellEnd"/>
      <w:r w:rsidRPr="009E7252">
        <w:t xml:space="preserve"> or small lymphocytic lymphoma. Am J </w:t>
      </w:r>
      <w:proofErr w:type="spellStart"/>
      <w:r w:rsidRPr="009E7252">
        <w:t>Hematol</w:t>
      </w:r>
      <w:proofErr w:type="spellEnd"/>
      <w:r w:rsidRPr="009E7252">
        <w:t>. 2019</w:t>
      </w:r>
      <w:proofErr w:type="gramStart"/>
      <w:r w:rsidRPr="009E7252">
        <w:t>;94</w:t>
      </w:r>
      <w:proofErr w:type="gramEnd"/>
      <w:r w:rsidRPr="009E7252">
        <w:t>(12):1353-1363. doi:10.1002/ajh.25638</w:t>
      </w:r>
    </w:p>
  </w:footnote>
  <w:footnote w:id="4">
    <w:p w:rsidR="003155AF" w:rsidRDefault="003155AF">
      <w:pPr>
        <w:pStyle w:val="FootnoteText"/>
      </w:pPr>
      <w:r>
        <w:rPr>
          <w:rStyle w:val="FootnoteReference"/>
        </w:rPr>
        <w:footnoteRef/>
      </w:r>
      <w:r>
        <w:t xml:space="preserve"> </w:t>
      </w:r>
      <w:proofErr w:type="spellStart"/>
      <w:r w:rsidRPr="00966BA6">
        <w:t>Hallek</w:t>
      </w:r>
      <w:proofErr w:type="spellEnd"/>
      <w:r w:rsidRPr="00966BA6">
        <w:t xml:space="preserve">, M. Chronic lymphocytic </w:t>
      </w:r>
      <w:proofErr w:type="spellStart"/>
      <w:r w:rsidRPr="00966BA6">
        <w:t>leukemia</w:t>
      </w:r>
      <w:proofErr w:type="spellEnd"/>
      <w:r w:rsidRPr="00966BA6">
        <w:t xml:space="preserve">: 2020 update on diagnosis, risk stratification and treatment. Am J </w:t>
      </w:r>
      <w:proofErr w:type="spellStart"/>
      <w:r w:rsidRPr="00966BA6">
        <w:t>Hematol</w:t>
      </w:r>
      <w:proofErr w:type="spellEnd"/>
      <w:r w:rsidRPr="00966BA6">
        <w:t>. 2019; 94: 1266– 1287. https://doi.org/10.1002/ajh.25595</w:t>
      </w:r>
    </w:p>
  </w:footnote>
  <w:footnote w:id="5">
    <w:p w:rsidR="003155AF" w:rsidRDefault="003155AF">
      <w:pPr>
        <w:pStyle w:val="FootnoteText"/>
      </w:pPr>
      <w:r>
        <w:rPr>
          <w:rStyle w:val="FootnoteReference"/>
        </w:rPr>
        <w:footnoteRef/>
      </w:r>
      <w:r>
        <w:t xml:space="preserve"> Imbruvica (</w:t>
      </w:r>
      <w:proofErr w:type="spellStart"/>
      <w:r>
        <w:t>ibrutinib</w:t>
      </w:r>
      <w:proofErr w:type="spellEnd"/>
      <w:r>
        <w:t>). Australian Approved Product Information Macquarie Park: Janssen-</w:t>
      </w:r>
      <w:proofErr w:type="spellStart"/>
      <w:r>
        <w:t>Cilag</w:t>
      </w:r>
      <w:proofErr w:type="spellEnd"/>
      <w:r>
        <w:t xml:space="preserve"> Pty Ltd. Approved 20 April 2015. Updated 22 August 2019. Available from &lt;</w:t>
      </w:r>
      <w:r w:rsidRPr="00CD4486">
        <w:rPr>
          <w:szCs w:val="18"/>
        </w:rPr>
        <w:t>https://www.tga.gov.au/product-information-pi</w:t>
      </w:r>
      <w:r>
        <w:rPr>
          <w:szCs w:val="18"/>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ED4" w:rsidRDefault="00EE2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5AF" w:rsidRDefault="003155AF" w:rsidP="00FB77FA">
    <w:pPr>
      <w:pStyle w:val="Header"/>
    </w:pPr>
    <w:r>
      <w:t>Item 7.5 DUSC October 2020</w:t>
    </w:r>
  </w:p>
  <w:p w:rsidR="003155AF" w:rsidRDefault="00315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ED4" w:rsidRDefault="00EE2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43FB2"/>
    <w:multiLevelType w:val="hybridMultilevel"/>
    <w:tmpl w:val="4CA23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AB6DD8"/>
    <w:multiLevelType w:val="hybridMultilevel"/>
    <w:tmpl w:val="A4FE3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69C7AE2"/>
    <w:multiLevelType w:val="hybridMultilevel"/>
    <w:tmpl w:val="1B248E82"/>
    <w:lvl w:ilvl="0" w:tplc="A86CEC1A">
      <w:numFmt w:val="bullet"/>
      <w:lvlText w:val="•"/>
      <w:lvlJc w:val="left"/>
      <w:pPr>
        <w:ind w:left="1080" w:hanging="360"/>
      </w:pPr>
      <w:rPr>
        <w:rFonts w:ascii="Calibri" w:eastAsiaTheme="minorEastAsia" w:hAnsi="Calibri" w:cs="Calibri"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47A03"/>
    <w:multiLevelType w:val="hybridMultilevel"/>
    <w:tmpl w:val="0EEE0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B1F50D6"/>
    <w:multiLevelType w:val="hybridMultilevel"/>
    <w:tmpl w:val="6DC248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BF2622C"/>
    <w:multiLevelType w:val="hybridMultilevel"/>
    <w:tmpl w:val="D96A3F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02463B7"/>
    <w:multiLevelType w:val="hybridMultilevel"/>
    <w:tmpl w:val="7D84D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AF55776"/>
    <w:multiLevelType w:val="hybridMultilevel"/>
    <w:tmpl w:val="25243B8A"/>
    <w:lvl w:ilvl="0" w:tplc="A86CEC1A">
      <w:numFmt w:val="bullet"/>
      <w:lvlText w:val="•"/>
      <w:lvlJc w:val="left"/>
      <w:pPr>
        <w:ind w:left="720" w:hanging="360"/>
      </w:pPr>
      <w:rPr>
        <w:rFonts w:ascii="Calibri" w:eastAsiaTheme="minorEastAsia"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8"/>
  </w:num>
  <w:num w:numId="5">
    <w:abstractNumId w:val="10"/>
  </w:num>
  <w:num w:numId="6">
    <w:abstractNumId w:val="4"/>
  </w:num>
  <w:num w:numId="7">
    <w:abstractNumId w:val="2"/>
  </w:num>
  <w:num w:numId="8">
    <w:abstractNumId w:val="0"/>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7E85"/>
    <w:rsid w:val="00010052"/>
    <w:rsid w:val="00013465"/>
    <w:rsid w:val="000152A4"/>
    <w:rsid w:val="000152C0"/>
    <w:rsid w:val="000226B3"/>
    <w:rsid w:val="00024549"/>
    <w:rsid w:val="00025721"/>
    <w:rsid w:val="0003230D"/>
    <w:rsid w:val="00042E46"/>
    <w:rsid w:val="00051AF6"/>
    <w:rsid w:val="000544B6"/>
    <w:rsid w:val="00056DB4"/>
    <w:rsid w:val="000604AF"/>
    <w:rsid w:val="00062325"/>
    <w:rsid w:val="00066779"/>
    <w:rsid w:val="000671C2"/>
    <w:rsid w:val="000705E5"/>
    <w:rsid w:val="00071A9A"/>
    <w:rsid w:val="00086C11"/>
    <w:rsid w:val="00087873"/>
    <w:rsid w:val="00087B51"/>
    <w:rsid w:val="00094DCF"/>
    <w:rsid w:val="000A11BA"/>
    <w:rsid w:val="000A553B"/>
    <w:rsid w:val="000A6CFD"/>
    <w:rsid w:val="000B0982"/>
    <w:rsid w:val="000B0CA6"/>
    <w:rsid w:val="000B796C"/>
    <w:rsid w:val="000C397C"/>
    <w:rsid w:val="000C40AE"/>
    <w:rsid w:val="000C46BB"/>
    <w:rsid w:val="000C4D9D"/>
    <w:rsid w:val="000C7C4B"/>
    <w:rsid w:val="000C7D8B"/>
    <w:rsid w:val="000E485D"/>
    <w:rsid w:val="000E4DAD"/>
    <w:rsid w:val="000E72C6"/>
    <w:rsid w:val="000F0EC2"/>
    <w:rsid w:val="000F12F1"/>
    <w:rsid w:val="000F1893"/>
    <w:rsid w:val="000F247D"/>
    <w:rsid w:val="000F2F51"/>
    <w:rsid w:val="000F7A2B"/>
    <w:rsid w:val="00113CF8"/>
    <w:rsid w:val="00113D74"/>
    <w:rsid w:val="00117C5C"/>
    <w:rsid w:val="00120C3B"/>
    <w:rsid w:val="00130393"/>
    <w:rsid w:val="001310AE"/>
    <w:rsid w:val="00136F0B"/>
    <w:rsid w:val="001420B3"/>
    <w:rsid w:val="0014370D"/>
    <w:rsid w:val="001460C4"/>
    <w:rsid w:val="0015691C"/>
    <w:rsid w:val="001621F7"/>
    <w:rsid w:val="001624D7"/>
    <w:rsid w:val="00167321"/>
    <w:rsid w:val="001706EE"/>
    <w:rsid w:val="0017154E"/>
    <w:rsid w:val="00175683"/>
    <w:rsid w:val="00177B86"/>
    <w:rsid w:val="00182585"/>
    <w:rsid w:val="00186C40"/>
    <w:rsid w:val="00191182"/>
    <w:rsid w:val="0019664D"/>
    <w:rsid w:val="001974A8"/>
    <w:rsid w:val="001A0008"/>
    <w:rsid w:val="001A6103"/>
    <w:rsid w:val="001A76D8"/>
    <w:rsid w:val="001B2E54"/>
    <w:rsid w:val="001B3AFE"/>
    <w:rsid w:val="001B5D37"/>
    <w:rsid w:val="001B6427"/>
    <w:rsid w:val="001C1B3D"/>
    <w:rsid w:val="001C2940"/>
    <w:rsid w:val="001C4016"/>
    <w:rsid w:val="001C548D"/>
    <w:rsid w:val="001C6A5D"/>
    <w:rsid w:val="001D29C5"/>
    <w:rsid w:val="001D7C5F"/>
    <w:rsid w:val="001E31A6"/>
    <w:rsid w:val="001E42C7"/>
    <w:rsid w:val="001E4CAB"/>
    <w:rsid w:val="001E7322"/>
    <w:rsid w:val="001E7A66"/>
    <w:rsid w:val="001F0A4E"/>
    <w:rsid w:val="001F2F3E"/>
    <w:rsid w:val="001F4906"/>
    <w:rsid w:val="001F7C4A"/>
    <w:rsid w:val="0020578A"/>
    <w:rsid w:val="00207631"/>
    <w:rsid w:val="00211775"/>
    <w:rsid w:val="0021194F"/>
    <w:rsid w:val="00214013"/>
    <w:rsid w:val="002165F0"/>
    <w:rsid w:val="00217171"/>
    <w:rsid w:val="00220A23"/>
    <w:rsid w:val="00220FC1"/>
    <w:rsid w:val="00222E9A"/>
    <w:rsid w:val="00231391"/>
    <w:rsid w:val="0023179D"/>
    <w:rsid w:val="00234447"/>
    <w:rsid w:val="00237044"/>
    <w:rsid w:val="00240661"/>
    <w:rsid w:val="00244D48"/>
    <w:rsid w:val="00251BAF"/>
    <w:rsid w:val="0025389D"/>
    <w:rsid w:val="00253E01"/>
    <w:rsid w:val="00254E02"/>
    <w:rsid w:val="00256B3A"/>
    <w:rsid w:val="0026265F"/>
    <w:rsid w:val="00262DCA"/>
    <w:rsid w:val="00274BDD"/>
    <w:rsid w:val="002818C2"/>
    <w:rsid w:val="00286C3A"/>
    <w:rsid w:val="002930F5"/>
    <w:rsid w:val="00295298"/>
    <w:rsid w:val="002A06B7"/>
    <w:rsid w:val="002A1FA4"/>
    <w:rsid w:val="002B24FB"/>
    <w:rsid w:val="002B57C8"/>
    <w:rsid w:val="002B7194"/>
    <w:rsid w:val="002C6E0C"/>
    <w:rsid w:val="002C6E43"/>
    <w:rsid w:val="002D144A"/>
    <w:rsid w:val="002E19A3"/>
    <w:rsid w:val="002E212B"/>
    <w:rsid w:val="002E3337"/>
    <w:rsid w:val="002E6D03"/>
    <w:rsid w:val="002E7E75"/>
    <w:rsid w:val="002F49A8"/>
    <w:rsid w:val="002F5E66"/>
    <w:rsid w:val="002F61CA"/>
    <w:rsid w:val="0030010D"/>
    <w:rsid w:val="0030314E"/>
    <w:rsid w:val="003155AF"/>
    <w:rsid w:val="00322279"/>
    <w:rsid w:val="0033504C"/>
    <w:rsid w:val="00336816"/>
    <w:rsid w:val="003370D0"/>
    <w:rsid w:val="00337355"/>
    <w:rsid w:val="003402E4"/>
    <w:rsid w:val="00340F95"/>
    <w:rsid w:val="00342B5C"/>
    <w:rsid w:val="0034653D"/>
    <w:rsid w:val="003470C1"/>
    <w:rsid w:val="003531ED"/>
    <w:rsid w:val="00354476"/>
    <w:rsid w:val="00360B9A"/>
    <w:rsid w:val="00362A81"/>
    <w:rsid w:val="003720AD"/>
    <w:rsid w:val="00375B6E"/>
    <w:rsid w:val="00375DD2"/>
    <w:rsid w:val="003829AB"/>
    <w:rsid w:val="0039017F"/>
    <w:rsid w:val="00393923"/>
    <w:rsid w:val="00393ABE"/>
    <w:rsid w:val="00394AEE"/>
    <w:rsid w:val="003952B6"/>
    <w:rsid w:val="003B20F2"/>
    <w:rsid w:val="003B6A33"/>
    <w:rsid w:val="003C2D98"/>
    <w:rsid w:val="003D187D"/>
    <w:rsid w:val="003D3A96"/>
    <w:rsid w:val="003D3B9C"/>
    <w:rsid w:val="003D59DA"/>
    <w:rsid w:val="003E15B2"/>
    <w:rsid w:val="003F2CE4"/>
    <w:rsid w:val="003F7EBB"/>
    <w:rsid w:val="0040390A"/>
    <w:rsid w:val="00404F03"/>
    <w:rsid w:val="00412051"/>
    <w:rsid w:val="00423AE6"/>
    <w:rsid w:val="00423B94"/>
    <w:rsid w:val="004358DC"/>
    <w:rsid w:val="004369E1"/>
    <w:rsid w:val="00447F5A"/>
    <w:rsid w:val="00450900"/>
    <w:rsid w:val="0045252E"/>
    <w:rsid w:val="00463731"/>
    <w:rsid w:val="0046400A"/>
    <w:rsid w:val="00467B25"/>
    <w:rsid w:val="00480505"/>
    <w:rsid w:val="00480798"/>
    <w:rsid w:val="00481108"/>
    <w:rsid w:val="004874C4"/>
    <w:rsid w:val="0049042B"/>
    <w:rsid w:val="004924EE"/>
    <w:rsid w:val="0049371E"/>
    <w:rsid w:val="00493CE6"/>
    <w:rsid w:val="00495473"/>
    <w:rsid w:val="004A326C"/>
    <w:rsid w:val="004A458E"/>
    <w:rsid w:val="004A49E2"/>
    <w:rsid w:val="004B0D61"/>
    <w:rsid w:val="004B23E7"/>
    <w:rsid w:val="004B306F"/>
    <w:rsid w:val="004B5720"/>
    <w:rsid w:val="004C3186"/>
    <w:rsid w:val="004C5042"/>
    <w:rsid w:val="004D14A2"/>
    <w:rsid w:val="004D202B"/>
    <w:rsid w:val="004D491A"/>
    <w:rsid w:val="004D5F1C"/>
    <w:rsid w:val="004E4422"/>
    <w:rsid w:val="00503998"/>
    <w:rsid w:val="0050623B"/>
    <w:rsid w:val="005138A6"/>
    <w:rsid w:val="00515FF6"/>
    <w:rsid w:val="00522642"/>
    <w:rsid w:val="00523181"/>
    <w:rsid w:val="00524D13"/>
    <w:rsid w:val="00525B79"/>
    <w:rsid w:val="00531C61"/>
    <w:rsid w:val="005339F6"/>
    <w:rsid w:val="00540272"/>
    <w:rsid w:val="005423CE"/>
    <w:rsid w:val="00544B4E"/>
    <w:rsid w:val="00546378"/>
    <w:rsid w:val="00572222"/>
    <w:rsid w:val="00572CDC"/>
    <w:rsid w:val="00573293"/>
    <w:rsid w:val="005747B3"/>
    <w:rsid w:val="00576B18"/>
    <w:rsid w:val="00587724"/>
    <w:rsid w:val="00591512"/>
    <w:rsid w:val="0059687F"/>
    <w:rsid w:val="005A653A"/>
    <w:rsid w:val="005B2D91"/>
    <w:rsid w:val="005B48B4"/>
    <w:rsid w:val="005B638B"/>
    <w:rsid w:val="005C51F5"/>
    <w:rsid w:val="005C6661"/>
    <w:rsid w:val="005C6E3B"/>
    <w:rsid w:val="005D4088"/>
    <w:rsid w:val="005D474B"/>
    <w:rsid w:val="005E085C"/>
    <w:rsid w:val="005E147D"/>
    <w:rsid w:val="005E22C2"/>
    <w:rsid w:val="005E57BB"/>
    <w:rsid w:val="005E5938"/>
    <w:rsid w:val="005F0017"/>
    <w:rsid w:val="006014F1"/>
    <w:rsid w:val="00610E5F"/>
    <w:rsid w:val="0061357B"/>
    <w:rsid w:val="00614A7D"/>
    <w:rsid w:val="00615D21"/>
    <w:rsid w:val="00623AFD"/>
    <w:rsid w:val="00625413"/>
    <w:rsid w:val="00627887"/>
    <w:rsid w:val="00634724"/>
    <w:rsid w:val="00634E8D"/>
    <w:rsid w:val="0063631C"/>
    <w:rsid w:val="006365BB"/>
    <w:rsid w:val="0063757B"/>
    <w:rsid w:val="006377CE"/>
    <w:rsid w:val="00641B21"/>
    <w:rsid w:val="006537D9"/>
    <w:rsid w:val="006644F0"/>
    <w:rsid w:val="00664A48"/>
    <w:rsid w:val="00665A28"/>
    <w:rsid w:val="00665DEF"/>
    <w:rsid w:val="00675BB1"/>
    <w:rsid w:val="00676BFB"/>
    <w:rsid w:val="00676E80"/>
    <w:rsid w:val="006775F1"/>
    <w:rsid w:val="00692AA7"/>
    <w:rsid w:val="00697270"/>
    <w:rsid w:val="0069787C"/>
    <w:rsid w:val="00697FEC"/>
    <w:rsid w:val="006A175F"/>
    <w:rsid w:val="006A180A"/>
    <w:rsid w:val="006A44F5"/>
    <w:rsid w:val="006A4B5C"/>
    <w:rsid w:val="006B4537"/>
    <w:rsid w:val="006B5F85"/>
    <w:rsid w:val="006B6929"/>
    <w:rsid w:val="006B709B"/>
    <w:rsid w:val="006C54AF"/>
    <w:rsid w:val="006C6A9A"/>
    <w:rsid w:val="006E0181"/>
    <w:rsid w:val="006F3B2B"/>
    <w:rsid w:val="006F74D4"/>
    <w:rsid w:val="00700C0E"/>
    <w:rsid w:val="00701F6D"/>
    <w:rsid w:val="0070395B"/>
    <w:rsid w:val="00705DAD"/>
    <w:rsid w:val="00711E86"/>
    <w:rsid w:val="00714DEF"/>
    <w:rsid w:val="00715283"/>
    <w:rsid w:val="00717C4F"/>
    <w:rsid w:val="00721D29"/>
    <w:rsid w:val="007247B9"/>
    <w:rsid w:val="00725B74"/>
    <w:rsid w:val="00727D85"/>
    <w:rsid w:val="00734152"/>
    <w:rsid w:val="007346C7"/>
    <w:rsid w:val="00736041"/>
    <w:rsid w:val="0074070A"/>
    <w:rsid w:val="007408C7"/>
    <w:rsid w:val="007465DA"/>
    <w:rsid w:val="00752C7F"/>
    <w:rsid w:val="00762B6C"/>
    <w:rsid w:val="007636AF"/>
    <w:rsid w:val="0076380E"/>
    <w:rsid w:val="00766E02"/>
    <w:rsid w:val="007746D5"/>
    <w:rsid w:val="007761B7"/>
    <w:rsid w:val="00776598"/>
    <w:rsid w:val="00780A95"/>
    <w:rsid w:val="00791177"/>
    <w:rsid w:val="00792948"/>
    <w:rsid w:val="00796813"/>
    <w:rsid w:val="00796E84"/>
    <w:rsid w:val="0079770B"/>
    <w:rsid w:val="007A1B0A"/>
    <w:rsid w:val="007A3ADE"/>
    <w:rsid w:val="007A5733"/>
    <w:rsid w:val="007A5774"/>
    <w:rsid w:val="007B2ECF"/>
    <w:rsid w:val="007B42F8"/>
    <w:rsid w:val="007C4829"/>
    <w:rsid w:val="007C5D4F"/>
    <w:rsid w:val="007E4A67"/>
    <w:rsid w:val="007F135F"/>
    <w:rsid w:val="00801E74"/>
    <w:rsid w:val="00804257"/>
    <w:rsid w:val="0080485E"/>
    <w:rsid w:val="00805C18"/>
    <w:rsid w:val="00812E01"/>
    <w:rsid w:val="008142B4"/>
    <w:rsid w:val="00832324"/>
    <w:rsid w:val="00834A2E"/>
    <w:rsid w:val="00835337"/>
    <w:rsid w:val="008359CE"/>
    <w:rsid w:val="00835D3E"/>
    <w:rsid w:val="00837C42"/>
    <w:rsid w:val="00840F83"/>
    <w:rsid w:val="00842D40"/>
    <w:rsid w:val="008464A6"/>
    <w:rsid w:val="00846DCD"/>
    <w:rsid w:val="00851D85"/>
    <w:rsid w:val="00853A58"/>
    <w:rsid w:val="00857EED"/>
    <w:rsid w:val="00860CCB"/>
    <w:rsid w:val="00863D71"/>
    <w:rsid w:val="00871729"/>
    <w:rsid w:val="008740A3"/>
    <w:rsid w:val="00880A58"/>
    <w:rsid w:val="00882F9E"/>
    <w:rsid w:val="00885226"/>
    <w:rsid w:val="0089297B"/>
    <w:rsid w:val="008C04D8"/>
    <w:rsid w:val="008C0CD1"/>
    <w:rsid w:val="008C36CA"/>
    <w:rsid w:val="008D11FC"/>
    <w:rsid w:val="008E0F69"/>
    <w:rsid w:val="008E3F8C"/>
    <w:rsid w:val="008F0428"/>
    <w:rsid w:val="008F45F6"/>
    <w:rsid w:val="0090011C"/>
    <w:rsid w:val="00901933"/>
    <w:rsid w:val="00902FD0"/>
    <w:rsid w:val="009053D3"/>
    <w:rsid w:val="0090691F"/>
    <w:rsid w:val="009259BF"/>
    <w:rsid w:val="00926B79"/>
    <w:rsid w:val="0093111F"/>
    <w:rsid w:val="00935689"/>
    <w:rsid w:val="00940398"/>
    <w:rsid w:val="0095303B"/>
    <w:rsid w:val="00954D9F"/>
    <w:rsid w:val="009663B6"/>
    <w:rsid w:val="00966BA6"/>
    <w:rsid w:val="00970E22"/>
    <w:rsid w:val="00974A47"/>
    <w:rsid w:val="0097758C"/>
    <w:rsid w:val="00977E7A"/>
    <w:rsid w:val="00980286"/>
    <w:rsid w:val="009817CB"/>
    <w:rsid w:val="00986FED"/>
    <w:rsid w:val="00990DCF"/>
    <w:rsid w:val="00995B0F"/>
    <w:rsid w:val="009A3075"/>
    <w:rsid w:val="009A4CB8"/>
    <w:rsid w:val="009A4CD6"/>
    <w:rsid w:val="009A537C"/>
    <w:rsid w:val="009A63DE"/>
    <w:rsid w:val="009B1711"/>
    <w:rsid w:val="009C0649"/>
    <w:rsid w:val="009C0886"/>
    <w:rsid w:val="009C0A40"/>
    <w:rsid w:val="009C117E"/>
    <w:rsid w:val="009C19EE"/>
    <w:rsid w:val="009C1CA9"/>
    <w:rsid w:val="009C28D0"/>
    <w:rsid w:val="009C35F2"/>
    <w:rsid w:val="009C6F95"/>
    <w:rsid w:val="009C7782"/>
    <w:rsid w:val="009D1ED5"/>
    <w:rsid w:val="009D4354"/>
    <w:rsid w:val="009D4C13"/>
    <w:rsid w:val="009E21A7"/>
    <w:rsid w:val="009E43B2"/>
    <w:rsid w:val="009E694E"/>
    <w:rsid w:val="009E7252"/>
    <w:rsid w:val="009F40B9"/>
    <w:rsid w:val="009F7AD6"/>
    <w:rsid w:val="00A0330B"/>
    <w:rsid w:val="00A03508"/>
    <w:rsid w:val="00A06D96"/>
    <w:rsid w:val="00A07458"/>
    <w:rsid w:val="00A103ED"/>
    <w:rsid w:val="00A12AA3"/>
    <w:rsid w:val="00A13C60"/>
    <w:rsid w:val="00A15134"/>
    <w:rsid w:val="00A23D05"/>
    <w:rsid w:val="00A26658"/>
    <w:rsid w:val="00A31510"/>
    <w:rsid w:val="00A32D99"/>
    <w:rsid w:val="00A341A3"/>
    <w:rsid w:val="00A35800"/>
    <w:rsid w:val="00A45F9E"/>
    <w:rsid w:val="00A52918"/>
    <w:rsid w:val="00A547B3"/>
    <w:rsid w:val="00A557BE"/>
    <w:rsid w:val="00A61503"/>
    <w:rsid w:val="00A64FB8"/>
    <w:rsid w:val="00A70E82"/>
    <w:rsid w:val="00A71398"/>
    <w:rsid w:val="00A72ED0"/>
    <w:rsid w:val="00A72F05"/>
    <w:rsid w:val="00A76D3B"/>
    <w:rsid w:val="00A8358B"/>
    <w:rsid w:val="00A84AEF"/>
    <w:rsid w:val="00A84CAD"/>
    <w:rsid w:val="00A871C9"/>
    <w:rsid w:val="00A872AB"/>
    <w:rsid w:val="00A90E50"/>
    <w:rsid w:val="00A94BA6"/>
    <w:rsid w:val="00A95FA5"/>
    <w:rsid w:val="00A96D92"/>
    <w:rsid w:val="00AB199C"/>
    <w:rsid w:val="00AB2681"/>
    <w:rsid w:val="00AB3733"/>
    <w:rsid w:val="00AB588C"/>
    <w:rsid w:val="00AB7897"/>
    <w:rsid w:val="00AC5054"/>
    <w:rsid w:val="00AE25D3"/>
    <w:rsid w:val="00AE2906"/>
    <w:rsid w:val="00AE4BAC"/>
    <w:rsid w:val="00AF5054"/>
    <w:rsid w:val="00B034FC"/>
    <w:rsid w:val="00B05310"/>
    <w:rsid w:val="00B10A0B"/>
    <w:rsid w:val="00B115BA"/>
    <w:rsid w:val="00B20BCA"/>
    <w:rsid w:val="00B30D85"/>
    <w:rsid w:val="00B35A4A"/>
    <w:rsid w:val="00B40D89"/>
    <w:rsid w:val="00B453CF"/>
    <w:rsid w:val="00B507FB"/>
    <w:rsid w:val="00B50C24"/>
    <w:rsid w:val="00B51E35"/>
    <w:rsid w:val="00B5500C"/>
    <w:rsid w:val="00B5510D"/>
    <w:rsid w:val="00B5523B"/>
    <w:rsid w:val="00B555BF"/>
    <w:rsid w:val="00B63FD7"/>
    <w:rsid w:val="00B80E01"/>
    <w:rsid w:val="00B816D9"/>
    <w:rsid w:val="00B9120F"/>
    <w:rsid w:val="00B9216C"/>
    <w:rsid w:val="00B924A4"/>
    <w:rsid w:val="00B95C58"/>
    <w:rsid w:val="00B96C91"/>
    <w:rsid w:val="00B97E2D"/>
    <w:rsid w:val="00BB0D1A"/>
    <w:rsid w:val="00BB1D3B"/>
    <w:rsid w:val="00BC2DA7"/>
    <w:rsid w:val="00BC35ED"/>
    <w:rsid w:val="00BC70F8"/>
    <w:rsid w:val="00BD66EF"/>
    <w:rsid w:val="00BE1B85"/>
    <w:rsid w:val="00BE205A"/>
    <w:rsid w:val="00BE3802"/>
    <w:rsid w:val="00BE385D"/>
    <w:rsid w:val="00BE7834"/>
    <w:rsid w:val="00BF238E"/>
    <w:rsid w:val="00BF2F4A"/>
    <w:rsid w:val="00BF3D02"/>
    <w:rsid w:val="00BF544D"/>
    <w:rsid w:val="00C0076F"/>
    <w:rsid w:val="00C02330"/>
    <w:rsid w:val="00C0301C"/>
    <w:rsid w:val="00C03517"/>
    <w:rsid w:val="00C050B6"/>
    <w:rsid w:val="00C05AC8"/>
    <w:rsid w:val="00C06D29"/>
    <w:rsid w:val="00C10F12"/>
    <w:rsid w:val="00C14334"/>
    <w:rsid w:val="00C172CB"/>
    <w:rsid w:val="00C2107A"/>
    <w:rsid w:val="00C22BDF"/>
    <w:rsid w:val="00C245EA"/>
    <w:rsid w:val="00C256F6"/>
    <w:rsid w:val="00C3097E"/>
    <w:rsid w:val="00C34F38"/>
    <w:rsid w:val="00C35ECC"/>
    <w:rsid w:val="00C361A8"/>
    <w:rsid w:val="00C41246"/>
    <w:rsid w:val="00C42C2E"/>
    <w:rsid w:val="00C45E5F"/>
    <w:rsid w:val="00C46291"/>
    <w:rsid w:val="00C51A7C"/>
    <w:rsid w:val="00C53E1F"/>
    <w:rsid w:val="00C626AD"/>
    <w:rsid w:val="00C63412"/>
    <w:rsid w:val="00C714D0"/>
    <w:rsid w:val="00C761C2"/>
    <w:rsid w:val="00C76439"/>
    <w:rsid w:val="00C76E85"/>
    <w:rsid w:val="00C84DA0"/>
    <w:rsid w:val="00C85D4C"/>
    <w:rsid w:val="00C90ABA"/>
    <w:rsid w:val="00C90EF4"/>
    <w:rsid w:val="00C94D7F"/>
    <w:rsid w:val="00CA015A"/>
    <w:rsid w:val="00CB4C2C"/>
    <w:rsid w:val="00CC1AA3"/>
    <w:rsid w:val="00CD24FF"/>
    <w:rsid w:val="00CD3133"/>
    <w:rsid w:val="00CD4486"/>
    <w:rsid w:val="00CE26FB"/>
    <w:rsid w:val="00CE35CA"/>
    <w:rsid w:val="00CF2F09"/>
    <w:rsid w:val="00CF5E22"/>
    <w:rsid w:val="00D002FE"/>
    <w:rsid w:val="00D06A44"/>
    <w:rsid w:val="00D107CB"/>
    <w:rsid w:val="00D13972"/>
    <w:rsid w:val="00D151EB"/>
    <w:rsid w:val="00D300E0"/>
    <w:rsid w:val="00D374CD"/>
    <w:rsid w:val="00D603DB"/>
    <w:rsid w:val="00D6117D"/>
    <w:rsid w:val="00D63D11"/>
    <w:rsid w:val="00D650CE"/>
    <w:rsid w:val="00D71719"/>
    <w:rsid w:val="00D749C6"/>
    <w:rsid w:val="00D74EA4"/>
    <w:rsid w:val="00D75A97"/>
    <w:rsid w:val="00D776DA"/>
    <w:rsid w:val="00D81204"/>
    <w:rsid w:val="00D8758B"/>
    <w:rsid w:val="00D942B3"/>
    <w:rsid w:val="00D94863"/>
    <w:rsid w:val="00D9589B"/>
    <w:rsid w:val="00DA0346"/>
    <w:rsid w:val="00DA0981"/>
    <w:rsid w:val="00DA4E2C"/>
    <w:rsid w:val="00DA7D09"/>
    <w:rsid w:val="00DC2630"/>
    <w:rsid w:val="00DC49E9"/>
    <w:rsid w:val="00DC55E4"/>
    <w:rsid w:val="00DC5C50"/>
    <w:rsid w:val="00DC7D71"/>
    <w:rsid w:val="00DD188C"/>
    <w:rsid w:val="00DD29A3"/>
    <w:rsid w:val="00DD48EE"/>
    <w:rsid w:val="00DD7031"/>
    <w:rsid w:val="00DE0B96"/>
    <w:rsid w:val="00DE10B9"/>
    <w:rsid w:val="00DE5622"/>
    <w:rsid w:val="00DE5947"/>
    <w:rsid w:val="00DF0B13"/>
    <w:rsid w:val="00DF2EB8"/>
    <w:rsid w:val="00DF4A94"/>
    <w:rsid w:val="00DF6003"/>
    <w:rsid w:val="00DF7E22"/>
    <w:rsid w:val="00E00095"/>
    <w:rsid w:val="00E066C3"/>
    <w:rsid w:val="00E10D8C"/>
    <w:rsid w:val="00E13265"/>
    <w:rsid w:val="00E1353A"/>
    <w:rsid w:val="00E1564B"/>
    <w:rsid w:val="00E208A0"/>
    <w:rsid w:val="00E227AE"/>
    <w:rsid w:val="00E25B49"/>
    <w:rsid w:val="00E34341"/>
    <w:rsid w:val="00E371EA"/>
    <w:rsid w:val="00E41AAF"/>
    <w:rsid w:val="00E47A91"/>
    <w:rsid w:val="00E57FD3"/>
    <w:rsid w:val="00E618A7"/>
    <w:rsid w:val="00E64429"/>
    <w:rsid w:val="00E677DD"/>
    <w:rsid w:val="00E67A90"/>
    <w:rsid w:val="00E72A74"/>
    <w:rsid w:val="00E743B5"/>
    <w:rsid w:val="00E7594B"/>
    <w:rsid w:val="00E82DAB"/>
    <w:rsid w:val="00E82FAA"/>
    <w:rsid w:val="00E84361"/>
    <w:rsid w:val="00E92F01"/>
    <w:rsid w:val="00EB4688"/>
    <w:rsid w:val="00EB6C07"/>
    <w:rsid w:val="00EC028D"/>
    <w:rsid w:val="00EC16E5"/>
    <w:rsid w:val="00ED0D81"/>
    <w:rsid w:val="00ED3F25"/>
    <w:rsid w:val="00ED5CAA"/>
    <w:rsid w:val="00ED633B"/>
    <w:rsid w:val="00EE2BBB"/>
    <w:rsid w:val="00EE2ED4"/>
    <w:rsid w:val="00EE478C"/>
    <w:rsid w:val="00EE4E41"/>
    <w:rsid w:val="00F073C0"/>
    <w:rsid w:val="00F07711"/>
    <w:rsid w:val="00F1132C"/>
    <w:rsid w:val="00F13CA0"/>
    <w:rsid w:val="00F15DD5"/>
    <w:rsid w:val="00F17D4B"/>
    <w:rsid w:val="00F23139"/>
    <w:rsid w:val="00F3035F"/>
    <w:rsid w:val="00F359A4"/>
    <w:rsid w:val="00F4293C"/>
    <w:rsid w:val="00F66CD5"/>
    <w:rsid w:val="00F679C5"/>
    <w:rsid w:val="00F67A9A"/>
    <w:rsid w:val="00F70F4E"/>
    <w:rsid w:val="00F73113"/>
    <w:rsid w:val="00F75FC4"/>
    <w:rsid w:val="00F85149"/>
    <w:rsid w:val="00F85981"/>
    <w:rsid w:val="00F87263"/>
    <w:rsid w:val="00F93725"/>
    <w:rsid w:val="00FA1BA3"/>
    <w:rsid w:val="00FA4890"/>
    <w:rsid w:val="00FB04C2"/>
    <w:rsid w:val="00FB0847"/>
    <w:rsid w:val="00FB4CD1"/>
    <w:rsid w:val="00FB77FA"/>
    <w:rsid w:val="00FC3C70"/>
    <w:rsid w:val="00FC4996"/>
    <w:rsid w:val="00FC4A73"/>
    <w:rsid w:val="00FC559C"/>
    <w:rsid w:val="00FC7B9F"/>
    <w:rsid w:val="00FC7F0D"/>
    <w:rsid w:val="00FD1EF9"/>
    <w:rsid w:val="00FD52D4"/>
    <w:rsid w:val="00FD5F96"/>
    <w:rsid w:val="00FE26B0"/>
    <w:rsid w:val="00FE645A"/>
    <w:rsid w:val="00FF2464"/>
    <w:rsid w:val="00FF51C0"/>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C4B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Caption">
    <w:name w:val="caption"/>
    <w:basedOn w:val="Normal"/>
    <w:next w:val="Normal"/>
    <w:uiPriority w:val="35"/>
    <w:unhideWhenUsed/>
    <w:qFormat/>
    <w:rsid w:val="00B555BF"/>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115">
      <w:bodyDiv w:val="1"/>
      <w:marLeft w:val="0"/>
      <w:marRight w:val="0"/>
      <w:marTop w:val="0"/>
      <w:marBottom w:val="0"/>
      <w:divBdr>
        <w:top w:val="none" w:sz="0" w:space="0" w:color="auto"/>
        <w:left w:val="none" w:sz="0" w:space="0" w:color="auto"/>
        <w:bottom w:val="none" w:sz="0" w:space="0" w:color="auto"/>
        <w:right w:val="none" w:sz="0" w:space="0" w:color="auto"/>
      </w:divBdr>
    </w:div>
    <w:div w:id="98374956">
      <w:bodyDiv w:val="1"/>
      <w:marLeft w:val="0"/>
      <w:marRight w:val="0"/>
      <w:marTop w:val="0"/>
      <w:marBottom w:val="0"/>
      <w:divBdr>
        <w:top w:val="none" w:sz="0" w:space="0" w:color="auto"/>
        <w:left w:val="none" w:sz="0" w:space="0" w:color="auto"/>
        <w:bottom w:val="none" w:sz="0" w:space="0" w:color="auto"/>
        <w:right w:val="none" w:sz="0" w:space="0" w:color="auto"/>
      </w:divBdr>
    </w:div>
    <w:div w:id="278267938">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13109564">
      <w:bodyDiv w:val="1"/>
      <w:marLeft w:val="0"/>
      <w:marRight w:val="0"/>
      <w:marTop w:val="0"/>
      <w:marBottom w:val="0"/>
      <w:divBdr>
        <w:top w:val="none" w:sz="0" w:space="0" w:color="auto"/>
        <w:left w:val="none" w:sz="0" w:space="0" w:color="auto"/>
        <w:bottom w:val="none" w:sz="0" w:space="0" w:color="auto"/>
        <w:right w:val="none" w:sz="0" w:space="0" w:color="auto"/>
      </w:divBdr>
    </w:div>
    <w:div w:id="886524097">
      <w:bodyDiv w:val="1"/>
      <w:marLeft w:val="0"/>
      <w:marRight w:val="0"/>
      <w:marTop w:val="0"/>
      <w:marBottom w:val="0"/>
      <w:divBdr>
        <w:top w:val="none" w:sz="0" w:space="0" w:color="auto"/>
        <w:left w:val="none" w:sz="0" w:space="0" w:color="auto"/>
        <w:bottom w:val="none" w:sz="0" w:space="0" w:color="auto"/>
        <w:right w:val="none" w:sz="0" w:space="0" w:color="auto"/>
      </w:divBdr>
    </w:div>
    <w:div w:id="886643083">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412464433">
      <w:bodyDiv w:val="1"/>
      <w:marLeft w:val="0"/>
      <w:marRight w:val="0"/>
      <w:marTop w:val="0"/>
      <w:marBottom w:val="0"/>
      <w:divBdr>
        <w:top w:val="none" w:sz="0" w:space="0" w:color="auto"/>
        <w:left w:val="none" w:sz="0" w:space="0" w:color="auto"/>
        <w:bottom w:val="none" w:sz="0" w:space="0" w:color="auto"/>
        <w:right w:val="none" w:sz="0" w:space="0" w:color="auto"/>
      </w:divBdr>
    </w:div>
    <w:div w:id="1534614875">
      <w:bodyDiv w:val="1"/>
      <w:marLeft w:val="0"/>
      <w:marRight w:val="0"/>
      <w:marTop w:val="0"/>
      <w:marBottom w:val="0"/>
      <w:divBdr>
        <w:top w:val="none" w:sz="0" w:space="0" w:color="auto"/>
        <w:left w:val="none" w:sz="0" w:space="0" w:color="auto"/>
        <w:bottom w:val="none" w:sz="0" w:space="0" w:color="auto"/>
        <w:right w:val="none" w:sz="0" w:space="0" w:color="auto"/>
      </w:divBdr>
    </w:div>
    <w:div w:id="1781097087">
      <w:bodyDiv w:val="1"/>
      <w:marLeft w:val="0"/>
      <w:marRight w:val="0"/>
      <w:marTop w:val="0"/>
      <w:marBottom w:val="0"/>
      <w:divBdr>
        <w:top w:val="none" w:sz="0" w:space="0" w:color="auto"/>
        <w:left w:val="none" w:sz="0" w:space="0" w:color="auto"/>
        <w:bottom w:val="none" w:sz="0" w:space="0" w:color="auto"/>
        <w:right w:val="none" w:sz="0" w:space="0" w:color="auto"/>
      </w:divBdr>
    </w:div>
    <w:div w:id="1800800989">
      <w:bodyDiv w:val="1"/>
      <w:marLeft w:val="0"/>
      <w:marRight w:val="0"/>
      <w:marTop w:val="0"/>
      <w:marBottom w:val="0"/>
      <w:divBdr>
        <w:top w:val="none" w:sz="0" w:space="0" w:color="auto"/>
        <w:left w:val="none" w:sz="0" w:space="0" w:color="auto"/>
        <w:bottom w:val="none" w:sz="0" w:space="0" w:color="auto"/>
        <w:right w:val="none" w:sz="0" w:space="0" w:color="auto"/>
      </w:divBdr>
    </w:div>
    <w:div w:id="2077315541">
      <w:bodyDiv w:val="1"/>
      <w:marLeft w:val="0"/>
      <w:marRight w:val="0"/>
      <w:marTop w:val="0"/>
      <w:marBottom w:val="0"/>
      <w:divBdr>
        <w:top w:val="none" w:sz="0" w:space="0" w:color="auto"/>
        <w:left w:val="none" w:sz="0" w:space="0" w:color="auto"/>
        <w:bottom w:val="none" w:sz="0" w:space="0" w:color="auto"/>
        <w:right w:val="none" w:sz="0" w:space="0" w:color="auto"/>
      </w:divBdr>
    </w:div>
    <w:div w:id="20885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ihw.gov.au/reports/cancer/cancer-data-in-australia/contents/cancer-summary-data-visualisation" TargetMode="External"/><Relationship Id="rId1" Type="http://schemas.openxmlformats.org/officeDocument/2006/relationships/hyperlink" Target="https://www.leukaemia.org.au/blood-cancer-information/types-of-blood-cancer/leukaemia/chronic-lymphocytic-leukaemi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37%20-%20Ibrutinib%20for%20CLL%20PvA\PT_NU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37%20-%20Ibrutinib%20for%20CLL%20PvA\p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37%20-%20Ibrutinib%20for%20CLL%20PvA\alk_agen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37%20-%20Ibrutinib%20for%20CLL%20PvA\DIFFERENCE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[PT_NUM.xlsx]Sheet2!PivotTable5</c:name>
    <c:fmtId val="10"/>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Sheet2!$B$3</c:f>
              <c:strCache>
                <c:ptCount val="1"/>
                <c:pt idx="0">
                  <c:v>Prevalent Patients</c:v>
                </c:pt>
              </c:strCache>
            </c:strRef>
          </c:tx>
          <c:spPr>
            <a:ln w="28575" cap="rnd">
              <a:solidFill>
                <a:schemeClr val="accent1"/>
              </a:solidFill>
              <a:round/>
            </a:ln>
            <a:effectLst/>
          </c:spPr>
          <c:marker>
            <c:symbol val="none"/>
          </c:marker>
          <c:cat>
            <c:strRef>
              <c:f>Sheet2!$A$4:$A$35</c:f>
              <c:strCache>
                <c:ptCount val="31"/>
                <c:pt idx="0">
                  <c:v>201712</c:v>
                </c:pt>
                <c:pt idx="1">
                  <c:v>201801</c:v>
                </c:pt>
                <c:pt idx="2">
                  <c:v>201802</c:v>
                </c:pt>
                <c:pt idx="3">
                  <c:v>201803</c:v>
                </c:pt>
                <c:pt idx="4">
                  <c:v>201804</c:v>
                </c:pt>
                <c:pt idx="5">
                  <c:v>201805</c:v>
                </c:pt>
                <c:pt idx="6">
                  <c:v>201806</c:v>
                </c:pt>
                <c:pt idx="7">
                  <c:v>201807</c:v>
                </c:pt>
                <c:pt idx="8">
                  <c:v>201808</c:v>
                </c:pt>
                <c:pt idx="9">
                  <c:v>201809</c:v>
                </c:pt>
                <c:pt idx="10">
                  <c:v>201810</c:v>
                </c:pt>
                <c:pt idx="11">
                  <c:v>201811</c:v>
                </c:pt>
                <c:pt idx="12">
                  <c:v>201812</c:v>
                </c:pt>
                <c:pt idx="13">
                  <c:v>201901</c:v>
                </c:pt>
                <c:pt idx="14">
                  <c:v>201902</c:v>
                </c:pt>
                <c:pt idx="15">
                  <c:v>201903</c:v>
                </c:pt>
                <c:pt idx="16">
                  <c:v>201904</c:v>
                </c:pt>
                <c:pt idx="17">
                  <c:v>201905</c:v>
                </c:pt>
                <c:pt idx="18">
                  <c:v>201906</c:v>
                </c:pt>
                <c:pt idx="19">
                  <c:v>201907</c:v>
                </c:pt>
                <c:pt idx="20">
                  <c:v>201908</c:v>
                </c:pt>
                <c:pt idx="21">
                  <c:v>201909</c:v>
                </c:pt>
                <c:pt idx="22">
                  <c:v>201910</c:v>
                </c:pt>
                <c:pt idx="23">
                  <c:v>201911</c:v>
                </c:pt>
                <c:pt idx="24">
                  <c:v>201912</c:v>
                </c:pt>
                <c:pt idx="25">
                  <c:v>202001</c:v>
                </c:pt>
                <c:pt idx="26">
                  <c:v>202002</c:v>
                </c:pt>
                <c:pt idx="27">
                  <c:v>202003</c:v>
                </c:pt>
                <c:pt idx="28">
                  <c:v>202004</c:v>
                </c:pt>
                <c:pt idx="29">
                  <c:v>202005</c:v>
                </c:pt>
                <c:pt idx="30">
                  <c:v>202006</c:v>
                </c:pt>
              </c:strCache>
            </c:strRef>
          </c:cat>
          <c:val>
            <c:numRef>
              <c:f>Sheet2!$B$4:$B$35</c:f>
              <c:numCache>
                <c:formatCode>General</c:formatCode>
                <c:ptCount val="31"/>
                <c:pt idx="0">
                  <c:v>591</c:v>
                </c:pt>
                <c:pt idx="1">
                  <c:v>688</c:v>
                </c:pt>
                <c:pt idx="2">
                  <c:v>662</c:v>
                </c:pt>
                <c:pt idx="3">
                  <c:v>763</c:v>
                </c:pt>
                <c:pt idx="4">
                  <c:v>726</c:v>
                </c:pt>
                <c:pt idx="5">
                  <c:v>803</c:v>
                </c:pt>
                <c:pt idx="6">
                  <c:v>789</c:v>
                </c:pt>
                <c:pt idx="7">
                  <c:v>837</c:v>
                </c:pt>
                <c:pt idx="8">
                  <c:v>870</c:v>
                </c:pt>
                <c:pt idx="9">
                  <c:v>819</c:v>
                </c:pt>
                <c:pt idx="10">
                  <c:v>910</c:v>
                </c:pt>
                <c:pt idx="11">
                  <c:v>914</c:v>
                </c:pt>
                <c:pt idx="12">
                  <c:v>875</c:v>
                </c:pt>
                <c:pt idx="13">
                  <c:v>918</c:v>
                </c:pt>
                <c:pt idx="14">
                  <c:v>894</c:v>
                </c:pt>
                <c:pt idx="15">
                  <c:v>947</c:v>
                </c:pt>
                <c:pt idx="16">
                  <c:v>955</c:v>
                </c:pt>
                <c:pt idx="17">
                  <c:v>980</c:v>
                </c:pt>
                <c:pt idx="18">
                  <c:v>931</c:v>
                </c:pt>
                <c:pt idx="19">
                  <c:v>978</c:v>
                </c:pt>
                <c:pt idx="20">
                  <c:v>971</c:v>
                </c:pt>
                <c:pt idx="21">
                  <c:v>942</c:v>
                </c:pt>
                <c:pt idx="22">
                  <c:v>969</c:v>
                </c:pt>
                <c:pt idx="23">
                  <c:v>971</c:v>
                </c:pt>
                <c:pt idx="24">
                  <c:v>1010</c:v>
                </c:pt>
                <c:pt idx="25">
                  <c:v>974</c:v>
                </c:pt>
                <c:pt idx="26">
                  <c:v>952</c:v>
                </c:pt>
                <c:pt idx="27">
                  <c:v>1105</c:v>
                </c:pt>
                <c:pt idx="28">
                  <c:v>949</c:v>
                </c:pt>
                <c:pt idx="29">
                  <c:v>956</c:v>
                </c:pt>
                <c:pt idx="30">
                  <c:v>996</c:v>
                </c:pt>
              </c:numCache>
            </c:numRef>
          </c:val>
          <c:smooth val="0"/>
          <c:extLst>
            <c:ext xmlns:c16="http://schemas.microsoft.com/office/drawing/2014/chart" uri="{C3380CC4-5D6E-409C-BE32-E72D297353CC}">
              <c16:uniqueId val="{00000000-C922-4AC6-9FDA-F3888F6B228E}"/>
            </c:ext>
          </c:extLst>
        </c:ser>
        <c:ser>
          <c:idx val="1"/>
          <c:order val="1"/>
          <c:tx>
            <c:strRef>
              <c:f>Sheet2!$C$3</c:f>
              <c:strCache>
                <c:ptCount val="1"/>
                <c:pt idx="0">
                  <c:v>Incident Patients</c:v>
                </c:pt>
              </c:strCache>
            </c:strRef>
          </c:tx>
          <c:spPr>
            <a:ln w="28575" cap="rnd">
              <a:solidFill>
                <a:schemeClr val="accent2"/>
              </a:solidFill>
              <a:round/>
            </a:ln>
            <a:effectLst/>
          </c:spPr>
          <c:marker>
            <c:symbol val="none"/>
          </c:marker>
          <c:cat>
            <c:strRef>
              <c:f>Sheet2!$A$4:$A$35</c:f>
              <c:strCache>
                <c:ptCount val="31"/>
                <c:pt idx="0">
                  <c:v>201712</c:v>
                </c:pt>
                <c:pt idx="1">
                  <c:v>201801</c:v>
                </c:pt>
                <c:pt idx="2">
                  <c:v>201802</c:v>
                </c:pt>
                <c:pt idx="3">
                  <c:v>201803</c:v>
                </c:pt>
                <c:pt idx="4">
                  <c:v>201804</c:v>
                </c:pt>
                <c:pt idx="5">
                  <c:v>201805</c:v>
                </c:pt>
                <c:pt idx="6">
                  <c:v>201806</c:v>
                </c:pt>
                <c:pt idx="7">
                  <c:v>201807</c:v>
                </c:pt>
                <c:pt idx="8">
                  <c:v>201808</c:v>
                </c:pt>
                <c:pt idx="9">
                  <c:v>201809</c:v>
                </c:pt>
                <c:pt idx="10">
                  <c:v>201810</c:v>
                </c:pt>
                <c:pt idx="11">
                  <c:v>201811</c:v>
                </c:pt>
                <c:pt idx="12">
                  <c:v>201812</c:v>
                </c:pt>
                <c:pt idx="13">
                  <c:v>201901</c:v>
                </c:pt>
                <c:pt idx="14">
                  <c:v>201902</c:v>
                </c:pt>
                <c:pt idx="15">
                  <c:v>201903</c:v>
                </c:pt>
                <c:pt idx="16">
                  <c:v>201904</c:v>
                </c:pt>
                <c:pt idx="17">
                  <c:v>201905</c:v>
                </c:pt>
                <c:pt idx="18">
                  <c:v>201906</c:v>
                </c:pt>
                <c:pt idx="19">
                  <c:v>201907</c:v>
                </c:pt>
                <c:pt idx="20">
                  <c:v>201908</c:v>
                </c:pt>
                <c:pt idx="21">
                  <c:v>201909</c:v>
                </c:pt>
                <c:pt idx="22">
                  <c:v>201910</c:v>
                </c:pt>
                <c:pt idx="23">
                  <c:v>201911</c:v>
                </c:pt>
                <c:pt idx="24">
                  <c:v>201912</c:v>
                </c:pt>
                <c:pt idx="25">
                  <c:v>202001</c:v>
                </c:pt>
                <c:pt idx="26">
                  <c:v>202002</c:v>
                </c:pt>
                <c:pt idx="27">
                  <c:v>202003</c:v>
                </c:pt>
                <c:pt idx="28">
                  <c:v>202004</c:v>
                </c:pt>
                <c:pt idx="29">
                  <c:v>202005</c:v>
                </c:pt>
                <c:pt idx="30">
                  <c:v>202006</c:v>
                </c:pt>
              </c:strCache>
            </c:strRef>
          </c:cat>
          <c:val>
            <c:numRef>
              <c:f>Sheet2!$C$4:$C$35</c:f>
              <c:numCache>
                <c:formatCode>General</c:formatCode>
                <c:ptCount val="31"/>
                <c:pt idx="0">
                  <c:v>591</c:v>
                </c:pt>
                <c:pt idx="1">
                  <c:v>229</c:v>
                </c:pt>
                <c:pt idx="2">
                  <c:v>93</c:v>
                </c:pt>
                <c:pt idx="3">
                  <c:v>79</c:v>
                </c:pt>
                <c:pt idx="4">
                  <c:v>48</c:v>
                </c:pt>
                <c:pt idx="5">
                  <c:v>66</c:v>
                </c:pt>
                <c:pt idx="6">
                  <c:v>51</c:v>
                </c:pt>
                <c:pt idx="7">
                  <c:v>56</c:v>
                </c:pt>
                <c:pt idx="8">
                  <c:v>56</c:v>
                </c:pt>
                <c:pt idx="9">
                  <c:v>51</c:v>
                </c:pt>
                <c:pt idx="10">
                  <c:v>48</c:v>
                </c:pt>
                <c:pt idx="11">
                  <c:v>42</c:v>
                </c:pt>
                <c:pt idx="12">
                  <c:v>41</c:v>
                </c:pt>
                <c:pt idx="13">
                  <c:v>45</c:v>
                </c:pt>
                <c:pt idx="14">
                  <c:v>41</c:v>
                </c:pt>
                <c:pt idx="15">
                  <c:v>44</c:v>
                </c:pt>
                <c:pt idx="16">
                  <c:v>51</c:v>
                </c:pt>
                <c:pt idx="17">
                  <c:v>42</c:v>
                </c:pt>
                <c:pt idx="18">
                  <c:v>39</c:v>
                </c:pt>
                <c:pt idx="19">
                  <c:v>33</c:v>
                </c:pt>
                <c:pt idx="20">
                  <c:v>41</c:v>
                </c:pt>
                <c:pt idx="21">
                  <c:v>24</c:v>
                </c:pt>
                <c:pt idx="22">
                  <c:v>42</c:v>
                </c:pt>
                <c:pt idx="23">
                  <c:v>23</c:v>
                </c:pt>
                <c:pt idx="24">
                  <c:v>38</c:v>
                </c:pt>
                <c:pt idx="25">
                  <c:v>37</c:v>
                </c:pt>
                <c:pt idx="26">
                  <c:v>42</c:v>
                </c:pt>
                <c:pt idx="27">
                  <c:v>47</c:v>
                </c:pt>
                <c:pt idx="28">
                  <c:v>32</c:v>
                </c:pt>
                <c:pt idx="29">
                  <c:v>33</c:v>
                </c:pt>
                <c:pt idx="30">
                  <c:v>38</c:v>
                </c:pt>
              </c:numCache>
            </c:numRef>
          </c:val>
          <c:smooth val="0"/>
          <c:extLst>
            <c:ext xmlns:c16="http://schemas.microsoft.com/office/drawing/2014/chart" uri="{C3380CC4-5D6E-409C-BE32-E72D297353CC}">
              <c16:uniqueId val="{00000001-C922-4AC6-9FDA-F3888F6B228E}"/>
            </c:ext>
          </c:extLst>
        </c:ser>
        <c:dLbls>
          <c:showLegendKey val="0"/>
          <c:showVal val="0"/>
          <c:showCatName val="0"/>
          <c:showSerName val="0"/>
          <c:showPercent val="0"/>
          <c:showBubbleSize val="0"/>
        </c:dLbls>
        <c:smooth val="0"/>
        <c:axId val="877910656"/>
        <c:axId val="877917544"/>
      </c:lineChart>
      <c:catAx>
        <c:axId val="87791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917544"/>
        <c:crosses val="autoZero"/>
        <c:auto val="1"/>
        <c:lblAlgn val="ctr"/>
        <c:lblOffset val="100"/>
        <c:noMultiLvlLbl val="0"/>
      </c:catAx>
      <c:valAx>
        <c:axId val="877917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patients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91065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[PT_NUM.xlsx]Sheet6!PivotTable1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1"/>
          </a:solidFill>
          <a:ln>
            <a:noFill/>
          </a:ln>
          <a:effectLst/>
        </c:spPr>
        <c:marker>
          <c:symbol val="none"/>
        </c:marker>
      </c:pivotFmt>
      <c:pivotFmt>
        <c:idx val="40"/>
        <c:spPr>
          <a:solidFill>
            <a:schemeClr val="accent1"/>
          </a:solidFill>
          <a:ln>
            <a:noFill/>
          </a:ln>
          <a:effectLst/>
        </c:spPr>
        <c:marker>
          <c:symbol val="none"/>
        </c:marker>
      </c:pivotFmt>
      <c:pivotFmt>
        <c:idx val="41"/>
        <c:spPr>
          <a:solidFill>
            <a:schemeClr val="accent1"/>
          </a:solidFill>
          <a:ln>
            <a:noFill/>
          </a:ln>
          <a:effectLst/>
        </c:spPr>
        <c:marker>
          <c:symbol val="none"/>
        </c:marker>
      </c:pivotFmt>
      <c:pivotFmt>
        <c:idx val="42"/>
        <c:spPr>
          <a:solidFill>
            <a:schemeClr val="accent1"/>
          </a:solidFill>
          <a:ln>
            <a:noFill/>
          </a:ln>
          <a:effectLst/>
        </c:spPr>
        <c:marker>
          <c:symbol val="none"/>
        </c:marker>
      </c:pivotFmt>
      <c:pivotFmt>
        <c:idx val="43"/>
        <c:spPr>
          <a:solidFill>
            <a:schemeClr val="accent1"/>
          </a:solidFill>
          <a:ln>
            <a:noFill/>
          </a:ln>
          <a:effectLst/>
        </c:spPr>
        <c:marker>
          <c:symbol val="none"/>
        </c:marker>
      </c:pivotFmt>
      <c:pivotFmt>
        <c:idx val="44"/>
        <c:spPr>
          <a:solidFill>
            <a:schemeClr val="accent1"/>
          </a:solidFill>
          <a:ln>
            <a:noFill/>
          </a:ln>
          <a:effectLst/>
        </c:spPr>
        <c:marker>
          <c:symbol val="none"/>
        </c:marker>
      </c:pivotFmt>
      <c:pivotFmt>
        <c:idx val="45"/>
        <c:spPr>
          <a:solidFill>
            <a:schemeClr val="accent1"/>
          </a:solidFill>
          <a:ln>
            <a:noFill/>
          </a:ln>
          <a:effectLst/>
        </c:spPr>
        <c:marker>
          <c:symbol val="none"/>
        </c:marker>
      </c:pivotFmt>
      <c:pivotFmt>
        <c:idx val="46"/>
        <c:spPr>
          <a:solidFill>
            <a:schemeClr val="accent1"/>
          </a:solidFill>
          <a:ln>
            <a:noFill/>
          </a:ln>
          <a:effectLst/>
        </c:spPr>
        <c:marker>
          <c:symbol val="none"/>
        </c:marker>
      </c:pivotFmt>
      <c:pivotFmt>
        <c:idx val="47"/>
        <c:spPr>
          <a:solidFill>
            <a:schemeClr val="accent1"/>
          </a:solidFill>
          <a:ln>
            <a:noFill/>
          </a:ln>
          <a:effectLst/>
        </c:spPr>
        <c:marker>
          <c:symbol val="none"/>
        </c:marker>
      </c:pivotFmt>
      <c:pivotFmt>
        <c:idx val="48"/>
        <c:spPr>
          <a:solidFill>
            <a:schemeClr val="accent1"/>
          </a:solidFill>
          <a:ln>
            <a:noFill/>
          </a:ln>
          <a:effectLst/>
        </c:spPr>
        <c:marker>
          <c:symbol val="none"/>
        </c:marker>
      </c:pivotFmt>
      <c:pivotFmt>
        <c:idx val="49"/>
        <c:spPr>
          <a:solidFill>
            <a:schemeClr val="accent1"/>
          </a:solidFill>
          <a:ln>
            <a:noFill/>
          </a:ln>
          <a:effectLst/>
        </c:spPr>
        <c:marker>
          <c:symbol val="none"/>
        </c:marker>
      </c:pivotFmt>
      <c:pivotFmt>
        <c:idx val="50"/>
        <c:spPr>
          <a:solidFill>
            <a:schemeClr val="accent1"/>
          </a:solidFill>
          <a:ln>
            <a:noFill/>
          </a:ln>
          <a:effectLst/>
        </c:spPr>
        <c:marker>
          <c:symbol val="none"/>
        </c:marker>
      </c:pivotFmt>
      <c:pivotFmt>
        <c:idx val="51"/>
        <c:spPr>
          <a:solidFill>
            <a:schemeClr val="accent1"/>
          </a:solidFill>
          <a:ln>
            <a:noFill/>
          </a:ln>
          <a:effectLst/>
        </c:spPr>
        <c:marker>
          <c:symbol val="none"/>
        </c:marker>
      </c:pivotFmt>
      <c:pivotFmt>
        <c:idx val="52"/>
        <c:spPr>
          <a:solidFill>
            <a:schemeClr val="accent1"/>
          </a:solidFill>
          <a:ln>
            <a:noFill/>
          </a:ln>
          <a:effectLst/>
        </c:spPr>
        <c:marker>
          <c:symbol val="none"/>
        </c:marker>
      </c:pivotFmt>
      <c:pivotFmt>
        <c:idx val="53"/>
        <c:spPr>
          <a:solidFill>
            <a:schemeClr val="accent1"/>
          </a:solidFill>
          <a:ln>
            <a:noFill/>
          </a:ln>
          <a:effectLst/>
        </c:spPr>
        <c:marker>
          <c:symbol val="none"/>
        </c:marker>
      </c:pivotFmt>
      <c:pivotFmt>
        <c:idx val="54"/>
        <c:spPr>
          <a:solidFill>
            <a:schemeClr val="accent1"/>
          </a:solidFill>
          <a:ln>
            <a:noFill/>
          </a:ln>
          <a:effectLst/>
        </c:spPr>
        <c:marker>
          <c:symbol val="none"/>
        </c:marker>
      </c:pivotFmt>
      <c:pivotFmt>
        <c:idx val="55"/>
        <c:spPr>
          <a:solidFill>
            <a:schemeClr val="accent1"/>
          </a:solidFill>
          <a:ln>
            <a:noFill/>
          </a:ln>
          <a:effectLst/>
        </c:spPr>
        <c:marker>
          <c:symbol val="none"/>
        </c:marker>
      </c:pivotFmt>
      <c:pivotFmt>
        <c:idx val="56"/>
        <c:spPr>
          <a:solidFill>
            <a:schemeClr val="accent1"/>
          </a:solidFill>
          <a:ln>
            <a:noFill/>
          </a:ln>
          <a:effectLst/>
        </c:spPr>
        <c:marker>
          <c:symbol val="none"/>
        </c:marker>
      </c:pivotFmt>
      <c:pivotFmt>
        <c:idx val="57"/>
        <c:spPr>
          <a:solidFill>
            <a:schemeClr val="accent1"/>
          </a:solidFill>
          <a:ln>
            <a:noFill/>
          </a:ln>
          <a:effectLst/>
        </c:spPr>
        <c:marker>
          <c:symbol val="none"/>
        </c:marker>
      </c:pivotFmt>
      <c:pivotFmt>
        <c:idx val="58"/>
        <c:spPr>
          <a:solidFill>
            <a:schemeClr val="accent1"/>
          </a:solidFill>
          <a:ln>
            <a:noFill/>
          </a:ln>
          <a:effectLst/>
        </c:spPr>
        <c:marker>
          <c:symbol val="none"/>
        </c:marker>
      </c:pivotFmt>
      <c:pivotFmt>
        <c:idx val="59"/>
        <c:spPr>
          <a:solidFill>
            <a:schemeClr val="accent1"/>
          </a:solidFill>
          <a:ln>
            <a:noFill/>
          </a:ln>
          <a:effectLst/>
        </c:spPr>
        <c:marker>
          <c:symbol val="none"/>
        </c:marker>
      </c:pivotFmt>
      <c:pivotFmt>
        <c:idx val="60"/>
        <c:spPr>
          <a:solidFill>
            <a:schemeClr val="accent1"/>
          </a:solidFill>
          <a:ln>
            <a:noFill/>
          </a:ln>
          <a:effectLst/>
        </c:spPr>
        <c:marker>
          <c:symbol val="none"/>
        </c:marker>
      </c:pivotFmt>
      <c:pivotFmt>
        <c:idx val="61"/>
        <c:spPr>
          <a:solidFill>
            <a:schemeClr val="accent1"/>
          </a:solidFill>
          <a:ln>
            <a:noFill/>
          </a:ln>
          <a:effectLst/>
        </c:spPr>
        <c:marker>
          <c:symbol val="none"/>
        </c:marker>
      </c:pivotFmt>
      <c:pivotFmt>
        <c:idx val="62"/>
        <c:spPr>
          <a:solidFill>
            <a:schemeClr val="accent1"/>
          </a:solidFill>
          <a:ln>
            <a:noFill/>
          </a:ln>
          <a:effectLst/>
        </c:spPr>
        <c:marker>
          <c:symbol val="none"/>
        </c:marker>
      </c:pivotFmt>
      <c:pivotFmt>
        <c:idx val="63"/>
        <c:spPr>
          <a:solidFill>
            <a:schemeClr val="accent1"/>
          </a:solidFill>
          <a:ln>
            <a:noFill/>
          </a:ln>
          <a:effectLst/>
        </c:spPr>
        <c:marker>
          <c:symbol val="none"/>
        </c:marker>
      </c:pivotFmt>
      <c:pivotFmt>
        <c:idx val="64"/>
        <c:spPr>
          <a:solidFill>
            <a:schemeClr val="accent1"/>
          </a:solidFill>
          <a:ln>
            <a:noFill/>
          </a:ln>
          <a:effectLst/>
        </c:spPr>
        <c:marker>
          <c:symbol val="none"/>
        </c:marker>
      </c:pivotFmt>
      <c:pivotFmt>
        <c:idx val="65"/>
        <c:spPr>
          <a:solidFill>
            <a:schemeClr val="accent1"/>
          </a:solidFill>
          <a:ln>
            <a:noFill/>
          </a:ln>
          <a:effectLst/>
        </c:spPr>
        <c:marker>
          <c:symbol val="none"/>
        </c:marker>
      </c:pivotFmt>
      <c:pivotFmt>
        <c:idx val="66"/>
        <c:spPr>
          <a:solidFill>
            <a:schemeClr val="accent1"/>
          </a:solidFill>
          <a:ln>
            <a:noFill/>
          </a:ln>
          <a:effectLst/>
        </c:spPr>
        <c:marker>
          <c:symbol val="none"/>
        </c:marker>
      </c:pivotFmt>
      <c:pivotFmt>
        <c:idx val="67"/>
        <c:spPr>
          <a:solidFill>
            <a:schemeClr val="accent1"/>
          </a:solidFill>
          <a:ln>
            <a:noFill/>
          </a:ln>
          <a:effectLst/>
        </c:spPr>
        <c:marker>
          <c:symbol val="none"/>
        </c:marker>
      </c:pivotFmt>
      <c:pivotFmt>
        <c:idx val="68"/>
        <c:spPr>
          <a:solidFill>
            <a:schemeClr val="accent1"/>
          </a:solidFill>
          <a:ln>
            <a:noFill/>
          </a:ln>
          <a:effectLst/>
        </c:spPr>
        <c:marker>
          <c:symbol val="none"/>
        </c:marker>
      </c:pivotFmt>
      <c:pivotFmt>
        <c:idx val="69"/>
        <c:spPr>
          <a:solidFill>
            <a:schemeClr val="accent1"/>
          </a:solidFill>
          <a:ln w="28575" cap="rnd">
            <a:solidFill>
              <a:schemeClr val="accent1"/>
            </a:solidFill>
            <a:round/>
          </a:ln>
          <a:effectLst/>
        </c:spPr>
        <c:marker>
          <c:symbol val="none"/>
        </c:marker>
      </c:pivotFmt>
      <c:pivotFmt>
        <c:idx val="70"/>
        <c:spPr>
          <a:solidFill>
            <a:schemeClr val="accent1"/>
          </a:solidFill>
          <a:ln w="28575" cap="rnd">
            <a:solidFill>
              <a:schemeClr val="accent1"/>
            </a:solidFill>
            <a:round/>
          </a:ln>
          <a:effectLst/>
        </c:spPr>
        <c:marker>
          <c:symbol val="none"/>
        </c:marker>
      </c:pivotFmt>
      <c:pivotFmt>
        <c:idx val="71"/>
        <c:spPr>
          <a:solidFill>
            <a:schemeClr val="accent1"/>
          </a:solidFill>
          <a:ln w="28575" cap="rnd">
            <a:solidFill>
              <a:schemeClr val="accent1"/>
            </a:solidFill>
            <a:round/>
          </a:ln>
          <a:effectLst/>
        </c:spPr>
        <c:marker>
          <c:symbol val="none"/>
        </c:marker>
      </c:pivotFmt>
      <c:pivotFmt>
        <c:idx val="72"/>
        <c:spPr>
          <a:solidFill>
            <a:schemeClr val="accent1"/>
          </a:solidFill>
          <a:ln w="28575" cap="rnd">
            <a:solidFill>
              <a:schemeClr val="accent1"/>
            </a:solidFill>
            <a:round/>
          </a:ln>
          <a:effectLst/>
        </c:spPr>
        <c:marker>
          <c:symbol val="none"/>
        </c:marker>
      </c:pivotFmt>
      <c:pivotFmt>
        <c:idx val="73"/>
        <c:spPr>
          <a:solidFill>
            <a:schemeClr val="accent1"/>
          </a:solidFill>
          <a:ln w="28575" cap="rnd">
            <a:solidFill>
              <a:schemeClr val="accent1"/>
            </a:solidFill>
            <a:round/>
          </a:ln>
          <a:effectLst/>
        </c:spPr>
        <c:marker>
          <c:symbol val="none"/>
        </c:marker>
      </c:pivotFmt>
      <c:pivotFmt>
        <c:idx val="74"/>
        <c:spPr>
          <a:solidFill>
            <a:schemeClr val="accent1"/>
          </a:solidFill>
          <a:ln w="28575" cap="rnd">
            <a:solidFill>
              <a:schemeClr val="accent1"/>
            </a:solidFill>
            <a:round/>
          </a:ln>
          <a:effectLst/>
        </c:spPr>
        <c:marker>
          <c:symbol val="none"/>
        </c:marker>
      </c:pivotFmt>
      <c:pivotFmt>
        <c:idx val="75"/>
        <c:spPr>
          <a:solidFill>
            <a:schemeClr val="accent1"/>
          </a:solidFill>
          <a:ln w="28575" cap="rnd">
            <a:solidFill>
              <a:schemeClr val="accent1"/>
            </a:solidFill>
            <a:round/>
          </a:ln>
          <a:effectLst/>
        </c:spPr>
        <c:marker>
          <c:symbol val="none"/>
        </c:marker>
      </c:pivotFmt>
      <c:pivotFmt>
        <c:idx val="76"/>
        <c:spPr>
          <a:solidFill>
            <a:schemeClr val="accent1"/>
          </a:solidFill>
          <a:ln w="28575" cap="rnd">
            <a:solidFill>
              <a:schemeClr val="accent1"/>
            </a:solidFill>
            <a:round/>
          </a:ln>
          <a:effectLst/>
        </c:spPr>
        <c:marker>
          <c:symbol val="none"/>
        </c:marker>
      </c:pivotFmt>
      <c:pivotFmt>
        <c:idx val="77"/>
        <c:spPr>
          <a:solidFill>
            <a:schemeClr val="accent1"/>
          </a:solidFill>
          <a:ln w="28575" cap="rnd">
            <a:solidFill>
              <a:schemeClr val="accent1"/>
            </a:solidFill>
            <a:round/>
          </a:ln>
          <a:effectLst/>
        </c:spPr>
        <c:marker>
          <c:symbol val="none"/>
        </c:marker>
      </c:pivotFmt>
      <c:pivotFmt>
        <c:idx val="78"/>
        <c:spPr>
          <a:solidFill>
            <a:schemeClr val="accent1"/>
          </a:solidFill>
          <a:ln w="28575" cap="rnd">
            <a:solidFill>
              <a:schemeClr val="accent1"/>
            </a:solidFill>
            <a:round/>
          </a:ln>
          <a:effectLst/>
        </c:spPr>
        <c:marker>
          <c:symbol val="none"/>
        </c:marker>
      </c:pivotFmt>
      <c:pivotFmt>
        <c:idx val="79"/>
        <c:spPr>
          <a:solidFill>
            <a:schemeClr val="accent1"/>
          </a:solidFill>
          <a:ln w="28575" cap="rnd">
            <a:solidFill>
              <a:schemeClr val="accent1"/>
            </a:solidFill>
            <a:round/>
          </a:ln>
          <a:effectLst/>
        </c:spPr>
        <c:marker>
          <c:symbol val="none"/>
        </c:marker>
      </c:pivotFmt>
      <c:pivotFmt>
        <c:idx val="80"/>
        <c:spPr>
          <a:solidFill>
            <a:schemeClr val="accent1"/>
          </a:solidFill>
          <a:ln w="28575" cap="rnd">
            <a:solidFill>
              <a:schemeClr val="accent1"/>
            </a:solidFill>
            <a:round/>
          </a:ln>
          <a:effectLst/>
        </c:spPr>
        <c:marker>
          <c:symbol val="none"/>
        </c:marker>
      </c:pivotFmt>
      <c:pivotFmt>
        <c:idx val="81"/>
        <c:spPr>
          <a:solidFill>
            <a:schemeClr val="accent1"/>
          </a:solidFill>
          <a:ln w="28575" cap="rnd">
            <a:solidFill>
              <a:schemeClr val="accent1"/>
            </a:solidFill>
            <a:round/>
          </a:ln>
          <a:effectLst/>
        </c:spPr>
        <c:marker>
          <c:symbol val="none"/>
        </c:marker>
      </c:pivotFmt>
      <c:pivotFmt>
        <c:idx val="82"/>
        <c:spPr>
          <a:solidFill>
            <a:schemeClr val="accent1"/>
          </a:solidFill>
          <a:ln w="28575" cap="rnd">
            <a:solidFill>
              <a:schemeClr val="accent1"/>
            </a:solidFill>
            <a:round/>
          </a:ln>
          <a:effectLst/>
        </c:spPr>
        <c:marker>
          <c:symbol val="none"/>
        </c:marker>
      </c:pivotFmt>
      <c:pivotFmt>
        <c:idx val="83"/>
        <c:spPr>
          <a:solidFill>
            <a:schemeClr val="accent1"/>
          </a:solidFill>
          <a:ln w="28575" cap="rnd">
            <a:solidFill>
              <a:schemeClr val="accent1"/>
            </a:solidFill>
            <a:round/>
          </a:ln>
          <a:effectLst/>
        </c:spPr>
        <c:marker>
          <c:symbol val="none"/>
        </c:marker>
      </c:pivotFmt>
      <c:pivotFmt>
        <c:idx val="84"/>
        <c:spPr>
          <a:solidFill>
            <a:schemeClr val="accent1"/>
          </a:solidFill>
          <a:ln w="28575" cap="rnd">
            <a:solidFill>
              <a:schemeClr val="accent1"/>
            </a:solidFill>
            <a:round/>
          </a:ln>
          <a:effectLst/>
        </c:spPr>
        <c:marker>
          <c:symbol val="none"/>
        </c:marker>
      </c:pivotFmt>
      <c:pivotFmt>
        <c:idx val="85"/>
        <c:spPr>
          <a:solidFill>
            <a:schemeClr val="accent1"/>
          </a:solidFill>
          <a:ln w="28575" cap="rnd">
            <a:solidFill>
              <a:schemeClr val="accent1"/>
            </a:solidFill>
            <a:round/>
          </a:ln>
          <a:effectLst/>
        </c:spPr>
        <c:marker>
          <c:symbol val="none"/>
        </c:marker>
      </c:pivotFmt>
      <c:pivotFmt>
        <c:idx val="86"/>
        <c:spPr>
          <a:solidFill>
            <a:schemeClr val="accent1"/>
          </a:solidFill>
          <a:ln w="28575" cap="rnd">
            <a:solidFill>
              <a:schemeClr val="accent1"/>
            </a:solidFill>
            <a:round/>
          </a:ln>
          <a:effectLst/>
        </c:spPr>
        <c:marker>
          <c:symbol val="none"/>
        </c:marker>
      </c:pivotFmt>
      <c:pivotFmt>
        <c:idx val="87"/>
        <c:spPr>
          <a:solidFill>
            <a:schemeClr val="accent1"/>
          </a:solidFill>
          <a:ln w="28575" cap="rnd">
            <a:solidFill>
              <a:schemeClr val="accent1"/>
            </a:solidFill>
            <a:round/>
          </a:ln>
          <a:effectLst/>
        </c:spPr>
        <c:marker>
          <c:symbol val="none"/>
        </c:marker>
      </c:pivotFmt>
      <c:pivotFmt>
        <c:idx val="88"/>
        <c:spPr>
          <a:solidFill>
            <a:schemeClr val="accent1"/>
          </a:solidFill>
          <a:ln w="28575" cap="rnd">
            <a:solidFill>
              <a:schemeClr val="accent1"/>
            </a:solidFill>
            <a:round/>
          </a:ln>
          <a:effectLst/>
        </c:spPr>
        <c:marker>
          <c:symbol val="none"/>
        </c:marker>
      </c:pivotFmt>
    </c:pivotFmts>
    <c:plotArea>
      <c:layout>
        <c:manualLayout>
          <c:layoutTarget val="inner"/>
          <c:xMode val="edge"/>
          <c:yMode val="edge"/>
          <c:x val="0.10291198807249685"/>
          <c:y val="3.2391578189670686E-2"/>
          <c:w val="0.69294485727522304"/>
          <c:h val="0.81798370219018646"/>
        </c:manualLayout>
      </c:layout>
      <c:lineChart>
        <c:grouping val="standard"/>
        <c:varyColors val="0"/>
        <c:ser>
          <c:idx val="0"/>
          <c:order val="0"/>
          <c:tx>
            <c:strRef>
              <c:f>Sheet6!$B$1</c:f>
              <c:strCache>
                <c:ptCount val="1"/>
                <c:pt idx="0">
                  <c:v>Ibrutinib Prevalent Patients</c:v>
                </c:pt>
              </c:strCache>
            </c:strRef>
          </c:tx>
          <c:spPr>
            <a:ln w="28575" cap="rnd">
              <a:solidFill>
                <a:schemeClr val="accent1"/>
              </a:solidFill>
              <a:round/>
            </a:ln>
            <a:effectLst/>
          </c:spPr>
          <c:marker>
            <c:symbol val="none"/>
          </c:marker>
          <c:cat>
            <c:strRef>
              <c:f>Sheet6!$A$2:$A$36</c:f>
              <c:strCache>
                <c:ptCount val="34"/>
                <c:pt idx="0">
                  <c:v>201709</c:v>
                </c:pt>
                <c:pt idx="1">
                  <c:v>201710</c:v>
                </c:pt>
                <c:pt idx="2">
                  <c:v>201711</c:v>
                </c:pt>
                <c:pt idx="3">
                  <c:v>201712</c:v>
                </c:pt>
                <c:pt idx="4">
                  <c:v>201801</c:v>
                </c:pt>
                <c:pt idx="5">
                  <c:v>201802</c:v>
                </c:pt>
                <c:pt idx="6">
                  <c:v>201803</c:v>
                </c:pt>
                <c:pt idx="7">
                  <c:v>201804</c:v>
                </c:pt>
                <c:pt idx="8">
                  <c:v>201805</c:v>
                </c:pt>
                <c:pt idx="9">
                  <c:v>201806</c:v>
                </c:pt>
                <c:pt idx="10">
                  <c:v>201807</c:v>
                </c:pt>
                <c:pt idx="11">
                  <c:v>201808</c:v>
                </c:pt>
                <c:pt idx="12">
                  <c:v>201809</c:v>
                </c:pt>
                <c:pt idx="13">
                  <c:v>201810</c:v>
                </c:pt>
                <c:pt idx="14">
                  <c:v>201811</c:v>
                </c:pt>
                <c:pt idx="15">
                  <c:v>201812</c:v>
                </c:pt>
                <c:pt idx="16">
                  <c:v>201901</c:v>
                </c:pt>
                <c:pt idx="17">
                  <c:v>201902</c:v>
                </c:pt>
                <c:pt idx="18">
                  <c:v>201903</c:v>
                </c:pt>
                <c:pt idx="19">
                  <c:v>201904</c:v>
                </c:pt>
                <c:pt idx="20">
                  <c:v>201905</c:v>
                </c:pt>
                <c:pt idx="21">
                  <c:v>201906</c:v>
                </c:pt>
                <c:pt idx="22">
                  <c:v>201907</c:v>
                </c:pt>
                <c:pt idx="23">
                  <c:v>201908</c:v>
                </c:pt>
                <c:pt idx="24">
                  <c:v>201909</c:v>
                </c:pt>
                <c:pt idx="25">
                  <c:v>201910</c:v>
                </c:pt>
                <c:pt idx="26">
                  <c:v>201911</c:v>
                </c:pt>
                <c:pt idx="27">
                  <c:v>201912</c:v>
                </c:pt>
                <c:pt idx="28">
                  <c:v>202001</c:v>
                </c:pt>
                <c:pt idx="29">
                  <c:v>202002</c:v>
                </c:pt>
                <c:pt idx="30">
                  <c:v>202003</c:v>
                </c:pt>
                <c:pt idx="31">
                  <c:v>202004</c:v>
                </c:pt>
                <c:pt idx="32">
                  <c:v>202005</c:v>
                </c:pt>
                <c:pt idx="33">
                  <c:v>202006</c:v>
                </c:pt>
              </c:strCache>
            </c:strRef>
          </c:cat>
          <c:val>
            <c:numRef>
              <c:f>Sheet6!$B$2:$B$36</c:f>
              <c:numCache>
                <c:formatCode>General</c:formatCode>
                <c:ptCount val="34"/>
                <c:pt idx="3">
                  <c:v>591</c:v>
                </c:pt>
                <c:pt idx="4">
                  <c:v>688</c:v>
                </c:pt>
                <c:pt idx="5">
                  <c:v>662</c:v>
                </c:pt>
                <c:pt idx="6">
                  <c:v>763</c:v>
                </c:pt>
                <c:pt idx="7">
                  <c:v>726</c:v>
                </c:pt>
                <c:pt idx="8">
                  <c:v>803</c:v>
                </c:pt>
                <c:pt idx="9">
                  <c:v>789</c:v>
                </c:pt>
                <c:pt idx="10">
                  <c:v>837</c:v>
                </c:pt>
                <c:pt idx="11">
                  <c:v>870</c:v>
                </c:pt>
                <c:pt idx="12">
                  <c:v>819</c:v>
                </c:pt>
                <c:pt idx="13">
                  <c:v>910</c:v>
                </c:pt>
                <c:pt idx="14">
                  <c:v>914</c:v>
                </c:pt>
                <c:pt idx="15">
                  <c:v>875</c:v>
                </c:pt>
                <c:pt idx="16">
                  <c:v>918</c:v>
                </c:pt>
                <c:pt idx="17">
                  <c:v>894</c:v>
                </c:pt>
                <c:pt idx="18">
                  <c:v>947</c:v>
                </c:pt>
                <c:pt idx="19">
                  <c:v>955</c:v>
                </c:pt>
                <c:pt idx="20">
                  <c:v>980</c:v>
                </c:pt>
                <c:pt idx="21">
                  <c:v>931</c:v>
                </c:pt>
                <c:pt idx="22">
                  <c:v>978</c:v>
                </c:pt>
                <c:pt idx="23">
                  <c:v>971</c:v>
                </c:pt>
                <c:pt idx="24">
                  <c:v>942</c:v>
                </c:pt>
                <c:pt idx="25">
                  <c:v>969</c:v>
                </c:pt>
                <c:pt idx="26">
                  <c:v>971</c:v>
                </c:pt>
                <c:pt idx="27">
                  <c:v>1010</c:v>
                </c:pt>
                <c:pt idx="28">
                  <c:v>974</c:v>
                </c:pt>
                <c:pt idx="29">
                  <c:v>952</c:v>
                </c:pt>
                <c:pt idx="30">
                  <c:v>1105</c:v>
                </c:pt>
                <c:pt idx="31">
                  <c:v>949</c:v>
                </c:pt>
                <c:pt idx="32">
                  <c:v>956</c:v>
                </c:pt>
                <c:pt idx="33">
                  <c:v>996</c:v>
                </c:pt>
              </c:numCache>
            </c:numRef>
          </c:val>
          <c:smooth val="0"/>
          <c:extLst>
            <c:ext xmlns:c16="http://schemas.microsoft.com/office/drawing/2014/chart" uri="{C3380CC4-5D6E-409C-BE32-E72D297353CC}">
              <c16:uniqueId val="{00000000-05A8-4E25-9159-92BFAAD2F425}"/>
            </c:ext>
          </c:extLst>
        </c:ser>
        <c:ser>
          <c:idx val="1"/>
          <c:order val="1"/>
          <c:tx>
            <c:strRef>
              <c:f>Sheet6!$C$1</c:f>
              <c:strCache>
                <c:ptCount val="1"/>
                <c:pt idx="0">
                  <c:v>Idelalisib Prevalent Patients</c:v>
                </c:pt>
              </c:strCache>
            </c:strRef>
          </c:tx>
          <c:spPr>
            <a:ln w="28575" cap="rnd">
              <a:solidFill>
                <a:schemeClr val="accent2"/>
              </a:solidFill>
              <a:round/>
            </a:ln>
            <a:effectLst/>
          </c:spPr>
          <c:marker>
            <c:symbol val="none"/>
          </c:marker>
          <c:cat>
            <c:strRef>
              <c:f>Sheet6!$A$2:$A$36</c:f>
              <c:strCache>
                <c:ptCount val="34"/>
                <c:pt idx="0">
                  <c:v>201709</c:v>
                </c:pt>
                <c:pt idx="1">
                  <c:v>201710</c:v>
                </c:pt>
                <c:pt idx="2">
                  <c:v>201711</c:v>
                </c:pt>
                <c:pt idx="3">
                  <c:v>201712</c:v>
                </c:pt>
                <c:pt idx="4">
                  <c:v>201801</c:v>
                </c:pt>
                <c:pt idx="5">
                  <c:v>201802</c:v>
                </c:pt>
                <c:pt idx="6">
                  <c:v>201803</c:v>
                </c:pt>
                <c:pt idx="7">
                  <c:v>201804</c:v>
                </c:pt>
                <c:pt idx="8">
                  <c:v>201805</c:v>
                </c:pt>
                <c:pt idx="9">
                  <c:v>201806</c:v>
                </c:pt>
                <c:pt idx="10">
                  <c:v>201807</c:v>
                </c:pt>
                <c:pt idx="11">
                  <c:v>201808</c:v>
                </c:pt>
                <c:pt idx="12">
                  <c:v>201809</c:v>
                </c:pt>
                <c:pt idx="13">
                  <c:v>201810</c:v>
                </c:pt>
                <c:pt idx="14">
                  <c:v>201811</c:v>
                </c:pt>
                <c:pt idx="15">
                  <c:v>201812</c:v>
                </c:pt>
                <c:pt idx="16">
                  <c:v>201901</c:v>
                </c:pt>
                <c:pt idx="17">
                  <c:v>201902</c:v>
                </c:pt>
                <c:pt idx="18">
                  <c:v>201903</c:v>
                </c:pt>
                <c:pt idx="19">
                  <c:v>201904</c:v>
                </c:pt>
                <c:pt idx="20">
                  <c:v>201905</c:v>
                </c:pt>
                <c:pt idx="21">
                  <c:v>201906</c:v>
                </c:pt>
                <c:pt idx="22">
                  <c:v>201907</c:v>
                </c:pt>
                <c:pt idx="23">
                  <c:v>201908</c:v>
                </c:pt>
                <c:pt idx="24">
                  <c:v>201909</c:v>
                </c:pt>
                <c:pt idx="25">
                  <c:v>201910</c:v>
                </c:pt>
                <c:pt idx="26">
                  <c:v>201911</c:v>
                </c:pt>
                <c:pt idx="27">
                  <c:v>201912</c:v>
                </c:pt>
                <c:pt idx="28">
                  <c:v>202001</c:v>
                </c:pt>
                <c:pt idx="29">
                  <c:v>202002</c:v>
                </c:pt>
                <c:pt idx="30">
                  <c:v>202003</c:v>
                </c:pt>
                <c:pt idx="31">
                  <c:v>202004</c:v>
                </c:pt>
                <c:pt idx="32">
                  <c:v>202005</c:v>
                </c:pt>
                <c:pt idx="33">
                  <c:v>202006</c:v>
                </c:pt>
              </c:strCache>
            </c:strRef>
          </c:cat>
          <c:val>
            <c:numRef>
              <c:f>Sheet6!$C$2:$C$36</c:f>
              <c:numCache>
                <c:formatCode>General</c:formatCode>
                <c:ptCount val="34"/>
                <c:pt idx="0">
                  <c:v>3</c:v>
                </c:pt>
                <c:pt idx="1">
                  <c:v>11</c:v>
                </c:pt>
                <c:pt idx="2">
                  <c:v>11</c:v>
                </c:pt>
                <c:pt idx="3">
                  <c:v>10</c:v>
                </c:pt>
                <c:pt idx="4">
                  <c:v>12</c:v>
                </c:pt>
                <c:pt idx="5">
                  <c:v>11</c:v>
                </c:pt>
                <c:pt idx="6">
                  <c:v>13</c:v>
                </c:pt>
                <c:pt idx="7">
                  <c:v>12</c:v>
                </c:pt>
                <c:pt idx="8">
                  <c:v>14</c:v>
                </c:pt>
                <c:pt idx="9">
                  <c:v>13</c:v>
                </c:pt>
                <c:pt idx="10">
                  <c:v>11</c:v>
                </c:pt>
                <c:pt idx="11">
                  <c:v>15</c:v>
                </c:pt>
                <c:pt idx="12">
                  <c:v>14</c:v>
                </c:pt>
                <c:pt idx="13">
                  <c:v>16</c:v>
                </c:pt>
                <c:pt idx="14">
                  <c:v>18</c:v>
                </c:pt>
                <c:pt idx="15">
                  <c:v>17</c:v>
                </c:pt>
                <c:pt idx="16">
                  <c:v>16</c:v>
                </c:pt>
                <c:pt idx="17">
                  <c:v>16</c:v>
                </c:pt>
                <c:pt idx="18">
                  <c:v>13</c:v>
                </c:pt>
                <c:pt idx="19">
                  <c:v>15</c:v>
                </c:pt>
                <c:pt idx="20">
                  <c:v>12</c:v>
                </c:pt>
                <c:pt idx="21">
                  <c:v>8</c:v>
                </c:pt>
                <c:pt idx="22">
                  <c:v>11</c:v>
                </c:pt>
                <c:pt idx="23">
                  <c:v>10</c:v>
                </c:pt>
                <c:pt idx="24">
                  <c:v>10</c:v>
                </c:pt>
                <c:pt idx="25">
                  <c:v>6</c:v>
                </c:pt>
                <c:pt idx="26">
                  <c:v>7</c:v>
                </c:pt>
                <c:pt idx="27">
                  <c:v>4</c:v>
                </c:pt>
                <c:pt idx="28">
                  <c:v>4</c:v>
                </c:pt>
                <c:pt idx="29">
                  <c:v>4</c:v>
                </c:pt>
                <c:pt idx="30">
                  <c:v>5</c:v>
                </c:pt>
                <c:pt idx="31">
                  <c:v>7</c:v>
                </c:pt>
                <c:pt idx="32">
                  <c:v>7</c:v>
                </c:pt>
                <c:pt idx="33">
                  <c:v>5</c:v>
                </c:pt>
              </c:numCache>
            </c:numRef>
          </c:val>
          <c:smooth val="0"/>
          <c:extLst>
            <c:ext xmlns:c16="http://schemas.microsoft.com/office/drawing/2014/chart" uri="{C3380CC4-5D6E-409C-BE32-E72D297353CC}">
              <c16:uniqueId val="{00000001-05A8-4E25-9159-92BFAAD2F425}"/>
            </c:ext>
          </c:extLst>
        </c:ser>
        <c:ser>
          <c:idx val="2"/>
          <c:order val="2"/>
          <c:tx>
            <c:strRef>
              <c:f>Sheet6!$D$1</c:f>
              <c:strCache>
                <c:ptCount val="1"/>
                <c:pt idx="0">
                  <c:v>Venetoclax Prevalent Patients</c:v>
                </c:pt>
              </c:strCache>
            </c:strRef>
          </c:tx>
          <c:spPr>
            <a:ln w="28575" cap="rnd">
              <a:solidFill>
                <a:schemeClr val="accent3"/>
              </a:solidFill>
              <a:round/>
            </a:ln>
            <a:effectLst/>
          </c:spPr>
          <c:marker>
            <c:symbol val="none"/>
          </c:marker>
          <c:cat>
            <c:strRef>
              <c:f>Sheet6!$A$2:$A$36</c:f>
              <c:strCache>
                <c:ptCount val="34"/>
                <c:pt idx="0">
                  <c:v>201709</c:v>
                </c:pt>
                <c:pt idx="1">
                  <c:v>201710</c:v>
                </c:pt>
                <c:pt idx="2">
                  <c:v>201711</c:v>
                </c:pt>
                <c:pt idx="3">
                  <c:v>201712</c:v>
                </c:pt>
                <c:pt idx="4">
                  <c:v>201801</c:v>
                </c:pt>
                <c:pt idx="5">
                  <c:v>201802</c:v>
                </c:pt>
                <c:pt idx="6">
                  <c:v>201803</c:v>
                </c:pt>
                <c:pt idx="7">
                  <c:v>201804</c:v>
                </c:pt>
                <c:pt idx="8">
                  <c:v>201805</c:v>
                </c:pt>
                <c:pt idx="9">
                  <c:v>201806</c:v>
                </c:pt>
                <c:pt idx="10">
                  <c:v>201807</c:v>
                </c:pt>
                <c:pt idx="11">
                  <c:v>201808</c:v>
                </c:pt>
                <c:pt idx="12">
                  <c:v>201809</c:v>
                </c:pt>
                <c:pt idx="13">
                  <c:v>201810</c:v>
                </c:pt>
                <c:pt idx="14">
                  <c:v>201811</c:v>
                </c:pt>
                <c:pt idx="15">
                  <c:v>201812</c:v>
                </c:pt>
                <c:pt idx="16">
                  <c:v>201901</c:v>
                </c:pt>
                <c:pt idx="17">
                  <c:v>201902</c:v>
                </c:pt>
                <c:pt idx="18">
                  <c:v>201903</c:v>
                </c:pt>
                <c:pt idx="19">
                  <c:v>201904</c:v>
                </c:pt>
                <c:pt idx="20">
                  <c:v>201905</c:v>
                </c:pt>
                <c:pt idx="21">
                  <c:v>201906</c:v>
                </c:pt>
                <c:pt idx="22">
                  <c:v>201907</c:v>
                </c:pt>
                <c:pt idx="23">
                  <c:v>201908</c:v>
                </c:pt>
                <c:pt idx="24">
                  <c:v>201909</c:v>
                </c:pt>
                <c:pt idx="25">
                  <c:v>201910</c:v>
                </c:pt>
                <c:pt idx="26">
                  <c:v>201911</c:v>
                </c:pt>
                <c:pt idx="27">
                  <c:v>201912</c:v>
                </c:pt>
                <c:pt idx="28">
                  <c:v>202001</c:v>
                </c:pt>
                <c:pt idx="29">
                  <c:v>202002</c:v>
                </c:pt>
                <c:pt idx="30">
                  <c:v>202003</c:v>
                </c:pt>
                <c:pt idx="31">
                  <c:v>202004</c:v>
                </c:pt>
                <c:pt idx="32">
                  <c:v>202005</c:v>
                </c:pt>
                <c:pt idx="33">
                  <c:v>202006</c:v>
                </c:pt>
              </c:strCache>
            </c:strRef>
          </c:cat>
          <c:val>
            <c:numRef>
              <c:f>Sheet6!$D$2:$D$36</c:f>
              <c:numCache>
                <c:formatCode>General</c:formatCode>
                <c:ptCount val="34"/>
                <c:pt idx="18">
                  <c:v>31</c:v>
                </c:pt>
                <c:pt idx="19">
                  <c:v>41</c:v>
                </c:pt>
                <c:pt idx="20">
                  <c:v>63</c:v>
                </c:pt>
                <c:pt idx="21">
                  <c:v>64</c:v>
                </c:pt>
                <c:pt idx="22">
                  <c:v>90</c:v>
                </c:pt>
                <c:pt idx="23">
                  <c:v>95</c:v>
                </c:pt>
                <c:pt idx="24">
                  <c:v>105</c:v>
                </c:pt>
                <c:pt idx="25">
                  <c:v>131</c:v>
                </c:pt>
                <c:pt idx="26">
                  <c:v>147</c:v>
                </c:pt>
                <c:pt idx="27">
                  <c:v>153</c:v>
                </c:pt>
                <c:pt idx="28">
                  <c:v>172</c:v>
                </c:pt>
                <c:pt idx="29">
                  <c:v>180</c:v>
                </c:pt>
                <c:pt idx="30">
                  <c:v>207</c:v>
                </c:pt>
                <c:pt idx="31">
                  <c:v>207</c:v>
                </c:pt>
                <c:pt idx="32">
                  <c:v>212</c:v>
                </c:pt>
                <c:pt idx="33">
                  <c:v>229</c:v>
                </c:pt>
              </c:numCache>
            </c:numRef>
          </c:val>
          <c:smooth val="0"/>
          <c:extLst>
            <c:ext xmlns:c16="http://schemas.microsoft.com/office/drawing/2014/chart" uri="{C3380CC4-5D6E-409C-BE32-E72D297353CC}">
              <c16:uniqueId val="{00000002-05A8-4E25-9159-92BFAAD2F425}"/>
            </c:ext>
          </c:extLst>
        </c:ser>
        <c:dLbls>
          <c:showLegendKey val="0"/>
          <c:showVal val="0"/>
          <c:showCatName val="0"/>
          <c:showSerName val="0"/>
          <c:showPercent val="0"/>
          <c:showBubbleSize val="0"/>
        </c:dLbls>
        <c:smooth val="0"/>
        <c:axId val="783612872"/>
        <c:axId val="783604344"/>
      </c:lineChart>
      <c:catAx>
        <c:axId val="783612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604344"/>
        <c:crosses val="autoZero"/>
        <c:auto val="1"/>
        <c:lblAlgn val="ctr"/>
        <c:lblOffset val="100"/>
        <c:noMultiLvlLbl val="0"/>
      </c:catAx>
      <c:valAx>
        <c:axId val="783604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612872"/>
        <c:crosses val="autoZero"/>
        <c:crossBetween val="between"/>
      </c:valAx>
      <c:spPr>
        <a:noFill/>
        <a:ln>
          <a:noFill/>
        </a:ln>
        <a:effectLst/>
      </c:spPr>
    </c:plotArea>
    <c:legend>
      <c:legendPos val="r"/>
      <c:layout>
        <c:manualLayout>
          <c:xMode val="edge"/>
          <c:yMode val="edge"/>
          <c:x val="0.78469239296410931"/>
          <c:y val="0.27933159425793391"/>
          <c:w val="0.20191026417555794"/>
          <c:h val="0.437737463849950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[pts.xlsx]Sheet1!PivotTable1</c:name>
    <c:fmtId val="5"/>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s>
    <c:plotArea>
      <c:layout/>
      <c:barChart>
        <c:barDir val="col"/>
        <c:grouping val="clustered"/>
        <c:varyColors val="0"/>
        <c:ser>
          <c:idx val="0"/>
          <c:order val="0"/>
          <c:tx>
            <c:strRef>
              <c:f>Sheet1!$B$3:$B$4</c:f>
              <c:strCache>
                <c:ptCount val="1"/>
                <c:pt idx="0">
                  <c:v>Female</c:v>
                </c:pt>
              </c:strCache>
            </c:strRef>
          </c:tx>
          <c:spPr>
            <a:solidFill>
              <a:schemeClr val="accent1"/>
            </a:solidFill>
            <a:ln>
              <a:noFill/>
            </a:ln>
            <a:effectLst/>
          </c:spPr>
          <c:invertIfNegative val="0"/>
          <c:cat>
            <c:strRef>
              <c:f>Sheet1!$A$5:$A$16</c:f>
              <c:strCache>
                <c:ptCount val="11"/>
                <c:pt idx="0">
                  <c:v>25-49</c:v>
                </c:pt>
                <c:pt idx="1">
                  <c:v>50-54</c:v>
                </c:pt>
                <c:pt idx="2">
                  <c:v>55-59</c:v>
                </c:pt>
                <c:pt idx="3">
                  <c:v>60-64</c:v>
                </c:pt>
                <c:pt idx="4">
                  <c:v>65-69</c:v>
                </c:pt>
                <c:pt idx="5">
                  <c:v>70-74</c:v>
                </c:pt>
                <c:pt idx="6">
                  <c:v>75-79</c:v>
                </c:pt>
                <c:pt idx="7">
                  <c:v>80-84</c:v>
                </c:pt>
                <c:pt idx="8">
                  <c:v>85-89</c:v>
                </c:pt>
                <c:pt idx="9">
                  <c:v>90-94</c:v>
                </c:pt>
                <c:pt idx="10">
                  <c:v>95-99</c:v>
                </c:pt>
              </c:strCache>
            </c:strRef>
          </c:cat>
          <c:val>
            <c:numRef>
              <c:f>Sheet1!$B$5:$B$16</c:f>
              <c:numCache>
                <c:formatCode>General</c:formatCode>
                <c:ptCount val="11"/>
                <c:pt idx="0">
                  <c:v>13</c:v>
                </c:pt>
                <c:pt idx="1">
                  <c:v>12</c:v>
                </c:pt>
                <c:pt idx="2">
                  <c:v>34</c:v>
                </c:pt>
                <c:pt idx="3">
                  <c:v>52</c:v>
                </c:pt>
                <c:pt idx="4">
                  <c:v>110</c:v>
                </c:pt>
                <c:pt idx="5">
                  <c:v>155</c:v>
                </c:pt>
                <c:pt idx="6">
                  <c:v>145</c:v>
                </c:pt>
                <c:pt idx="7">
                  <c:v>121</c:v>
                </c:pt>
                <c:pt idx="8">
                  <c:v>87</c:v>
                </c:pt>
                <c:pt idx="9">
                  <c:v>27</c:v>
                </c:pt>
                <c:pt idx="10">
                  <c:v>3</c:v>
                </c:pt>
              </c:numCache>
            </c:numRef>
          </c:val>
          <c:extLst>
            <c:ext xmlns:c16="http://schemas.microsoft.com/office/drawing/2014/chart" uri="{C3380CC4-5D6E-409C-BE32-E72D297353CC}">
              <c16:uniqueId val="{00000000-6FAA-4402-9A7E-E0BDFB242597}"/>
            </c:ext>
          </c:extLst>
        </c:ser>
        <c:ser>
          <c:idx val="1"/>
          <c:order val="1"/>
          <c:tx>
            <c:strRef>
              <c:f>Sheet1!$C$3:$C$4</c:f>
              <c:strCache>
                <c:ptCount val="1"/>
                <c:pt idx="0">
                  <c:v>Male</c:v>
                </c:pt>
              </c:strCache>
            </c:strRef>
          </c:tx>
          <c:spPr>
            <a:solidFill>
              <a:schemeClr val="accent2"/>
            </a:solidFill>
            <a:ln>
              <a:noFill/>
            </a:ln>
            <a:effectLst/>
          </c:spPr>
          <c:invertIfNegative val="0"/>
          <c:cat>
            <c:strRef>
              <c:f>Sheet1!$A$5:$A$16</c:f>
              <c:strCache>
                <c:ptCount val="11"/>
                <c:pt idx="0">
                  <c:v>25-49</c:v>
                </c:pt>
                <c:pt idx="1">
                  <c:v>50-54</c:v>
                </c:pt>
                <c:pt idx="2">
                  <c:v>55-59</c:v>
                </c:pt>
                <c:pt idx="3">
                  <c:v>60-64</c:v>
                </c:pt>
                <c:pt idx="4">
                  <c:v>65-69</c:v>
                </c:pt>
                <c:pt idx="5">
                  <c:v>70-74</c:v>
                </c:pt>
                <c:pt idx="6">
                  <c:v>75-79</c:v>
                </c:pt>
                <c:pt idx="7">
                  <c:v>80-84</c:v>
                </c:pt>
                <c:pt idx="8">
                  <c:v>85-89</c:v>
                </c:pt>
                <c:pt idx="9">
                  <c:v>90-94</c:v>
                </c:pt>
                <c:pt idx="10">
                  <c:v>95-99</c:v>
                </c:pt>
              </c:strCache>
            </c:strRef>
          </c:cat>
          <c:val>
            <c:numRef>
              <c:f>Sheet1!$C$5:$C$16</c:f>
              <c:numCache>
                <c:formatCode>General</c:formatCode>
                <c:ptCount val="11"/>
                <c:pt idx="0">
                  <c:v>32</c:v>
                </c:pt>
                <c:pt idx="1">
                  <c:v>40</c:v>
                </c:pt>
                <c:pt idx="2">
                  <c:v>79</c:v>
                </c:pt>
                <c:pt idx="3">
                  <c:v>127</c:v>
                </c:pt>
                <c:pt idx="4">
                  <c:v>246</c:v>
                </c:pt>
                <c:pt idx="5">
                  <c:v>299</c:v>
                </c:pt>
                <c:pt idx="6">
                  <c:v>260</c:v>
                </c:pt>
                <c:pt idx="7">
                  <c:v>179</c:v>
                </c:pt>
                <c:pt idx="8">
                  <c:v>91</c:v>
                </c:pt>
                <c:pt idx="9">
                  <c:v>26</c:v>
                </c:pt>
                <c:pt idx="10">
                  <c:v>2</c:v>
                </c:pt>
              </c:numCache>
            </c:numRef>
          </c:val>
          <c:extLst>
            <c:ext xmlns:c16="http://schemas.microsoft.com/office/drawing/2014/chart" uri="{C3380CC4-5D6E-409C-BE32-E72D297353CC}">
              <c16:uniqueId val="{00000001-6FAA-4402-9A7E-E0BDFB242597}"/>
            </c:ext>
          </c:extLst>
        </c:ser>
        <c:dLbls>
          <c:showLegendKey val="0"/>
          <c:showVal val="0"/>
          <c:showCatName val="0"/>
          <c:showSerName val="0"/>
          <c:showPercent val="0"/>
          <c:showBubbleSize val="0"/>
        </c:dLbls>
        <c:gapWidth val="219"/>
        <c:overlap val="-27"/>
        <c:axId val="430596080"/>
        <c:axId val="430601000"/>
      </c:barChart>
      <c:catAx>
        <c:axId val="430596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 (Years)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601000"/>
        <c:crosses val="autoZero"/>
        <c:auto val="1"/>
        <c:lblAlgn val="ctr"/>
        <c:lblOffset val="100"/>
        <c:noMultiLvlLbl val="0"/>
      </c:catAx>
      <c:valAx>
        <c:axId val="430601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59608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Sheet1!$H$2</c:f>
              <c:strCache>
                <c:ptCount val="1"/>
                <c:pt idx="0">
                  <c:v>Patients with a history of fludarabine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Sheet1!$I$1:$K$1</c:f>
              <c:strCache>
                <c:ptCount val="3"/>
                <c:pt idx="0">
                  <c:v>&lt;65yo</c:v>
                </c:pt>
                <c:pt idx="1">
                  <c:v>65-70yo</c:v>
                </c:pt>
                <c:pt idx="2">
                  <c:v>≥70yo</c:v>
                </c:pt>
              </c:strCache>
            </c:strRef>
          </c:cat>
          <c:val>
            <c:numRef>
              <c:f>Sheet1!$I$2:$K$2</c:f>
              <c:numCache>
                <c:formatCode>General</c:formatCode>
                <c:ptCount val="3"/>
                <c:pt idx="0">
                  <c:v>236</c:v>
                </c:pt>
                <c:pt idx="1">
                  <c:v>203</c:v>
                </c:pt>
                <c:pt idx="2">
                  <c:v>428</c:v>
                </c:pt>
              </c:numCache>
            </c:numRef>
          </c:val>
          <c:extLst>
            <c:ext xmlns:c16="http://schemas.microsoft.com/office/drawing/2014/chart" uri="{C3380CC4-5D6E-409C-BE32-E72D297353CC}">
              <c16:uniqueId val="{00000000-0E90-413E-AA97-E5869EBA0B9C}"/>
            </c:ext>
          </c:extLst>
        </c:ser>
        <c:ser>
          <c:idx val="1"/>
          <c:order val="1"/>
          <c:tx>
            <c:strRef>
              <c:f>Sheet1!$H$3</c:f>
              <c:strCache>
                <c:ptCount val="1"/>
                <c:pt idx="0">
                  <c:v>Patients without a history of fludarabine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Sheet1!$I$1:$K$1</c:f>
              <c:strCache>
                <c:ptCount val="3"/>
                <c:pt idx="0">
                  <c:v>&lt;65yo</c:v>
                </c:pt>
                <c:pt idx="1">
                  <c:v>65-70yo</c:v>
                </c:pt>
                <c:pt idx="2">
                  <c:v>≥70yo</c:v>
                </c:pt>
              </c:strCache>
            </c:strRef>
          </c:cat>
          <c:val>
            <c:numRef>
              <c:f>Sheet1!$I$3:$K$3</c:f>
              <c:numCache>
                <c:formatCode>General</c:formatCode>
                <c:ptCount val="3"/>
                <c:pt idx="0">
                  <c:v>390</c:v>
                </c:pt>
                <c:pt idx="1">
                  <c:v>356</c:v>
                </c:pt>
                <c:pt idx="2">
                  <c:v>1395</c:v>
                </c:pt>
              </c:numCache>
            </c:numRef>
          </c:val>
          <c:extLst>
            <c:ext xmlns:c16="http://schemas.microsoft.com/office/drawing/2014/chart" uri="{C3380CC4-5D6E-409C-BE32-E72D297353CC}">
              <c16:uniqueId val="{00000001-0E90-413E-AA97-E5869EBA0B9C}"/>
            </c:ext>
          </c:extLst>
        </c:ser>
        <c:dLbls>
          <c:showLegendKey val="0"/>
          <c:showVal val="0"/>
          <c:showCatName val="0"/>
          <c:showSerName val="0"/>
          <c:showPercent val="0"/>
          <c:showBubbleSize val="0"/>
        </c:dLbls>
        <c:gapWidth val="150"/>
        <c:overlap val="100"/>
        <c:axId val="438997720"/>
        <c:axId val="438991488"/>
      </c:barChart>
      <c:catAx>
        <c:axId val="438997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991488"/>
        <c:crosses val="autoZero"/>
        <c:auto val="1"/>
        <c:lblAlgn val="ctr"/>
        <c:lblOffset val="100"/>
        <c:noMultiLvlLbl val="0"/>
      </c:catAx>
      <c:valAx>
        <c:axId val="438991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9977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[DIFFERENCE2.xlsx]Sheet8!PivotTable9</c:name>
    <c:fmtId val="7"/>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manualLayout>
          <c:layoutTarget val="inner"/>
          <c:xMode val="edge"/>
          <c:yMode val="edge"/>
          <c:x val="9.4292067658209397E-2"/>
          <c:y val="3.547242824895195E-2"/>
          <c:w val="0.88024496937882768"/>
          <c:h val="0.78591310397712699"/>
        </c:manualLayout>
      </c:layout>
      <c:barChart>
        <c:barDir val="col"/>
        <c:grouping val="clustered"/>
        <c:varyColors val="0"/>
        <c:ser>
          <c:idx val="0"/>
          <c:order val="0"/>
          <c:tx>
            <c:strRef>
              <c:f>Sheet8!$B$1</c:f>
              <c:strCache>
                <c:ptCount val="1"/>
                <c:pt idx="0">
                  <c:v>Total</c:v>
                </c:pt>
              </c:strCache>
            </c:strRef>
          </c:tx>
          <c:spPr>
            <a:solidFill>
              <a:schemeClr val="accent1"/>
            </a:solidFill>
            <a:ln>
              <a:noFill/>
            </a:ln>
            <a:effectLst/>
          </c:spPr>
          <c:invertIfNegative val="0"/>
          <c:cat>
            <c:strRef>
              <c:f>Sheet8!$A$2:$A$19</c:f>
              <c:strCache>
                <c:ptCount val="17"/>
                <c:pt idx="0">
                  <c:v>&lt;6</c:v>
                </c:pt>
                <c:pt idx="1">
                  <c:v>7-12</c:v>
                </c:pt>
                <c:pt idx="2">
                  <c:v>13-18</c:v>
                </c:pt>
                <c:pt idx="3">
                  <c:v>19-24</c:v>
                </c:pt>
                <c:pt idx="4">
                  <c:v>25-30</c:v>
                </c:pt>
                <c:pt idx="5">
                  <c:v>31-36</c:v>
                </c:pt>
                <c:pt idx="6">
                  <c:v>37-42</c:v>
                </c:pt>
                <c:pt idx="7">
                  <c:v>43-48</c:v>
                </c:pt>
                <c:pt idx="8">
                  <c:v>49-54</c:v>
                </c:pt>
                <c:pt idx="9">
                  <c:v>55-60</c:v>
                </c:pt>
                <c:pt idx="10">
                  <c:v>61-66</c:v>
                </c:pt>
                <c:pt idx="11">
                  <c:v>67-72</c:v>
                </c:pt>
                <c:pt idx="12">
                  <c:v>73-78</c:v>
                </c:pt>
                <c:pt idx="13">
                  <c:v>79-84</c:v>
                </c:pt>
                <c:pt idx="14">
                  <c:v>85-90</c:v>
                </c:pt>
                <c:pt idx="15">
                  <c:v>91-96</c:v>
                </c:pt>
                <c:pt idx="16">
                  <c:v>97-168 </c:v>
                </c:pt>
              </c:strCache>
            </c:strRef>
          </c:cat>
          <c:val>
            <c:numRef>
              <c:f>Sheet8!$B$2:$B$19</c:f>
              <c:numCache>
                <c:formatCode>General</c:formatCode>
                <c:ptCount val="17"/>
                <c:pt idx="0">
                  <c:v>309</c:v>
                </c:pt>
                <c:pt idx="1">
                  <c:v>138</c:v>
                </c:pt>
                <c:pt idx="2">
                  <c:v>132</c:v>
                </c:pt>
                <c:pt idx="3">
                  <c:v>140</c:v>
                </c:pt>
                <c:pt idx="4">
                  <c:v>136</c:v>
                </c:pt>
                <c:pt idx="5">
                  <c:v>126</c:v>
                </c:pt>
                <c:pt idx="6">
                  <c:v>117</c:v>
                </c:pt>
                <c:pt idx="7">
                  <c:v>88</c:v>
                </c:pt>
                <c:pt idx="8">
                  <c:v>80</c:v>
                </c:pt>
                <c:pt idx="9">
                  <c:v>61</c:v>
                </c:pt>
                <c:pt idx="10">
                  <c:v>57</c:v>
                </c:pt>
                <c:pt idx="11">
                  <c:v>42</c:v>
                </c:pt>
                <c:pt idx="12">
                  <c:v>43</c:v>
                </c:pt>
                <c:pt idx="13">
                  <c:v>27</c:v>
                </c:pt>
                <c:pt idx="14">
                  <c:v>32</c:v>
                </c:pt>
                <c:pt idx="15">
                  <c:v>21</c:v>
                </c:pt>
                <c:pt idx="16">
                  <c:v>70</c:v>
                </c:pt>
              </c:numCache>
            </c:numRef>
          </c:val>
          <c:extLst>
            <c:ext xmlns:c16="http://schemas.microsoft.com/office/drawing/2014/chart" uri="{C3380CC4-5D6E-409C-BE32-E72D297353CC}">
              <c16:uniqueId val="{00000000-1D60-4118-8F6A-341F12A31A13}"/>
            </c:ext>
          </c:extLst>
        </c:ser>
        <c:dLbls>
          <c:showLegendKey val="0"/>
          <c:showVal val="0"/>
          <c:showCatName val="0"/>
          <c:showSerName val="0"/>
          <c:showPercent val="0"/>
          <c:showBubbleSize val="0"/>
        </c:dLbls>
        <c:gapWidth val="219"/>
        <c:overlap val="-27"/>
        <c:axId val="1215188488"/>
        <c:axId val="1215183240"/>
      </c:barChart>
      <c:catAx>
        <c:axId val="12151884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Time</a:t>
                </a:r>
                <a:r>
                  <a:rPr lang="en-AU" baseline="0"/>
                  <a:t> (months)</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5183240"/>
        <c:crosses val="autoZero"/>
        <c:auto val="1"/>
        <c:lblAlgn val="ctr"/>
        <c:lblOffset val="100"/>
        <c:noMultiLvlLbl val="0"/>
      </c:catAx>
      <c:valAx>
        <c:axId val="1215183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layout>
            <c:manualLayout>
              <c:xMode val="edge"/>
              <c:yMode val="edge"/>
              <c:x val="1.1574074074074073E-2"/>
              <c:y val="0.2940367217077549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5188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18194-5466-40F1-B9BF-A7201F26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4638</Words>
  <Characters>26439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2021-02-23T22:58:00Z</dcterms:created>
  <dcterms:modified xsi:type="dcterms:W3CDTF">2021-03-11T04:09:00Z</dcterms:modified>
</cp:coreProperties>
</file>