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3C130" w14:textId="07736EF0" w:rsidR="00832324" w:rsidRDefault="009C1CEF" w:rsidP="00F73113">
      <w:pPr>
        <w:pStyle w:val="Title"/>
      </w:pPr>
      <w:r>
        <w:softHyphen/>
      </w:r>
      <w:r w:rsidR="00954F01">
        <w:t xml:space="preserve">Analysis of </w:t>
      </w:r>
      <w:proofErr w:type="spellStart"/>
      <w:r w:rsidR="00954F01">
        <w:t>somatropin</w:t>
      </w:r>
      <w:proofErr w:type="spellEnd"/>
      <w:r w:rsidR="00954F01">
        <w:t xml:space="preserve"> for growth hormone therapy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5EBC16D7" w:rsidR="009053D3" w:rsidRPr="00F73113" w:rsidRDefault="00973262" w:rsidP="00F73113">
      <w:pPr>
        <w:pStyle w:val="Meetingdate"/>
      </w:pPr>
      <w:r>
        <w:t>June 2021</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0116F83C" w14:textId="35BE29EF" w:rsidR="00A97691" w:rsidRDefault="00A97691" w:rsidP="00A97691">
      <w:pPr>
        <w:pStyle w:val="NoSpacing"/>
      </w:pPr>
      <w:r>
        <w:t xml:space="preserve">To analyse the utilisation of growth hormone, </w:t>
      </w:r>
      <w:proofErr w:type="spellStart"/>
      <w:r>
        <w:t>somatropin</w:t>
      </w:r>
      <w:proofErr w:type="spellEnd"/>
      <w:r>
        <w:t xml:space="preserve"> </w:t>
      </w:r>
      <w:r w:rsidR="00A57D87">
        <w:t xml:space="preserve">as requested by DUSC at its February 2021 meeting. </w:t>
      </w:r>
      <w:r>
        <w:t xml:space="preserve">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202409DD" w:rsidR="002D144A" w:rsidRPr="002D144A" w:rsidRDefault="00DD2783" w:rsidP="002D144A">
      <w:proofErr w:type="spellStart"/>
      <w:r>
        <w:t>Somatropin</w:t>
      </w:r>
      <w:proofErr w:type="spellEnd"/>
      <w:r>
        <w:t xml:space="preserve"> was </w:t>
      </w:r>
      <w:r w:rsidR="00BF6DD2">
        <w:t xml:space="preserve">listed on the standard PBS </w:t>
      </w:r>
      <w:r w:rsidR="00E86452">
        <w:t>Program on 1 September 2015</w:t>
      </w:r>
      <w:r w:rsidR="007C1CF1">
        <w:t xml:space="preserve">. </w:t>
      </w:r>
    </w:p>
    <w:p w14:paraId="526743BB" w14:textId="77777777" w:rsidR="005C6661" w:rsidRDefault="005C6661" w:rsidP="00CF5E22">
      <w:pPr>
        <w:pStyle w:val="Heading3"/>
      </w:pPr>
      <w:r>
        <w:t>Data Source / methodology</w:t>
      </w:r>
    </w:p>
    <w:p w14:paraId="5E9E2FBA" w14:textId="39AC7489" w:rsidR="005C6661" w:rsidRDefault="00A97691" w:rsidP="005C6661">
      <w:pPr>
        <w:pStyle w:val="NoSpacing"/>
      </w:pPr>
      <w:r>
        <w:t>Data extracted from the PBS</w:t>
      </w:r>
      <w:r w:rsidR="004601A5">
        <w:t xml:space="preserve"> and Authorities</w:t>
      </w:r>
      <w:r>
        <w:t xml:space="preserve"> database maintained by Department of Health, processed by Services Australia was used for analyses. </w:t>
      </w:r>
    </w:p>
    <w:p w14:paraId="7599E7C1" w14:textId="77777777" w:rsidR="005C6661" w:rsidRDefault="005C6661" w:rsidP="00CF5E22">
      <w:pPr>
        <w:pStyle w:val="Heading3"/>
      </w:pPr>
      <w:r>
        <w:t>Key Findings</w:t>
      </w:r>
    </w:p>
    <w:p w14:paraId="7A976B66" w14:textId="251DBC03" w:rsidR="004601A5" w:rsidRPr="00473B67" w:rsidRDefault="004601A5" w:rsidP="004601A5">
      <w:pPr>
        <w:pStyle w:val="ListParagraph"/>
        <w:numPr>
          <w:ilvl w:val="0"/>
          <w:numId w:val="31"/>
        </w:numPr>
        <w:spacing w:after="160" w:line="259" w:lineRule="auto"/>
      </w:pPr>
      <w:r w:rsidRPr="00473B67">
        <w:t>The</w:t>
      </w:r>
      <w:r>
        <w:t>re was an average of 2,087</w:t>
      </w:r>
      <w:r w:rsidRPr="00473B67">
        <w:t xml:space="preserve"> patients </w:t>
      </w:r>
      <w:r>
        <w:t xml:space="preserve">treated with </w:t>
      </w:r>
      <w:proofErr w:type="spellStart"/>
      <w:r>
        <w:t>somatropin</w:t>
      </w:r>
      <w:proofErr w:type="spellEnd"/>
      <w:r>
        <w:t xml:space="preserve"> each year</w:t>
      </w:r>
      <w:r w:rsidRPr="00473B67">
        <w:t xml:space="preserve">. Following </w:t>
      </w:r>
      <w:r w:rsidR="00DE6ABB">
        <w:t xml:space="preserve">restriction </w:t>
      </w:r>
      <w:r>
        <w:t>changes</w:t>
      </w:r>
      <w:r w:rsidR="00741F52">
        <w:t xml:space="preserve"> in 2019 and 2020</w:t>
      </w:r>
      <w:r w:rsidRPr="00473B67">
        <w:t xml:space="preserve">, </w:t>
      </w:r>
      <w:r>
        <w:t xml:space="preserve">this </w:t>
      </w:r>
      <w:r w:rsidRPr="00473B67">
        <w:t xml:space="preserve">increased to an average of </w:t>
      </w:r>
      <w:r>
        <w:t xml:space="preserve">2,948 patients treated with </w:t>
      </w:r>
      <w:proofErr w:type="spellStart"/>
      <w:r>
        <w:t>somatropin</w:t>
      </w:r>
      <w:proofErr w:type="spellEnd"/>
      <w:r>
        <w:t xml:space="preserve"> each year</w:t>
      </w:r>
      <w:r w:rsidRPr="00473B67">
        <w:t xml:space="preserve">. </w:t>
      </w:r>
    </w:p>
    <w:p w14:paraId="3B7971AA" w14:textId="1E06A0F5" w:rsidR="001D105A" w:rsidRPr="00473B67" w:rsidRDefault="001D105A" w:rsidP="001D105A">
      <w:pPr>
        <w:pStyle w:val="ListParagraph"/>
        <w:numPr>
          <w:ilvl w:val="0"/>
          <w:numId w:val="31"/>
        </w:numPr>
        <w:spacing w:after="160" w:line="259" w:lineRule="auto"/>
      </w:pPr>
      <w:r w:rsidRPr="00473B67">
        <w:t>The</w:t>
      </w:r>
      <w:r w:rsidR="00DB248E">
        <w:t xml:space="preserve">re was an average of </w:t>
      </w:r>
      <w:r w:rsidR="004601A5">
        <w:t xml:space="preserve">6,170 </w:t>
      </w:r>
      <w:proofErr w:type="spellStart"/>
      <w:r w:rsidR="004601A5">
        <w:t>somatropin</w:t>
      </w:r>
      <w:proofErr w:type="spellEnd"/>
      <w:r w:rsidR="004601A5">
        <w:t xml:space="preserve"> </w:t>
      </w:r>
      <w:r w:rsidR="00DB248E" w:rsidRPr="00473B67">
        <w:t xml:space="preserve">prescriptions </w:t>
      </w:r>
      <w:r w:rsidR="004601A5">
        <w:t>dispensed each</w:t>
      </w:r>
      <w:r w:rsidR="00DB248E" w:rsidRPr="00473B67">
        <w:t xml:space="preserve"> </w:t>
      </w:r>
      <w:r w:rsidR="004601A5">
        <w:t>year</w:t>
      </w:r>
      <w:r w:rsidR="00DB248E">
        <w:t xml:space="preserve">. </w:t>
      </w:r>
      <w:r w:rsidRPr="00473B67">
        <w:t xml:space="preserve">Following </w:t>
      </w:r>
      <w:r w:rsidR="00DB248E">
        <w:t>restriction changes</w:t>
      </w:r>
      <w:r w:rsidR="00741F52">
        <w:t xml:space="preserve"> in 2019 and 2020</w:t>
      </w:r>
      <w:r w:rsidRPr="00473B67">
        <w:t xml:space="preserve">, </w:t>
      </w:r>
      <w:r w:rsidR="00DB248E">
        <w:t xml:space="preserve">this </w:t>
      </w:r>
      <w:r w:rsidRPr="00473B67">
        <w:t>increased to an average</w:t>
      </w:r>
      <w:r w:rsidR="004601A5">
        <w:t xml:space="preserve"> of</w:t>
      </w:r>
      <w:r w:rsidRPr="00473B67">
        <w:t xml:space="preserve"> </w:t>
      </w:r>
      <w:r w:rsidR="004601A5">
        <w:t>10,517</w:t>
      </w:r>
      <w:r w:rsidRPr="00473B67">
        <w:t xml:space="preserve"> prescriptions </w:t>
      </w:r>
      <w:r w:rsidR="004601A5">
        <w:t>dispensed each year</w:t>
      </w:r>
      <w:r w:rsidRPr="00473B67">
        <w:t>.</w:t>
      </w:r>
    </w:p>
    <w:p w14:paraId="4F3A6102" w14:textId="5645FADF" w:rsidR="001D105A" w:rsidRPr="00473B67" w:rsidRDefault="00DB248E" w:rsidP="001D105A">
      <w:pPr>
        <w:pStyle w:val="ListParagraph"/>
        <w:numPr>
          <w:ilvl w:val="0"/>
          <w:numId w:val="31"/>
        </w:numPr>
        <w:spacing w:after="160" w:line="259" w:lineRule="auto"/>
      </w:pPr>
      <w:r>
        <w:t xml:space="preserve">The most common age group in patients beginning </w:t>
      </w:r>
      <w:proofErr w:type="spellStart"/>
      <w:r>
        <w:t>somatropin</w:t>
      </w:r>
      <w:proofErr w:type="spellEnd"/>
      <w:r>
        <w:t xml:space="preserve"> tr</w:t>
      </w:r>
      <w:r w:rsidR="00F20B7D">
        <w:t>eatment are those aged between 10-14</w:t>
      </w:r>
      <w:r w:rsidR="0041018E">
        <w:t xml:space="preserve"> years old with 53.2</w:t>
      </w:r>
      <w:r>
        <w:t xml:space="preserve">% of </w:t>
      </w:r>
      <w:r w:rsidR="00F20B7D">
        <w:t>initiating</w:t>
      </w:r>
      <w:r w:rsidR="0041018E">
        <w:t xml:space="preserve"> patients</w:t>
      </w:r>
      <w:r>
        <w:t xml:space="preserve"> </w:t>
      </w:r>
      <w:r w:rsidR="002E2E8F">
        <w:t xml:space="preserve">being </w:t>
      </w:r>
      <w:r w:rsidR="0041018E">
        <w:t>male</w:t>
      </w:r>
      <w:r>
        <w:t xml:space="preserve">. </w:t>
      </w:r>
    </w:p>
    <w:p w14:paraId="0DA8648B" w14:textId="2CCBCEB4" w:rsidR="001D105A" w:rsidRDefault="001D105A" w:rsidP="001D105A">
      <w:pPr>
        <w:pStyle w:val="ListParagraph"/>
        <w:numPr>
          <w:ilvl w:val="0"/>
          <w:numId w:val="31"/>
        </w:numPr>
        <w:spacing w:after="160" w:line="259" w:lineRule="auto"/>
      </w:pPr>
      <w:r w:rsidRPr="00473B67">
        <w:t xml:space="preserve">When accounting for treatment breaks, the median treatment duration was </w:t>
      </w:r>
      <w:r>
        <w:t>44.</w:t>
      </w:r>
      <w:r w:rsidR="00420466">
        <w:t>6</w:t>
      </w:r>
      <w:r w:rsidRPr="00473B67">
        <w:t xml:space="preserve"> months (95%</w:t>
      </w:r>
      <w:r>
        <w:t xml:space="preserve"> </w:t>
      </w:r>
      <w:r w:rsidR="00DB248E">
        <w:t>confidence interval</w:t>
      </w:r>
      <w:r w:rsidRPr="00473B67">
        <w:t xml:space="preserve"> </w:t>
      </w:r>
      <w:r>
        <w:t>42.1 to 46.9</w:t>
      </w:r>
      <w:r w:rsidRPr="00473B67">
        <w:t xml:space="preserve"> months). </w:t>
      </w:r>
    </w:p>
    <w:p w14:paraId="38B57ECC" w14:textId="5AE97ED5" w:rsidR="00BB0D1A" w:rsidRPr="001D105A" w:rsidRDefault="001D105A" w:rsidP="001D105A">
      <w:pPr>
        <w:pStyle w:val="ListParagraph"/>
        <w:numPr>
          <w:ilvl w:val="0"/>
          <w:numId w:val="31"/>
        </w:numPr>
        <w:spacing w:after="160" w:line="259" w:lineRule="auto"/>
      </w:pPr>
      <w:r>
        <w:t xml:space="preserve">Paediatric patients were most commonly treated with </w:t>
      </w:r>
      <w:proofErr w:type="spellStart"/>
      <w:r>
        <w:t>somatropin</w:t>
      </w:r>
      <w:proofErr w:type="spellEnd"/>
      <w:r>
        <w:t xml:space="preserve"> for short stature and slow growth whilst adult patients were most commonly treated with </w:t>
      </w:r>
      <w:proofErr w:type="spellStart"/>
      <w:r>
        <w:t>somatropin</w:t>
      </w:r>
      <w:proofErr w:type="spellEnd"/>
      <w:r>
        <w:t xml:space="preserve"> for severe growth hormone deficiency. </w:t>
      </w:r>
    </w:p>
    <w:p w14:paraId="5EB974D7" w14:textId="1254CA8A" w:rsidR="00954F01" w:rsidRDefault="00E677DD" w:rsidP="009B003C">
      <w:pPr>
        <w:pStyle w:val="Heading1"/>
      </w:pPr>
      <w:r w:rsidRPr="00CF5E22">
        <w:lastRenderedPageBreak/>
        <w:t xml:space="preserve">Purpose of </w:t>
      </w:r>
      <w:r w:rsidR="00D151EB" w:rsidRPr="00CF5E22">
        <w:t>analysis</w:t>
      </w:r>
    </w:p>
    <w:p w14:paraId="71B055D9" w14:textId="47851E1B" w:rsidR="00AE0A4E" w:rsidRPr="00AE0A4E" w:rsidRDefault="00AE0A4E" w:rsidP="00A97691">
      <w:pPr>
        <w:pStyle w:val="NoSpacing"/>
      </w:pPr>
      <w:r w:rsidRPr="00AE0A4E">
        <w:t>At its February 2021 meeting, DUSC requested a review of the utili</w:t>
      </w:r>
      <w:r w:rsidR="00660E0A">
        <w:t>sation of</w:t>
      </w:r>
      <w:r w:rsidR="00420466">
        <w:t xml:space="preserve"> </w:t>
      </w:r>
      <w:r w:rsidR="00660E0A">
        <w:t xml:space="preserve">growth hormone </w:t>
      </w:r>
      <w:r w:rsidR="00420466">
        <w:t>(</w:t>
      </w:r>
      <w:proofErr w:type="spellStart"/>
      <w:r w:rsidR="00660E0A">
        <w:t>somatropin</w:t>
      </w:r>
      <w:proofErr w:type="spellEnd"/>
      <w:r w:rsidR="00420466">
        <w:t>)</w:t>
      </w:r>
      <w:r w:rsidR="00660E0A">
        <w:t xml:space="preserve"> </w:t>
      </w:r>
      <w:r w:rsidRPr="00AE0A4E">
        <w:t>considering the following main changes to its listing:</w:t>
      </w:r>
    </w:p>
    <w:p w14:paraId="10D65987" w14:textId="1BB2FC4D" w:rsidR="00AE0A4E" w:rsidRPr="00AE0A4E" w:rsidRDefault="00AE0A4E" w:rsidP="00AE0A4E">
      <w:pPr>
        <w:pStyle w:val="NoSpacing"/>
        <w:numPr>
          <w:ilvl w:val="0"/>
          <w:numId w:val="32"/>
        </w:numPr>
      </w:pPr>
      <w:r w:rsidRPr="00AE0A4E">
        <w:t>February 2019 to broaden the eligibility criteria for paediatric patients with amendments to the percentile and growth velocity eligibility thresholds, growth velocity measurement intervals and associated growth data requirements; and</w:t>
      </w:r>
    </w:p>
    <w:p w14:paraId="7860774E" w14:textId="41599AFC" w:rsidR="00AE0A4E" w:rsidRDefault="00AE0A4E" w:rsidP="00A97691">
      <w:pPr>
        <w:pStyle w:val="NoSpacing"/>
        <w:numPr>
          <w:ilvl w:val="0"/>
          <w:numId w:val="32"/>
        </w:numPr>
      </w:pPr>
      <w:r w:rsidRPr="00AE0A4E">
        <w:t>January 2020 amendments to the adult listing in relation to continued access for patients with childhood onset growth hormone deficiency when they reach adulthood.</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512EE029" w14:textId="1096BBB6" w:rsidR="005D43E3" w:rsidRDefault="00577914" w:rsidP="005D43E3">
      <w:r>
        <w:t>Growth</w:t>
      </w:r>
      <w:r w:rsidR="00FD175C">
        <w:t xml:space="preserve"> hormone</w:t>
      </w:r>
      <w:r w:rsidR="005D43E3">
        <w:t xml:space="preserve"> (GH)</w:t>
      </w:r>
      <w:r w:rsidR="00FD175C">
        <w:t xml:space="preserve"> is produced by the pituitary</w:t>
      </w:r>
      <w:r>
        <w:t xml:space="preserve"> gland</w:t>
      </w:r>
      <w:r w:rsidR="00622320">
        <w:t>.</w:t>
      </w:r>
      <w:r w:rsidR="007F072B">
        <w:t xml:space="preserve"> </w:t>
      </w:r>
      <w:r w:rsidR="005D43E3">
        <w:t xml:space="preserve">GH encourages the liver to </w:t>
      </w:r>
      <w:r w:rsidR="00CD6F56">
        <w:t xml:space="preserve">synthesise </w:t>
      </w:r>
      <w:r w:rsidR="005D43E3">
        <w:t xml:space="preserve">insulin-like growth factor 1 (IGF-1). IGF-1 </w:t>
      </w:r>
      <w:r w:rsidR="00F2261D">
        <w:t>acts downstream to th</w:t>
      </w:r>
      <w:r w:rsidR="00F06602">
        <w:t>icken and elongate bones, grow</w:t>
      </w:r>
      <w:r w:rsidR="00F2261D">
        <w:t xml:space="preserve"> muscles</w:t>
      </w:r>
      <w:r w:rsidR="00F06602">
        <w:t xml:space="preserve"> and reduce</w:t>
      </w:r>
      <w:r w:rsidR="005D43E3">
        <w:t xml:space="preserve"> fat storage.</w:t>
      </w:r>
      <w:r w:rsidR="006B63A4" w:rsidRPr="006B63A4">
        <w:rPr>
          <w:rStyle w:val="FootnoteReference"/>
        </w:rPr>
        <w:t xml:space="preserve"> </w:t>
      </w:r>
      <w:r w:rsidR="006B63A4">
        <w:rPr>
          <w:rStyle w:val="FootnoteReference"/>
        </w:rPr>
        <w:footnoteReference w:id="1"/>
      </w:r>
      <w:r w:rsidR="006B63A4">
        <w:rPr>
          <w:vertAlign w:val="superscript"/>
        </w:rPr>
        <w:t>,</w:t>
      </w:r>
      <w:r w:rsidR="006B63A4">
        <w:rPr>
          <w:rStyle w:val="FootnoteReference"/>
        </w:rPr>
        <w:footnoteReference w:id="2"/>
      </w:r>
      <w:r w:rsidR="006B63A4">
        <w:rPr>
          <w:vertAlign w:val="superscript"/>
        </w:rPr>
        <w:t>,</w:t>
      </w:r>
      <w:r w:rsidR="006B63A4">
        <w:rPr>
          <w:rStyle w:val="FootnoteReference"/>
        </w:rPr>
        <w:footnoteReference w:id="3"/>
      </w:r>
      <w:r w:rsidR="006B63A4">
        <w:rPr>
          <w:vertAlign w:val="superscript"/>
        </w:rPr>
        <w:t>,</w:t>
      </w:r>
      <w:r w:rsidR="005D43E3">
        <w:rPr>
          <w:rStyle w:val="FootnoteReference"/>
        </w:rPr>
        <w:footnoteReference w:id="4"/>
      </w:r>
      <w:r w:rsidR="005D43E3">
        <w:t xml:space="preserve"> </w:t>
      </w:r>
    </w:p>
    <w:p w14:paraId="4E8DEF74" w14:textId="164FB0E6" w:rsidR="001B0933" w:rsidRDefault="009702D2" w:rsidP="00EE2BBB">
      <w:r>
        <w:t xml:space="preserve">Growth hormone </w:t>
      </w:r>
      <w:r w:rsidR="00FD0ABD">
        <w:t>deficiency occurs when</w:t>
      </w:r>
      <w:r w:rsidR="002E4EBE">
        <w:t xml:space="preserve"> the</w:t>
      </w:r>
      <w:r w:rsidR="00FD0ABD">
        <w:t xml:space="preserve"> pituitary</w:t>
      </w:r>
      <w:r w:rsidR="00730EDF">
        <w:t xml:space="preserve"> gland does no</w:t>
      </w:r>
      <w:r w:rsidR="008E5B8E" w:rsidRPr="008E5B8E">
        <w:t xml:space="preserve">t produce enough growth hormone. </w:t>
      </w:r>
      <w:r w:rsidR="00F2261D">
        <w:t xml:space="preserve">Growth hormone deficiency </w:t>
      </w:r>
      <w:r>
        <w:t>can</w:t>
      </w:r>
      <w:r w:rsidR="00FD0ABD">
        <w:t xml:space="preserve"> </w:t>
      </w:r>
      <w:r w:rsidR="00F2261D">
        <w:t>occur in both children and adults. In some adults, growth hormone deficiency is diagnosed in childhood and is referred to as childhood-onset growth hormone defi</w:t>
      </w:r>
      <w:r w:rsidR="00F06602">
        <w:t>ciency. In other adults</w:t>
      </w:r>
      <w:r w:rsidR="00F2261D">
        <w:t>, growth hormone deficiency starts in adulthood and is referred to as adult-onset growth hormone deficiency.</w:t>
      </w:r>
      <w:r w:rsidR="00F2261D">
        <w:rPr>
          <w:rStyle w:val="FootnoteReference"/>
        </w:rPr>
        <w:footnoteReference w:id="5"/>
      </w:r>
      <w:r w:rsidR="00F2261D">
        <w:t xml:space="preserve"> </w:t>
      </w:r>
    </w:p>
    <w:p w14:paraId="452592F2" w14:textId="30A1E9AA" w:rsidR="001B0933" w:rsidRDefault="001B0933" w:rsidP="001B0933">
      <w:r>
        <w:t xml:space="preserve">Child-onset growth hormone deficiency can be due to: </w:t>
      </w:r>
    </w:p>
    <w:p w14:paraId="0302C106" w14:textId="5A52E749" w:rsidR="001B0933" w:rsidRDefault="001B0933" w:rsidP="001B0933">
      <w:pPr>
        <w:pStyle w:val="ListParagraph"/>
        <w:numPr>
          <w:ilvl w:val="0"/>
          <w:numId w:val="1"/>
        </w:numPr>
      </w:pPr>
      <w:r>
        <w:t xml:space="preserve">Genetic abnormalities resulting in the inability to produce or respond to growth hormone. </w:t>
      </w:r>
    </w:p>
    <w:p w14:paraId="2C4A7434" w14:textId="38ADB44F" w:rsidR="001B0933" w:rsidRDefault="001B0933" w:rsidP="001B0933">
      <w:pPr>
        <w:pStyle w:val="ListParagraph"/>
        <w:numPr>
          <w:ilvl w:val="0"/>
          <w:numId w:val="1"/>
        </w:numPr>
      </w:pPr>
      <w:r>
        <w:t xml:space="preserve">Abnormal development of the pituitary gland. </w:t>
      </w:r>
    </w:p>
    <w:p w14:paraId="4C03103B" w14:textId="30D59A67" w:rsidR="001B0933" w:rsidRDefault="001B0933" w:rsidP="001B0933">
      <w:pPr>
        <w:pStyle w:val="ListParagraph"/>
        <w:numPr>
          <w:ilvl w:val="0"/>
          <w:numId w:val="1"/>
        </w:numPr>
      </w:pPr>
      <w:r>
        <w:t xml:space="preserve">Structural defects of the brain or skull present since birth. </w:t>
      </w:r>
    </w:p>
    <w:p w14:paraId="5039FA8F" w14:textId="77777777" w:rsidR="001B0933" w:rsidRDefault="001B0933" w:rsidP="001B0933">
      <w:r>
        <w:t xml:space="preserve">Adult-onset growth hormone deficiency can be due to: </w:t>
      </w:r>
    </w:p>
    <w:p w14:paraId="2AB9621D" w14:textId="73C63A04" w:rsidR="001B0933" w:rsidRDefault="00660E0A" w:rsidP="001B0933">
      <w:pPr>
        <w:pStyle w:val="ListParagraph"/>
        <w:numPr>
          <w:ilvl w:val="0"/>
          <w:numId w:val="1"/>
        </w:numPr>
      </w:pPr>
      <w:r>
        <w:t xml:space="preserve">Pituitary tumours. </w:t>
      </w:r>
      <w:r w:rsidR="001B0933">
        <w:t xml:space="preserve"> </w:t>
      </w:r>
    </w:p>
    <w:p w14:paraId="705AC2B7" w14:textId="1B3B6F05" w:rsidR="001B0933" w:rsidRDefault="001B0933" w:rsidP="001B0933">
      <w:pPr>
        <w:pStyle w:val="ListParagraph"/>
        <w:numPr>
          <w:ilvl w:val="0"/>
          <w:numId w:val="1"/>
        </w:numPr>
      </w:pPr>
      <w:r>
        <w:t xml:space="preserve">Hypothalamic tumours. </w:t>
      </w:r>
    </w:p>
    <w:p w14:paraId="2DC6D0EB" w14:textId="4360730C" w:rsidR="001B0933" w:rsidRDefault="001B0933" w:rsidP="001B0933">
      <w:pPr>
        <w:pStyle w:val="ListParagraph"/>
        <w:numPr>
          <w:ilvl w:val="0"/>
          <w:numId w:val="1"/>
        </w:numPr>
      </w:pPr>
      <w:r>
        <w:t>Damage to the pituitary or hypothalamus following surgery or radiotherapy.</w:t>
      </w:r>
    </w:p>
    <w:p w14:paraId="72EAD256" w14:textId="2FAB20CC" w:rsidR="001B0933" w:rsidRDefault="001B0933" w:rsidP="001B0933">
      <w:pPr>
        <w:pStyle w:val="ListParagraph"/>
        <w:numPr>
          <w:ilvl w:val="0"/>
          <w:numId w:val="1"/>
        </w:numPr>
      </w:pPr>
      <w:r>
        <w:lastRenderedPageBreak/>
        <w:t xml:space="preserve">Brain injury. </w:t>
      </w:r>
    </w:p>
    <w:p w14:paraId="2E9A6839" w14:textId="18D60736" w:rsidR="001B0933" w:rsidRDefault="001B0933" w:rsidP="001B0933">
      <w:pPr>
        <w:pStyle w:val="ListParagraph"/>
        <w:numPr>
          <w:ilvl w:val="0"/>
          <w:numId w:val="1"/>
        </w:numPr>
      </w:pPr>
      <w:r>
        <w:t xml:space="preserve">Brain haemorrhage. </w:t>
      </w:r>
    </w:p>
    <w:p w14:paraId="59FE4EC7" w14:textId="6A1A732C" w:rsidR="001B0933" w:rsidRDefault="001B0933" w:rsidP="001B0933">
      <w:pPr>
        <w:pStyle w:val="ListParagraph"/>
        <w:numPr>
          <w:ilvl w:val="0"/>
          <w:numId w:val="1"/>
        </w:numPr>
      </w:pPr>
      <w:r>
        <w:t xml:space="preserve">Infections in the brain or nervous system. </w:t>
      </w:r>
    </w:p>
    <w:p w14:paraId="4BE7410F" w14:textId="17C9BBE7" w:rsidR="00011DF1" w:rsidRDefault="0094344F" w:rsidP="001B0933">
      <w:r>
        <w:t>Additionally, g</w:t>
      </w:r>
      <w:r w:rsidR="001B0933">
        <w:t>rowth hormone deficiency is</w:t>
      </w:r>
      <w:r w:rsidR="00FD0ABD">
        <w:t xml:space="preserve"> </w:t>
      </w:r>
      <w:r w:rsidR="00D23863">
        <w:t xml:space="preserve">associated with </w:t>
      </w:r>
      <w:r w:rsidR="00FD0ABD">
        <w:t xml:space="preserve">several </w:t>
      </w:r>
      <w:r w:rsidR="006A45A4">
        <w:t>conditions</w:t>
      </w:r>
      <w:r w:rsidR="00D23863">
        <w:t>,</w:t>
      </w:r>
      <w:r w:rsidR="00660E0A">
        <w:rPr>
          <w:rStyle w:val="FootnoteReference"/>
        </w:rPr>
        <w:footnoteReference w:id="6"/>
      </w:r>
      <w:r w:rsidR="006A45A4">
        <w:t xml:space="preserve"> </w:t>
      </w:r>
      <w:r w:rsidR="009702D2">
        <w:t>including</w:t>
      </w:r>
      <w:r w:rsidR="00011DF1">
        <w:t>:</w:t>
      </w:r>
      <w:r w:rsidR="001B0933" w:rsidRPr="001B0933">
        <w:rPr>
          <w:rStyle w:val="FootnoteReference"/>
        </w:rPr>
        <w:t xml:space="preserve"> </w:t>
      </w:r>
    </w:p>
    <w:p w14:paraId="4E1554DA" w14:textId="10970D35" w:rsidR="00011DF1" w:rsidRDefault="009702D2" w:rsidP="00011DF1">
      <w:pPr>
        <w:pStyle w:val="ListParagraph"/>
        <w:numPr>
          <w:ilvl w:val="0"/>
          <w:numId w:val="1"/>
        </w:numPr>
      </w:pPr>
      <w:r>
        <w:t>Turner syndrome</w:t>
      </w:r>
      <w:r w:rsidR="00011DF1">
        <w:t>: occurs in females</w:t>
      </w:r>
      <w:r w:rsidR="00BC7448">
        <w:t xml:space="preserve"> where all or</w:t>
      </w:r>
      <w:r w:rsidR="001232E7">
        <w:t xml:space="preserve"> part of one X chromosome </w:t>
      </w:r>
      <w:r w:rsidR="008465AB">
        <w:t>is missing.</w:t>
      </w:r>
      <w:r w:rsidR="008465AB">
        <w:rPr>
          <w:rStyle w:val="FootnoteReference"/>
        </w:rPr>
        <w:footnoteReference w:id="7"/>
      </w:r>
    </w:p>
    <w:p w14:paraId="50D29B78" w14:textId="45DB4225" w:rsidR="00011DF1" w:rsidRDefault="00011DF1" w:rsidP="00011DF1">
      <w:pPr>
        <w:pStyle w:val="ListParagraph"/>
        <w:numPr>
          <w:ilvl w:val="0"/>
          <w:numId w:val="1"/>
        </w:numPr>
      </w:pPr>
      <w:r>
        <w:t>C</w:t>
      </w:r>
      <w:r w:rsidR="009702D2">
        <w:t>hronic renal disease</w:t>
      </w:r>
      <w:r w:rsidR="00433E52">
        <w:t>: Up to one third of children with chronic kidney disease have severe growth delay (below the third percentile for height)</w:t>
      </w:r>
      <w:proofErr w:type="gramStart"/>
      <w:r w:rsidR="00433E52">
        <w:t>.</w:t>
      </w:r>
      <w:proofErr w:type="gramEnd"/>
      <w:r w:rsidR="009702D2">
        <w:rPr>
          <w:rStyle w:val="FootnoteReference"/>
        </w:rPr>
        <w:footnoteReference w:id="8"/>
      </w:r>
      <w:r w:rsidR="009702D2">
        <w:t xml:space="preserve"> </w:t>
      </w:r>
    </w:p>
    <w:p w14:paraId="3A10884A" w14:textId="1A48A9B5" w:rsidR="00011DF1" w:rsidRDefault="008A6B80" w:rsidP="00011DF1">
      <w:pPr>
        <w:pStyle w:val="ListParagraph"/>
        <w:numPr>
          <w:ilvl w:val="0"/>
          <w:numId w:val="1"/>
        </w:numPr>
      </w:pPr>
      <w:proofErr w:type="spellStart"/>
      <w:r>
        <w:t>Prader</w:t>
      </w:r>
      <w:proofErr w:type="spellEnd"/>
      <w:r>
        <w:t>-Willi syndrome</w:t>
      </w:r>
      <w:r w:rsidR="00D23863">
        <w:t>: a</w:t>
      </w:r>
      <w:r w:rsidR="00433E52">
        <w:t xml:space="preserve"> complex genetic disorder affecting multiple body systems resulting in </w:t>
      </w:r>
      <w:proofErr w:type="spellStart"/>
      <w:r w:rsidR="00433E52">
        <w:t>hypotonia</w:t>
      </w:r>
      <w:proofErr w:type="spellEnd"/>
      <w:r w:rsidR="00433E52">
        <w:t>, hypogonadism and growth hormone insufficiency.</w:t>
      </w:r>
      <w:r>
        <w:rPr>
          <w:rStyle w:val="FootnoteReference"/>
        </w:rPr>
        <w:footnoteReference w:id="9"/>
      </w:r>
    </w:p>
    <w:p w14:paraId="1B98D5BC" w14:textId="2364685F" w:rsidR="0062554C" w:rsidRDefault="00011DF1" w:rsidP="00455100">
      <w:pPr>
        <w:pStyle w:val="ListParagraph"/>
        <w:numPr>
          <w:ilvl w:val="0"/>
          <w:numId w:val="1"/>
        </w:numPr>
      </w:pPr>
      <w:r>
        <w:t>S</w:t>
      </w:r>
      <w:r w:rsidR="006A45A4">
        <w:t xml:space="preserve">mall for gestational age (SGA): children who are born with a birth weight or length of at least 2 SD score (SDS) below the mean gestational age. </w:t>
      </w:r>
    </w:p>
    <w:p w14:paraId="2B6B0C2E" w14:textId="5941A4CC" w:rsidR="004077B9" w:rsidRDefault="00705082" w:rsidP="00455100">
      <w:r>
        <w:t xml:space="preserve">Prior to 1 September 2015, </w:t>
      </w:r>
      <w:r w:rsidR="00EF36ED">
        <w:t xml:space="preserve">growth hormone was provided under a special arrangement </w:t>
      </w:r>
      <w:r w:rsidR="00DB452B">
        <w:t>(</w:t>
      </w:r>
      <w:r w:rsidR="00EF36ED">
        <w:t xml:space="preserve">subsection 100(1) of the </w:t>
      </w:r>
      <w:r w:rsidR="00EF36ED" w:rsidRPr="00F60E07">
        <w:rPr>
          <w:i/>
        </w:rPr>
        <w:t>National Health Act 1953</w:t>
      </w:r>
      <w:r w:rsidR="00DB452B">
        <w:t>)</w:t>
      </w:r>
      <w:r w:rsidR="00EF36ED">
        <w:t>. T</w:t>
      </w:r>
      <w:r>
        <w:t>he PBS S100 Growth Hormone Program was adm</w:t>
      </w:r>
      <w:r w:rsidR="000226FB">
        <w:t xml:space="preserve">inistered by the </w:t>
      </w:r>
      <w:r w:rsidR="00083CCF">
        <w:t>Commonwealth</w:t>
      </w:r>
      <w:r w:rsidR="00D133E7">
        <w:t xml:space="preserve"> </w:t>
      </w:r>
      <w:r w:rsidR="000226FB">
        <w:t>Department of H</w:t>
      </w:r>
      <w:r>
        <w:t>ealth</w:t>
      </w:r>
      <w:r w:rsidR="000226FB">
        <w:t xml:space="preserve"> with guidance </w:t>
      </w:r>
      <w:r w:rsidR="00D133E7">
        <w:t xml:space="preserve">from </w:t>
      </w:r>
      <w:r w:rsidR="000226FB">
        <w:t>the Growth Hormone Advisory Committee (GHAC)</w:t>
      </w:r>
      <w:r>
        <w:t xml:space="preserve">. </w:t>
      </w:r>
      <w:r w:rsidR="000226FB">
        <w:t xml:space="preserve">The GHAC </w:t>
      </w:r>
      <w:r w:rsidR="0013656B">
        <w:t xml:space="preserve">comprised of a panel of paediatric endocrinologists </w:t>
      </w:r>
      <w:r w:rsidR="00D133E7">
        <w:t xml:space="preserve">and paediatricians </w:t>
      </w:r>
      <w:r w:rsidR="0013656B">
        <w:t xml:space="preserve">who </w:t>
      </w:r>
      <w:r w:rsidR="000226FB">
        <w:t xml:space="preserve">provided clinical advice on specific cases referred to by the Department. </w:t>
      </w:r>
      <w:r w:rsidR="009833EE">
        <w:t xml:space="preserve">Cases referred to the GHAC included </w:t>
      </w:r>
      <w:r w:rsidR="004077B9">
        <w:t>instances where the patient did not meet all of the eligibility criteria</w:t>
      </w:r>
      <w:r w:rsidR="00D23863">
        <w:t xml:space="preserve"> in the program</w:t>
      </w:r>
      <w:r w:rsidR="00934069">
        <w:t xml:space="preserve"> guidelines</w:t>
      </w:r>
      <w:r w:rsidR="004077B9">
        <w:t xml:space="preserve">. </w:t>
      </w:r>
    </w:p>
    <w:p w14:paraId="5E4441CA" w14:textId="5B8DEA2D" w:rsidR="00705082" w:rsidRDefault="00705082" w:rsidP="00455100">
      <w:r>
        <w:t xml:space="preserve">New GH Program arrangements commenced on 1 September 2015 </w:t>
      </w:r>
      <w:r w:rsidR="00E464EE">
        <w:t>to</w:t>
      </w:r>
      <w:r>
        <w:t xml:space="preserve"> align the Program</w:t>
      </w:r>
      <w:r w:rsidR="00934069">
        <w:t xml:space="preserve"> with </w:t>
      </w:r>
      <w:r w:rsidR="00660E0A">
        <w:t>other Authority-R</w:t>
      </w:r>
      <w:r w:rsidR="00E464EE">
        <w:t xml:space="preserve">equired </w:t>
      </w:r>
      <w:r w:rsidR="00934069">
        <w:t xml:space="preserve">PBS </w:t>
      </w:r>
      <w:r w:rsidR="00E464EE">
        <w:t>subsidised medicines</w:t>
      </w:r>
      <w:r w:rsidR="00934069">
        <w:t xml:space="preserve">, </w:t>
      </w:r>
      <w:r w:rsidR="002B4B08">
        <w:t xml:space="preserve">with the aim of </w:t>
      </w:r>
      <w:r w:rsidR="00934069">
        <w:t>reducing administrative burden</w:t>
      </w:r>
      <w:r w:rsidR="002B4B08">
        <w:t xml:space="preserve"> and</w:t>
      </w:r>
      <w:r w:rsidR="00934069">
        <w:t xml:space="preserve"> improving access. The G</w:t>
      </w:r>
      <w:r w:rsidR="00DB332A">
        <w:t xml:space="preserve">HAC had ceased operation and </w:t>
      </w:r>
      <w:proofErr w:type="spellStart"/>
      <w:r w:rsidR="00DB332A">
        <w:t>s</w:t>
      </w:r>
      <w:r w:rsidR="00934069">
        <w:t>omatropin</w:t>
      </w:r>
      <w:proofErr w:type="spellEnd"/>
      <w:r w:rsidR="00934069">
        <w:t xml:space="preserve"> was listed as an Authority </w:t>
      </w:r>
      <w:proofErr w:type="gramStart"/>
      <w:r w:rsidR="00934069">
        <w:t>Required</w:t>
      </w:r>
      <w:proofErr w:type="gramEnd"/>
      <w:r w:rsidR="00934069">
        <w:t xml:space="preserve"> medicine. Pharmacies could directly order from pharmaceutical wholesalers, and pharmacy remuneration, co-paym</w:t>
      </w:r>
      <w:r w:rsidR="005E1133">
        <w:t>ents</w:t>
      </w:r>
      <w:r w:rsidR="00F47638">
        <w:t xml:space="preserve"> and safety net provisions</w:t>
      </w:r>
      <w:r w:rsidR="00934069">
        <w:t xml:space="preserve"> </w:t>
      </w:r>
      <w:r w:rsidR="00F47638">
        <w:t>were introduced</w:t>
      </w:r>
      <w:r w:rsidR="00660E0A">
        <w:t>,</w:t>
      </w:r>
      <w:r w:rsidR="00F47638">
        <w:t xml:space="preserve"> </w:t>
      </w:r>
      <w:r w:rsidR="00934069">
        <w:t xml:space="preserve">consistent with usual PBS arrangements. </w:t>
      </w:r>
    </w:p>
    <w:p w14:paraId="0183A567" w14:textId="413DF87B" w:rsidR="007247B9" w:rsidRDefault="007247B9" w:rsidP="00CF5E22">
      <w:pPr>
        <w:pStyle w:val="Heading2"/>
      </w:pPr>
      <w:r>
        <w:t>Pharmacology</w:t>
      </w:r>
    </w:p>
    <w:p w14:paraId="57CD5E69" w14:textId="1500BCE6" w:rsidR="000D7F8B" w:rsidRPr="007247B9" w:rsidRDefault="000D7F8B" w:rsidP="00AE4BAC">
      <w:proofErr w:type="spellStart"/>
      <w:r>
        <w:t>Somatropin</w:t>
      </w:r>
      <w:proofErr w:type="spellEnd"/>
      <w:r>
        <w:t xml:space="preserve"> is a biosynthetic human growth hormone</w:t>
      </w:r>
      <w:r w:rsidR="0094344F">
        <w:t>. It is manufactured</w:t>
      </w:r>
      <w:r w:rsidR="004013CD">
        <w:t xml:space="preserve"> using recombinant DNA technology. </w:t>
      </w:r>
      <w:proofErr w:type="spellStart"/>
      <w:r w:rsidR="004013CD">
        <w:t>Somatropin</w:t>
      </w:r>
      <w:proofErr w:type="spellEnd"/>
      <w:r w:rsidR="004013CD">
        <w:t xml:space="preserve"> </w:t>
      </w:r>
      <w:r w:rsidR="0094344F">
        <w:t xml:space="preserve">performs </w:t>
      </w:r>
      <w:r w:rsidR="00660E0A">
        <w:t>the same functions as</w:t>
      </w:r>
      <w:r w:rsidR="00492C78">
        <w:t xml:space="preserve"> human growth hormone produced in the human body. </w:t>
      </w:r>
      <w:r>
        <w:t xml:space="preserve"> </w:t>
      </w:r>
    </w:p>
    <w:p w14:paraId="789911DD" w14:textId="77777777" w:rsidR="00BA7269" w:rsidRDefault="00BA7269">
      <w:pPr>
        <w:spacing w:line="276" w:lineRule="auto"/>
        <w:rPr>
          <w:b/>
          <w:sz w:val="28"/>
        </w:rPr>
      </w:pPr>
      <w:r>
        <w:br w:type="page"/>
      </w:r>
    </w:p>
    <w:p w14:paraId="1E393897" w14:textId="2BDDD74B" w:rsidR="001420B3" w:rsidRDefault="00A52918" w:rsidP="00A97691">
      <w:pPr>
        <w:pStyle w:val="Heading2"/>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410F84C3" w14:textId="616317A7" w:rsidR="006916C3" w:rsidRDefault="00FB080A" w:rsidP="00A35800">
      <w:proofErr w:type="spellStart"/>
      <w:r>
        <w:t>Somatropin</w:t>
      </w:r>
      <w:proofErr w:type="spellEnd"/>
      <w:r>
        <w:t xml:space="preserve"> is indicated for: </w:t>
      </w:r>
    </w:p>
    <w:p w14:paraId="318F3D28" w14:textId="05A2B834" w:rsidR="00FB080A" w:rsidRDefault="00FB080A" w:rsidP="00FB080A">
      <w:pPr>
        <w:pStyle w:val="ListParagraph"/>
        <w:numPr>
          <w:ilvl w:val="0"/>
          <w:numId w:val="29"/>
        </w:numPr>
      </w:pPr>
      <w:r>
        <w:t xml:space="preserve">Long term treatment of children with growth failure due to inadequate endogenous growth hormone secretion. </w:t>
      </w:r>
    </w:p>
    <w:p w14:paraId="73572B43" w14:textId="0AFCD974" w:rsidR="00FB080A" w:rsidRDefault="00FB080A" w:rsidP="00FB080A">
      <w:pPr>
        <w:pStyle w:val="ListParagraph"/>
        <w:numPr>
          <w:ilvl w:val="0"/>
          <w:numId w:val="29"/>
        </w:numPr>
      </w:pPr>
      <w:r>
        <w:t xml:space="preserve">Adults with severe growth hormone deficiency as diagnosed in the insulin tolerance test for growth hormone deficiency and defined by peak GH concentrations of less than 2.5 </w:t>
      </w:r>
      <w:proofErr w:type="spellStart"/>
      <w:r>
        <w:t>nanogram</w:t>
      </w:r>
      <w:proofErr w:type="spellEnd"/>
      <w:r>
        <w:t>/</w:t>
      </w:r>
      <w:proofErr w:type="spellStart"/>
      <w:r>
        <w:t>mL.</w:t>
      </w:r>
      <w:proofErr w:type="spellEnd"/>
    </w:p>
    <w:p w14:paraId="4B00E346" w14:textId="77225E68" w:rsidR="00FB080A" w:rsidRDefault="00FB080A" w:rsidP="00FB080A">
      <w:pPr>
        <w:pStyle w:val="ListParagraph"/>
        <w:numPr>
          <w:ilvl w:val="0"/>
          <w:numId w:val="29"/>
        </w:numPr>
      </w:pPr>
      <w:r>
        <w:t>Treatment of growth disturbances associated with gonadal dysgenesis (Turner’s syndrome).</w:t>
      </w:r>
    </w:p>
    <w:p w14:paraId="26EE276E" w14:textId="212BE901" w:rsidR="00FB080A" w:rsidRDefault="00FB080A" w:rsidP="00FB080A">
      <w:pPr>
        <w:pStyle w:val="ListParagraph"/>
        <w:numPr>
          <w:ilvl w:val="0"/>
          <w:numId w:val="29"/>
        </w:numPr>
      </w:pPr>
      <w:r>
        <w:t xml:space="preserve">Treatment of </w:t>
      </w:r>
      <w:proofErr w:type="spellStart"/>
      <w:r>
        <w:t>prepubertal</w:t>
      </w:r>
      <w:proofErr w:type="spellEnd"/>
      <w:r>
        <w:t xml:space="preserve"> children with growth failure associated with chronic renal insufficiency up to the time of renal transplantation. </w:t>
      </w:r>
    </w:p>
    <w:p w14:paraId="2C9695B2" w14:textId="0F54A83A" w:rsidR="00FB080A" w:rsidRDefault="00FB080A" w:rsidP="00FB080A">
      <w:pPr>
        <w:pStyle w:val="ListParagraph"/>
        <w:numPr>
          <w:ilvl w:val="0"/>
          <w:numId w:val="29"/>
        </w:numPr>
      </w:pPr>
      <w:r>
        <w:t xml:space="preserve">Improvement of body composition and treatment of short stature associated with </w:t>
      </w:r>
      <w:proofErr w:type="spellStart"/>
      <w:r>
        <w:t>Prader</w:t>
      </w:r>
      <w:proofErr w:type="spellEnd"/>
      <w:r>
        <w:t>-Willi syndrome (PWS) in paediatric patients (</w:t>
      </w:r>
      <w:proofErr w:type="spellStart"/>
      <w:r>
        <w:t>Genotropin</w:t>
      </w:r>
      <w:proofErr w:type="spellEnd"/>
      <w:r>
        <w:t xml:space="preserve">, Pfizer Australia Pty Ltd). </w:t>
      </w:r>
    </w:p>
    <w:p w14:paraId="6D0D4D48" w14:textId="22600DBD" w:rsidR="008272BE" w:rsidRDefault="00FB080A" w:rsidP="008272BE">
      <w:pPr>
        <w:pStyle w:val="ListParagraph"/>
        <w:numPr>
          <w:ilvl w:val="0"/>
          <w:numId w:val="29"/>
        </w:numPr>
      </w:pPr>
      <w:r>
        <w:t>Growth failure in children born small of gestational age (SGA) who fail to demonstrate catch-up growth by age two to four years (</w:t>
      </w:r>
      <w:proofErr w:type="spellStart"/>
      <w:r>
        <w:t>Humatrope</w:t>
      </w:r>
      <w:proofErr w:type="spellEnd"/>
      <w:r>
        <w:t xml:space="preserve">, Eli Lilly Australia Pty Ltd). </w:t>
      </w:r>
    </w:p>
    <w:p w14:paraId="15E919C1" w14:textId="1B3BA560" w:rsidR="006B709B" w:rsidRDefault="006B709B" w:rsidP="00CF5E22">
      <w:pPr>
        <w:pStyle w:val="Heading2"/>
      </w:pPr>
      <w:r>
        <w:t>Dosage and administration</w:t>
      </w:r>
    </w:p>
    <w:p w14:paraId="42C2B632" w14:textId="0CDBD886" w:rsidR="00FF52FE" w:rsidRDefault="00FF52FE" w:rsidP="00A35800">
      <w:r w:rsidRPr="00FF52FE">
        <w:t xml:space="preserve">The recommended dosage of </w:t>
      </w:r>
      <w:proofErr w:type="spellStart"/>
      <w:r w:rsidRPr="00FF52FE">
        <w:t>somatropin</w:t>
      </w:r>
      <w:proofErr w:type="spellEnd"/>
      <w:r w:rsidRPr="00FF52FE">
        <w:t xml:space="preserve"> is</w:t>
      </w:r>
      <w:r w:rsidR="00E37A84">
        <w:t xml:space="preserve"> individualised and is </w:t>
      </w:r>
      <w:r w:rsidRPr="00FF52FE">
        <w:t>dependent on the patient’s weight</w:t>
      </w:r>
      <w:r w:rsidR="00E8245D">
        <w:t xml:space="preserve"> </w:t>
      </w:r>
      <w:r w:rsidR="00E37A84">
        <w:t xml:space="preserve">or body surface area </w:t>
      </w:r>
      <w:r w:rsidR="00E8245D">
        <w:t>and adjusted in accorda</w:t>
      </w:r>
      <w:r w:rsidR="00F06602">
        <w:t>nce with therapy response</w:t>
      </w:r>
      <w:r w:rsidRPr="00FF52FE">
        <w:t xml:space="preserve">. </w:t>
      </w:r>
      <w:proofErr w:type="spellStart"/>
      <w:r>
        <w:t>So</w:t>
      </w:r>
      <w:r w:rsidR="008161CB">
        <w:t>matropin</w:t>
      </w:r>
      <w:proofErr w:type="spellEnd"/>
      <w:r w:rsidR="008161CB">
        <w:t xml:space="preserve"> is administered</w:t>
      </w:r>
      <w:r w:rsidR="00E37A84">
        <w:t xml:space="preserve"> by a subcutaneous injection. </w:t>
      </w:r>
      <w:r w:rsidR="008161CB">
        <w:t xml:space="preserve"> </w:t>
      </w:r>
      <w:r w:rsidR="00E37A84">
        <w:t xml:space="preserve">The injection site should be rotated to minimise the risk of lipoatrophy. It is administered daily, preferably in the evening, </w:t>
      </w:r>
      <w:r w:rsidR="001B28D4">
        <w:t xml:space="preserve">to mimic the body’s natural pattern of hormone </w:t>
      </w:r>
      <w:r w:rsidR="001B28D4" w:rsidRPr="001B28D4">
        <w:t>secretion.</w:t>
      </w:r>
      <w:r w:rsidR="001B28D4" w:rsidRPr="001B28D4">
        <w:rPr>
          <w:rStyle w:val="FootnoteReference"/>
        </w:rPr>
        <w:t xml:space="preserve"> </w:t>
      </w:r>
      <w:r w:rsidR="001B28D4" w:rsidRPr="001B28D4">
        <w:rPr>
          <w:rStyle w:val="FootnoteReference"/>
        </w:rPr>
        <w:footnoteReference w:id="10"/>
      </w:r>
      <w:r w:rsidR="001B28D4" w:rsidRPr="001B28D4">
        <w:t xml:space="preserve"> Weekly</w:t>
      </w:r>
      <w:r w:rsidR="001B28D4">
        <w:t xml:space="preserve"> </w:t>
      </w:r>
      <w:r w:rsidR="00E37A84">
        <w:t xml:space="preserve">doses </w:t>
      </w:r>
      <w:r w:rsidR="001B28D4">
        <w:t xml:space="preserve">are </w:t>
      </w:r>
      <w:r w:rsidR="00E37A84">
        <w:t>divided into administration</w:t>
      </w:r>
      <w:r w:rsidR="00D55A11">
        <w:t xml:space="preserve"> </w:t>
      </w:r>
      <w:r w:rsidR="00E37A84">
        <w:t xml:space="preserve">6-7 days per week. </w:t>
      </w:r>
    </w:p>
    <w:p w14:paraId="1B1CE5BD" w14:textId="022A597E" w:rsidR="00CE26BB" w:rsidRDefault="00CE26BB" w:rsidP="00A35800">
      <w:r>
        <w:t xml:space="preserve">The prescriber is required to calculate each patient’s weekly dose and the number of cartridges required for the treatment phase based on the product information for information on indication, usage, dosage and administration. A </w:t>
      </w:r>
      <w:hyperlink r:id="rId8" w:history="1">
        <w:r w:rsidRPr="009E3FCE">
          <w:rPr>
            <w:rStyle w:val="Hyperlink"/>
          </w:rPr>
          <w:t>Paediatric Dose and Cartridge Quantity Calculator</w:t>
        </w:r>
      </w:hyperlink>
      <w:r>
        <w:t xml:space="preserve"> is recommended for use.  </w:t>
      </w:r>
    </w:p>
    <w:p w14:paraId="3B059003" w14:textId="77777777" w:rsidR="00FD31EB" w:rsidRDefault="00FD31EB">
      <w:pPr>
        <w:spacing w:line="276" w:lineRule="auto"/>
        <w:rPr>
          <w:b/>
        </w:rPr>
      </w:pPr>
      <w:r>
        <w:br w:type="page"/>
      </w:r>
    </w:p>
    <w:p w14:paraId="08559CD9" w14:textId="01DA9EAA" w:rsidR="00A35800" w:rsidRPr="00175018" w:rsidRDefault="00175018" w:rsidP="00175018">
      <w:pPr>
        <w:pStyle w:val="Tabletitle"/>
      </w:pPr>
      <w:r>
        <w:lastRenderedPageBreak/>
        <w:t>Table 1</w:t>
      </w:r>
      <w:r w:rsidR="003370D0" w:rsidRPr="00175018">
        <w:t xml:space="preserve">: </w:t>
      </w:r>
      <w:r>
        <w:t xml:space="preserve">Dosage and administration of </w:t>
      </w:r>
      <w:proofErr w:type="spellStart"/>
      <w:r>
        <w:t>somatropin</w:t>
      </w:r>
      <w:proofErr w:type="spellEnd"/>
      <w:r>
        <w:t xml:space="preserve"> according to indication</w:t>
      </w:r>
      <w:r w:rsidR="00D23863">
        <w:t xml:space="preserve"> and brand</w:t>
      </w:r>
    </w:p>
    <w:tbl>
      <w:tblPr>
        <w:tblStyle w:val="TableGrid"/>
        <w:tblW w:w="0" w:type="auto"/>
        <w:tblLook w:val="04A0" w:firstRow="1" w:lastRow="0" w:firstColumn="1" w:lastColumn="0" w:noHBand="0" w:noVBand="1"/>
        <w:tblCaption w:val="Table 1: Dosage and administration of somatropin according to indication and brand"/>
      </w:tblPr>
      <w:tblGrid>
        <w:gridCol w:w="1553"/>
        <w:gridCol w:w="1243"/>
        <w:gridCol w:w="1280"/>
        <w:gridCol w:w="1243"/>
        <w:gridCol w:w="1142"/>
        <w:gridCol w:w="1243"/>
        <w:gridCol w:w="1243"/>
      </w:tblGrid>
      <w:tr w:rsidR="00AE1051" w:rsidRPr="00AE1051" w14:paraId="56C08172" w14:textId="77777777" w:rsidTr="00EB091B">
        <w:trPr>
          <w:tblHeader/>
        </w:trPr>
        <w:tc>
          <w:tcPr>
            <w:tcW w:w="1553" w:type="dxa"/>
            <w:shd w:val="clear" w:color="auto" w:fill="BFBFBF" w:themeFill="background1" w:themeFillShade="BF"/>
          </w:tcPr>
          <w:p w14:paraId="5362CCCA" w14:textId="77777777" w:rsidR="00AE1051" w:rsidRPr="00AE1051" w:rsidRDefault="00AE1051" w:rsidP="00F17D4B">
            <w:pPr>
              <w:rPr>
                <w:b/>
                <w:sz w:val="20"/>
                <w:szCs w:val="20"/>
              </w:rPr>
            </w:pPr>
          </w:p>
        </w:tc>
        <w:tc>
          <w:tcPr>
            <w:tcW w:w="6151" w:type="dxa"/>
            <w:gridSpan w:val="5"/>
            <w:shd w:val="clear" w:color="auto" w:fill="BFBFBF" w:themeFill="background1" w:themeFillShade="BF"/>
          </w:tcPr>
          <w:p w14:paraId="72A62E57" w14:textId="0C130CA3" w:rsidR="00AE1051" w:rsidRPr="00AE1051" w:rsidRDefault="00AE1051" w:rsidP="00F17D4B">
            <w:pPr>
              <w:rPr>
                <w:b/>
                <w:sz w:val="20"/>
                <w:szCs w:val="20"/>
              </w:rPr>
            </w:pPr>
            <w:r>
              <w:rPr>
                <w:b/>
                <w:sz w:val="20"/>
                <w:szCs w:val="20"/>
              </w:rPr>
              <w:t xml:space="preserve">Paediatric </w:t>
            </w:r>
            <w:r w:rsidR="00175018">
              <w:rPr>
                <w:b/>
                <w:sz w:val="20"/>
                <w:szCs w:val="20"/>
              </w:rPr>
              <w:t xml:space="preserve">indications </w:t>
            </w:r>
          </w:p>
        </w:tc>
        <w:tc>
          <w:tcPr>
            <w:tcW w:w="1243" w:type="dxa"/>
            <w:shd w:val="clear" w:color="auto" w:fill="BFBFBF" w:themeFill="background1" w:themeFillShade="BF"/>
          </w:tcPr>
          <w:p w14:paraId="6C4CBB76" w14:textId="324BC8CB" w:rsidR="00AE1051" w:rsidRPr="00AE1051" w:rsidRDefault="001B28D4" w:rsidP="00F17D4B">
            <w:pPr>
              <w:rPr>
                <w:b/>
                <w:sz w:val="20"/>
                <w:szCs w:val="20"/>
              </w:rPr>
            </w:pPr>
            <w:r>
              <w:rPr>
                <w:b/>
                <w:sz w:val="20"/>
                <w:szCs w:val="20"/>
              </w:rPr>
              <w:t xml:space="preserve">Adult </w:t>
            </w:r>
            <w:r w:rsidR="00175018">
              <w:rPr>
                <w:b/>
                <w:sz w:val="20"/>
                <w:szCs w:val="20"/>
              </w:rPr>
              <w:t>indication</w:t>
            </w:r>
          </w:p>
        </w:tc>
      </w:tr>
      <w:tr w:rsidR="00F0453C" w:rsidRPr="00AE1051" w14:paraId="33E32B0D" w14:textId="345156F1" w:rsidTr="00EB091B">
        <w:trPr>
          <w:tblHeader/>
        </w:trPr>
        <w:tc>
          <w:tcPr>
            <w:tcW w:w="1553" w:type="dxa"/>
            <w:shd w:val="clear" w:color="auto" w:fill="BFBFBF" w:themeFill="background1" w:themeFillShade="BF"/>
          </w:tcPr>
          <w:p w14:paraId="28D22304" w14:textId="77777777" w:rsidR="00AE1051" w:rsidRPr="00AE1051" w:rsidRDefault="00AE1051" w:rsidP="00F17D4B">
            <w:pPr>
              <w:rPr>
                <w:b/>
                <w:sz w:val="20"/>
                <w:szCs w:val="20"/>
              </w:rPr>
            </w:pPr>
          </w:p>
        </w:tc>
        <w:tc>
          <w:tcPr>
            <w:tcW w:w="1136" w:type="dxa"/>
            <w:shd w:val="clear" w:color="auto" w:fill="BFBFBF" w:themeFill="background1" w:themeFillShade="BF"/>
          </w:tcPr>
          <w:p w14:paraId="20962041" w14:textId="02A9BDC3" w:rsidR="00AE1051" w:rsidRPr="00AE1051" w:rsidRDefault="00AE1051" w:rsidP="00F17D4B">
            <w:pPr>
              <w:rPr>
                <w:b/>
                <w:sz w:val="20"/>
                <w:szCs w:val="20"/>
              </w:rPr>
            </w:pPr>
            <w:r>
              <w:rPr>
                <w:b/>
                <w:sz w:val="20"/>
                <w:szCs w:val="20"/>
              </w:rPr>
              <w:t>G</w:t>
            </w:r>
            <w:r w:rsidRPr="00AE1051">
              <w:rPr>
                <w:b/>
                <w:sz w:val="20"/>
                <w:szCs w:val="20"/>
              </w:rPr>
              <w:t xml:space="preserve">rowth hormone deficiency </w:t>
            </w:r>
          </w:p>
        </w:tc>
        <w:tc>
          <w:tcPr>
            <w:tcW w:w="1387" w:type="dxa"/>
            <w:shd w:val="clear" w:color="auto" w:fill="BFBFBF" w:themeFill="background1" w:themeFillShade="BF"/>
          </w:tcPr>
          <w:p w14:paraId="3A602240" w14:textId="7BCD58DE" w:rsidR="00AE1051" w:rsidRPr="00AE1051" w:rsidRDefault="00AE1051" w:rsidP="00F17D4B">
            <w:pPr>
              <w:rPr>
                <w:b/>
                <w:sz w:val="20"/>
                <w:szCs w:val="20"/>
              </w:rPr>
            </w:pPr>
            <w:r w:rsidRPr="00AE1051">
              <w:rPr>
                <w:b/>
                <w:sz w:val="20"/>
                <w:szCs w:val="20"/>
              </w:rPr>
              <w:t xml:space="preserve">Turner syndrome </w:t>
            </w:r>
          </w:p>
        </w:tc>
        <w:tc>
          <w:tcPr>
            <w:tcW w:w="1243" w:type="dxa"/>
            <w:shd w:val="clear" w:color="auto" w:fill="BFBFBF" w:themeFill="background1" w:themeFillShade="BF"/>
          </w:tcPr>
          <w:p w14:paraId="150EB36A" w14:textId="42870351" w:rsidR="00AE1051" w:rsidRPr="00AE1051" w:rsidRDefault="00AE1051" w:rsidP="00F17D4B">
            <w:pPr>
              <w:rPr>
                <w:b/>
                <w:sz w:val="20"/>
                <w:szCs w:val="20"/>
              </w:rPr>
            </w:pPr>
            <w:r w:rsidRPr="00AE1051">
              <w:rPr>
                <w:b/>
                <w:sz w:val="20"/>
                <w:szCs w:val="20"/>
              </w:rPr>
              <w:t xml:space="preserve">Chronic renal disease </w:t>
            </w:r>
          </w:p>
        </w:tc>
        <w:tc>
          <w:tcPr>
            <w:tcW w:w="1142" w:type="dxa"/>
            <w:shd w:val="clear" w:color="auto" w:fill="BFBFBF" w:themeFill="background1" w:themeFillShade="BF"/>
          </w:tcPr>
          <w:p w14:paraId="7005ABE4" w14:textId="19BFF8E5" w:rsidR="00AE1051" w:rsidRPr="00AE1051" w:rsidRDefault="00AE1051" w:rsidP="00F17D4B">
            <w:pPr>
              <w:rPr>
                <w:b/>
                <w:sz w:val="20"/>
                <w:szCs w:val="20"/>
              </w:rPr>
            </w:pPr>
            <w:r w:rsidRPr="00AE1051">
              <w:rPr>
                <w:b/>
                <w:sz w:val="20"/>
                <w:szCs w:val="20"/>
              </w:rPr>
              <w:t xml:space="preserve">Small gestational disease </w:t>
            </w:r>
          </w:p>
        </w:tc>
        <w:tc>
          <w:tcPr>
            <w:tcW w:w="1243" w:type="dxa"/>
            <w:shd w:val="clear" w:color="auto" w:fill="BFBFBF" w:themeFill="background1" w:themeFillShade="BF"/>
          </w:tcPr>
          <w:p w14:paraId="24A0477C" w14:textId="74B97A5E" w:rsidR="00AE1051" w:rsidRPr="00AE1051" w:rsidRDefault="00AE1051" w:rsidP="00F17D4B">
            <w:pPr>
              <w:rPr>
                <w:b/>
                <w:sz w:val="20"/>
                <w:szCs w:val="20"/>
              </w:rPr>
            </w:pPr>
            <w:proofErr w:type="spellStart"/>
            <w:r w:rsidRPr="00AE1051">
              <w:rPr>
                <w:b/>
                <w:sz w:val="20"/>
                <w:szCs w:val="20"/>
              </w:rPr>
              <w:t>Prader</w:t>
            </w:r>
            <w:proofErr w:type="spellEnd"/>
            <w:r w:rsidRPr="00AE1051">
              <w:rPr>
                <w:b/>
                <w:sz w:val="20"/>
                <w:szCs w:val="20"/>
              </w:rPr>
              <w:t xml:space="preserve"> Willi Syndrome</w:t>
            </w:r>
          </w:p>
        </w:tc>
        <w:tc>
          <w:tcPr>
            <w:tcW w:w="1243" w:type="dxa"/>
            <w:shd w:val="clear" w:color="auto" w:fill="BFBFBF" w:themeFill="background1" w:themeFillShade="BF"/>
          </w:tcPr>
          <w:p w14:paraId="2F8131CB" w14:textId="3EBB409A" w:rsidR="00AE1051" w:rsidRPr="00AE1051" w:rsidRDefault="00AE1051" w:rsidP="00F17D4B">
            <w:pPr>
              <w:rPr>
                <w:b/>
                <w:sz w:val="20"/>
                <w:szCs w:val="20"/>
              </w:rPr>
            </w:pPr>
            <w:r>
              <w:rPr>
                <w:b/>
                <w:sz w:val="20"/>
                <w:szCs w:val="20"/>
              </w:rPr>
              <w:t>G</w:t>
            </w:r>
            <w:r w:rsidRPr="00AE1051">
              <w:rPr>
                <w:b/>
                <w:sz w:val="20"/>
                <w:szCs w:val="20"/>
              </w:rPr>
              <w:t xml:space="preserve">rowth hormone deficiency </w:t>
            </w:r>
          </w:p>
        </w:tc>
      </w:tr>
      <w:tr w:rsidR="00AE1051" w:rsidRPr="00AE1051" w14:paraId="2417EA8F" w14:textId="77777777" w:rsidTr="007D64A9">
        <w:tc>
          <w:tcPr>
            <w:tcW w:w="1553" w:type="dxa"/>
          </w:tcPr>
          <w:p w14:paraId="219F0E53" w14:textId="329ADA83" w:rsidR="00AE1051" w:rsidRDefault="00AE1051" w:rsidP="00F17D4B">
            <w:pPr>
              <w:rPr>
                <w:sz w:val="20"/>
                <w:szCs w:val="20"/>
              </w:rPr>
            </w:pPr>
            <w:proofErr w:type="spellStart"/>
            <w:r>
              <w:rPr>
                <w:sz w:val="20"/>
                <w:szCs w:val="20"/>
              </w:rPr>
              <w:t>Genotropin</w:t>
            </w:r>
            <w:proofErr w:type="spellEnd"/>
            <w:r w:rsidR="00175018">
              <w:rPr>
                <w:rStyle w:val="FootnoteReference"/>
                <w:sz w:val="20"/>
                <w:szCs w:val="20"/>
              </w:rPr>
              <w:footnoteReference w:id="11"/>
            </w:r>
            <w:r w:rsidR="00175018">
              <w:rPr>
                <w:sz w:val="20"/>
                <w:szCs w:val="20"/>
              </w:rPr>
              <w:t xml:space="preserve">  </w:t>
            </w:r>
          </w:p>
          <w:p w14:paraId="0B611BEC" w14:textId="6EBBB850" w:rsidR="00AE1051" w:rsidRDefault="00AE1051" w:rsidP="00175018">
            <w:pPr>
              <w:rPr>
                <w:sz w:val="20"/>
                <w:szCs w:val="20"/>
              </w:rPr>
            </w:pPr>
            <w:r>
              <w:rPr>
                <w:sz w:val="20"/>
                <w:szCs w:val="20"/>
              </w:rPr>
              <w:t xml:space="preserve">Pfizer Australia Pty Ltd </w:t>
            </w:r>
          </w:p>
        </w:tc>
        <w:tc>
          <w:tcPr>
            <w:tcW w:w="1136" w:type="dxa"/>
          </w:tcPr>
          <w:p w14:paraId="2778EE4C" w14:textId="488DD027" w:rsidR="00AE1051" w:rsidRDefault="00AE1051" w:rsidP="00F17D4B">
            <w:pPr>
              <w:rPr>
                <w:sz w:val="20"/>
                <w:szCs w:val="20"/>
              </w:rPr>
            </w:pPr>
            <w:r>
              <w:rPr>
                <w:sz w:val="20"/>
                <w:szCs w:val="20"/>
              </w:rPr>
              <w:t xml:space="preserve">0.175 mg to 0.245 mg/kg/week </w:t>
            </w:r>
          </w:p>
        </w:tc>
        <w:tc>
          <w:tcPr>
            <w:tcW w:w="1387" w:type="dxa"/>
          </w:tcPr>
          <w:p w14:paraId="655AB0F9" w14:textId="7D937D07" w:rsidR="00AE1051" w:rsidRDefault="00AE1051" w:rsidP="00F17D4B">
            <w:pPr>
              <w:rPr>
                <w:sz w:val="20"/>
                <w:szCs w:val="20"/>
              </w:rPr>
            </w:pPr>
            <w:r>
              <w:rPr>
                <w:sz w:val="20"/>
                <w:szCs w:val="20"/>
              </w:rPr>
              <w:t xml:space="preserve">0.3 mg to 0.35 mg/kg/week </w:t>
            </w:r>
          </w:p>
        </w:tc>
        <w:tc>
          <w:tcPr>
            <w:tcW w:w="1243" w:type="dxa"/>
          </w:tcPr>
          <w:p w14:paraId="634438B7" w14:textId="759E9667" w:rsidR="00AE1051" w:rsidRDefault="00AE1051" w:rsidP="00F17D4B">
            <w:pPr>
              <w:rPr>
                <w:sz w:val="20"/>
                <w:szCs w:val="20"/>
              </w:rPr>
            </w:pPr>
            <w:r>
              <w:rPr>
                <w:sz w:val="20"/>
                <w:szCs w:val="20"/>
              </w:rPr>
              <w:t xml:space="preserve">0.3 mg to 0.35 mg/kg/week </w:t>
            </w:r>
          </w:p>
        </w:tc>
        <w:tc>
          <w:tcPr>
            <w:tcW w:w="1142" w:type="dxa"/>
          </w:tcPr>
          <w:p w14:paraId="4B40B2C6" w14:textId="4B6ED8DB" w:rsidR="00AE1051" w:rsidRDefault="00AE1051" w:rsidP="00F17D4B">
            <w:pPr>
              <w:rPr>
                <w:sz w:val="20"/>
                <w:szCs w:val="20"/>
              </w:rPr>
            </w:pPr>
          </w:p>
        </w:tc>
        <w:tc>
          <w:tcPr>
            <w:tcW w:w="1243" w:type="dxa"/>
          </w:tcPr>
          <w:p w14:paraId="0C173E29" w14:textId="3AF727AA" w:rsidR="00AE1051" w:rsidRPr="00AE1051" w:rsidRDefault="00AE1051" w:rsidP="00F17D4B">
            <w:pPr>
              <w:rPr>
                <w:sz w:val="20"/>
                <w:szCs w:val="20"/>
              </w:rPr>
            </w:pPr>
            <w:r>
              <w:rPr>
                <w:sz w:val="20"/>
                <w:szCs w:val="20"/>
              </w:rPr>
              <w:t>0.245 mg to 0.35 mg/kg/week</w:t>
            </w:r>
          </w:p>
        </w:tc>
        <w:tc>
          <w:tcPr>
            <w:tcW w:w="1243" w:type="dxa"/>
          </w:tcPr>
          <w:p w14:paraId="72B85168" w14:textId="2C570BB0" w:rsidR="00AE1051" w:rsidRDefault="00BD0B2F" w:rsidP="00F17D4B">
            <w:pPr>
              <w:rPr>
                <w:sz w:val="20"/>
                <w:szCs w:val="20"/>
              </w:rPr>
            </w:pPr>
            <w:r>
              <w:rPr>
                <w:sz w:val="20"/>
                <w:szCs w:val="20"/>
              </w:rPr>
              <w:t>0.04 mg to 0.08 mg/kg/week</w:t>
            </w:r>
          </w:p>
        </w:tc>
      </w:tr>
      <w:tr w:rsidR="00F0453C" w:rsidRPr="00AE1051" w14:paraId="78D13B40" w14:textId="0A601536" w:rsidTr="007D64A9">
        <w:tc>
          <w:tcPr>
            <w:tcW w:w="1553" w:type="dxa"/>
          </w:tcPr>
          <w:p w14:paraId="5739CA94" w14:textId="6E670632" w:rsidR="00AE1051" w:rsidRDefault="00AE1051" w:rsidP="00F17D4B">
            <w:pPr>
              <w:rPr>
                <w:sz w:val="20"/>
                <w:szCs w:val="20"/>
              </w:rPr>
            </w:pPr>
            <w:proofErr w:type="spellStart"/>
            <w:r>
              <w:rPr>
                <w:sz w:val="20"/>
                <w:szCs w:val="20"/>
              </w:rPr>
              <w:t>Humatrope</w:t>
            </w:r>
            <w:proofErr w:type="spellEnd"/>
            <w:r w:rsidR="00175018">
              <w:rPr>
                <w:rStyle w:val="FootnoteReference"/>
                <w:sz w:val="20"/>
                <w:szCs w:val="20"/>
              </w:rPr>
              <w:footnoteReference w:id="12"/>
            </w:r>
          </w:p>
          <w:p w14:paraId="2CF764BF" w14:textId="7B070986" w:rsidR="00AE1051" w:rsidRPr="00AE1051" w:rsidRDefault="00AE1051" w:rsidP="00F17D4B">
            <w:pPr>
              <w:rPr>
                <w:sz w:val="20"/>
                <w:szCs w:val="20"/>
              </w:rPr>
            </w:pPr>
            <w:r>
              <w:rPr>
                <w:sz w:val="20"/>
                <w:szCs w:val="20"/>
              </w:rPr>
              <w:t xml:space="preserve">Eli Lilly Australia Pty Ltd  </w:t>
            </w:r>
          </w:p>
        </w:tc>
        <w:tc>
          <w:tcPr>
            <w:tcW w:w="1136" w:type="dxa"/>
          </w:tcPr>
          <w:p w14:paraId="29E0B0C1" w14:textId="585E5623" w:rsidR="00AE1051" w:rsidRPr="00AE1051" w:rsidRDefault="00AE1051" w:rsidP="00F17D4B">
            <w:pPr>
              <w:rPr>
                <w:sz w:val="20"/>
                <w:szCs w:val="20"/>
              </w:rPr>
            </w:pPr>
            <w:r>
              <w:rPr>
                <w:sz w:val="20"/>
                <w:szCs w:val="20"/>
              </w:rPr>
              <w:t xml:space="preserve">0.177 mg to 0.255 mg/kg/week </w:t>
            </w:r>
          </w:p>
        </w:tc>
        <w:tc>
          <w:tcPr>
            <w:tcW w:w="1387" w:type="dxa"/>
          </w:tcPr>
          <w:p w14:paraId="2BE9ACE3" w14:textId="64298ABD" w:rsidR="00AE1051" w:rsidRPr="00AE1051" w:rsidRDefault="00AE1051" w:rsidP="00F17D4B">
            <w:pPr>
              <w:rPr>
                <w:sz w:val="20"/>
                <w:szCs w:val="20"/>
              </w:rPr>
            </w:pPr>
            <w:r>
              <w:rPr>
                <w:sz w:val="20"/>
                <w:szCs w:val="20"/>
              </w:rPr>
              <w:t xml:space="preserve">0.024 mg to 0.054 mg/kg/day </w:t>
            </w:r>
          </w:p>
        </w:tc>
        <w:tc>
          <w:tcPr>
            <w:tcW w:w="1243" w:type="dxa"/>
          </w:tcPr>
          <w:p w14:paraId="3E9A52F6" w14:textId="108B3571" w:rsidR="00AE1051" w:rsidRPr="00AE1051" w:rsidRDefault="00AE1051" w:rsidP="00F17D4B">
            <w:pPr>
              <w:rPr>
                <w:sz w:val="20"/>
                <w:szCs w:val="20"/>
              </w:rPr>
            </w:pPr>
            <w:r>
              <w:rPr>
                <w:sz w:val="20"/>
                <w:szCs w:val="20"/>
              </w:rPr>
              <w:t xml:space="preserve">0.045 mg to 0.05 mg/kg/day </w:t>
            </w:r>
          </w:p>
        </w:tc>
        <w:tc>
          <w:tcPr>
            <w:tcW w:w="1142" w:type="dxa"/>
          </w:tcPr>
          <w:p w14:paraId="416D80AF" w14:textId="62550E42" w:rsidR="00AE1051" w:rsidRPr="00AE1051" w:rsidRDefault="00AE1051" w:rsidP="00F17D4B">
            <w:pPr>
              <w:rPr>
                <w:sz w:val="20"/>
                <w:szCs w:val="20"/>
              </w:rPr>
            </w:pPr>
            <w:r>
              <w:rPr>
                <w:sz w:val="20"/>
                <w:szCs w:val="20"/>
              </w:rPr>
              <w:t xml:space="preserve">0.033 mg to 0.067 mg/kg/day </w:t>
            </w:r>
          </w:p>
        </w:tc>
        <w:tc>
          <w:tcPr>
            <w:tcW w:w="1243" w:type="dxa"/>
          </w:tcPr>
          <w:p w14:paraId="20EE80D5" w14:textId="331105FD" w:rsidR="00AE1051" w:rsidRPr="00AE1051" w:rsidRDefault="00AE1051" w:rsidP="00F17D4B">
            <w:pPr>
              <w:rPr>
                <w:sz w:val="20"/>
                <w:szCs w:val="20"/>
              </w:rPr>
            </w:pPr>
          </w:p>
        </w:tc>
        <w:tc>
          <w:tcPr>
            <w:tcW w:w="1243" w:type="dxa"/>
          </w:tcPr>
          <w:p w14:paraId="231A71A4" w14:textId="693ABA99" w:rsidR="00AE1051" w:rsidRPr="00AE1051" w:rsidRDefault="00AE1051" w:rsidP="00F17D4B">
            <w:pPr>
              <w:rPr>
                <w:sz w:val="20"/>
                <w:szCs w:val="20"/>
              </w:rPr>
            </w:pPr>
            <w:r>
              <w:rPr>
                <w:sz w:val="20"/>
                <w:szCs w:val="20"/>
              </w:rPr>
              <w:t xml:space="preserve">0.2 mg/day </w:t>
            </w:r>
          </w:p>
        </w:tc>
      </w:tr>
      <w:tr w:rsidR="00F0453C" w:rsidRPr="00AE1051" w14:paraId="34BE4EE0" w14:textId="48865CD2" w:rsidTr="007D64A9">
        <w:tc>
          <w:tcPr>
            <w:tcW w:w="1553" w:type="dxa"/>
          </w:tcPr>
          <w:p w14:paraId="0C915F60" w14:textId="3D7474C3" w:rsidR="00AE1051" w:rsidRDefault="00AE1051" w:rsidP="00F17D4B">
            <w:pPr>
              <w:rPr>
                <w:sz w:val="20"/>
                <w:szCs w:val="20"/>
              </w:rPr>
            </w:pPr>
            <w:proofErr w:type="spellStart"/>
            <w:r>
              <w:rPr>
                <w:sz w:val="20"/>
                <w:szCs w:val="20"/>
              </w:rPr>
              <w:t>Norditropin</w:t>
            </w:r>
            <w:proofErr w:type="spellEnd"/>
            <w:r w:rsidR="00175018">
              <w:rPr>
                <w:rStyle w:val="FootnoteReference"/>
                <w:sz w:val="20"/>
                <w:szCs w:val="20"/>
              </w:rPr>
              <w:footnoteReference w:id="13"/>
            </w:r>
            <w:r>
              <w:rPr>
                <w:sz w:val="20"/>
                <w:szCs w:val="20"/>
              </w:rPr>
              <w:t xml:space="preserve"> </w:t>
            </w:r>
          </w:p>
          <w:p w14:paraId="0DDAF838" w14:textId="237B50C6" w:rsidR="00AE1051" w:rsidRPr="00AE1051" w:rsidRDefault="00F0453C" w:rsidP="00F17D4B">
            <w:pPr>
              <w:rPr>
                <w:sz w:val="20"/>
                <w:szCs w:val="20"/>
              </w:rPr>
            </w:pPr>
            <w:r>
              <w:rPr>
                <w:sz w:val="20"/>
                <w:szCs w:val="20"/>
              </w:rPr>
              <w:t xml:space="preserve">Novo Nordisk Pharmaceuticals Pty Ltd </w:t>
            </w:r>
          </w:p>
        </w:tc>
        <w:tc>
          <w:tcPr>
            <w:tcW w:w="1136" w:type="dxa"/>
          </w:tcPr>
          <w:p w14:paraId="1F6A1B66" w14:textId="77777777" w:rsidR="00AE1051" w:rsidRDefault="00AE1051" w:rsidP="00F17D4B">
            <w:pPr>
              <w:rPr>
                <w:sz w:val="20"/>
                <w:szCs w:val="20"/>
              </w:rPr>
            </w:pPr>
            <w:r>
              <w:rPr>
                <w:sz w:val="20"/>
                <w:szCs w:val="20"/>
              </w:rPr>
              <w:t xml:space="preserve">0.025 mg to 0.035 mg/kg/day </w:t>
            </w:r>
          </w:p>
          <w:p w14:paraId="2041DABC" w14:textId="739A52CF" w:rsidR="00C14AF4" w:rsidRDefault="00C14AF4" w:rsidP="00F17D4B">
            <w:pPr>
              <w:rPr>
                <w:sz w:val="20"/>
                <w:szCs w:val="20"/>
              </w:rPr>
            </w:pPr>
            <w:r>
              <w:rPr>
                <w:sz w:val="20"/>
                <w:szCs w:val="20"/>
              </w:rPr>
              <w:t>OR</w:t>
            </w:r>
          </w:p>
          <w:p w14:paraId="24713A76" w14:textId="0DB55583" w:rsidR="00C14AF4" w:rsidRPr="00C14AF4" w:rsidRDefault="00C14AF4" w:rsidP="00F17D4B">
            <w:pPr>
              <w:rPr>
                <w:sz w:val="20"/>
                <w:szCs w:val="20"/>
              </w:rPr>
            </w:pPr>
            <w:r>
              <w:rPr>
                <w:sz w:val="20"/>
                <w:szCs w:val="20"/>
              </w:rPr>
              <w:t>0.7 mg to 1.0 mg/m</w:t>
            </w:r>
            <w:r>
              <w:rPr>
                <w:sz w:val="20"/>
                <w:szCs w:val="20"/>
                <w:vertAlign w:val="superscript"/>
              </w:rPr>
              <w:t>2</w:t>
            </w:r>
            <w:r>
              <w:rPr>
                <w:sz w:val="20"/>
                <w:szCs w:val="20"/>
              </w:rPr>
              <w:t xml:space="preserve">/day </w:t>
            </w:r>
          </w:p>
        </w:tc>
        <w:tc>
          <w:tcPr>
            <w:tcW w:w="1387" w:type="dxa"/>
          </w:tcPr>
          <w:p w14:paraId="1E317320" w14:textId="77777777" w:rsidR="00AE1051" w:rsidRDefault="00F0453C" w:rsidP="00F17D4B">
            <w:pPr>
              <w:rPr>
                <w:sz w:val="20"/>
                <w:szCs w:val="20"/>
              </w:rPr>
            </w:pPr>
            <w:r>
              <w:rPr>
                <w:sz w:val="20"/>
                <w:szCs w:val="20"/>
              </w:rPr>
              <w:t xml:space="preserve">0.05 mg/kg/day </w:t>
            </w:r>
          </w:p>
          <w:p w14:paraId="5144A535" w14:textId="77777777" w:rsidR="00C14AF4" w:rsidRDefault="00C14AF4" w:rsidP="00F17D4B">
            <w:pPr>
              <w:rPr>
                <w:sz w:val="20"/>
                <w:szCs w:val="20"/>
              </w:rPr>
            </w:pPr>
            <w:r>
              <w:rPr>
                <w:sz w:val="20"/>
                <w:szCs w:val="20"/>
              </w:rPr>
              <w:t>OR</w:t>
            </w:r>
          </w:p>
          <w:p w14:paraId="26DC8A99" w14:textId="3FE9356E" w:rsidR="00C14AF4" w:rsidRPr="00C14AF4" w:rsidRDefault="00C14AF4" w:rsidP="00F17D4B">
            <w:pPr>
              <w:rPr>
                <w:sz w:val="20"/>
                <w:szCs w:val="20"/>
              </w:rPr>
            </w:pPr>
            <w:r>
              <w:rPr>
                <w:sz w:val="20"/>
                <w:szCs w:val="20"/>
              </w:rPr>
              <w:t>1.4 mg/m</w:t>
            </w:r>
            <w:r>
              <w:rPr>
                <w:sz w:val="20"/>
                <w:szCs w:val="20"/>
                <w:vertAlign w:val="superscript"/>
              </w:rPr>
              <w:t>2</w:t>
            </w:r>
            <w:r>
              <w:rPr>
                <w:sz w:val="20"/>
                <w:szCs w:val="20"/>
              </w:rPr>
              <w:t>/day</w:t>
            </w:r>
          </w:p>
        </w:tc>
        <w:tc>
          <w:tcPr>
            <w:tcW w:w="1243" w:type="dxa"/>
          </w:tcPr>
          <w:p w14:paraId="352B2D5D" w14:textId="77777777" w:rsidR="00C14AF4" w:rsidRDefault="00F0453C" w:rsidP="00F17D4B">
            <w:pPr>
              <w:rPr>
                <w:sz w:val="20"/>
                <w:szCs w:val="20"/>
              </w:rPr>
            </w:pPr>
            <w:r>
              <w:rPr>
                <w:sz w:val="20"/>
                <w:szCs w:val="20"/>
              </w:rPr>
              <w:t>0.05 mg/kg/day</w:t>
            </w:r>
          </w:p>
          <w:p w14:paraId="236696F7" w14:textId="77777777" w:rsidR="00C14AF4" w:rsidRDefault="00C14AF4" w:rsidP="00C14AF4">
            <w:pPr>
              <w:rPr>
                <w:sz w:val="20"/>
                <w:szCs w:val="20"/>
              </w:rPr>
            </w:pPr>
            <w:r>
              <w:rPr>
                <w:sz w:val="20"/>
                <w:szCs w:val="20"/>
              </w:rPr>
              <w:t>OR</w:t>
            </w:r>
          </w:p>
          <w:p w14:paraId="75BDDF3A" w14:textId="31BA43BE" w:rsidR="00AE1051" w:rsidRPr="00AE1051" w:rsidRDefault="00C14AF4" w:rsidP="00C14AF4">
            <w:pPr>
              <w:rPr>
                <w:sz w:val="20"/>
                <w:szCs w:val="20"/>
              </w:rPr>
            </w:pPr>
            <w:r>
              <w:rPr>
                <w:sz w:val="20"/>
                <w:szCs w:val="20"/>
              </w:rPr>
              <w:t>1.4 mg/m</w:t>
            </w:r>
            <w:r>
              <w:rPr>
                <w:sz w:val="20"/>
                <w:szCs w:val="20"/>
                <w:vertAlign w:val="superscript"/>
              </w:rPr>
              <w:t>2</w:t>
            </w:r>
            <w:r>
              <w:rPr>
                <w:sz w:val="20"/>
                <w:szCs w:val="20"/>
              </w:rPr>
              <w:t>/day</w:t>
            </w:r>
            <w:r w:rsidR="00F0453C">
              <w:rPr>
                <w:sz w:val="20"/>
                <w:szCs w:val="20"/>
              </w:rPr>
              <w:t xml:space="preserve"> </w:t>
            </w:r>
          </w:p>
        </w:tc>
        <w:tc>
          <w:tcPr>
            <w:tcW w:w="1142" w:type="dxa"/>
          </w:tcPr>
          <w:p w14:paraId="4E76AA29" w14:textId="77777777" w:rsidR="00AE1051" w:rsidRDefault="00F0453C" w:rsidP="00F17D4B">
            <w:pPr>
              <w:rPr>
                <w:sz w:val="20"/>
                <w:szCs w:val="20"/>
              </w:rPr>
            </w:pPr>
            <w:r>
              <w:rPr>
                <w:sz w:val="20"/>
                <w:szCs w:val="20"/>
              </w:rPr>
              <w:t xml:space="preserve">0.033 to 0.067 mg/kg/day </w:t>
            </w:r>
          </w:p>
          <w:p w14:paraId="570567C2" w14:textId="77777777" w:rsidR="00C14AF4" w:rsidRDefault="00C14AF4" w:rsidP="00F17D4B">
            <w:pPr>
              <w:rPr>
                <w:sz w:val="20"/>
                <w:szCs w:val="20"/>
              </w:rPr>
            </w:pPr>
            <w:r>
              <w:rPr>
                <w:sz w:val="20"/>
                <w:szCs w:val="20"/>
              </w:rPr>
              <w:t>OR</w:t>
            </w:r>
          </w:p>
          <w:p w14:paraId="1029B77F" w14:textId="2AEAF902" w:rsidR="00C14AF4" w:rsidRPr="00C14AF4" w:rsidRDefault="00C14AF4" w:rsidP="00F17D4B">
            <w:pPr>
              <w:rPr>
                <w:sz w:val="20"/>
                <w:szCs w:val="20"/>
              </w:rPr>
            </w:pPr>
            <w:r>
              <w:rPr>
                <w:sz w:val="20"/>
                <w:szCs w:val="20"/>
              </w:rPr>
              <w:t>1 mg to 2 mg/m</w:t>
            </w:r>
            <w:r>
              <w:rPr>
                <w:sz w:val="20"/>
                <w:szCs w:val="20"/>
                <w:vertAlign w:val="superscript"/>
              </w:rPr>
              <w:t>2</w:t>
            </w:r>
            <w:r>
              <w:rPr>
                <w:sz w:val="20"/>
                <w:szCs w:val="20"/>
              </w:rPr>
              <w:t>/day</w:t>
            </w:r>
          </w:p>
        </w:tc>
        <w:tc>
          <w:tcPr>
            <w:tcW w:w="1243" w:type="dxa"/>
          </w:tcPr>
          <w:p w14:paraId="2B714DB1" w14:textId="0EC96119" w:rsidR="00AE1051" w:rsidRPr="00AE1051" w:rsidRDefault="00AE1051" w:rsidP="00F17D4B">
            <w:pPr>
              <w:rPr>
                <w:sz w:val="20"/>
                <w:szCs w:val="20"/>
              </w:rPr>
            </w:pPr>
          </w:p>
        </w:tc>
        <w:tc>
          <w:tcPr>
            <w:tcW w:w="1243" w:type="dxa"/>
          </w:tcPr>
          <w:p w14:paraId="65A3BFA0" w14:textId="0D46B55F" w:rsidR="00AE1051" w:rsidRPr="00AE1051" w:rsidRDefault="00F0453C" w:rsidP="00F17D4B">
            <w:pPr>
              <w:rPr>
                <w:sz w:val="20"/>
                <w:szCs w:val="20"/>
              </w:rPr>
            </w:pPr>
            <w:r>
              <w:rPr>
                <w:sz w:val="20"/>
                <w:szCs w:val="20"/>
              </w:rPr>
              <w:t>0.15 mg to 0.3 mg/day</w:t>
            </w:r>
          </w:p>
        </w:tc>
      </w:tr>
      <w:tr w:rsidR="00F0453C" w:rsidRPr="00AE1051" w14:paraId="073EC924" w14:textId="55FB4713" w:rsidTr="007D64A9">
        <w:tc>
          <w:tcPr>
            <w:tcW w:w="1553" w:type="dxa"/>
          </w:tcPr>
          <w:p w14:paraId="10E4D294" w14:textId="5A4E41D0" w:rsidR="00AE1051" w:rsidRDefault="00F0453C" w:rsidP="00F17D4B">
            <w:pPr>
              <w:rPr>
                <w:sz w:val="20"/>
                <w:szCs w:val="20"/>
              </w:rPr>
            </w:pPr>
            <w:proofErr w:type="spellStart"/>
            <w:r>
              <w:rPr>
                <w:sz w:val="20"/>
                <w:szCs w:val="20"/>
              </w:rPr>
              <w:t>Nutritropin</w:t>
            </w:r>
            <w:proofErr w:type="spellEnd"/>
            <w:r w:rsidR="00175018">
              <w:rPr>
                <w:rStyle w:val="FootnoteReference"/>
                <w:sz w:val="20"/>
                <w:szCs w:val="20"/>
              </w:rPr>
              <w:footnoteReference w:id="14"/>
            </w:r>
            <w:r>
              <w:rPr>
                <w:sz w:val="20"/>
                <w:szCs w:val="20"/>
              </w:rPr>
              <w:t xml:space="preserve"> </w:t>
            </w:r>
          </w:p>
          <w:p w14:paraId="03E4BD79" w14:textId="520F647B" w:rsidR="00F0453C" w:rsidRPr="00AE1051" w:rsidRDefault="00F0453C" w:rsidP="00F17D4B">
            <w:pPr>
              <w:rPr>
                <w:sz w:val="20"/>
                <w:szCs w:val="20"/>
              </w:rPr>
            </w:pPr>
            <w:proofErr w:type="spellStart"/>
            <w:r>
              <w:rPr>
                <w:sz w:val="20"/>
                <w:szCs w:val="20"/>
              </w:rPr>
              <w:t>Ispen</w:t>
            </w:r>
            <w:proofErr w:type="spellEnd"/>
            <w:r>
              <w:rPr>
                <w:sz w:val="20"/>
                <w:szCs w:val="20"/>
              </w:rPr>
              <w:t xml:space="preserve"> Pty Ltd </w:t>
            </w:r>
          </w:p>
        </w:tc>
        <w:tc>
          <w:tcPr>
            <w:tcW w:w="1136" w:type="dxa"/>
          </w:tcPr>
          <w:p w14:paraId="7945731E" w14:textId="091D7F7C" w:rsidR="00AE1051" w:rsidRPr="00AE1051" w:rsidRDefault="00F0453C" w:rsidP="00F17D4B">
            <w:pPr>
              <w:rPr>
                <w:sz w:val="20"/>
                <w:szCs w:val="20"/>
              </w:rPr>
            </w:pPr>
            <w:r>
              <w:rPr>
                <w:sz w:val="20"/>
                <w:szCs w:val="20"/>
              </w:rPr>
              <w:t xml:space="preserve">0.025 mg to 0.035 mg/kg/day </w:t>
            </w:r>
          </w:p>
        </w:tc>
        <w:tc>
          <w:tcPr>
            <w:tcW w:w="1387" w:type="dxa"/>
          </w:tcPr>
          <w:p w14:paraId="785E2D85" w14:textId="27B354C2" w:rsidR="00AE1051" w:rsidRPr="00AE1051" w:rsidRDefault="00F0453C" w:rsidP="00F17D4B">
            <w:pPr>
              <w:rPr>
                <w:sz w:val="20"/>
                <w:szCs w:val="20"/>
              </w:rPr>
            </w:pPr>
            <w:r>
              <w:rPr>
                <w:sz w:val="20"/>
                <w:szCs w:val="20"/>
              </w:rPr>
              <w:t xml:space="preserve">Up to 0.05 mg/kg/day </w:t>
            </w:r>
          </w:p>
        </w:tc>
        <w:tc>
          <w:tcPr>
            <w:tcW w:w="1243" w:type="dxa"/>
          </w:tcPr>
          <w:p w14:paraId="50054F9C" w14:textId="6C93F0B9" w:rsidR="00AE1051" w:rsidRPr="00AE1051" w:rsidRDefault="00F0453C" w:rsidP="00F17D4B">
            <w:pPr>
              <w:rPr>
                <w:sz w:val="20"/>
                <w:szCs w:val="20"/>
              </w:rPr>
            </w:pPr>
            <w:r>
              <w:rPr>
                <w:sz w:val="20"/>
                <w:szCs w:val="20"/>
              </w:rPr>
              <w:t xml:space="preserve">Up to 0.05 mg/kg/day </w:t>
            </w:r>
          </w:p>
        </w:tc>
        <w:tc>
          <w:tcPr>
            <w:tcW w:w="1142" w:type="dxa"/>
          </w:tcPr>
          <w:p w14:paraId="76CBFD18" w14:textId="2AFB59FD" w:rsidR="00AE1051" w:rsidRPr="00AE1051" w:rsidRDefault="00AE1051" w:rsidP="00F17D4B">
            <w:pPr>
              <w:rPr>
                <w:sz w:val="20"/>
                <w:szCs w:val="20"/>
              </w:rPr>
            </w:pPr>
          </w:p>
        </w:tc>
        <w:tc>
          <w:tcPr>
            <w:tcW w:w="1243" w:type="dxa"/>
          </w:tcPr>
          <w:p w14:paraId="0AB9715E" w14:textId="63272C6A" w:rsidR="00AE1051" w:rsidRPr="00AE1051" w:rsidRDefault="00AE1051" w:rsidP="00F17D4B">
            <w:pPr>
              <w:rPr>
                <w:sz w:val="20"/>
                <w:szCs w:val="20"/>
              </w:rPr>
            </w:pPr>
          </w:p>
        </w:tc>
        <w:tc>
          <w:tcPr>
            <w:tcW w:w="1243" w:type="dxa"/>
          </w:tcPr>
          <w:p w14:paraId="23E27799" w14:textId="3D42D799" w:rsidR="00AE1051" w:rsidRPr="00AE1051" w:rsidRDefault="00C14AF4" w:rsidP="00F17D4B">
            <w:pPr>
              <w:rPr>
                <w:sz w:val="20"/>
                <w:szCs w:val="20"/>
              </w:rPr>
            </w:pPr>
            <w:r>
              <w:rPr>
                <w:sz w:val="20"/>
                <w:szCs w:val="20"/>
              </w:rPr>
              <w:t xml:space="preserve">Initially </w:t>
            </w:r>
            <w:r w:rsidR="00F0453C">
              <w:rPr>
                <w:sz w:val="20"/>
                <w:szCs w:val="20"/>
              </w:rPr>
              <w:t>0.15 mg to 0.3</w:t>
            </w:r>
            <w:r>
              <w:rPr>
                <w:sz w:val="20"/>
                <w:szCs w:val="20"/>
              </w:rPr>
              <w:t xml:space="preserve"> mg</w:t>
            </w:r>
            <w:r w:rsidR="00F0453C">
              <w:rPr>
                <w:sz w:val="20"/>
                <w:szCs w:val="20"/>
              </w:rPr>
              <w:t>/day</w:t>
            </w:r>
            <w:r>
              <w:rPr>
                <w:sz w:val="20"/>
                <w:szCs w:val="20"/>
              </w:rPr>
              <w:t>.  Adjusted stepwise to max of 1.0 mg/day</w:t>
            </w:r>
          </w:p>
        </w:tc>
      </w:tr>
      <w:tr w:rsidR="00F0453C" w:rsidRPr="00AE1051" w14:paraId="7F4D925E" w14:textId="4212FE4D" w:rsidTr="007D64A9">
        <w:tc>
          <w:tcPr>
            <w:tcW w:w="1553" w:type="dxa"/>
          </w:tcPr>
          <w:p w14:paraId="12D64FEB" w14:textId="77777777" w:rsidR="00EC43D0" w:rsidRDefault="00EC43D0" w:rsidP="00EC43D0">
            <w:pPr>
              <w:rPr>
                <w:sz w:val="20"/>
                <w:szCs w:val="20"/>
              </w:rPr>
            </w:pPr>
            <w:proofErr w:type="spellStart"/>
            <w:r>
              <w:rPr>
                <w:sz w:val="20"/>
                <w:szCs w:val="20"/>
              </w:rPr>
              <w:t>Omnitrope</w:t>
            </w:r>
            <w:proofErr w:type="spellEnd"/>
            <w:r>
              <w:rPr>
                <w:rStyle w:val="FootnoteReference"/>
                <w:sz w:val="20"/>
                <w:szCs w:val="20"/>
              </w:rPr>
              <w:footnoteReference w:id="15"/>
            </w:r>
            <w:r>
              <w:rPr>
                <w:sz w:val="20"/>
                <w:szCs w:val="20"/>
              </w:rPr>
              <w:t xml:space="preserve"> </w:t>
            </w:r>
          </w:p>
          <w:p w14:paraId="0EB72114" w14:textId="42C49C59" w:rsidR="00F0453C" w:rsidRPr="00AE1051" w:rsidRDefault="00EC43D0" w:rsidP="00EC43D0">
            <w:pPr>
              <w:rPr>
                <w:sz w:val="20"/>
                <w:szCs w:val="20"/>
              </w:rPr>
            </w:pPr>
            <w:r>
              <w:rPr>
                <w:sz w:val="20"/>
                <w:szCs w:val="20"/>
              </w:rPr>
              <w:t>Sandoz Pty Ltd</w:t>
            </w:r>
          </w:p>
        </w:tc>
        <w:tc>
          <w:tcPr>
            <w:tcW w:w="1136" w:type="dxa"/>
          </w:tcPr>
          <w:p w14:paraId="5C9D74EB" w14:textId="77777777" w:rsidR="00BD0B2F" w:rsidRDefault="00F0453C" w:rsidP="00F17D4B">
            <w:pPr>
              <w:rPr>
                <w:sz w:val="20"/>
                <w:szCs w:val="20"/>
              </w:rPr>
            </w:pPr>
            <w:r>
              <w:rPr>
                <w:sz w:val="20"/>
                <w:szCs w:val="20"/>
              </w:rPr>
              <w:t>0.025 mg to 0.035 mg/kg/day</w:t>
            </w:r>
          </w:p>
          <w:p w14:paraId="4EE6D2F8" w14:textId="43E787BF" w:rsidR="00BD0B2F" w:rsidRDefault="00BD0B2F" w:rsidP="00F17D4B">
            <w:pPr>
              <w:rPr>
                <w:sz w:val="20"/>
                <w:szCs w:val="20"/>
              </w:rPr>
            </w:pPr>
            <w:r>
              <w:rPr>
                <w:sz w:val="20"/>
                <w:szCs w:val="20"/>
              </w:rPr>
              <w:t xml:space="preserve">OR </w:t>
            </w:r>
          </w:p>
          <w:p w14:paraId="227CBC2E" w14:textId="636904B7" w:rsidR="00AE1051" w:rsidRPr="00AE1051" w:rsidRDefault="00BD0B2F" w:rsidP="00F17D4B">
            <w:pPr>
              <w:rPr>
                <w:sz w:val="20"/>
                <w:szCs w:val="20"/>
              </w:rPr>
            </w:pPr>
            <w:r>
              <w:rPr>
                <w:sz w:val="20"/>
                <w:szCs w:val="20"/>
              </w:rPr>
              <w:t>0.7 to 1.0 mg/m</w:t>
            </w:r>
            <w:r>
              <w:rPr>
                <w:sz w:val="20"/>
                <w:szCs w:val="20"/>
                <w:vertAlign w:val="superscript"/>
              </w:rPr>
              <w:t>2</w:t>
            </w:r>
            <w:r>
              <w:rPr>
                <w:sz w:val="20"/>
                <w:szCs w:val="20"/>
              </w:rPr>
              <w:t xml:space="preserve"> body surface area/day </w:t>
            </w:r>
            <w:r w:rsidR="00F0453C">
              <w:rPr>
                <w:sz w:val="20"/>
                <w:szCs w:val="20"/>
              </w:rPr>
              <w:t xml:space="preserve"> </w:t>
            </w:r>
          </w:p>
        </w:tc>
        <w:tc>
          <w:tcPr>
            <w:tcW w:w="1387" w:type="dxa"/>
          </w:tcPr>
          <w:p w14:paraId="79F2FCCA" w14:textId="77777777" w:rsidR="00AE1051" w:rsidRDefault="00F0453C" w:rsidP="00F17D4B">
            <w:pPr>
              <w:rPr>
                <w:sz w:val="20"/>
                <w:szCs w:val="20"/>
              </w:rPr>
            </w:pPr>
            <w:r>
              <w:rPr>
                <w:sz w:val="20"/>
                <w:szCs w:val="20"/>
              </w:rPr>
              <w:t xml:space="preserve">0.045 mg  to 0.05 mg/kg/day </w:t>
            </w:r>
          </w:p>
          <w:p w14:paraId="1DE76435" w14:textId="77777777" w:rsidR="00BD0B2F" w:rsidRDefault="00BD0B2F" w:rsidP="00F17D4B">
            <w:pPr>
              <w:rPr>
                <w:sz w:val="20"/>
                <w:szCs w:val="20"/>
              </w:rPr>
            </w:pPr>
            <w:r>
              <w:rPr>
                <w:sz w:val="20"/>
                <w:szCs w:val="20"/>
              </w:rPr>
              <w:t>OR</w:t>
            </w:r>
          </w:p>
          <w:p w14:paraId="264C083B" w14:textId="2EC4708A" w:rsidR="00BD0B2F" w:rsidRPr="00BD0B2F" w:rsidRDefault="00BD0B2F" w:rsidP="00F17D4B">
            <w:pPr>
              <w:rPr>
                <w:sz w:val="20"/>
                <w:szCs w:val="20"/>
              </w:rPr>
            </w:pPr>
            <w:r>
              <w:rPr>
                <w:sz w:val="20"/>
                <w:szCs w:val="20"/>
              </w:rPr>
              <w:t>1.4 mg/m</w:t>
            </w:r>
            <w:r>
              <w:rPr>
                <w:sz w:val="20"/>
                <w:szCs w:val="20"/>
                <w:vertAlign w:val="superscript"/>
              </w:rPr>
              <w:t>2</w:t>
            </w:r>
            <w:r>
              <w:rPr>
                <w:sz w:val="20"/>
                <w:szCs w:val="20"/>
              </w:rPr>
              <w:t xml:space="preserve"> body surface area/day</w:t>
            </w:r>
          </w:p>
        </w:tc>
        <w:tc>
          <w:tcPr>
            <w:tcW w:w="1243" w:type="dxa"/>
          </w:tcPr>
          <w:p w14:paraId="18BBB95F" w14:textId="77777777" w:rsidR="00AE1051" w:rsidRDefault="00F0453C" w:rsidP="00F17D4B">
            <w:pPr>
              <w:rPr>
                <w:sz w:val="20"/>
                <w:szCs w:val="20"/>
              </w:rPr>
            </w:pPr>
            <w:r>
              <w:rPr>
                <w:sz w:val="20"/>
                <w:szCs w:val="20"/>
              </w:rPr>
              <w:t>0.045 mg  to 0.05 mg/kg/day</w:t>
            </w:r>
          </w:p>
          <w:p w14:paraId="26589F6D" w14:textId="77777777" w:rsidR="00BD0B2F" w:rsidRDefault="00BD0B2F" w:rsidP="00BD0B2F">
            <w:pPr>
              <w:rPr>
                <w:sz w:val="20"/>
                <w:szCs w:val="20"/>
              </w:rPr>
            </w:pPr>
            <w:r>
              <w:rPr>
                <w:sz w:val="20"/>
                <w:szCs w:val="20"/>
              </w:rPr>
              <w:t>OR</w:t>
            </w:r>
          </w:p>
          <w:p w14:paraId="4DE478E7" w14:textId="30E8F2AA" w:rsidR="00BD0B2F" w:rsidRPr="00AE1051" w:rsidRDefault="00BD0B2F" w:rsidP="00BD0B2F">
            <w:pPr>
              <w:rPr>
                <w:sz w:val="20"/>
                <w:szCs w:val="20"/>
              </w:rPr>
            </w:pPr>
            <w:r>
              <w:rPr>
                <w:sz w:val="20"/>
                <w:szCs w:val="20"/>
              </w:rPr>
              <w:t>1.4 mg/m</w:t>
            </w:r>
            <w:r>
              <w:rPr>
                <w:sz w:val="20"/>
                <w:szCs w:val="20"/>
                <w:vertAlign w:val="superscript"/>
              </w:rPr>
              <w:t>2</w:t>
            </w:r>
            <w:r>
              <w:rPr>
                <w:sz w:val="20"/>
                <w:szCs w:val="20"/>
              </w:rPr>
              <w:t xml:space="preserve"> body surface area/day</w:t>
            </w:r>
          </w:p>
        </w:tc>
        <w:tc>
          <w:tcPr>
            <w:tcW w:w="1142" w:type="dxa"/>
          </w:tcPr>
          <w:p w14:paraId="50FF1BF8" w14:textId="77777777" w:rsidR="00AE1051" w:rsidRPr="00AE1051" w:rsidRDefault="00AE1051" w:rsidP="00F17D4B">
            <w:pPr>
              <w:rPr>
                <w:sz w:val="20"/>
                <w:szCs w:val="20"/>
              </w:rPr>
            </w:pPr>
          </w:p>
        </w:tc>
        <w:tc>
          <w:tcPr>
            <w:tcW w:w="1243" w:type="dxa"/>
          </w:tcPr>
          <w:p w14:paraId="65E0E211" w14:textId="77777777" w:rsidR="00AE1051" w:rsidRPr="00AE1051" w:rsidRDefault="00AE1051" w:rsidP="00F17D4B">
            <w:pPr>
              <w:rPr>
                <w:sz w:val="20"/>
                <w:szCs w:val="20"/>
              </w:rPr>
            </w:pPr>
          </w:p>
        </w:tc>
        <w:tc>
          <w:tcPr>
            <w:tcW w:w="1243" w:type="dxa"/>
          </w:tcPr>
          <w:p w14:paraId="6DB2A204" w14:textId="77777777" w:rsidR="00AE1051" w:rsidRPr="00AE1051" w:rsidRDefault="00AE1051" w:rsidP="00F17D4B">
            <w:pPr>
              <w:rPr>
                <w:sz w:val="20"/>
                <w:szCs w:val="20"/>
              </w:rPr>
            </w:pPr>
          </w:p>
        </w:tc>
      </w:tr>
      <w:tr w:rsidR="00F0453C" w:rsidRPr="00AE1051" w14:paraId="7A33AADF" w14:textId="78FE6FAE" w:rsidTr="007D64A9">
        <w:tc>
          <w:tcPr>
            <w:tcW w:w="1553" w:type="dxa"/>
          </w:tcPr>
          <w:p w14:paraId="4F84AB99" w14:textId="77777777" w:rsidR="00AE1051" w:rsidRDefault="00F0453C" w:rsidP="00F17D4B">
            <w:pPr>
              <w:rPr>
                <w:sz w:val="20"/>
                <w:szCs w:val="20"/>
              </w:rPr>
            </w:pPr>
            <w:proofErr w:type="spellStart"/>
            <w:r>
              <w:rPr>
                <w:sz w:val="20"/>
                <w:szCs w:val="20"/>
              </w:rPr>
              <w:t>Saizen</w:t>
            </w:r>
            <w:proofErr w:type="spellEnd"/>
            <w:r w:rsidR="00175018">
              <w:rPr>
                <w:rStyle w:val="FootnoteReference"/>
                <w:sz w:val="20"/>
                <w:szCs w:val="20"/>
              </w:rPr>
              <w:footnoteReference w:id="16"/>
            </w:r>
            <w:r>
              <w:rPr>
                <w:sz w:val="20"/>
                <w:szCs w:val="20"/>
              </w:rPr>
              <w:t xml:space="preserve"> </w:t>
            </w:r>
          </w:p>
          <w:p w14:paraId="5DF52B70" w14:textId="7479ACA0" w:rsidR="006916C3" w:rsidRPr="00AE1051" w:rsidRDefault="006916C3" w:rsidP="00F17D4B">
            <w:pPr>
              <w:rPr>
                <w:sz w:val="20"/>
                <w:szCs w:val="20"/>
              </w:rPr>
            </w:pPr>
            <w:r>
              <w:rPr>
                <w:sz w:val="20"/>
                <w:szCs w:val="20"/>
              </w:rPr>
              <w:t>Merck Healthcare Pty Ltd</w:t>
            </w:r>
          </w:p>
        </w:tc>
        <w:tc>
          <w:tcPr>
            <w:tcW w:w="1136" w:type="dxa"/>
          </w:tcPr>
          <w:p w14:paraId="21905B4E" w14:textId="31344D36" w:rsidR="00AE1051" w:rsidRPr="00AE1051" w:rsidRDefault="00F0453C" w:rsidP="00F17D4B">
            <w:pPr>
              <w:rPr>
                <w:sz w:val="20"/>
                <w:szCs w:val="20"/>
              </w:rPr>
            </w:pPr>
            <w:r>
              <w:rPr>
                <w:sz w:val="20"/>
                <w:szCs w:val="20"/>
              </w:rPr>
              <w:t xml:space="preserve">0.2 mg/kg/week </w:t>
            </w:r>
          </w:p>
        </w:tc>
        <w:tc>
          <w:tcPr>
            <w:tcW w:w="1387" w:type="dxa"/>
          </w:tcPr>
          <w:p w14:paraId="3A0B7D3A" w14:textId="0E3D6593" w:rsidR="00AE1051" w:rsidRPr="00AE1051" w:rsidRDefault="00F0453C" w:rsidP="00F17D4B">
            <w:pPr>
              <w:rPr>
                <w:sz w:val="20"/>
                <w:szCs w:val="20"/>
              </w:rPr>
            </w:pPr>
            <w:r>
              <w:rPr>
                <w:sz w:val="20"/>
                <w:szCs w:val="20"/>
              </w:rPr>
              <w:t>0.045 mg  to 0.05 mg/kg/day</w:t>
            </w:r>
          </w:p>
        </w:tc>
        <w:tc>
          <w:tcPr>
            <w:tcW w:w="1243" w:type="dxa"/>
          </w:tcPr>
          <w:p w14:paraId="65CFF542" w14:textId="106B2BEA" w:rsidR="00AE1051" w:rsidRPr="00AE1051" w:rsidRDefault="00F0453C" w:rsidP="00F17D4B">
            <w:pPr>
              <w:rPr>
                <w:sz w:val="20"/>
                <w:szCs w:val="20"/>
              </w:rPr>
            </w:pPr>
            <w:r>
              <w:rPr>
                <w:sz w:val="20"/>
                <w:szCs w:val="20"/>
              </w:rPr>
              <w:t>0.045 mg  to 0.05 mg/kg/day</w:t>
            </w:r>
          </w:p>
        </w:tc>
        <w:tc>
          <w:tcPr>
            <w:tcW w:w="1142" w:type="dxa"/>
          </w:tcPr>
          <w:p w14:paraId="7600C0FC" w14:textId="77777777" w:rsidR="00AE1051" w:rsidRPr="00AE1051" w:rsidRDefault="00AE1051" w:rsidP="00F17D4B">
            <w:pPr>
              <w:rPr>
                <w:sz w:val="20"/>
                <w:szCs w:val="20"/>
              </w:rPr>
            </w:pPr>
          </w:p>
        </w:tc>
        <w:tc>
          <w:tcPr>
            <w:tcW w:w="1243" w:type="dxa"/>
          </w:tcPr>
          <w:p w14:paraId="15F885DA" w14:textId="77777777" w:rsidR="00AE1051" w:rsidRPr="00AE1051" w:rsidRDefault="00AE1051" w:rsidP="00F17D4B">
            <w:pPr>
              <w:rPr>
                <w:sz w:val="20"/>
                <w:szCs w:val="20"/>
              </w:rPr>
            </w:pPr>
          </w:p>
        </w:tc>
        <w:tc>
          <w:tcPr>
            <w:tcW w:w="1243" w:type="dxa"/>
          </w:tcPr>
          <w:p w14:paraId="540F6CB5" w14:textId="3E28BE25" w:rsidR="00AE1051" w:rsidRPr="00AE1051" w:rsidRDefault="00F0453C" w:rsidP="00F17D4B">
            <w:pPr>
              <w:rPr>
                <w:sz w:val="20"/>
                <w:szCs w:val="20"/>
              </w:rPr>
            </w:pPr>
            <w:r>
              <w:rPr>
                <w:sz w:val="20"/>
                <w:szCs w:val="20"/>
              </w:rPr>
              <w:t xml:space="preserve">0.15 to 0.3 mg/day </w:t>
            </w:r>
          </w:p>
        </w:tc>
      </w:tr>
      <w:tr w:rsidR="00F0453C" w:rsidRPr="00AE1051" w14:paraId="0244F554" w14:textId="6ECA3764" w:rsidTr="007D64A9">
        <w:tc>
          <w:tcPr>
            <w:tcW w:w="1553" w:type="dxa"/>
          </w:tcPr>
          <w:p w14:paraId="637BF096" w14:textId="76771285" w:rsidR="00F0453C" w:rsidRDefault="00F0453C" w:rsidP="00F0453C">
            <w:pPr>
              <w:rPr>
                <w:sz w:val="20"/>
                <w:szCs w:val="20"/>
              </w:rPr>
            </w:pPr>
            <w:proofErr w:type="spellStart"/>
            <w:r>
              <w:rPr>
                <w:sz w:val="20"/>
                <w:szCs w:val="20"/>
              </w:rPr>
              <w:lastRenderedPageBreak/>
              <w:t>SciTropinA</w:t>
            </w:r>
            <w:proofErr w:type="spellEnd"/>
            <w:r w:rsidR="00175018">
              <w:rPr>
                <w:rStyle w:val="FootnoteReference"/>
                <w:sz w:val="20"/>
                <w:szCs w:val="20"/>
              </w:rPr>
              <w:footnoteReference w:id="17"/>
            </w:r>
            <w:r>
              <w:rPr>
                <w:sz w:val="20"/>
                <w:szCs w:val="20"/>
              </w:rPr>
              <w:t xml:space="preserve"> </w:t>
            </w:r>
          </w:p>
          <w:p w14:paraId="2B2F336F" w14:textId="3B00B5F5" w:rsidR="00F0453C" w:rsidRPr="00AE1051" w:rsidRDefault="00F0453C" w:rsidP="00F0453C">
            <w:pPr>
              <w:rPr>
                <w:sz w:val="20"/>
                <w:szCs w:val="20"/>
              </w:rPr>
            </w:pPr>
            <w:proofErr w:type="spellStart"/>
            <w:r>
              <w:rPr>
                <w:sz w:val="20"/>
                <w:szCs w:val="20"/>
              </w:rPr>
              <w:t>SciGen</w:t>
            </w:r>
            <w:proofErr w:type="spellEnd"/>
            <w:r>
              <w:rPr>
                <w:sz w:val="20"/>
                <w:szCs w:val="20"/>
              </w:rPr>
              <w:t xml:space="preserve"> (Australia) Pty Ltd</w:t>
            </w:r>
          </w:p>
        </w:tc>
        <w:tc>
          <w:tcPr>
            <w:tcW w:w="1136" w:type="dxa"/>
          </w:tcPr>
          <w:p w14:paraId="038FE638" w14:textId="77777777" w:rsidR="00F05F13" w:rsidRDefault="00F0453C" w:rsidP="00F0453C">
            <w:pPr>
              <w:rPr>
                <w:sz w:val="20"/>
                <w:szCs w:val="20"/>
              </w:rPr>
            </w:pPr>
            <w:r>
              <w:rPr>
                <w:sz w:val="20"/>
                <w:szCs w:val="20"/>
              </w:rPr>
              <w:t>0.025 mg to 0.035 mg/kg/day</w:t>
            </w:r>
          </w:p>
          <w:p w14:paraId="7DFEA81B" w14:textId="77777777" w:rsidR="00F05F13" w:rsidRDefault="00F05F13" w:rsidP="00F0453C">
            <w:pPr>
              <w:rPr>
                <w:sz w:val="20"/>
                <w:szCs w:val="20"/>
              </w:rPr>
            </w:pPr>
            <w:r>
              <w:rPr>
                <w:sz w:val="20"/>
                <w:szCs w:val="20"/>
              </w:rPr>
              <w:t>OR</w:t>
            </w:r>
          </w:p>
          <w:p w14:paraId="4CD4FE11" w14:textId="4E165216" w:rsidR="00F0453C" w:rsidRPr="00AE1051" w:rsidRDefault="00F05F13" w:rsidP="00F0453C">
            <w:pPr>
              <w:rPr>
                <w:sz w:val="20"/>
                <w:szCs w:val="20"/>
              </w:rPr>
            </w:pPr>
            <w:r>
              <w:rPr>
                <w:sz w:val="20"/>
                <w:szCs w:val="20"/>
              </w:rPr>
              <w:t>0.7 mg to 1.0 mg/m</w:t>
            </w:r>
            <w:r>
              <w:rPr>
                <w:sz w:val="20"/>
                <w:szCs w:val="20"/>
                <w:vertAlign w:val="superscript"/>
              </w:rPr>
              <w:t>2</w:t>
            </w:r>
            <w:r>
              <w:rPr>
                <w:sz w:val="20"/>
                <w:szCs w:val="20"/>
              </w:rPr>
              <w:t xml:space="preserve"> body surface area per day </w:t>
            </w:r>
            <w:r w:rsidR="00F0453C">
              <w:rPr>
                <w:sz w:val="20"/>
                <w:szCs w:val="20"/>
              </w:rPr>
              <w:t xml:space="preserve"> </w:t>
            </w:r>
          </w:p>
        </w:tc>
        <w:tc>
          <w:tcPr>
            <w:tcW w:w="1387" w:type="dxa"/>
          </w:tcPr>
          <w:p w14:paraId="3D22CED4" w14:textId="77777777" w:rsidR="00F0453C" w:rsidRDefault="00F0453C" w:rsidP="00F0453C">
            <w:pPr>
              <w:rPr>
                <w:sz w:val="20"/>
                <w:szCs w:val="20"/>
              </w:rPr>
            </w:pPr>
            <w:r>
              <w:rPr>
                <w:sz w:val="20"/>
                <w:szCs w:val="20"/>
              </w:rPr>
              <w:t>0.045 mg  to 0.05 mg/kg/day</w:t>
            </w:r>
          </w:p>
          <w:p w14:paraId="1756DD14" w14:textId="77777777" w:rsidR="00F05F13" w:rsidRDefault="00F05F13" w:rsidP="00F0453C">
            <w:pPr>
              <w:rPr>
                <w:sz w:val="20"/>
                <w:szCs w:val="20"/>
              </w:rPr>
            </w:pPr>
            <w:r>
              <w:rPr>
                <w:sz w:val="20"/>
                <w:szCs w:val="20"/>
              </w:rPr>
              <w:t>OR</w:t>
            </w:r>
          </w:p>
          <w:p w14:paraId="2223BCBA" w14:textId="1A7FA7EA" w:rsidR="00F05F13" w:rsidRPr="00F05F13" w:rsidRDefault="00F05F13" w:rsidP="00F0453C">
            <w:pPr>
              <w:rPr>
                <w:sz w:val="20"/>
                <w:szCs w:val="20"/>
              </w:rPr>
            </w:pPr>
            <w:r>
              <w:rPr>
                <w:sz w:val="20"/>
                <w:szCs w:val="20"/>
              </w:rPr>
              <w:t>1.4 mg/m</w:t>
            </w:r>
            <w:r>
              <w:rPr>
                <w:sz w:val="20"/>
                <w:szCs w:val="20"/>
                <w:vertAlign w:val="superscript"/>
              </w:rPr>
              <w:t>2</w:t>
            </w:r>
            <w:r>
              <w:rPr>
                <w:sz w:val="20"/>
                <w:szCs w:val="20"/>
              </w:rPr>
              <w:t xml:space="preserve"> body surface area/day </w:t>
            </w:r>
          </w:p>
        </w:tc>
        <w:tc>
          <w:tcPr>
            <w:tcW w:w="1243" w:type="dxa"/>
          </w:tcPr>
          <w:p w14:paraId="1B326F80" w14:textId="77777777" w:rsidR="00F0453C" w:rsidRDefault="00F0453C" w:rsidP="00F0453C">
            <w:pPr>
              <w:rPr>
                <w:sz w:val="20"/>
                <w:szCs w:val="20"/>
              </w:rPr>
            </w:pPr>
            <w:r>
              <w:rPr>
                <w:sz w:val="20"/>
                <w:szCs w:val="20"/>
              </w:rPr>
              <w:t>0.045 mg  to 0.05 mg/kg/day</w:t>
            </w:r>
          </w:p>
          <w:p w14:paraId="0CC79EDD" w14:textId="77777777" w:rsidR="00F05F13" w:rsidRDefault="00F05F13" w:rsidP="00F0453C">
            <w:pPr>
              <w:rPr>
                <w:sz w:val="20"/>
                <w:szCs w:val="20"/>
              </w:rPr>
            </w:pPr>
            <w:r>
              <w:rPr>
                <w:sz w:val="20"/>
                <w:szCs w:val="20"/>
              </w:rPr>
              <w:t>OR</w:t>
            </w:r>
          </w:p>
          <w:p w14:paraId="500BEA49" w14:textId="53C7376E" w:rsidR="00F05F13" w:rsidRPr="00F05F13" w:rsidRDefault="00F05F13" w:rsidP="00F0453C">
            <w:pPr>
              <w:rPr>
                <w:sz w:val="20"/>
                <w:szCs w:val="20"/>
              </w:rPr>
            </w:pPr>
            <w:r>
              <w:rPr>
                <w:sz w:val="20"/>
                <w:szCs w:val="20"/>
              </w:rPr>
              <w:t>1.4 mg/m</w:t>
            </w:r>
            <w:r>
              <w:rPr>
                <w:sz w:val="20"/>
                <w:szCs w:val="20"/>
                <w:vertAlign w:val="superscript"/>
              </w:rPr>
              <w:t>2</w:t>
            </w:r>
            <w:r>
              <w:rPr>
                <w:sz w:val="20"/>
                <w:szCs w:val="20"/>
              </w:rPr>
              <w:t xml:space="preserve"> body surface area/day </w:t>
            </w:r>
          </w:p>
        </w:tc>
        <w:tc>
          <w:tcPr>
            <w:tcW w:w="1142" w:type="dxa"/>
          </w:tcPr>
          <w:p w14:paraId="7427CDA1" w14:textId="77777777" w:rsidR="00F0453C" w:rsidRPr="00AE1051" w:rsidRDefault="00F0453C" w:rsidP="00F0453C">
            <w:pPr>
              <w:rPr>
                <w:sz w:val="20"/>
                <w:szCs w:val="20"/>
              </w:rPr>
            </w:pPr>
          </w:p>
        </w:tc>
        <w:tc>
          <w:tcPr>
            <w:tcW w:w="1243" w:type="dxa"/>
          </w:tcPr>
          <w:p w14:paraId="360894E5" w14:textId="77777777" w:rsidR="00F0453C" w:rsidRPr="00AE1051" w:rsidRDefault="00F0453C" w:rsidP="00F0453C">
            <w:pPr>
              <w:rPr>
                <w:sz w:val="20"/>
                <w:szCs w:val="20"/>
              </w:rPr>
            </w:pPr>
          </w:p>
        </w:tc>
        <w:tc>
          <w:tcPr>
            <w:tcW w:w="1243" w:type="dxa"/>
          </w:tcPr>
          <w:p w14:paraId="5EBBD6C9" w14:textId="77777777" w:rsidR="00F0453C" w:rsidRPr="00AE1051" w:rsidRDefault="00F0453C" w:rsidP="00F0453C">
            <w:pPr>
              <w:rPr>
                <w:sz w:val="20"/>
                <w:szCs w:val="20"/>
              </w:rPr>
            </w:pPr>
          </w:p>
        </w:tc>
      </w:tr>
    </w:tbl>
    <w:p w14:paraId="67D1CE14" w14:textId="77777777" w:rsidR="002E2E8F" w:rsidRDefault="002E2E8F" w:rsidP="00F60E07"/>
    <w:p w14:paraId="288CD2A9" w14:textId="47FD9F37" w:rsidR="00F60E07" w:rsidRDefault="00F60E07" w:rsidP="00F60E07">
      <w:r>
        <w:t xml:space="preserve">Further details regarding dose and administration can be found in the </w:t>
      </w:r>
      <w:r w:rsidRPr="002754C5">
        <w:t>Appendix A.</w:t>
      </w:r>
      <w:r>
        <w:t xml:space="preserve"> </w:t>
      </w:r>
    </w:p>
    <w:p w14:paraId="397B37B0" w14:textId="7B20E312" w:rsidR="00D55A11" w:rsidRPr="002F61CA" w:rsidRDefault="00F17D4B" w:rsidP="00F17D4B">
      <w:r w:rsidRPr="002F61CA">
        <w:t xml:space="preserve">The current Product Information (PI) and Consumer Medicine Information (CMI) are available from </w:t>
      </w:r>
      <w:hyperlink r:id="rId9" w:history="1">
        <w:r>
          <w:rPr>
            <w:rStyle w:val="Hyperlink"/>
          </w:rPr>
          <w:t>the TGA (Product Information)</w:t>
        </w:r>
      </w:hyperlink>
      <w:r>
        <w:t xml:space="preserve"> and </w:t>
      </w:r>
      <w:hyperlink r:id="rId10" w:history="1">
        <w:r>
          <w:rPr>
            <w:rStyle w:val="Hyperlink"/>
          </w:rPr>
          <w:t>the TGA (Consumer Medicines Information)</w:t>
        </w:r>
      </w:hyperlink>
      <w:r>
        <w:t>.</w:t>
      </w:r>
    </w:p>
    <w:p w14:paraId="1DF94231" w14:textId="22B95ABF" w:rsidR="0063432F" w:rsidRDefault="00DF0B13" w:rsidP="0063432F">
      <w:pPr>
        <w:pStyle w:val="Heading2"/>
      </w:pPr>
      <w:r w:rsidRPr="007247B9" w:rsidDel="00EE2BBB">
        <w:t>PBS listing details</w:t>
      </w:r>
      <w:r w:rsidR="007F072B">
        <w:t xml:space="preserve"> (as at April</w:t>
      </w:r>
      <w:r w:rsidR="00766506">
        <w:t xml:space="preserve"> 2021</w:t>
      </w:r>
      <w:r w:rsidR="00D55A11">
        <w:t>)</w:t>
      </w:r>
    </w:p>
    <w:p w14:paraId="6FAEE968" w14:textId="2CCB5B29" w:rsidR="00F60E07" w:rsidRPr="0063432F" w:rsidRDefault="008161CB" w:rsidP="0063432F">
      <w:proofErr w:type="spellStart"/>
      <w:r w:rsidRPr="0063432F">
        <w:t>Somatropin</w:t>
      </w:r>
      <w:proofErr w:type="spellEnd"/>
      <w:r w:rsidRPr="0063432F">
        <w:t xml:space="preserve"> is an Authority </w:t>
      </w:r>
      <w:proofErr w:type="gramStart"/>
      <w:r w:rsidRPr="0063432F">
        <w:t>Required</w:t>
      </w:r>
      <w:proofErr w:type="gramEnd"/>
      <w:r w:rsidR="000306D8" w:rsidRPr="0063432F">
        <w:t xml:space="preserve"> </w:t>
      </w:r>
      <w:r w:rsidR="00D55A11">
        <w:t>medicine</w:t>
      </w:r>
      <w:r w:rsidRPr="0063432F">
        <w:t xml:space="preserve">. </w:t>
      </w:r>
      <w:r w:rsidR="00730EDF" w:rsidRPr="0063432F">
        <w:t xml:space="preserve">It is listed under Section 100 Growth Hormone Program on the PBS. </w:t>
      </w:r>
    </w:p>
    <w:p w14:paraId="057C2D02" w14:textId="77777777" w:rsidR="00F60E07" w:rsidRDefault="00F60E07" w:rsidP="00F60E07">
      <w:pPr>
        <w:pStyle w:val="Heading3"/>
      </w:pPr>
      <w:r w:rsidDel="00EE2BBB">
        <w:t>Restriction</w:t>
      </w:r>
      <w:r>
        <w:t xml:space="preserve"> (abridged) </w:t>
      </w:r>
    </w:p>
    <w:p w14:paraId="07D754DC" w14:textId="77777777" w:rsidR="00F60E07" w:rsidRDefault="00F60E07" w:rsidP="00F60E07">
      <w:r>
        <w:t>Indications:</w:t>
      </w:r>
    </w:p>
    <w:p w14:paraId="6ADF3910" w14:textId="39E54AC3" w:rsidR="00F60E07" w:rsidRDefault="00F60E07" w:rsidP="00F60E07">
      <w:pPr>
        <w:pStyle w:val="ListParagraph"/>
        <w:numPr>
          <w:ilvl w:val="0"/>
          <w:numId w:val="16"/>
        </w:numPr>
      </w:pPr>
      <w:r>
        <w:t xml:space="preserve">Short stature and slow growth </w:t>
      </w:r>
    </w:p>
    <w:p w14:paraId="109CFD0C" w14:textId="77777777" w:rsidR="00F60E07" w:rsidRDefault="00F60E07" w:rsidP="00F60E07">
      <w:pPr>
        <w:pStyle w:val="ListParagraph"/>
        <w:numPr>
          <w:ilvl w:val="0"/>
          <w:numId w:val="16"/>
        </w:numPr>
      </w:pPr>
      <w:r>
        <w:t xml:space="preserve">Short stature associated with biochemical growth hormone deficiency </w:t>
      </w:r>
    </w:p>
    <w:p w14:paraId="71A46DED" w14:textId="6F6389D5" w:rsidR="00F60E07" w:rsidRDefault="00F60E07" w:rsidP="00F60E07">
      <w:pPr>
        <w:pStyle w:val="ListParagraph"/>
        <w:numPr>
          <w:ilvl w:val="0"/>
          <w:numId w:val="16"/>
        </w:numPr>
      </w:pPr>
      <w:r>
        <w:t>Growth retardation secondary to an intracranial lesion, or cranial irradiation</w:t>
      </w:r>
    </w:p>
    <w:p w14:paraId="4C1A229F" w14:textId="77777777" w:rsidR="00F60E07" w:rsidRDefault="00F60E07" w:rsidP="00F60E07">
      <w:pPr>
        <w:pStyle w:val="ListParagraph"/>
        <w:numPr>
          <w:ilvl w:val="0"/>
          <w:numId w:val="16"/>
        </w:numPr>
      </w:pPr>
      <w:r>
        <w:t>Risk of hypoglycaemia secondary to growth hormone deficiency in neonates/infants</w:t>
      </w:r>
    </w:p>
    <w:p w14:paraId="21AEFB9D" w14:textId="77777777" w:rsidR="00F60E07" w:rsidRDefault="00F60E07" w:rsidP="00F60E07">
      <w:pPr>
        <w:pStyle w:val="ListParagraph"/>
        <w:numPr>
          <w:ilvl w:val="0"/>
          <w:numId w:val="16"/>
        </w:numPr>
      </w:pPr>
      <w:r>
        <w:t xml:space="preserve">Biochemical growth hormone deficiency and precocious puberty </w:t>
      </w:r>
    </w:p>
    <w:p w14:paraId="50F7854F" w14:textId="3FC793E3" w:rsidR="00F60E07" w:rsidRDefault="00F60E07" w:rsidP="00F60E07">
      <w:pPr>
        <w:pStyle w:val="ListParagraph"/>
        <w:numPr>
          <w:ilvl w:val="0"/>
          <w:numId w:val="16"/>
        </w:numPr>
      </w:pPr>
      <w:r>
        <w:t xml:space="preserve">Hypothalamic-pituitary disease secondary to a structural lesion, with hypothalamic obesity driven growth </w:t>
      </w:r>
    </w:p>
    <w:p w14:paraId="42C20848" w14:textId="77777777" w:rsidR="00F60E07" w:rsidRDefault="00F60E07" w:rsidP="00F60E07">
      <w:pPr>
        <w:pStyle w:val="ListParagraph"/>
        <w:numPr>
          <w:ilvl w:val="0"/>
          <w:numId w:val="16"/>
        </w:numPr>
      </w:pPr>
      <w:r>
        <w:t>Short stature associated with Turner syndrome</w:t>
      </w:r>
    </w:p>
    <w:p w14:paraId="28C4912B" w14:textId="77777777" w:rsidR="00F60E07" w:rsidRDefault="00F60E07" w:rsidP="00F60E07">
      <w:pPr>
        <w:pStyle w:val="ListParagraph"/>
        <w:numPr>
          <w:ilvl w:val="0"/>
          <w:numId w:val="16"/>
        </w:numPr>
      </w:pPr>
      <w:r>
        <w:t xml:space="preserve">Short stature due to short stature </w:t>
      </w:r>
      <w:proofErr w:type="spellStart"/>
      <w:r>
        <w:t>homeobox</w:t>
      </w:r>
      <w:proofErr w:type="spellEnd"/>
      <w:r>
        <w:t xml:space="preserve"> (SHOX) gene disorders </w:t>
      </w:r>
    </w:p>
    <w:p w14:paraId="1801DE63" w14:textId="77777777" w:rsidR="00F60E07" w:rsidRDefault="00F60E07" w:rsidP="00F60E07">
      <w:pPr>
        <w:pStyle w:val="ListParagraph"/>
        <w:numPr>
          <w:ilvl w:val="0"/>
          <w:numId w:val="16"/>
        </w:numPr>
      </w:pPr>
      <w:r>
        <w:t xml:space="preserve">Short stature associated with chronic renal insufficiency </w:t>
      </w:r>
    </w:p>
    <w:p w14:paraId="1ABD458C" w14:textId="77777777" w:rsidR="00F60E07" w:rsidRDefault="00F60E07" w:rsidP="00F60E07">
      <w:r>
        <w:t xml:space="preserve">Treatment phases: </w:t>
      </w:r>
    </w:p>
    <w:p w14:paraId="6A21CD92" w14:textId="77777777" w:rsidR="00F60E07" w:rsidRDefault="00F60E07" w:rsidP="00F60E07">
      <w:pPr>
        <w:pStyle w:val="ListParagraph"/>
        <w:numPr>
          <w:ilvl w:val="0"/>
          <w:numId w:val="18"/>
        </w:numPr>
      </w:pPr>
      <w:r>
        <w:t>Initial treatment</w:t>
      </w:r>
    </w:p>
    <w:p w14:paraId="2DD83F58" w14:textId="77777777" w:rsidR="00F60E07" w:rsidRDefault="00F60E07" w:rsidP="00F60E07">
      <w:pPr>
        <w:pStyle w:val="ListParagraph"/>
        <w:numPr>
          <w:ilvl w:val="0"/>
          <w:numId w:val="18"/>
        </w:numPr>
      </w:pPr>
      <w:r>
        <w:t xml:space="preserve">Continuing treatment </w:t>
      </w:r>
    </w:p>
    <w:p w14:paraId="5C02DC9F" w14:textId="77777777" w:rsidR="00F60E07" w:rsidRDefault="00F60E07" w:rsidP="00F60E07">
      <w:pPr>
        <w:pStyle w:val="ListParagraph"/>
        <w:numPr>
          <w:ilvl w:val="0"/>
          <w:numId w:val="18"/>
        </w:numPr>
      </w:pPr>
      <w:r>
        <w:t xml:space="preserve">Continuing treatment as a reclassified patient </w:t>
      </w:r>
    </w:p>
    <w:p w14:paraId="74D6AECD" w14:textId="77777777" w:rsidR="00F60E07" w:rsidRDefault="00F60E07" w:rsidP="00F60E07">
      <w:pPr>
        <w:pStyle w:val="ListParagraph"/>
        <w:numPr>
          <w:ilvl w:val="0"/>
          <w:numId w:val="18"/>
        </w:numPr>
      </w:pPr>
      <w:r>
        <w:lastRenderedPageBreak/>
        <w:t xml:space="preserve">Recommencement of treatment </w:t>
      </w:r>
    </w:p>
    <w:p w14:paraId="6AFCF604" w14:textId="0EC363DE" w:rsidR="00F60E07" w:rsidRDefault="00F60E07" w:rsidP="00F60E07">
      <w:pPr>
        <w:pStyle w:val="ListParagraph"/>
        <w:numPr>
          <w:ilvl w:val="0"/>
          <w:numId w:val="18"/>
        </w:numPr>
      </w:pPr>
      <w:r>
        <w:t xml:space="preserve">Recommencement of treatment as a reclassified patient </w:t>
      </w:r>
    </w:p>
    <w:p w14:paraId="3E7D82F1" w14:textId="170C2925" w:rsidR="0063432F" w:rsidRDefault="0063432F" w:rsidP="0063432F">
      <w:r>
        <w:t xml:space="preserve">For </w:t>
      </w:r>
      <w:r w:rsidR="00D55A11">
        <w:t xml:space="preserve">the indication </w:t>
      </w:r>
      <w:r>
        <w:t xml:space="preserve">severe growth hormone deficiency, the treatment phases are: </w:t>
      </w:r>
    </w:p>
    <w:p w14:paraId="78DAFD49" w14:textId="39DF3644" w:rsidR="00EE3CF4" w:rsidRDefault="00EE3CF4" w:rsidP="00A70588">
      <w:pPr>
        <w:pStyle w:val="ListParagraph"/>
        <w:numPr>
          <w:ilvl w:val="0"/>
          <w:numId w:val="18"/>
        </w:numPr>
      </w:pPr>
      <w:r>
        <w:t xml:space="preserve">Initial treatment of adult onset growth hormone deficiency </w:t>
      </w:r>
    </w:p>
    <w:p w14:paraId="2C45D546" w14:textId="502DC23D" w:rsidR="00EE3CF4" w:rsidRDefault="00EE3CF4" w:rsidP="0063432F">
      <w:pPr>
        <w:pStyle w:val="ListParagraph"/>
        <w:numPr>
          <w:ilvl w:val="0"/>
          <w:numId w:val="18"/>
        </w:numPr>
      </w:pPr>
      <w:r>
        <w:t xml:space="preserve">Initial treatment of childhood onset growth hormone deficiency in a patient who has received PBS-subsidised treatment as a child </w:t>
      </w:r>
    </w:p>
    <w:p w14:paraId="563781F3" w14:textId="1414A325" w:rsidR="00A70588" w:rsidRDefault="0063432F" w:rsidP="00A70588">
      <w:pPr>
        <w:pStyle w:val="ListParagraph"/>
        <w:numPr>
          <w:ilvl w:val="0"/>
          <w:numId w:val="18"/>
        </w:numPr>
      </w:pPr>
      <w:r>
        <w:t>Initial treatment of childhood onset growth hormone deficiency in a patient who has received non-PBS subsidised treatment as a child</w:t>
      </w:r>
      <w:r w:rsidR="00A70588" w:rsidRPr="00A70588">
        <w:t xml:space="preserve"> </w:t>
      </w:r>
    </w:p>
    <w:p w14:paraId="4BACC4F2" w14:textId="6D6EFEF2" w:rsidR="00A70588" w:rsidRDefault="00A70588" w:rsidP="00A70588">
      <w:pPr>
        <w:pStyle w:val="ListParagraph"/>
        <w:numPr>
          <w:ilvl w:val="0"/>
          <w:numId w:val="18"/>
        </w:numPr>
      </w:pPr>
      <w:r>
        <w:t xml:space="preserve">Continuing treatment in a person with a mature skeleton or aged 18 years or older </w:t>
      </w:r>
    </w:p>
    <w:p w14:paraId="0576E7ED" w14:textId="77777777" w:rsidR="00F60E07" w:rsidRPr="008161CB" w:rsidRDefault="00F60E07" w:rsidP="00F60E07">
      <w:r>
        <w:t xml:space="preserve">The prescriber is required to calculate each patient’s weekly dose and the number of cartridges required for the treatment phase based on the product information for information on indication, usage, dosage and administration. A </w:t>
      </w:r>
      <w:hyperlink r:id="rId11" w:history="1">
        <w:r w:rsidRPr="009E3FCE">
          <w:rPr>
            <w:rStyle w:val="Hyperlink"/>
          </w:rPr>
          <w:t>Paediatric Dose and Cartridge Quantity Calculator</w:t>
        </w:r>
      </w:hyperlink>
      <w:r>
        <w:t xml:space="preserve"> is recommended for use.  </w:t>
      </w:r>
    </w:p>
    <w:p w14:paraId="3DAC14F0" w14:textId="77777777" w:rsidR="00F60E07" w:rsidRPr="00AF71F5" w:rsidRDefault="00F60E07" w:rsidP="00F60E07">
      <w:pPr>
        <w:rPr>
          <w:b/>
        </w:rPr>
      </w:pPr>
      <w:r w:rsidRPr="00AF71F5">
        <w:rPr>
          <w:b/>
        </w:rPr>
        <w:t>Adults</w:t>
      </w:r>
    </w:p>
    <w:p w14:paraId="0DAC0A9D" w14:textId="77777777" w:rsidR="00F60E07" w:rsidRDefault="00F60E07" w:rsidP="00F60E07">
      <w:r>
        <w:t xml:space="preserve">An adult is defined as a person who: </w:t>
      </w:r>
    </w:p>
    <w:p w14:paraId="1C1FF132" w14:textId="77777777" w:rsidR="00F60E07" w:rsidRDefault="00F60E07" w:rsidP="00F60E07">
      <w:pPr>
        <w:pStyle w:val="ListParagraph"/>
        <w:numPr>
          <w:ilvl w:val="0"/>
          <w:numId w:val="11"/>
        </w:numPr>
      </w:pPr>
      <w:r>
        <w:t xml:space="preserve">Is 18 years of age or older and has adult onset growth hormone deficiency; or </w:t>
      </w:r>
    </w:p>
    <w:p w14:paraId="1074BB92" w14:textId="77777777" w:rsidR="00F60E07" w:rsidRDefault="00F60E07" w:rsidP="00F60E07">
      <w:pPr>
        <w:pStyle w:val="ListParagraph"/>
        <w:numPr>
          <w:ilvl w:val="0"/>
          <w:numId w:val="11"/>
        </w:numPr>
      </w:pPr>
      <w:r>
        <w:t xml:space="preserve">Has a mature skeleton; or </w:t>
      </w:r>
    </w:p>
    <w:p w14:paraId="694C908D" w14:textId="77777777" w:rsidR="00F60E07" w:rsidRDefault="00F60E07" w:rsidP="00F60E07">
      <w:pPr>
        <w:pStyle w:val="ListParagraph"/>
        <w:numPr>
          <w:ilvl w:val="0"/>
          <w:numId w:val="11"/>
        </w:numPr>
      </w:pPr>
      <w:r>
        <w:t xml:space="preserve">Has a diagnosis of </w:t>
      </w:r>
      <w:proofErr w:type="spellStart"/>
      <w:r>
        <w:t>Prader</w:t>
      </w:r>
      <w:proofErr w:type="spellEnd"/>
      <w:r>
        <w:t>-Willi syndrome and is aged 18 years or older.</w:t>
      </w:r>
    </w:p>
    <w:p w14:paraId="39525A1F" w14:textId="77777777" w:rsidR="00F60E07" w:rsidRDefault="00F60E07" w:rsidP="00F60E07">
      <w:r>
        <w:t xml:space="preserve">Initial treatment must be prescribed by an endocrinologist. Continuing treatment must be prescribed by an endocrinologist or in consultation with an endocrinologist. </w:t>
      </w:r>
    </w:p>
    <w:p w14:paraId="27583C7E" w14:textId="77777777" w:rsidR="00F60E07" w:rsidRDefault="00F60E07" w:rsidP="00F60E07">
      <w:r>
        <w:t>Provocation tests required to support an authority application:</w:t>
      </w:r>
    </w:p>
    <w:p w14:paraId="7F157075" w14:textId="77777777" w:rsidR="00F60E07" w:rsidRDefault="00F60E07" w:rsidP="00F60E07">
      <w:pPr>
        <w:pStyle w:val="ListParagraph"/>
        <w:numPr>
          <w:ilvl w:val="0"/>
          <w:numId w:val="13"/>
        </w:numPr>
      </w:pPr>
      <w:r>
        <w:t xml:space="preserve">Current of historical evidence of an insulin tolerance test with maximum serum growth hormone (GH) less than 2.5 micrograms per litre; or </w:t>
      </w:r>
    </w:p>
    <w:p w14:paraId="74882BAA" w14:textId="77777777" w:rsidR="00F60E07" w:rsidRDefault="00F60E07" w:rsidP="00F60E07">
      <w:pPr>
        <w:pStyle w:val="ListParagraph"/>
        <w:numPr>
          <w:ilvl w:val="0"/>
          <w:numId w:val="13"/>
        </w:numPr>
      </w:pPr>
      <w:r>
        <w:t xml:space="preserve">Current or historical evidence of an arginine infusion test with maximum serum GH less than 0.4 micrograms per litre; or </w:t>
      </w:r>
    </w:p>
    <w:p w14:paraId="27002001" w14:textId="77777777" w:rsidR="00F60E07" w:rsidRDefault="00F60E07" w:rsidP="00F60E07">
      <w:pPr>
        <w:pStyle w:val="ListParagraph"/>
        <w:numPr>
          <w:ilvl w:val="0"/>
          <w:numId w:val="13"/>
        </w:numPr>
      </w:pPr>
      <w:r>
        <w:t xml:space="preserve">Current or historical evidence of a glucagon provocation test maximum serum FH less than 3 micrograms per litre. </w:t>
      </w:r>
    </w:p>
    <w:p w14:paraId="4AD89AF5" w14:textId="0135C7F3" w:rsidR="00F60E07" w:rsidRDefault="00323E3C" w:rsidP="00F60E07">
      <w:r>
        <w:t xml:space="preserve">Childhood onset growth hormone deficiency (CO-GHD) </w:t>
      </w:r>
      <w:r w:rsidR="00F60E07">
        <w:t xml:space="preserve">patients due to a congenital, genetic or structural cause who have previously received PBS-subsidised therapy as children are no longer required to provide provocation tests to meet the eligibility criteria for adult use </w:t>
      </w:r>
      <w:proofErr w:type="spellStart"/>
      <w:r w:rsidR="00F60E07">
        <w:t>somatropin</w:t>
      </w:r>
      <w:proofErr w:type="spellEnd"/>
      <w:r w:rsidR="00F60E07">
        <w:t xml:space="preserve"> as evidence of growth hormone deficiency was provided in childhood. </w:t>
      </w:r>
    </w:p>
    <w:p w14:paraId="72BD859D" w14:textId="77777777" w:rsidR="00F60E07" w:rsidRPr="00AF71F5" w:rsidRDefault="00F60E07" w:rsidP="00F60E07">
      <w:pPr>
        <w:rPr>
          <w:b/>
        </w:rPr>
      </w:pPr>
      <w:r w:rsidRPr="00AF71F5">
        <w:rPr>
          <w:b/>
        </w:rPr>
        <w:t>Children</w:t>
      </w:r>
    </w:p>
    <w:p w14:paraId="6BBBC55A" w14:textId="77777777" w:rsidR="00F60E07" w:rsidRDefault="00F60E07" w:rsidP="00F60E07">
      <w:r>
        <w:t xml:space="preserve">A child means a person who: </w:t>
      </w:r>
    </w:p>
    <w:p w14:paraId="1D8F0E80" w14:textId="77777777" w:rsidR="00F60E07" w:rsidRDefault="00F60E07" w:rsidP="00F60E07">
      <w:pPr>
        <w:pStyle w:val="ListParagraph"/>
        <w:numPr>
          <w:ilvl w:val="0"/>
          <w:numId w:val="12"/>
        </w:numPr>
      </w:pPr>
      <w:r>
        <w:t xml:space="preserve">Is not an adult; or </w:t>
      </w:r>
    </w:p>
    <w:p w14:paraId="142C0145" w14:textId="77777777" w:rsidR="00F60E07" w:rsidRDefault="00F60E07" w:rsidP="00F60E07">
      <w:pPr>
        <w:pStyle w:val="ListParagraph"/>
        <w:numPr>
          <w:ilvl w:val="0"/>
          <w:numId w:val="12"/>
        </w:numPr>
      </w:pPr>
      <w:r>
        <w:t xml:space="preserve">Has a diagnosis of </w:t>
      </w:r>
      <w:proofErr w:type="spellStart"/>
      <w:r>
        <w:t>Prader</w:t>
      </w:r>
      <w:proofErr w:type="spellEnd"/>
      <w:r>
        <w:t xml:space="preserve">-Willi syndrome and is less than 18 years of age. </w:t>
      </w:r>
    </w:p>
    <w:p w14:paraId="77397374" w14:textId="77777777" w:rsidR="00F60E07" w:rsidRDefault="00F60E07" w:rsidP="00F60E07">
      <w:r>
        <w:lastRenderedPageBreak/>
        <w:t xml:space="preserve">Treatment must be prescribed by a specialist or consultant physician in paediatric endocrinology or a specialist or consultant physician in general paediatrics in consultation with a nominated specialist or consultant physician in paediatric endocrinology. </w:t>
      </w:r>
    </w:p>
    <w:p w14:paraId="064FC459" w14:textId="77777777" w:rsidR="00985E79" w:rsidRPr="005D15B1" w:rsidRDefault="00985E79" w:rsidP="00F60E07">
      <w:pPr>
        <w:pStyle w:val="NormalWeb"/>
        <w:shd w:val="clear" w:color="auto" w:fill="FFFFFF"/>
        <w:spacing w:before="0" w:beforeAutospacing="0" w:after="0" w:afterAutospacing="0" w:line="300" w:lineRule="atLeast"/>
        <w:rPr>
          <w:rFonts w:asciiTheme="minorHAnsi" w:hAnsiTheme="minorHAnsi" w:cstheme="minorHAnsi"/>
        </w:rPr>
      </w:pPr>
    </w:p>
    <w:p w14:paraId="4EDD1202" w14:textId="6CD04C84" w:rsidR="00F60E07" w:rsidRPr="006775F1" w:rsidDel="00EE2BBB" w:rsidRDefault="00F60E07" w:rsidP="00F60E07">
      <w:r>
        <w:t xml:space="preserve">Full restriction </w:t>
      </w:r>
      <w:r w:rsidR="00B24BF4">
        <w:t xml:space="preserve">details </w:t>
      </w:r>
      <w:r>
        <w:t xml:space="preserve">(clinical and treatment criteria) can be found on the </w:t>
      </w:r>
      <w:hyperlink r:id="rId12" w:history="1">
        <w:r w:rsidRPr="00AF71F5">
          <w:rPr>
            <w:rStyle w:val="Hyperlink"/>
          </w:rPr>
          <w:t>Section 100 Growth Hormone Program</w:t>
        </w:r>
      </w:hyperlink>
      <w:r>
        <w:t xml:space="preserve"> on the </w:t>
      </w:r>
      <w:hyperlink r:id="rId13" w:history="1">
        <w:r w:rsidRPr="00645D51" w:rsidDel="00EE2BBB">
          <w:rPr>
            <w:rStyle w:val="Hyperlink"/>
          </w:rPr>
          <w:t>PBS website</w:t>
        </w:r>
      </w:hyperlink>
      <w:r w:rsidDel="00EE2BBB">
        <w:rPr>
          <w:rStyle w:val="Hyperlink"/>
        </w:rPr>
        <w:t>.</w:t>
      </w:r>
    </w:p>
    <w:p w14:paraId="53C6F2EF" w14:textId="77777777" w:rsidR="00C22507" w:rsidRDefault="00C22507">
      <w:pPr>
        <w:spacing w:line="276" w:lineRule="auto"/>
        <w:rPr>
          <w:b/>
        </w:rPr>
      </w:pPr>
      <w:r>
        <w:br w:type="page"/>
      </w:r>
    </w:p>
    <w:p w14:paraId="3518D5DD" w14:textId="23281554" w:rsidR="00DF7ED5" w:rsidRDefault="00B53E04" w:rsidP="00A22CE3">
      <w:pPr>
        <w:pStyle w:val="Tabletitle"/>
      </w:pPr>
      <w:r>
        <w:lastRenderedPageBreak/>
        <w:t>Table 2</w:t>
      </w:r>
      <w:r w:rsidR="003325DF" w:rsidRPr="001420B3" w:rsidDel="00EE2BBB">
        <w:t xml:space="preserve">: </w:t>
      </w:r>
      <w:r w:rsidR="00DF7ED5">
        <w:t xml:space="preserve">PBS listing of </w:t>
      </w:r>
      <w:proofErr w:type="spellStart"/>
      <w:r w:rsidR="00F914D9">
        <w:t>somatropin</w:t>
      </w:r>
      <w:proofErr w:type="spellEnd"/>
      <w:r w:rsidR="00BA7269">
        <w:t xml:space="preserve"> as at April 2021</w:t>
      </w:r>
    </w:p>
    <w:tbl>
      <w:tblPr>
        <w:tblStyle w:val="TableGrid"/>
        <w:tblW w:w="9059" w:type="dxa"/>
        <w:tblLook w:val="04A0" w:firstRow="1" w:lastRow="0" w:firstColumn="1" w:lastColumn="0" w:noHBand="0" w:noVBand="1"/>
        <w:tblCaption w:val="Table 2: PBS listing of somatropin as at April 2021"/>
      </w:tblPr>
      <w:tblGrid>
        <w:gridCol w:w="969"/>
        <w:gridCol w:w="3560"/>
        <w:gridCol w:w="850"/>
        <w:gridCol w:w="709"/>
        <w:gridCol w:w="992"/>
        <w:gridCol w:w="1979"/>
      </w:tblGrid>
      <w:tr w:rsidR="00BA7269" w:rsidRPr="00BA7269" w14:paraId="51EA46D6" w14:textId="77777777" w:rsidTr="000B385E">
        <w:trPr>
          <w:tblHeader/>
        </w:trPr>
        <w:tc>
          <w:tcPr>
            <w:tcW w:w="969" w:type="dxa"/>
            <w:shd w:val="clear" w:color="auto" w:fill="BFBFBF" w:themeFill="background1" w:themeFillShade="BF"/>
          </w:tcPr>
          <w:p w14:paraId="6464DB05" w14:textId="410E075C" w:rsidR="00BA7269" w:rsidRPr="00BA7269" w:rsidRDefault="00BA7269" w:rsidP="00BA7269">
            <w:pPr>
              <w:pStyle w:val="Tabletitle"/>
              <w:spacing w:before="0"/>
              <w:rPr>
                <w:b w:val="0"/>
                <w:sz w:val="20"/>
                <w:szCs w:val="20"/>
              </w:rPr>
            </w:pPr>
            <w:r w:rsidRPr="00BA7269" w:rsidDel="00EE2BBB">
              <w:rPr>
                <w:sz w:val="20"/>
                <w:szCs w:val="20"/>
              </w:rPr>
              <w:t>Item</w:t>
            </w:r>
          </w:p>
        </w:tc>
        <w:tc>
          <w:tcPr>
            <w:tcW w:w="3560" w:type="dxa"/>
            <w:shd w:val="clear" w:color="auto" w:fill="BFBFBF" w:themeFill="background1" w:themeFillShade="BF"/>
          </w:tcPr>
          <w:p w14:paraId="0C332FA1" w14:textId="474B3F09" w:rsidR="00BA7269" w:rsidRPr="00BA7269" w:rsidRDefault="00BA7269" w:rsidP="00985E79">
            <w:pPr>
              <w:pStyle w:val="Tabletitle"/>
              <w:spacing w:before="0"/>
              <w:ind w:left="720" w:hanging="720"/>
              <w:rPr>
                <w:b w:val="0"/>
                <w:sz w:val="20"/>
                <w:szCs w:val="20"/>
              </w:rPr>
            </w:pPr>
            <w:r w:rsidRPr="00BA7269" w:rsidDel="00EE2BBB">
              <w:rPr>
                <w:sz w:val="20"/>
                <w:szCs w:val="20"/>
              </w:rPr>
              <w:t>Name, form &amp; strength, pack size</w:t>
            </w:r>
          </w:p>
        </w:tc>
        <w:tc>
          <w:tcPr>
            <w:tcW w:w="850" w:type="dxa"/>
            <w:shd w:val="clear" w:color="auto" w:fill="BFBFBF" w:themeFill="background1" w:themeFillShade="BF"/>
          </w:tcPr>
          <w:p w14:paraId="22B6DAAE" w14:textId="0F7539E7" w:rsidR="00BA7269" w:rsidRPr="00BA7269" w:rsidRDefault="00BA7269" w:rsidP="00BA7269">
            <w:pPr>
              <w:pStyle w:val="Tabletitle"/>
              <w:spacing w:before="0"/>
              <w:rPr>
                <w:b w:val="0"/>
                <w:sz w:val="20"/>
                <w:szCs w:val="20"/>
              </w:rPr>
            </w:pPr>
            <w:r w:rsidRPr="00BA7269" w:rsidDel="00EE2BBB">
              <w:rPr>
                <w:sz w:val="20"/>
                <w:szCs w:val="20"/>
              </w:rPr>
              <w:t xml:space="preserve">Max. quant. </w:t>
            </w:r>
          </w:p>
        </w:tc>
        <w:tc>
          <w:tcPr>
            <w:tcW w:w="709" w:type="dxa"/>
            <w:shd w:val="clear" w:color="auto" w:fill="BFBFBF" w:themeFill="background1" w:themeFillShade="BF"/>
          </w:tcPr>
          <w:p w14:paraId="5BEFF89C" w14:textId="1F3B1B27" w:rsidR="00BA7269" w:rsidRPr="00BA7269" w:rsidRDefault="00BA7269" w:rsidP="00BA7269">
            <w:pPr>
              <w:pStyle w:val="Tabletitle"/>
              <w:spacing w:before="0"/>
              <w:rPr>
                <w:b w:val="0"/>
                <w:sz w:val="20"/>
                <w:szCs w:val="20"/>
              </w:rPr>
            </w:pPr>
            <w:proofErr w:type="spellStart"/>
            <w:r w:rsidRPr="00BA7269" w:rsidDel="00EE2BBB">
              <w:rPr>
                <w:sz w:val="20"/>
                <w:szCs w:val="20"/>
              </w:rPr>
              <w:t>Rpts</w:t>
            </w:r>
            <w:proofErr w:type="spellEnd"/>
            <w:r w:rsidRPr="00BA7269" w:rsidDel="00EE2BBB">
              <w:rPr>
                <w:sz w:val="20"/>
                <w:szCs w:val="20"/>
              </w:rPr>
              <w:t xml:space="preserve"> </w:t>
            </w:r>
          </w:p>
        </w:tc>
        <w:tc>
          <w:tcPr>
            <w:tcW w:w="992" w:type="dxa"/>
            <w:shd w:val="clear" w:color="auto" w:fill="BFBFBF" w:themeFill="background1" w:themeFillShade="BF"/>
          </w:tcPr>
          <w:p w14:paraId="202169BE" w14:textId="398D5E8A" w:rsidR="00BA7269" w:rsidRPr="00BA7269" w:rsidRDefault="00BA7269" w:rsidP="00BA7269">
            <w:pPr>
              <w:pStyle w:val="Tabletitle"/>
              <w:spacing w:before="0"/>
              <w:rPr>
                <w:b w:val="0"/>
                <w:sz w:val="20"/>
                <w:szCs w:val="20"/>
              </w:rPr>
            </w:pPr>
            <w:r w:rsidRPr="00BA7269" w:rsidDel="00EE2BBB">
              <w:rPr>
                <w:sz w:val="20"/>
                <w:szCs w:val="20"/>
              </w:rPr>
              <w:t>DPMQ</w:t>
            </w:r>
          </w:p>
        </w:tc>
        <w:tc>
          <w:tcPr>
            <w:tcW w:w="1979" w:type="dxa"/>
            <w:shd w:val="clear" w:color="auto" w:fill="BFBFBF" w:themeFill="background1" w:themeFillShade="BF"/>
          </w:tcPr>
          <w:p w14:paraId="3CE2552C" w14:textId="7F70B6E2" w:rsidR="00BA7269" w:rsidRPr="00BA7269" w:rsidRDefault="00BA7269" w:rsidP="00BA7269">
            <w:pPr>
              <w:pStyle w:val="Tabletitle"/>
              <w:spacing w:before="0"/>
              <w:rPr>
                <w:b w:val="0"/>
                <w:sz w:val="20"/>
                <w:szCs w:val="20"/>
              </w:rPr>
            </w:pPr>
            <w:r w:rsidRPr="00BA7269" w:rsidDel="00EE2BBB">
              <w:rPr>
                <w:sz w:val="20"/>
                <w:szCs w:val="20"/>
              </w:rPr>
              <w:t>Brand name and manufacturer</w:t>
            </w:r>
          </w:p>
        </w:tc>
      </w:tr>
      <w:tr w:rsidR="00BA7269" w:rsidRPr="00BA7269" w14:paraId="2C6C0205" w14:textId="77777777" w:rsidTr="000B385E">
        <w:tc>
          <w:tcPr>
            <w:tcW w:w="969" w:type="dxa"/>
          </w:tcPr>
          <w:p w14:paraId="22250BBE" w14:textId="77777777" w:rsidR="00BA7269" w:rsidRPr="00BA7269" w:rsidRDefault="00BA7269" w:rsidP="00BA7269">
            <w:pPr>
              <w:pStyle w:val="Tablewriting"/>
              <w:keepNext/>
              <w:keepLines/>
              <w:widowControl w:val="0"/>
              <w:spacing w:before="0"/>
            </w:pPr>
            <w:r w:rsidRPr="00BA7269">
              <w:t>10902T</w:t>
            </w:r>
          </w:p>
          <w:p w14:paraId="02403372" w14:textId="77777777" w:rsidR="00BA7269" w:rsidRPr="00BA7269" w:rsidRDefault="00BA7269" w:rsidP="00BA7269">
            <w:pPr>
              <w:pStyle w:val="Tablewriting"/>
              <w:keepNext/>
              <w:keepLines/>
              <w:widowControl w:val="0"/>
              <w:spacing w:before="0"/>
            </w:pPr>
            <w:r w:rsidRPr="00BA7269">
              <w:t>10891F</w:t>
            </w:r>
          </w:p>
          <w:p w14:paraId="23AC4F05" w14:textId="74025176" w:rsidR="00BA7269" w:rsidRPr="00BA7269" w:rsidRDefault="00BA7269" w:rsidP="00BA7269">
            <w:pPr>
              <w:pStyle w:val="Tabletitle"/>
              <w:spacing w:before="0"/>
              <w:rPr>
                <w:b w:val="0"/>
                <w:sz w:val="20"/>
                <w:szCs w:val="20"/>
              </w:rPr>
            </w:pPr>
            <w:r w:rsidRPr="00BA7269">
              <w:rPr>
                <w:b w:val="0"/>
                <w:sz w:val="20"/>
                <w:szCs w:val="20"/>
              </w:rPr>
              <w:t>10908D</w:t>
            </w:r>
          </w:p>
        </w:tc>
        <w:tc>
          <w:tcPr>
            <w:tcW w:w="3560" w:type="dxa"/>
          </w:tcPr>
          <w:p w14:paraId="24602D0A" w14:textId="17FC0CCA"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400 microgram injection [1 chamber] (&amp;) inert substance diluent [0.25 mL chamber], 7 dual chamber syringes </w:t>
            </w:r>
          </w:p>
        </w:tc>
        <w:tc>
          <w:tcPr>
            <w:tcW w:w="850" w:type="dxa"/>
          </w:tcPr>
          <w:p w14:paraId="18AC9148" w14:textId="3B836199"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2F4E36EC" w14:textId="3A43F79C"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669DC550" w14:textId="5C7EEB05" w:rsidR="00BA7269" w:rsidRPr="00BA7269" w:rsidRDefault="00BA7269" w:rsidP="00BA7269">
            <w:pPr>
              <w:pStyle w:val="Tabletitle"/>
              <w:spacing w:before="0"/>
              <w:rPr>
                <w:b w:val="0"/>
                <w:sz w:val="20"/>
                <w:szCs w:val="20"/>
              </w:rPr>
            </w:pPr>
            <w:r w:rsidRPr="00BA7269">
              <w:rPr>
                <w:b w:val="0"/>
                <w:sz w:val="20"/>
                <w:szCs w:val="20"/>
              </w:rPr>
              <w:t>$128.82</w:t>
            </w:r>
          </w:p>
        </w:tc>
        <w:tc>
          <w:tcPr>
            <w:tcW w:w="1979" w:type="dxa"/>
            <w:vMerge w:val="restart"/>
          </w:tcPr>
          <w:p w14:paraId="0C0B065F" w14:textId="77777777" w:rsidR="00BA7269" w:rsidRPr="00BA7269" w:rsidRDefault="00BA7269" w:rsidP="00BA7269">
            <w:pPr>
              <w:pStyle w:val="Tablewriting"/>
              <w:keepNext/>
              <w:keepLines/>
              <w:widowControl w:val="0"/>
              <w:spacing w:before="0"/>
            </w:pPr>
            <w:proofErr w:type="spellStart"/>
            <w:r w:rsidRPr="00BA7269">
              <w:t>Genotropin</w:t>
            </w:r>
            <w:proofErr w:type="spellEnd"/>
            <w:r w:rsidRPr="00BA7269">
              <w:t xml:space="preserve"> Mini Quick </w:t>
            </w:r>
          </w:p>
          <w:p w14:paraId="1E001F0A" w14:textId="77777777" w:rsidR="00BA7269" w:rsidRPr="00BA7269" w:rsidRDefault="00BA7269" w:rsidP="00BA7269">
            <w:pPr>
              <w:pStyle w:val="Tablewriting"/>
              <w:keepNext/>
              <w:keepLines/>
              <w:widowControl w:val="0"/>
              <w:spacing w:before="0"/>
            </w:pPr>
            <w:r w:rsidRPr="00BA7269">
              <w:t>Pfizer Australia Pty Ltd</w:t>
            </w:r>
          </w:p>
          <w:p w14:paraId="4DA77623" w14:textId="77777777" w:rsidR="00BA7269" w:rsidRPr="00BA7269" w:rsidRDefault="00BA7269" w:rsidP="00BA7269">
            <w:pPr>
              <w:pStyle w:val="Tabletitle"/>
              <w:spacing w:before="0"/>
              <w:rPr>
                <w:b w:val="0"/>
                <w:sz w:val="20"/>
                <w:szCs w:val="20"/>
              </w:rPr>
            </w:pPr>
          </w:p>
        </w:tc>
      </w:tr>
      <w:tr w:rsidR="00BA7269" w:rsidRPr="00BA7269" w14:paraId="313F924A" w14:textId="77777777" w:rsidTr="000B385E">
        <w:tc>
          <w:tcPr>
            <w:tcW w:w="969" w:type="dxa"/>
          </w:tcPr>
          <w:p w14:paraId="733ED20A" w14:textId="77777777" w:rsidR="00BA7269" w:rsidRPr="00BA7269" w:rsidRDefault="00BA7269" w:rsidP="00BA7269">
            <w:pPr>
              <w:pStyle w:val="Tablewriting"/>
              <w:keepNext/>
              <w:keepLines/>
              <w:widowControl w:val="0"/>
            </w:pPr>
            <w:r w:rsidRPr="00BA7269">
              <w:t>9628R</w:t>
            </w:r>
          </w:p>
          <w:p w14:paraId="4C0CD0A7" w14:textId="77777777" w:rsidR="00BA7269" w:rsidRPr="00BA7269" w:rsidRDefault="00BA7269" w:rsidP="00BA7269">
            <w:pPr>
              <w:pStyle w:val="Tablewriting"/>
              <w:keepNext/>
              <w:keepLines/>
              <w:widowControl w:val="0"/>
            </w:pPr>
            <w:r w:rsidRPr="00BA7269">
              <w:t>10456H</w:t>
            </w:r>
          </w:p>
          <w:p w14:paraId="46964379" w14:textId="22AD7CCC" w:rsidR="00BA7269" w:rsidRPr="00BA7269" w:rsidRDefault="00BA7269" w:rsidP="00BA7269">
            <w:pPr>
              <w:pStyle w:val="Tabletitle"/>
              <w:spacing w:before="0"/>
              <w:rPr>
                <w:b w:val="0"/>
                <w:sz w:val="20"/>
                <w:szCs w:val="20"/>
              </w:rPr>
            </w:pPr>
            <w:r w:rsidRPr="00BA7269">
              <w:rPr>
                <w:b w:val="0"/>
                <w:sz w:val="20"/>
                <w:szCs w:val="20"/>
              </w:rPr>
              <w:t>10477K</w:t>
            </w:r>
          </w:p>
        </w:tc>
        <w:tc>
          <w:tcPr>
            <w:tcW w:w="3560" w:type="dxa"/>
          </w:tcPr>
          <w:p w14:paraId="0DA741A4" w14:textId="749967B0"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600 microgram injection [1 chamber] (&amp;) inert substance diluent [0.25 mL chamber], 7 dual chamber syringes</w:t>
            </w:r>
          </w:p>
        </w:tc>
        <w:tc>
          <w:tcPr>
            <w:tcW w:w="850" w:type="dxa"/>
          </w:tcPr>
          <w:p w14:paraId="648DEB65" w14:textId="3C2BB303"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338C7216" w14:textId="737F5F77"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2E017B27" w14:textId="787E4F37" w:rsidR="00BA7269" w:rsidRPr="00BA7269" w:rsidRDefault="00BA7269" w:rsidP="00BA7269">
            <w:pPr>
              <w:pStyle w:val="Tabletitle"/>
              <w:spacing w:before="0"/>
              <w:rPr>
                <w:b w:val="0"/>
                <w:sz w:val="20"/>
                <w:szCs w:val="20"/>
              </w:rPr>
            </w:pPr>
            <w:r w:rsidRPr="00BA7269">
              <w:rPr>
                <w:b w:val="0"/>
                <w:sz w:val="20"/>
                <w:szCs w:val="20"/>
              </w:rPr>
              <w:t>$189.37</w:t>
            </w:r>
          </w:p>
        </w:tc>
        <w:tc>
          <w:tcPr>
            <w:tcW w:w="1979" w:type="dxa"/>
            <w:vMerge/>
          </w:tcPr>
          <w:p w14:paraId="09DE53C0" w14:textId="77777777" w:rsidR="00BA7269" w:rsidRPr="00BA7269" w:rsidRDefault="00BA7269" w:rsidP="00BA7269">
            <w:pPr>
              <w:pStyle w:val="Tabletitle"/>
              <w:spacing w:before="0"/>
              <w:rPr>
                <w:b w:val="0"/>
                <w:sz w:val="20"/>
                <w:szCs w:val="20"/>
              </w:rPr>
            </w:pPr>
          </w:p>
        </w:tc>
      </w:tr>
      <w:tr w:rsidR="00BA7269" w:rsidRPr="00BA7269" w14:paraId="3B08EE45" w14:textId="77777777" w:rsidTr="000B385E">
        <w:tc>
          <w:tcPr>
            <w:tcW w:w="969" w:type="dxa"/>
          </w:tcPr>
          <w:p w14:paraId="24BC0E2D" w14:textId="77777777" w:rsidR="00BA7269" w:rsidRPr="00BA7269" w:rsidRDefault="00BA7269" w:rsidP="00BA7269">
            <w:pPr>
              <w:pStyle w:val="Tablewriting"/>
              <w:keepNext/>
              <w:keepLines/>
              <w:widowControl w:val="0"/>
            </w:pPr>
            <w:r w:rsidRPr="00BA7269">
              <w:t>6313G</w:t>
            </w:r>
          </w:p>
          <w:p w14:paraId="5D789E60" w14:textId="77777777" w:rsidR="00BA7269" w:rsidRPr="00BA7269" w:rsidRDefault="00BA7269" w:rsidP="00BA7269">
            <w:pPr>
              <w:pStyle w:val="Tablewriting"/>
              <w:keepNext/>
              <w:keepLines/>
              <w:widowControl w:val="0"/>
            </w:pPr>
            <w:r w:rsidRPr="00BA7269">
              <w:t>10479M</w:t>
            </w:r>
          </w:p>
          <w:p w14:paraId="044A588D" w14:textId="7760B465" w:rsidR="00BA7269" w:rsidRPr="00BA7269" w:rsidRDefault="00BA7269" w:rsidP="00BA7269">
            <w:pPr>
              <w:pStyle w:val="Tablewriting"/>
              <w:keepNext/>
              <w:keepLines/>
              <w:widowControl w:val="0"/>
            </w:pPr>
            <w:r w:rsidRPr="00BA7269">
              <w:t>10463Q</w:t>
            </w:r>
          </w:p>
        </w:tc>
        <w:tc>
          <w:tcPr>
            <w:tcW w:w="3560" w:type="dxa"/>
          </w:tcPr>
          <w:p w14:paraId="3333BAA4" w14:textId="53F579A1"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800 microgram injection [1 chamber] (&amp;) inert substance diluent [0.25 mL chamber], 7 dual chamber syringes</w:t>
            </w:r>
          </w:p>
        </w:tc>
        <w:tc>
          <w:tcPr>
            <w:tcW w:w="850" w:type="dxa"/>
          </w:tcPr>
          <w:p w14:paraId="628BFFDD" w14:textId="0B4807E8"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2FE3BCC5" w14:textId="656410C4"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4ECD923B" w14:textId="4AE425F7" w:rsidR="00BA7269" w:rsidRPr="00BA7269" w:rsidRDefault="00BA7269" w:rsidP="00BA7269">
            <w:pPr>
              <w:pStyle w:val="Tabletitle"/>
              <w:spacing w:before="0"/>
              <w:rPr>
                <w:b w:val="0"/>
                <w:sz w:val="20"/>
                <w:szCs w:val="20"/>
              </w:rPr>
            </w:pPr>
            <w:r w:rsidRPr="00BA7269">
              <w:rPr>
                <w:b w:val="0"/>
                <w:sz w:val="20"/>
                <w:szCs w:val="20"/>
              </w:rPr>
              <w:t>$249.90</w:t>
            </w:r>
          </w:p>
        </w:tc>
        <w:tc>
          <w:tcPr>
            <w:tcW w:w="1979" w:type="dxa"/>
            <w:vMerge/>
          </w:tcPr>
          <w:p w14:paraId="3F6FB1E8" w14:textId="77777777" w:rsidR="00BA7269" w:rsidRPr="00BA7269" w:rsidRDefault="00BA7269" w:rsidP="00BA7269">
            <w:pPr>
              <w:pStyle w:val="Tabletitle"/>
              <w:spacing w:before="0"/>
              <w:rPr>
                <w:b w:val="0"/>
                <w:sz w:val="20"/>
                <w:szCs w:val="20"/>
              </w:rPr>
            </w:pPr>
          </w:p>
        </w:tc>
      </w:tr>
      <w:tr w:rsidR="00BA7269" w:rsidRPr="00BA7269" w14:paraId="3EEB31CC" w14:textId="77777777" w:rsidTr="000B385E">
        <w:tc>
          <w:tcPr>
            <w:tcW w:w="969" w:type="dxa"/>
          </w:tcPr>
          <w:p w14:paraId="7785CA16" w14:textId="77777777" w:rsidR="00BA7269" w:rsidRPr="00BA7269" w:rsidRDefault="00BA7269" w:rsidP="00BA7269">
            <w:pPr>
              <w:pStyle w:val="Tablewriting"/>
              <w:keepNext/>
              <w:keepLines/>
              <w:widowControl w:val="0"/>
            </w:pPr>
            <w:r w:rsidRPr="00BA7269">
              <w:t>6314H</w:t>
            </w:r>
          </w:p>
          <w:p w14:paraId="62A69DC9" w14:textId="77777777" w:rsidR="00BA7269" w:rsidRPr="00BA7269" w:rsidRDefault="00BA7269" w:rsidP="00BA7269">
            <w:pPr>
              <w:pStyle w:val="Tablewriting"/>
              <w:keepNext/>
              <w:keepLines/>
              <w:widowControl w:val="0"/>
            </w:pPr>
            <w:r w:rsidRPr="00BA7269">
              <w:t>10480N</w:t>
            </w:r>
          </w:p>
          <w:p w14:paraId="12723413" w14:textId="2D000229" w:rsidR="00BA7269" w:rsidRPr="00BA7269" w:rsidRDefault="00BA7269" w:rsidP="00BA7269">
            <w:pPr>
              <w:pStyle w:val="Tablewriting"/>
              <w:keepNext/>
              <w:keepLines/>
              <w:widowControl w:val="0"/>
            </w:pPr>
            <w:r w:rsidRPr="00BA7269">
              <w:t>10430Y</w:t>
            </w:r>
          </w:p>
        </w:tc>
        <w:tc>
          <w:tcPr>
            <w:tcW w:w="3560" w:type="dxa"/>
          </w:tcPr>
          <w:p w14:paraId="42447865" w14:textId="745FA613"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1 mg injection [1 chamber] (&amp;) inert substance diluent [0.25 mL chamber], 7 dual chamber syringes</w:t>
            </w:r>
          </w:p>
        </w:tc>
        <w:tc>
          <w:tcPr>
            <w:tcW w:w="850" w:type="dxa"/>
          </w:tcPr>
          <w:p w14:paraId="57CB9D12" w14:textId="1473162D"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3955A856" w14:textId="1E2665C9"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2627BB31" w14:textId="421B94A7" w:rsidR="00BA7269" w:rsidRPr="00BA7269" w:rsidRDefault="00BA7269" w:rsidP="00BA7269">
            <w:pPr>
              <w:pStyle w:val="Tabletitle"/>
              <w:spacing w:before="0"/>
              <w:rPr>
                <w:b w:val="0"/>
                <w:sz w:val="20"/>
                <w:szCs w:val="20"/>
              </w:rPr>
            </w:pPr>
            <w:r w:rsidRPr="00BA7269">
              <w:rPr>
                <w:b w:val="0"/>
                <w:sz w:val="20"/>
                <w:szCs w:val="20"/>
              </w:rPr>
              <w:t>$310.44</w:t>
            </w:r>
          </w:p>
        </w:tc>
        <w:tc>
          <w:tcPr>
            <w:tcW w:w="1979" w:type="dxa"/>
            <w:vMerge/>
          </w:tcPr>
          <w:p w14:paraId="5D45195F" w14:textId="77777777" w:rsidR="00BA7269" w:rsidRPr="00BA7269" w:rsidRDefault="00BA7269" w:rsidP="00BA7269">
            <w:pPr>
              <w:pStyle w:val="Tabletitle"/>
              <w:spacing w:before="0"/>
              <w:rPr>
                <w:b w:val="0"/>
                <w:sz w:val="20"/>
                <w:szCs w:val="20"/>
              </w:rPr>
            </w:pPr>
          </w:p>
        </w:tc>
      </w:tr>
      <w:tr w:rsidR="00BA7269" w:rsidRPr="00BA7269" w14:paraId="76B5942D" w14:textId="77777777" w:rsidTr="000B385E">
        <w:tc>
          <w:tcPr>
            <w:tcW w:w="969" w:type="dxa"/>
          </w:tcPr>
          <w:p w14:paraId="358342AB" w14:textId="77777777" w:rsidR="00BA7269" w:rsidRPr="00BA7269" w:rsidRDefault="00BA7269" w:rsidP="00BA7269">
            <w:pPr>
              <w:pStyle w:val="Tablewriting"/>
              <w:keepNext/>
              <w:keepLines/>
              <w:widowControl w:val="0"/>
            </w:pPr>
            <w:r w:rsidRPr="00BA7269">
              <w:t>6315J</w:t>
            </w:r>
          </w:p>
          <w:p w14:paraId="07A173E4" w14:textId="77777777" w:rsidR="00BA7269" w:rsidRPr="00BA7269" w:rsidRDefault="00BA7269" w:rsidP="00BA7269">
            <w:pPr>
              <w:pStyle w:val="Tablewriting"/>
              <w:keepNext/>
              <w:keepLines/>
              <w:widowControl w:val="0"/>
            </w:pPr>
            <w:r w:rsidRPr="00BA7269">
              <w:t>10453E</w:t>
            </w:r>
          </w:p>
          <w:p w14:paraId="6EAFB47D" w14:textId="57E7962B" w:rsidR="00BA7269" w:rsidRPr="00BA7269" w:rsidRDefault="00BA7269" w:rsidP="00BA7269">
            <w:pPr>
              <w:pStyle w:val="Tablewriting"/>
              <w:keepNext/>
              <w:keepLines/>
              <w:widowControl w:val="0"/>
            </w:pPr>
            <w:r w:rsidRPr="00BA7269">
              <w:t>10457J</w:t>
            </w:r>
          </w:p>
        </w:tc>
        <w:tc>
          <w:tcPr>
            <w:tcW w:w="3560" w:type="dxa"/>
          </w:tcPr>
          <w:p w14:paraId="65AC1D23" w14:textId="6A78CD21"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1.2 mg injection [1 chamber] (&amp;) inert substance diluent [0.25 mL chamber], 7 dual chamber syringes</w:t>
            </w:r>
          </w:p>
        </w:tc>
        <w:tc>
          <w:tcPr>
            <w:tcW w:w="850" w:type="dxa"/>
          </w:tcPr>
          <w:p w14:paraId="16E6C021" w14:textId="37625F34"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2D65617F" w14:textId="53EB1D2A"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2559FEC2" w14:textId="7DCAB4D6" w:rsidR="00BA7269" w:rsidRPr="00BA7269" w:rsidRDefault="00BA7269" w:rsidP="00BA7269">
            <w:pPr>
              <w:pStyle w:val="Tabletitle"/>
              <w:spacing w:before="0"/>
              <w:rPr>
                <w:b w:val="0"/>
                <w:sz w:val="20"/>
                <w:szCs w:val="20"/>
              </w:rPr>
            </w:pPr>
            <w:r w:rsidRPr="00BA7269">
              <w:rPr>
                <w:b w:val="0"/>
                <w:sz w:val="20"/>
                <w:szCs w:val="20"/>
              </w:rPr>
              <w:t>$370.98</w:t>
            </w:r>
          </w:p>
        </w:tc>
        <w:tc>
          <w:tcPr>
            <w:tcW w:w="1979" w:type="dxa"/>
            <w:vMerge/>
          </w:tcPr>
          <w:p w14:paraId="088F261B" w14:textId="77777777" w:rsidR="00BA7269" w:rsidRPr="00BA7269" w:rsidRDefault="00BA7269" w:rsidP="00BA7269">
            <w:pPr>
              <w:pStyle w:val="Tabletitle"/>
              <w:spacing w:before="0"/>
              <w:rPr>
                <w:b w:val="0"/>
                <w:sz w:val="20"/>
                <w:szCs w:val="20"/>
              </w:rPr>
            </w:pPr>
          </w:p>
        </w:tc>
      </w:tr>
      <w:tr w:rsidR="00BA7269" w:rsidRPr="00BA7269" w14:paraId="28B53C95" w14:textId="77777777" w:rsidTr="000B385E">
        <w:tc>
          <w:tcPr>
            <w:tcW w:w="969" w:type="dxa"/>
          </w:tcPr>
          <w:p w14:paraId="49E42CAC" w14:textId="77777777" w:rsidR="00BA7269" w:rsidRPr="00BA7269" w:rsidRDefault="00BA7269" w:rsidP="00BA7269">
            <w:pPr>
              <w:pStyle w:val="Tablewriting"/>
              <w:keepNext/>
              <w:keepLines/>
              <w:widowControl w:val="0"/>
            </w:pPr>
            <w:r w:rsidRPr="00BA7269">
              <w:t>6316K</w:t>
            </w:r>
          </w:p>
          <w:p w14:paraId="5192A3F7" w14:textId="77777777" w:rsidR="00BA7269" w:rsidRPr="00BA7269" w:rsidRDefault="00BA7269" w:rsidP="00BA7269">
            <w:pPr>
              <w:pStyle w:val="Tablewriting"/>
              <w:keepNext/>
              <w:keepLines/>
              <w:widowControl w:val="0"/>
            </w:pPr>
            <w:r w:rsidRPr="00BA7269">
              <w:t>10488B</w:t>
            </w:r>
          </w:p>
          <w:p w14:paraId="6F6B0B54" w14:textId="01A920A3" w:rsidR="00BA7269" w:rsidRPr="00BA7269" w:rsidRDefault="00BA7269" w:rsidP="00BA7269">
            <w:pPr>
              <w:pStyle w:val="Tablewriting"/>
              <w:keepNext/>
              <w:keepLines/>
              <w:widowControl w:val="0"/>
            </w:pPr>
            <w:r w:rsidRPr="00BA7269">
              <w:t>10434E</w:t>
            </w:r>
          </w:p>
        </w:tc>
        <w:tc>
          <w:tcPr>
            <w:tcW w:w="3560" w:type="dxa"/>
          </w:tcPr>
          <w:p w14:paraId="789E8515" w14:textId="5055C1E4"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1.4 mg injection [1 chamber] (&amp;) inert substance diluent [0.25 mL chamber], 7 dual chamber syringes</w:t>
            </w:r>
          </w:p>
        </w:tc>
        <w:tc>
          <w:tcPr>
            <w:tcW w:w="850" w:type="dxa"/>
          </w:tcPr>
          <w:p w14:paraId="7464624C" w14:textId="04FC15E9"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4A1BFE90" w14:textId="55E12E8F"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2F01A504" w14:textId="3AC41684" w:rsidR="00BA7269" w:rsidRPr="00BA7269" w:rsidRDefault="00BA7269" w:rsidP="00BA7269">
            <w:pPr>
              <w:pStyle w:val="Tabletitle"/>
              <w:spacing w:before="0"/>
              <w:rPr>
                <w:b w:val="0"/>
                <w:sz w:val="20"/>
                <w:szCs w:val="20"/>
              </w:rPr>
            </w:pPr>
            <w:r w:rsidRPr="00BA7269">
              <w:rPr>
                <w:b w:val="0"/>
                <w:sz w:val="20"/>
                <w:szCs w:val="20"/>
              </w:rPr>
              <w:t>$431.52</w:t>
            </w:r>
          </w:p>
        </w:tc>
        <w:tc>
          <w:tcPr>
            <w:tcW w:w="1979" w:type="dxa"/>
            <w:vMerge/>
          </w:tcPr>
          <w:p w14:paraId="6D2467F6" w14:textId="77777777" w:rsidR="00BA7269" w:rsidRPr="00BA7269" w:rsidRDefault="00BA7269" w:rsidP="00BA7269">
            <w:pPr>
              <w:pStyle w:val="Tabletitle"/>
              <w:spacing w:before="0"/>
              <w:rPr>
                <w:b w:val="0"/>
                <w:sz w:val="20"/>
                <w:szCs w:val="20"/>
              </w:rPr>
            </w:pPr>
          </w:p>
        </w:tc>
      </w:tr>
      <w:tr w:rsidR="00BA7269" w:rsidRPr="00BA7269" w14:paraId="7D1045E7" w14:textId="77777777" w:rsidTr="000B385E">
        <w:tc>
          <w:tcPr>
            <w:tcW w:w="969" w:type="dxa"/>
          </w:tcPr>
          <w:p w14:paraId="5F2027F0" w14:textId="77777777" w:rsidR="00BA7269" w:rsidRPr="00BA7269" w:rsidRDefault="00BA7269" w:rsidP="00BA7269">
            <w:pPr>
              <w:pStyle w:val="Tablewriting"/>
              <w:keepNext/>
              <w:keepLines/>
              <w:widowControl w:val="0"/>
            </w:pPr>
            <w:r w:rsidRPr="00BA7269">
              <w:t>6317L</w:t>
            </w:r>
          </w:p>
          <w:p w14:paraId="6FA8FDAC" w14:textId="77777777" w:rsidR="00BA7269" w:rsidRPr="00BA7269" w:rsidRDefault="00BA7269" w:rsidP="00BA7269">
            <w:pPr>
              <w:pStyle w:val="Tablewriting"/>
              <w:keepNext/>
              <w:keepLines/>
              <w:widowControl w:val="0"/>
            </w:pPr>
            <w:r w:rsidRPr="00BA7269">
              <w:t>10454F</w:t>
            </w:r>
          </w:p>
          <w:p w14:paraId="4F441516" w14:textId="4118A75F" w:rsidR="00BA7269" w:rsidRPr="00BA7269" w:rsidRDefault="00BA7269" w:rsidP="00BA7269">
            <w:pPr>
              <w:pStyle w:val="Tablewriting"/>
              <w:keepNext/>
              <w:keepLines/>
              <w:widowControl w:val="0"/>
            </w:pPr>
            <w:r w:rsidRPr="00BA7269">
              <w:t>10498M</w:t>
            </w:r>
          </w:p>
        </w:tc>
        <w:tc>
          <w:tcPr>
            <w:tcW w:w="3560" w:type="dxa"/>
          </w:tcPr>
          <w:p w14:paraId="01E9DDB0" w14:textId="69D9B2F6"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1.6 mg injection [1 chamber] (&amp;) inert substance diluent [0.25 mL chamber], 7 dual chamber syringes</w:t>
            </w:r>
          </w:p>
        </w:tc>
        <w:tc>
          <w:tcPr>
            <w:tcW w:w="850" w:type="dxa"/>
          </w:tcPr>
          <w:p w14:paraId="03EA639C" w14:textId="5FB38432"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51FC13C4" w14:textId="04E36389"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4E8F2A99" w14:textId="226E2B6E" w:rsidR="00BA7269" w:rsidRPr="00BA7269" w:rsidRDefault="00BA7269" w:rsidP="00BA7269">
            <w:pPr>
              <w:pStyle w:val="Tabletitle"/>
              <w:spacing w:before="0"/>
              <w:rPr>
                <w:b w:val="0"/>
                <w:sz w:val="20"/>
                <w:szCs w:val="20"/>
              </w:rPr>
            </w:pPr>
            <w:r w:rsidRPr="00BA7269">
              <w:rPr>
                <w:b w:val="0"/>
                <w:sz w:val="20"/>
                <w:szCs w:val="20"/>
              </w:rPr>
              <w:t>$492.07</w:t>
            </w:r>
          </w:p>
        </w:tc>
        <w:tc>
          <w:tcPr>
            <w:tcW w:w="1979" w:type="dxa"/>
            <w:vMerge/>
          </w:tcPr>
          <w:p w14:paraId="6562096B" w14:textId="77777777" w:rsidR="00BA7269" w:rsidRPr="00BA7269" w:rsidRDefault="00BA7269" w:rsidP="00BA7269">
            <w:pPr>
              <w:pStyle w:val="Tabletitle"/>
              <w:spacing w:before="0"/>
              <w:rPr>
                <w:b w:val="0"/>
                <w:sz w:val="20"/>
                <w:szCs w:val="20"/>
              </w:rPr>
            </w:pPr>
          </w:p>
        </w:tc>
      </w:tr>
      <w:tr w:rsidR="00BA7269" w:rsidRPr="00BA7269" w14:paraId="19E99F10" w14:textId="77777777" w:rsidTr="000B385E">
        <w:tc>
          <w:tcPr>
            <w:tcW w:w="969" w:type="dxa"/>
          </w:tcPr>
          <w:p w14:paraId="362B1DFF" w14:textId="77777777" w:rsidR="00BA7269" w:rsidRPr="00BA7269" w:rsidRDefault="00BA7269" w:rsidP="00BA7269">
            <w:pPr>
              <w:pStyle w:val="Tablewriting"/>
              <w:keepNext/>
              <w:keepLines/>
              <w:widowControl w:val="0"/>
            </w:pPr>
            <w:r w:rsidRPr="00BA7269">
              <w:t>6318M</w:t>
            </w:r>
          </w:p>
          <w:p w14:paraId="2F2A96DB" w14:textId="77777777" w:rsidR="00BA7269" w:rsidRPr="00BA7269" w:rsidRDefault="00BA7269" w:rsidP="00BA7269">
            <w:pPr>
              <w:pStyle w:val="Tablewriting"/>
              <w:keepNext/>
              <w:keepLines/>
              <w:widowControl w:val="0"/>
            </w:pPr>
            <w:r w:rsidRPr="00BA7269">
              <w:t>10500P</w:t>
            </w:r>
          </w:p>
          <w:p w14:paraId="686BEA73" w14:textId="0FEA1386" w:rsidR="00BA7269" w:rsidRPr="00BA7269" w:rsidRDefault="00BA7269" w:rsidP="00BA7269">
            <w:pPr>
              <w:pStyle w:val="Tablewriting"/>
              <w:keepNext/>
              <w:keepLines/>
              <w:widowControl w:val="0"/>
            </w:pPr>
            <w:r w:rsidRPr="00BA7269">
              <w:t>10501Q</w:t>
            </w:r>
          </w:p>
        </w:tc>
        <w:tc>
          <w:tcPr>
            <w:tcW w:w="3560" w:type="dxa"/>
          </w:tcPr>
          <w:p w14:paraId="0F0E3717" w14:textId="21FBA57E"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1.8 mg injection [1 chamber] (&amp;) inert substance diluent [0.25 mL chamber], 7 dual chamber syringes</w:t>
            </w:r>
          </w:p>
        </w:tc>
        <w:tc>
          <w:tcPr>
            <w:tcW w:w="850" w:type="dxa"/>
          </w:tcPr>
          <w:p w14:paraId="2F6423C1" w14:textId="4E0893E3"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2FBC7802" w14:textId="3A1E3F63"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6C54B6D8" w14:textId="35727D3A" w:rsidR="00BA7269" w:rsidRPr="00BA7269" w:rsidRDefault="00BA7269" w:rsidP="00BA7269">
            <w:pPr>
              <w:pStyle w:val="Tabletitle"/>
              <w:spacing w:before="0"/>
              <w:rPr>
                <w:b w:val="0"/>
                <w:sz w:val="20"/>
                <w:szCs w:val="20"/>
              </w:rPr>
            </w:pPr>
            <w:r w:rsidRPr="00BA7269">
              <w:rPr>
                <w:b w:val="0"/>
                <w:sz w:val="20"/>
                <w:szCs w:val="20"/>
              </w:rPr>
              <w:t>$552.61</w:t>
            </w:r>
          </w:p>
        </w:tc>
        <w:tc>
          <w:tcPr>
            <w:tcW w:w="1979" w:type="dxa"/>
            <w:vMerge/>
          </w:tcPr>
          <w:p w14:paraId="08F77FAC" w14:textId="77777777" w:rsidR="00BA7269" w:rsidRPr="00BA7269" w:rsidRDefault="00BA7269" w:rsidP="00BA7269">
            <w:pPr>
              <w:pStyle w:val="Tabletitle"/>
              <w:spacing w:before="0"/>
              <w:rPr>
                <w:b w:val="0"/>
                <w:sz w:val="20"/>
                <w:szCs w:val="20"/>
              </w:rPr>
            </w:pPr>
          </w:p>
        </w:tc>
      </w:tr>
      <w:tr w:rsidR="00BA7269" w:rsidRPr="00BA7269" w14:paraId="0A17AC1A" w14:textId="77777777" w:rsidTr="000B385E">
        <w:tc>
          <w:tcPr>
            <w:tcW w:w="969" w:type="dxa"/>
          </w:tcPr>
          <w:p w14:paraId="5DECA94B" w14:textId="77777777" w:rsidR="00BA7269" w:rsidRPr="00BA7269" w:rsidRDefault="00BA7269" w:rsidP="00BA7269">
            <w:pPr>
              <w:pStyle w:val="Tablewriting"/>
              <w:keepNext/>
              <w:keepLines/>
              <w:widowControl w:val="0"/>
            </w:pPr>
            <w:r w:rsidRPr="00BA7269">
              <w:t>6319N</w:t>
            </w:r>
          </w:p>
          <w:p w14:paraId="5B278826" w14:textId="77777777" w:rsidR="00BA7269" w:rsidRPr="00BA7269" w:rsidRDefault="00BA7269" w:rsidP="00BA7269">
            <w:pPr>
              <w:pStyle w:val="Tablewriting"/>
              <w:keepNext/>
              <w:keepLines/>
              <w:widowControl w:val="0"/>
            </w:pPr>
            <w:r w:rsidRPr="00BA7269">
              <w:t>10428W</w:t>
            </w:r>
          </w:p>
          <w:p w14:paraId="2095BD56" w14:textId="169EF4D8" w:rsidR="00BA7269" w:rsidRPr="00BA7269" w:rsidRDefault="00BA7269" w:rsidP="00BA7269">
            <w:pPr>
              <w:pStyle w:val="Tablewriting"/>
              <w:keepNext/>
              <w:keepLines/>
              <w:widowControl w:val="0"/>
            </w:pPr>
            <w:r w:rsidRPr="00BA7269">
              <w:t>10472E</w:t>
            </w:r>
          </w:p>
        </w:tc>
        <w:tc>
          <w:tcPr>
            <w:tcW w:w="3560" w:type="dxa"/>
          </w:tcPr>
          <w:p w14:paraId="2B8D4BEF" w14:textId="6B23D08B" w:rsidR="00BA7269" w:rsidRPr="00BA7269" w:rsidRDefault="00BA7269" w:rsidP="00BA7269">
            <w:pPr>
              <w:pStyle w:val="Tabletitle"/>
              <w:spacing w:before="0"/>
              <w:rPr>
                <w:b w:val="0"/>
                <w:sz w:val="20"/>
                <w:szCs w:val="20"/>
              </w:rPr>
            </w:pPr>
            <w:proofErr w:type="spellStart"/>
            <w:r w:rsidRPr="00BA7269">
              <w:rPr>
                <w:b w:val="0"/>
                <w:sz w:val="20"/>
                <w:szCs w:val="20"/>
              </w:rPr>
              <w:t>Somatropin</w:t>
            </w:r>
            <w:proofErr w:type="spellEnd"/>
            <w:r w:rsidRPr="00BA7269">
              <w:rPr>
                <w:b w:val="0"/>
                <w:sz w:val="20"/>
                <w:szCs w:val="20"/>
              </w:rPr>
              <w:t xml:space="preserve"> 2 mg injection [1 chamber] (&amp;) inert substance diluent [0.25 mL chamber], 7 dual chamber syringes</w:t>
            </w:r>
          </w:p>
        </w:tc>
        <w:tc>
          <w:tcPr>
            <w:tcW w:w="850" w:type="dxa"/>
          </w:tcPr>
          <w:p w14:paraId="66A6D26F" w14:textId="580448AD" w:rsidR="00BA7269" w:rsidRPr="00BA7269" w:rsidRDefault="00BA7269" w:rsidP="00BA7269">
            <w:pPr>
              <w:pStyle w:val="Tabletitle"/>
              <w:spacing w:before="0"/>
              <w:rPr>
                <w:b w:val="0"/>
                <w:sz w:val="20"/>
                <w:szCs w:val="20"/>
              </w:rPr>
            </w:pPr>
            <w:r w:rsidRPr="00BA7269">
              <w:rPr>
                <w:b w:val="0"/>
                <w:sz w:val="20"/>
                <w:szCs w:val="20"/>
              </w:rPr>
              <w:t>7</w:t>
            </w:r>
          </w:p>
        </w:tc>
        <w:tc>
          <w:tcPr>
            <w:tcW w:w="709" w:type="dxa"/>
          </w:tcPr>
          <w:p w14:paraId="28E3D886" w14:textId="3764E925" w:rsidR="00BA7269" w:rsidRPr="00BA7269" w:rsidRDefault="00BA7269" w:rsidP="00BA7269">
            <w:pPr>
              <w:pStyle w:val="Tabletitle"/>
              <w:spacing w:before="0"/>
              <w:rPr>
                <w:b w:val="0"/>
                <w:sz w:val="20"/>
                <w:szCs w:val="20"/>
              </w:rPr>
            </w:pPr>
            <w:r w:rsidRPr="00BA7269">
              <w:rPr>
                <w:b w:val="0"/>
                <w:sz w:val="20"/>
                <w:szCs w:val="20"/>
              </w:rPr>
              <w:t>1</w:t>
            </w:r>
          </w:p>
        </w:tc>
        <w:tc>
          <w:tcPr>
            <w:tcW w:w="992" w:type="dxa"/>
          </w:tcPr>
          <w:p w14:paraId="47F64B3F" w14:textId="3550F12E" w:rsidR="00BA7269" w:rsidRPr="00BA7269" w:rsidRDefault="00BA7269" w:rsidP="00BA7269">
            <w:pPr>
              <w:pStyle w:val="Tabletitle"/>
              <w:spacing w:before="0"/>
              <w:rPr>
                <w:b w:val="0"/>
                <w:sz w:val="20"/>
                <w:szCs w:val="20"/>
              </w:rPr>
            </w:pPr>
            <w:r w:rsidRPr="00BA7269">
              <w:rPr>
                <w:b w:val="0"/>
                <w:sz w:val="20"/>
                <w:szCs w:val="20"/>
              </w:rPr>
              <w:t>$613.14</w:t>
            </w:r>
          </w:p>
        </w:tc>
        <w:tc>
          <w:tcPr>
            <w:tcW w:w="1979" w:type="dxa"/>
            <w:vMerge/>
          </w:tcPr>
          <w:p w14:paraId="4EB17D10" w14:textId="77777777" w:rsidR="00BA7269" w:rsidRPr="00BA7269" w:rsidRDefault="00BA7269" w:rsidP="00BA7269">
            <w:pPr>
              <w:pStyle w:val="Tabletitle"/>
              <w:spacing w:before="0"/>
              <w:rPr>
                <w:b w:val="0"/>
                <w:sz w:val="20"/>
                <w:szCs w:val="20"/>
              </w:rPr>
            </w:pPr>
          </w:p>
        </w:tc>
      </w:tr>
    </w:tbl>
    <w:p w14:paraId="43CB2602" w14:textId="77777777" w:rsidR="00BA7269" w:rsidRPr="00620BFE" w:rsidDel="00EE2BBB" w:rsidRDefault="00BA7269" w:rsidP="00620BFE"/>
    <w:tbl>
      <w:tblPr>
        <w:tblStyle w:val="TableGrid"/>
        <w:tblW w:w="9064" w:type="dxa"/>
        <w:tblLayout w:type="fixed"/>
        <w:tblLook w:val="04A0" w:firstRow="1" w:lastRow="0" w:firstColumn="1" w:lastColumn="0" w:noHBand="0" w:noVBand="1"/>
        <w:tblCaption w:val="Table 2: PBS listing of somatropin as at April 2021"/>
      </w:tblPr>
      <w:tblGrid>
        <w:gridCol w:w="969"/>
        <w:gridCol w:w="3562"/>
        <w:gridCol w:w="851"/>
        <w:gridCol w:w="709"/>
        <w:gridCol w:w="992"/>
        <w:gridCol w:w="1981"/>
      </w:tblGrid>
      <w:tr w:rsidR="00870A14" w:rsidRPr="00A35800" w:rsidDel="00EE2BBB" w14:paraId="5148FF0B" w14:textId="77777777" w:rsidTr="00F914D9">
        <w:trPr>
          <w:trHeight w:val="524"/>
          <w:tblHeader/>
        </w:trPr>
        <w:tc>
          <w:tcPr>
            <w:tcW w:w="969" w:type="dxa"/>
            <w:shd w:val="clear" w:color="auto" w:fill="auto"/>
          </w:tcPr>
          <w:p w14:paraId="605098CE" w14:textId="77777777" w:rsidR="00870A14" w:rsidRPr="00EF3F70" w:rsidRDefault="00870A14" w:rsidP="00F914D9">
            <w:pPr>
              <w:pStyle w:val="Tablewriting"/>
              <w:keepNext/>
              <w:keepLines/>
              <w:widowControl w:val="0"/>
            </w:pPr>
            <w:r w:rsidRPr="00EF3F70">
              <w:lastRenderedPageBreak/>
              <w:t>11895C*</w:t>
            </w:r>
          </w:p>
          <w:p w14:paraId="18534C70" w14:textId="77777777" w:rsidR="00870A14" w:rsidRPr="00EF3F70" w:rsidRDefault="00870A14" w:rsidP="00F914D9">
            <w:pPr>
              <w:pStyle w:val="Tablewriting"/>
              <w:keepNext/>
              <w:keepLines/>
              <w:widowControl w:val="0"/>
            </w:pPr>
            <w:r w:rsidRPr="00EF3F70">
              <w:t>5818F</w:t>
            </w:r>
          </w:p>
          <w:p w14:paraId="7246F164" w14:textId="77777777" w:rsidR="00870A14" w:rsidRPr="00EF3F70" w:rsidRDefault="00870A14" w:rsidP="00F914D9">
            <w:pPr>
              <w:pStyle w:val="Tablewriting"/>
              <w:keepNext/>
              <w:keepLines/>
              <w:widowControl w:val="0"/>
            </w:pPr>
            <w:r w:rsidRPr="00EF3F70">
              <w:t>10432C</w:t>
            </w:r>
          </w:p>
          <w:p w14:paraId="546CE0DE" w14:textId="3F268059" w:rsidR="00C34196" w:rsidRPr="00EF3F70" w:rsidDel="00EE2BBB" w:rsidRDefault="0070431B" w:rsidP="00F914D9">
            <w:pPr>
              <w:pStyle w:val="Tablewriting"/>
              <w:keepNext/>
              <w:keepLines/>
              <w:widowControl w:val="0"/>
            </w:pPr>
            <w:r w:rsidRPr="00EF3F70">
              <w:t>104</w:t>
            </w:r>
            <w:r w:rsidR="00870A14" w:rsidRPr="00EF3F70">
              <w:t>6</w:t>
            </w:r>
            <w:r w:rsidRPr="00EF3F70">
              <w:t>7</w:t>
            </w:r>
            <w:r w:rsidR="00870A14" w:rsidRPr="00EF3F70">
              <w:t>X</w:t>
            </w:r>
          </w:p>
        </w:tc>
        <w:tc>
          <w:tcPr>
            <w:tcW w:w="3562" w:type="dxa"/>
            <w:vMerge w:val="restart"/>
            <w:shd w:val="clear" w:color="auto" w:fill="auto"/>
          </w:tcPr>
          <w:p w14:paraId="6FFB859A" w14:textId="59A2BBBB" w:rsidR="00870A14" w:rsidRPr="00A35800" w:rsidDel="00EE2BBB" w:rsidRDefault="00870A14" w:rsidP="00F914D9">
            <w:pPr>
              <w:pStyle w:val="Tablewriting"/>
              <w:keepNext/>
              <w:keepLines/>
              <w:widowControl w:val="0"/>
            </w:pPr>
            <w:proofErr w:type="spellStart"/>
            <w:r>
              <w:t>Somatropin</w:t>
            </w:r>
            <w:proofErr w:type="spellEnd"/>
            <w:r>
              <w:t xml:space="preserve"> 5 mg/1.5 mL injection, 1.5 mL cartridge</w:t>
            </w:r>
          </w:p>
        </w:tc>
        <w:tc>
          <w:tcPr>
            <w:tcW w:w="851" w:type="dxa"/>
            <w:shd w:val="clear" w:color="auto" w:fill="auto"/>
          </w:tcPr>
          <w:p w14:paraId="7FF64C11" w14:textId="6BC20C11" w:rsidR="00870A14" w:rsidRDefault="00870A14" w:rsidP="00F914D9">
            <w:pPr>
              <w:pStyle w:val="Tablewriting"/>
              <w:keepNext/>
              <w:keepLines/>
              <w:widowControl w:val="0"/>
            </w:pPr>
            <w:r>
              <w:t>1*</w:t>
            </w:r>
          </w:p>
          <w:p w14:paraId="1F4166CC" w14:textId="7F14E72B" w:rsidR="00870A14" w:rsidRPr="00A35800" w:rsidDel="00EE2BBB" w:rsidRDefault="00870A14" w:rsidP="00F914D9">
            <w:pPr>
              <w:pStyle w:val="Tablewriting"/>
              <w:keepNext/>
              <w:keepLines/>
              <w:widowControl w:val="0"/>
            </w:pPr>
            <w:r>
              <w:t>1</w:t>
            </w:r>
          </w:p>
        </w:tc>
        <w:tc>
          <w:tcPr>
            <w:tcW w:w="709" w:type="dxa"/>
            <w:shd w:val="clear" w:color="auto" w:fill="auto"/>
          </w:tcPr>
          <w:p w14:paraId="32630BBD" w14:textId="0DB24FCB" w:rsidR="00870A14" w:rsidRDefault="00870A14" w:rsidP="00F914D9">
            <w:pPr>
              <w:pStyle w:val="Tablewriting"/>
              <w:keepNext/>
              <w:keepLines/>
              <w:widowControl w:val="0"/>
            </w:pPr>
            <w:r>
              <w:t>5*</w:t>
            </w:r>
          </w:p>
          <w:p w14:paraId="2B1171B5" w14:textId="42FDD8AC" w:rsidR="00870A14" w:rsidRPr="00A35800" w:rsidDel="00EE2BBB" w:rsidRDefault="00870A14" w:rsidP="00F914D9">
            <w:pPr>
              <w:pStyle w:val="Tablewriting"/>
              <w:keepNext/>
              <w:keepLines/>
              <w:widowControl w:val="0"/>
            </w:pPr>
            <w:r>
              <w:t>1</w:t>
            </w:r>
          </w:p>
        </w:tc>
        <w:tc>
          <w:tcPr>
            <w:tcW w:w="992" w:type="dxa"/>
            <w:shd w:val="clear" w:color="auto" w:fill="auto"/>
          </w:tcPr>
          <w:p w14:paraId="5743FF2D" w14:textId="34671051" w:rsidR="00870A14" w:rsidRPr="00A35800" w:rsidDel="00EE2BBB" w:rsidRDefault="00870A14" w:rsidP="00F914D9">
            <w:pPr>
              <w:pStyle w:val="Tablewriting"/>
              <w:keepNext/>
              <w:keepLines/>
              <w:widowControl w:val="0"/>
            </w:pPr>
            <w:r>
              <w:t xml:space="preserve">$217.25* $217.25 </w:t>
            </w:r>
          </w:p>
        </w:tc>
        <w:tc>
          <w:tcPr>
            <w:tcW w:w="1981" w:type="dxa"/>
            <w:shd w:val="clear" w:color="auto" w:fill="auto"/>
          </w:tcPr>
          <w:p w14:paraId="220C813E" w14:textId="2F198726" w:rsidR="00870A14" w:rsidRDefault="00057A6E" w:rsidP="00F914D9">
            <w:pPr>
              <w:pStyle w:val="Tablewriting"/>
              <w:keepNext/>
              <w:keepLines/>
              <w:widowControl w:val="0"/>
            </w:pPr>
            <w:proofErr w:type="spellStart"/>
            <w:r>
              <w:t>Norditropin</w:t>
            </w:r>
            <w:proofErr w:type="spellEnd"/>
            <w:r>
              <w:t xml:space="preserve"> </w:t>
            </w:r>
            <w:proofErr w:type="spellStart"/>
            <w:r>
              <w:t>Flex</w:t>
            </w:r>
            <w:r w:rsidR="00870A14">
              <w:t>Pro</w:t>
            </w:r>
            <w:proofErr w:type="spellEnd"/>
          </w:p>
          <w:p w14:paraId="66A133B1" w14:textId="2A407011" w:rsidR="00870A14" w:rsidRPr="00A35800" w:rsidDel="00EE2BBB" w:rsidRDefault="00C34196" w:rsidP="00F914D9">
            <w:pPr>
              <w:pStyle w:val="Tablewriting"/>
              <w:keepNext/>
              <w:keepLines/>
              <w:widowControl w:val="0"/>
            </w:pPr>
            <w:r>
              <w:t xml:space="preserve">Novo Nordisk Pharmaceuticals Pty Ltd </w:t>
            </w:r>
          </w:p>
        </w:tc>
      </w:tr>
      <w:tr w:rsidR="00870A14" w:rsidRPr="00A35800" w:rsidDel="00EE2BBB" w14:paraId="0868F751" w14:textId="77777777" w:rsidTr="00F914D9">
        <w:trPr>
          <w:trHeight w:val="455"/>
          <w:tblHeader/>
        </w:trPr>
        <w:tc>
          <w:tcPr>
            <w:tcW w:w="969" w:type="dxa"/>
            <w:shd w:val="clear" w:color="auto" w:fill="auto"/>
          </w:tcPr>
          <w:p w14:paraId="2683D9F3" w14:textId="77777777" w:rsidR="00870A14" w:rsidRPr="00EF3F70" w:rsidRDefault="00870A14" w:rsidP="00F914D9">
            <w:pPr>
              <w:pStyle w:val="Tablewriting"/>
              <w:keepNext/>
              <w:keepLines/>
              <w:widowControl w:val="0"/>
            </w:pPr>
            <w:r w:rsidRPr="00EF3F70">
              <w:t>6476W</w:t>
            </w:r>
          </w:p>
          <w:p w14:paraId="357A578A" w14:textId="16FDB555" w:rsidR="00870A14" w:rsidRPr="00EF3F70" w:rsidRDefault="0070431B" w:rsidP="00F914D9">
            <w:pPr>
              <w:pStyle w:val="Tablewriting"/>
              <w:keepNext/>
              <w:keepLines/>
              <w:widowControl w:val="0"/>
            </w:pPr>
            <w:r w:rsidRPr="00EF3F70">
              <w:t>104</w:t>
            </w:r>
            <w:r w:rsidR="00870A14" w:rsidRPr="00EF3F70">
              <w:t>2</w:t>
            </w:r>
            <w:r w:rsidRPr="00EF3F70">
              <w:t>7</w:t>
            </w:r>
            <w:r w:rsidR="00870A14" w:rsidRPr="00EF3F70">
              <w:t>T</w:t>
            </w:r>
          </w:p>
          <w:p w14:paraId="2DDA8189" w14:textId="77777777" w:rsidR="00870A14" w:rsidRPr="00EF3F70" w:rsidRDefault="00870A14" w:rsidP="00F914D9">
            <w:pPr>
              <w:pStyle w:val="Tablewriting"/>
              <w:keepNext/>
              <w:keepLines/>
              <w:widowControl w:val="0"/>
            </w:pPr>
            <w:r w:rsidRPr="00EF3F70">
              <w:t>10484T</w:t>
            </w:r>
          </w:p>
          <w:p w14:paraId="5AB9C5B2" w14:textId="286930AD" w:rsidR="00870A14" w:rsidRPr="00EF3F70" w:rsidRDefault="00870A14" w:rsidP="00F914D9">
            <w:pPr>
              <w:pStyle w:val="Tablewriting"/>
              <w:keepNext/>
              <w:keepLines/>
              <w:widowControl w:val="0"/>
            </w:pPr>
            <w:r w:rsidRPr="00EF3F70">
              <w:t>10518N</w:t>
            </w:r>
          </w:p>
          <w:p w14:paraId="21328155" w14:textId="77777777" w:rsidR="00870A14" w:rsidRPr="00EF3F70" w:rsidRDefault="00870A14" w:rsidP="00F914D9">
            <w:pPr>
              <w:pStyle w:val="Tablewriting"/>
              <w:keepNext/>
              <w:keepLines/>
              <w:widowControl w:val="0"/>
            </w:pPr>
            <w:r w:rsidRPr="00EF3F70">
              <w:t>10507B</w:t>
            </w:r>
          </w:p>
          <w:p w14:paraId="7399E106" w14:textId="3FB38998" w:rsidR="00870A14" w:rsidRPr="00EF3F70" w:rsidDel="00EE2BBB" w:rsidRDefault="00870A14" w:rsidP="00F914D9">
            <w:pPr>
              <w:pStyle w:val="Tablewriting"/>
              <w:keepNext/>
              <w:keepLines/>
              <w:widowControl w:val="0"/>
            </w:pPr>
            <w:r w:rsidRPr="00EF3F70">
              <w:t>10512G</w:t>
            </w:r>
          </w:p>
        </w:tc>
        <w:tc>
          <w:tcPr>
            <w:tcW w:w="3562" w:type="dxa"/>
            <w:vMerge/>
            <w:shd w:val="clear" w:color="auto" w:fill="auto"/>
          </w:tcPr>
          <w:p w14:paraId="715A88EE" w14:textId="77777777" w:rsidR="00870A14" w:rsidRDefault="00870A14" w:rsidP="00F914D9">
            <w:pPr>
              <w:pStyle w:val="Tablewriting"/>
              <w:keepNext/>
              <w:keepLines/>
              <w:widowControl w:val="0"/>
            </w:pPr>
          </w:p>
        </w:tc>
        <w:tc>
          <w:tcPr>
            <w:tcW w:w="851" w:type="dxa"/>
            <w:shd w:val="clear" w:color="auto" w:fill="auto"/>
          </w:tcPr>
          <w:p w14:paraId="39440613" w14:textId="0BDFD4C1" w:rsidR="00870A14" w:rsidRDefault="00870A14" w:rsidP="00F914D9">
            <w:pPr>
              <w:pStyle w:val="Tablewriting"/>
              <w:keepNext/>
              <w:keepLines/>
              <w:widowControl w:val="0"/>
            </w:pPr>
            <w:r>
              <w:t>1</w:t>
            </w:r>
          </w:p>
        </w:tc>
        <w:tc>
          <w:tcPr>
            <w:tcW w:w="709" w:type="dxa"/>
            <w:shd w:val="clear" w:color="auto" w:fill="auto"/>
          </w:tcPr>
          <w:p w14:paraId="01A9EB3C" w14:textId="66076AF6" w:rsidR="00870A14" w:rsidRDefault="00870A14" w:rsidP="00F914D9">
            <w:pPr>
              <w:pStyle w:val="Tablewriting"/>
              <w:keepNext/>
              <w:keepLines/>
              <w:widowControl w:val="0"/>
            </w:pPr>
            <w:r>
              <w:t>1</w:t>
            </w:r>
          </w:p>
        </w:tc>
        <w:tc>
          <w:tcPr>
            <w:tcW w:w="992" w:type="dxa"/>
            <w:shd w:val="clear" w:color="auto" w:fill="auto"/>
          </w:tcPr>
          <w:p w14:paraId="6EB21896" w14:textId="2FFA2811" w:rsidR="00870A14" w:rsidRDefault="00870A14" w:rsidP="00F914D9">
            <w:pPr>
              <w:pStyle w:val="Tablewriting"/>
              <w:keepNext/>
              <w:keepLines/>
              <w:widowControl w:val="0"/>
            </w:pPr>
            <w:r>
              <w:t xml:space="preserve">$223.96 </w:t>
            </w:r>
          </w:p>
        </w:tc>
        <w:tc>
          <w:tcPr>
            <w:tcW w:w="1981" w:type="dxa"/>
            <w:shd w:val="clear" w:color="auto" w:fill="auto"/>
          </w:tcPr>
          <w:p w14:paraId="39B7B0D3" w14:textId="10B36A21" w:rsidR="00C34196" w:rsidRDefault="00C34196" w:rsidP="00F914D9">
            <w:pPr>
              <w:pStyle w:val="Tablewriting"/>
              <w:keepNext/>
              <w:keepLines/>
              <w:widowControl w:val="0"/>
            </w:pPr>
            <w:proofErr w:type="spellStart"/>
            <w:r>
              <w:t>SciTropinA</w:t>
            </w:r>
            <w:proofErr w:type="spellEnd"/>
          </w:p>
          <w:p w14:paraId="4DFB3DB8" w14:textId="0D390605" w:rsidR="00C34196" w:rsidRDefault="00C34196" w:rsidP="00F914D9">
            <w:pPr>
              <w:pStyle w:val="Tablewriting"/>
              <w:keepNext/>
              <w:keepLines/>
              <w:widowControl w:val="0"/>
            </w:pPr>
            <w:proofErr w:type="spellStart"/>
            <w:r>
              <w:t>SciGen</w:t>
            </w:r>
            <w:proofErr w:type="spellEnd"/>
            <w:r>
              <w:t xml:space="preserve">(Australia) Pty Limited </w:t>
            </w:r>
          </w:p>
          <w:p w14:paraId="096C6D9D" w14:textId="77777777" w:rsidR="00870A14" w:rsidRDefault="00C34196" w:rsidP="00F914D9">
            <w:pPr>
              <w:pStyle w:val="Tablewriting"/>
              <w:keepNext/>
              <w:keepLines/>
              <w:widowControl w:val="0"/>
            </w:pPr>
            <w:proofErr w:type="spellStart"/>
            <w:r>
              <w:t>Omnitrope</w:t>
            </w:r>
            <w:proofErr w:type="spellEnd"/>
            <w:r>
              <w:t xml:space="preserve"> </w:t>
            </w:r>
            <w:proofErr w:type="spellStart"/>
            <w:r>
              <w:t>Surepal</w:t>
            </w:r>
            <w:proofErr w:type="spellEnd"/>
            <w:r>
              <w:t xml:space="preserve"> 5</w:t>
            </w:r>
          </w:p>
          <w:p w14:paraId="416630BF" w14:textId="4695B00A" w:rsidR="00C34196" w:rsidRDefault="00C34196" w:rsidP="00F914D9">
            <w:pPr>
              <w:pStyle w:val="Tablewriting"/>
              <w:keepNext/>
              <w:keepLines/>
              <w:widowControl w:val="0"/>
            </w:pPr>
            <w:r>
              <w:t xml:space="preserve">Sandoz Pty Ltd </w:t>
            </w:r>
          </w:p>
        </w:tc>
      </w:tr>
      <w:tr w:rsidR="00870A14" w:rsidRPr="00A35800" w:rsidDel="00EE2BBB" w14:paraId="0F0A64EE" w14:textId="77777777" w:rsidTr="00F914D9">
        <w:trPr>
          <w:trHeight w:val="546"/>
          <w:tblHeader/>
        </w:trPr>
        <w:tc>
          <w:tcPr>
            <w:tcW w:w="969" w:type="dxa"/>
            <w:shd w:val="clear" w:color="auto" w:fill="auto"/>
          </w:tcPr>
          <w:p w14:paraId="2B606DAF" w14:textId="77777777" w:rsidR="00870A14" w:rsidRDefault="00746933" w:rsidP="00F914D9">
            <w:pPr>
              <w:pStyle w:val="Tablewriting"/>
              <w:keepNext/>
              <w:keepLines/>
              <w:widowControl w:val="0"/>
            </w:pPr>
            <w:r>
              <w:t>6311E</w:t>
            </w:r>
          </w:p>
          <w:p w14:paraId="0D6FED73" w14:textId="77777777" w:rsidR="00746933" w:rsidRPr="00EF3F70" w:rsidRDefault="00746933" w:rsidP="00F914D9">
            <w:pPr>
              <w:pStyle w:val="Tablewriting"/>
              <w:keepNext/>
              <w:keepLines/>
              <w:widowControl w:val="0"/>
            </w:pPr>
            <w:r w:rsidRPr="00EF3F70">
              <w:t>10441M</w:t>
            </w:r>
          </w:p>
          <w:p w14:paraId="2B9FA896" w14:textId="77777777" w:rsidR="00746933" w:rsidRPr="00EF3F70" w:rsidRDefault="00746933" w:rsidP="00F914D9">
            <w:pPr>
              <w:pStyle w:val="Tablewriting"/>
              <w:keepNext/>
              <w:keepLines/>
              <w:widowControl w:val="0"/>
            </w:pPr>
            <w:r w:rsidRPr="00EF3F70">
              <w:t>10481P</w:t>
            </w:r>
          </w:p>
          <w:p w14:paraId="14EDD5B3" w14:textId="643B2D51" w:rsidR="00746933" w:rsidRPr="00EF3F70" w:rsidRDefault="00746933" w:rsidP="00F914D9">
            <w:pPr>
              <w:pStyle w:val="Tablewriting"/>
              <w:keepNext/>
              <w:keepLines/>
              <w:widowControl w:val="0"/>
            </w:pPr>
            <w:r w:rsidRPr="00EF3F70">
              <w:t>5819G</w:t>
            </w:r>
          </w:p>
          <w:p w14:paraId="00C14740" w14:textId="0A37DA73" w:rsidR="00746933" w:rsidRPr="00EF3F70" w:rsidRDefault="00746933" w:rsidP="00F914D9">
            <w:pPr>
              <w:pStyle w:val="Tablewriting"/>
              <w:keepNext/>
              <w:keepLines/>
              <w:widowControl w:val="0"/>
            </w:pPr>
            <w:r w:rsidRPr="00EF3F70">
              <w:t>10451C</w:t>
            </w:r>
          </w:p>
          <w:p w14:paraId="205B2F42" w14:textId="77777777" w:rsidR="00746933" w:rsidRPr="00EF3F70" w:rsidRDefault="00746933" w:rsidP="00F914D9">
            <w:pPr>
              <w:pStyle w:val="Tablewriting"/>
              <w:keepNext/>
              <w:keepLines/>
              <w:widowControl w:val="0"/>
            </w:pPr>
            <w:r w:rsidRPr="00EF3F70">
              <w:t>10496K</w:t>
            </w:r>
          </w:p>
          <w:p w14:paraId="0D097F00" w14:textId="6D875C49" w:rsidR="00746933" w:rsidRPr="00EF3F70" w:rsidRDefault="00746933" w:rsidP="00F914D9">
            <w:pPr>
              <w:pStyle w:val="Tablewriting"/>
              <w:keepNext/>
              <w:keepLines/>
              <w:widowControl w:val="0"/>
            </w:pPr>
            <w:r w:rsidRPr="00EF3F70">
              <w:t>10514J</w:t>
            </w:r>
          </w:p>
          <w:p w14:paraId="5A468CA9" w14:textId="77777777" w:rsidR="00746933" w:rsidRPr="00EF3F70" w:rsidRDefault="00746933" w:rsidP="00F914D9">
            <w:pPr>
              <w:pStyle w:val="Tablewriting"/>
              <w:keepNext/>
              <w:keepLines/>
              <w:widowControl w:val="0"/>
            </w:pPr>
            <w:r w:rsidRPr="00EF3F70">
              <w:t>10506Y</w:t>
            </w:r>
          </w:p>
          <w:p w14:paraId="0829C400" w14:textId="336B1314" w:rsidR="00746933" w:rsidRPr="00EF3F70" w:rsidDel="00EE2BBB" w:rsidRDefault="00746933" w:rsidP="00F914D9">
            <w:pPr>
              <w:pStyle w:val="Tablewriting"/>
              <w:keepNext/>
              <w:keepLines/>
              <w:widowControl w:val="0"/>
              <w:rPr>
                <w:b/>
              </w:rPr>
            </w:pPr>
            <w:r w:rsidRPr="00EF3F70">
              <w:t>10519P</w:t>
            </w:r>
          </w:p>
        </w:tc>
        <w:tc>
          <w:tcPr>
            <w:tcW w:w="3562" w:type="dxa"/>
            <w:shd w:val="clear" w:color="auto" w:fill="auto"/>
          </w:tcPr>
          <w:p w14:paraId="4550DDE3" w14:textId="4D5CC7F2" w:rsidR="00870A14" w:rsidRDefault="00870A14" w:rsidP="00F914D9">
            <w:pPr>
              <w:pStyle w:val="Tablewriting"/>
              <w:keepNext/>
              <w:keepLines/>
              <w:widowControl w:val="0"/>
            </w:pPr>
            <w:proofErr w:type="spellStart"/>
            <w:r>
              <w:t>Somatropin</w:t>
            </w:r>
            <w:proofErr w:type="spellEnd"/>
            <w:r>
              <w:t xml:space="preserve"> 10 mg/1.5 mL injection, 1.5 mL cartridge </w:t>
            </w:r>
          </w:p>
        </w:tc>
        <w:tc>
          <w:tcPr>
            <w:tcW w:w="851" w:type="dxa"/>
            <w:shd w:val="clear" w:color="auto" w:fill="auto"/>
          </w:tcPr>
          <w:p w14:paraId="4A5D158C" w14:textId="2204DE2C" w:rsidR="00870A14" w:rsidRPr="00A35800" w:rsidDel="00EE2BBB" w:rsidRDefault="00746933" w:rsidP="00F914D9">
            <w:pPr>
              <w:pStyle w:val="Tablewriting"/>
              <w:keepNext/>
              <w:keepLines/>
              <w:widowControl w:val="0"/>
            </w:pPr>
            <w:r>
              <w:t>1</w:t>
            </w:r>
          </w:p>
        </w:tc>
        <w:tc>
          <w:tcPr>
            <w:tcW w:w="709" w:type="dxa"/>
            <w:shd w:val="clear" w:color="auto" w:fill="auto"/>
          </w:tcPr>
          <w:p w14:paraId="70106BA8" w14:textId="49906637" w:rsidR="00870A14" w:rsidRPr="00A35800" w:rsidDel="00EE2BBB" w:rsidRDefault="00746933" w:rsidP="00F914D9">
            <w:pPr>
              <w:pStyle w:val="Tablewriting"/>
              <w:keepNext/>
              <w:keepLines/>
              <w:widowControl w:val="0"/>
            </w:pPr>
            <w:r>
              <w:t>1</w:t>
            </w:r>
          </w:p>
        </w:tc>
        <w:tc>
          <w:tcPr>
            <w:tcW w:w="992" w:type="dxa"/>
            <w:shd w:val="clear" w:color="auto" w:fill="auto"/>
          </w:tcPr>
          <w:p w14:paraId="2600607B" w14:textId="77777777" w:rsidR="00870A14" w:rsidRDefault="00746933" w:rsidP="00F914D9">
            <w:pPr>
              <w:pStyle w:val="Tablewriting"/>
              <w:keepNext/>
              <w:keepLines/>
              <w:widowControl w:val="0"/>
            </w:pPr>
            <w:r>
              <w:t xml:space="preserve">$440.17 </w:t>
            </w:r>
          </w:p>
          <w:p w14:paraId="40FEF707" w14:textId="7D50F628" w:rsidR="00746933" w:rsidRPr="00A35800" w:rsidDel="00EE2BBB" w:rsidRDefault="00746933" w:rsidP="00F914D9">
            <w:pPr>
              <w:pStyle w:val="Tablewriting"/>
              <w:keepNext/>
              <w:keepLines/>
              <w:widowControl w:val="0"/>
            </w:pPr>
          </w:p>
        </w:tc>
        <w:tc>
          <w:tcPr>
            <w:tcW w:w="1981" w:type="dxa"/>
            <w:shd w:val="clear" w:color="auto" w:fill="auto"/>
          </w:tcPr>
          <w:p w14:paraId="63EFC4EC" w14:textId="77777777" w:rsidR="00746933" w:rsidRDefault="00746933" w:rsidP="00F914D9">
            <w:pPr>
              <w:pStyle w:val="Tablewriting"/>
              <w:keepNext/>
              <w:keepLines/>
              <w:widowControl w:val="0"/>
            </w:pPr>
            <w:proofErr w:type="spellStart"/>
            <w:r>
              <w:t>SciTropinA</w:t>
            </w:r>
            <w:proofErr w:type="spellEnd"/>
          </w:p>
          <w:p w14:paraId="00628F9E" w14:textId="77777777" w:rsidR="00746933" w:rsidRDefault="00746933" w:rsidP="00F914D9">
            <w:pPr>
              <w:pStyle w:val="Tablewriting"/>
              <w:keepNext/>
              <w:keepLines/>
              <w:widowControl w:val="0"/>
            </w:pPr>
            <w:proofErr w:type="spellStart"/>
            <w:r>
              <w:t>SciGen</w:t>
            </w:r>
            <w:proofErr w:type="spellEnd"/>
            <w:r>
              <w:t xml:space="preserve">(Australia) Pty Limited </w:t>
            </w:r>
          </w:p>
          <w:p w14:paraId="2FD78B25" w14:textId="36CA4F86" w:rsidR="00746933" w:rsidRDefault="00057A6E" w:rsidP="00F914D9">
            <w:pPr>
              <w:pStyle w:val="Tablewriting"/>
              <w:keepNext/>
              <w:keepLines/>
              <w:widowControl w:val="0"/>
            </w:pPr>
            <w:proofErr w:type="spellStart"/>
            <w:r>
              <w:t>Norditropin</w:t>
            </w:r>
            <w:proofErr w:type="spellEnd"/>
            <w:r>
              <w:t xml:space="preserve"> </w:t>
            </w:r>
            <w:proofErr w:type="spellStart"/>
            <w:r>
              <w:t>Flex</w:t>
            </w:r>
            <w:r w:rsidR="00746933">
              <w:t>Pro</w:t>
            </w:r>
            <w:proofErr w:type="spellEnd"/>
          </w:p>
          <w:p w14:paraId="067FA92D" w14:textId="7B01CE79" w:rsidR="00746933" w:rsidRDefault="00746933" w:rsidP="00F914D9">
            <w:pPr>
              <w:pStyle w:val="Tablewriting"/>
              <w:keepNext/>
              <w:keepLines/>
              <w:widowControl w:val="0"/>
            </w:pPr>
            <w:r>
              <w:t>Novo Nordisk Pharmaceuticals Pty Ltd</w:t>
            </w:r>
          </w:p>
          <w:p w14:paraId="2F202C32" w14:textId="440ECA9C" w:rsidR="00C34196" w:rsidRDefault="00C34196" w:rsidP="00F914D9">
            <w:pPr>
              <w:pStyle w:val="Tablewriting"/>
              <w:keepNext/>
              <w:keepLines/>
              <w:widowControl w:val="0"/>
            </w:pPr>
            <w:proofErr w:type="spellStart"/>
            <w:r>
              <w:t>Omnitrope</w:t>
            </w:r>
            <w:proofErr w:type="spellEnd"/>
            <w:r>
              <w:t xml:space="preserve"> </w:t>
            </w:r>
            <w:proofErr w:type="spellStart"/>
            <w:r>
              <w:t>Surepal</w:t>
            </w:r>
            <w:proofErr w:type="spellEnd"/>
            <w:r>
              <w:t xml:space="preserve"> 10 </w:t>
            </w:r>
          </w:p>
          <w:p w14:paraId="1057B012" w14:textId="4A55DB96" w:rsidR="00870A14" w:rsidRPr="00A35800" w:rsidDel="00EE2BBB" w:rsidRDefault="00746933" w:rsidP="00F914D9">
            <w:pPr>
              <w:pStyle w:val="Tablewriting"/>
              <w:keepNext/>
              <w:keepLines/>
              <w:widowControl w:val="0"/>
            </w:pPr>
            <w:r>
              <w:t>Sandoz Pty Ltd</w:t>
            </w:r>
          </w:p>
        </w:tc>
      </w:tr>
      <w:tr w:rsidR="00870A14" w:rsidRPr="00A35800" w:rsidDel="00EE2BBB" w14:paraId="51534A31" w14:textId="77777777" w:rsidTr="00F914D9">
        <w:trPr>
          <w:trHeight w:val="546"/>
          <w:tblHeader/>
        </w:trPr>
        <w:tc>
          <w:tcPr>
            <w:tcW w:w="969" w:type="dxa"/>
            <w:shd w:val="clear" w:color="auto" w:fill="auto"/>
          </w:tcPr>
          <w:p w14:paraId="375C97F6" w14:textId="77777777" w:rsidR="00870A14" w:rsidRPr="00EF3F70" w:rsidRDefault="00746933" w:rsidP="00F914D9">
            <w:pPr>
              <w:pStyle w:val="Tablewriting"/>
              <w:keepNext/>
              <w:keepLines/>
              <w:widowControl w:val="0"/>
            </w:pPr>
            <w:r w:rsidRPr="00EF3F70">
              <w:t>5820H</w:t>
            </w:r>
          </w:p>
          <w:p w14:paraId="261E2050" w14:textId="77777777" w:rsidR="00746933" w:rsidRPr="00EF3F70" w:rsidRDefault="00746933" w:rsidP="00F914D9">
            <w:pPr>
              <w:pStyle w:val="Tablewriting"/>
              <w:keepNext/>
              <w:keepLines/>
              <w:widowControl w:val="0"/>
            </w:pPr>
            <w:r w:rsidRPr="00EF3F70">
              <w:t>10449Y</w:t>
            </w:r>
          </w:p>
          <w:p w14:paraId="6CD2941B" w14:textId="77777777" w:rsidR="00746933" w:rsidRPr="00EF3F70" w:rsidRDefault="00746933" w:rsidP="00F914D9">
            <w:pPr>
              <w:pStyle w:val="Tablewriting"/>
              <w:keepNext/>
              <w:keepLines/>
              <w:widowControl w:val="0"/>
            </w:pPr>
            <w:r w:rsidRPr="00EF3F70">
              <w:t>10489C</w:t>
            </w:r>
          </w:p>
          <w:p w14:paraId="7F23F6E8" w14:textId="5A9BF96C" w:rsidR="00746933" w:rsidRPr="00EF3F70" w:rsidRDefault="00746933" w:rsidP="00F914D9">
            <w:pPr>
              <w:pStyle w:val="Tablewriting"/>
              <w:keepNext/>
              <w:keepLines/>
              <w:widowControl w:val="0"/>
            </w:pPr>
            <w:r w:rsidRPr="00EF3F70">
              <w:t>10446T</w:t>
            </w:r>
          </w:p>
          <w:p w14:paraId="2CBC9C6C" w14:textId="568AC4A5" w:rsidR="00746933" w:rsidRPr="00EF3F70" w:rsidRDefault="00746933" w:rsidP="00F914D9">
            <w:pPr>
              <w:pStyle w:val="Tablewriting"/>
              <w:keepNext/>
              <w:keepLines/>
              <w:widowControl w:val="0"/>
            </w:pPr>
            <w:r w:rsidRPr="00EF3F70">
              <w:t>10490D</w:t>
            </w:r>
          </w:p>
          <w:p w14:paraId="351AD1B5" w14:textId="536BEC40" w:rsidR="00746933" w:rsidRPr="00EF3F70" w:rsidDel="00EE2BBB" w:rsidRDefault="00746933" w:rsidP="00F914D9">
            <w:pPr>
              <w:pStyle w:val="Tablewriting"/>
              <w:keepNext/>
              <w:keepLines/>
              <w:widowControl w:val="0"/>
              <w:rPr>
                <w:b/>
              </w:rPr>
            </w:pPr>
            <w:r w:rsidRPr="00EF3F70">
              <w:t>10485W</w:t>
            </w:r>
          </w:p>
        </w:tc>
        <w:tc>
          <w:tcPr>
            <w:tcW w:w="3562" w:type="dxa"/>
            <w:shd w:val="clear" w:color="auto" w:fill="auto"/>
          </w:tcPr>
          <w:p w14:paraId="60EBD941" w14:textId="61E1921A" w:rsidR="00870A14" w:rsidRDefault="00870A14" w:rsidP="00F914D9">
            <w:pPr>
              <w:pStyle w:val="Tablewriting"/>
              <w:keepNext/>
              <w:keepLines/>
              <w:widowControl w:val="0"/>
            </w:pPr>
            <w:proofErr w:type="spellStart"/>
            <w:r>
              <w:t>Somatropin</w:t>
            </w:r>
            <w:proofErr w:type="spellEnd"/>
            <w:r>
              <w:t xml:space="preserve"> 15 mg/1.5 mL injection, 1.5 mL cartridge </w:t>
            </w:r>
          </w:p>
        </w:tc>
        <w:tc>
          <w:tcPr>
            <w:tcW w:w="851" w:type="dxa"/>
            <w:shd w:val="clear" w:color="auto" w:fill="auto"/>
          </w:tcPr>
          <w:p w14:paraId="52FA7DE9" w14:textId="61E34FCA" w:rsidR="00870A14" w:rsidRPr="00A35800" w:rsidDel="00EE2BBB" w:rsidRDefault="00746933" w:rsidP="00F914D9">
            <w:pPr>
              <w:pStyle w:val="Tablewriting"/>
              <w:keepNext/>
              <w:keepLines/>
              <w:widowControl w:val="0"/>
            </w:pPr>
            <w:r>
              <w:t>1</w:t>
            </w:r>
          </w:p>
        </w:tc>
        <w:tc>
          <w:tcPr>
            <w:tcW w:w="709" w:type="dxa"/>
            <w:shd w:val="clear" w:color="auto" w:fill="auto"/>
          </w:tcPr>
          <w:p w14:paraId="6EBD31AD" w14:textId="4F5D4C28" w:rsidR="00870A14" w:rsidRPr="00A35800" w:rsidDel="00EE2BBB" w:rsidRDefault="00746933" w:rsidP="00F914D9">
            <w:pPr>
              <w:pStyle w:val="Tablewriting"/>
              <w:keepNext/>
              <w:keepLines/>
              <w:widowControl w:val="0"/>
            </w:pPr>
            <w:r>
              <w:t>1</w:t>
            </w:r>
          </w:p>
        </w:tc>
        <w:tc>
          <w:tcPr>
            <w:tcW w:w="992" w:type="dxa"/>
            <w:shd w:val="clear" w:color="auto" w:fill="auto"/>
          </w:tcPr>
          <w:p w14:paraId="6B27B879" w14:textId="4449973A" w:rsidR="00870A14" w:rsidRPr="00A35800" w:rsidDel="00EE2BBB" w:rsidRDefault="00746933" w:rsidP="00F914D9">
            <w:pPr>
              <w:pStyle w:val="Tablewriting"/>
              <w:keepNext/>
              <w:keepLines/>
              <w:widowControl w:val="0"/>
            </w:pPr>
            <w:r>
              <w:t>$656.39</w:t>
            </w:r>
          </w:p>
        </w:tc>
        <w:tc>
          <w:tcPr>
            <w:tcW w:w="1981" w:type="dxa"/>
            <w:shd w:val="clear" w:color="auto" w:fill="auto"/>
          </w:tcPr>
          <w:p w14:paraId="5EB747B3" w14:textId="1596A052" w:rsidR="00746933" w:rsidRDefault="00057A6E" w:rsidP="00F914D9">
            <w:pPr>
              <w:pStyle w:val="Tablewriting"/>
              <w:keepNext/>
              <w:keepLines/>
              <w:widowControl w:val="0"/>
            </w:pPr>
            <w:proofErr w:type="spellStart"/>
            <w:r>
              <w:t>Norditropin</w:t>
            </w:r>
            <w:proofErr w:type="spellEnd"/>
            <w:r>
              <w:t xml:space="preserve"> </w:t>
            </w:r>
            <w:proofErr w:type="spellStart"/>
            <w:r>
              <w:t>Flex</w:t>
            </w:r>
            <w:r w:rsidR="00746933">
              <w:t>Pro</w:t>
            </w:r>
            <w:proofErr w:type="spellEnd"/>
          </w:p>
          <w:p w14:paraId="1DD9E69C" w14:textId="5A105EA2" w:rsidR="00746933" w:rsidRDefault="00746933" w:rsidP="00F914D9">
            <w:pPr>
              <w:pStyle w:val="Tablewriting"/>
              <w:keepNext/>
              <w:keepLines/>
              <w:widowControl w:val="0"/>
            </w:pPr>
            <w:r>
              <w:t>Novo Nordisk Pharmaceuticals Pty Ltd</w:t>
            </w:r>
          </w:p>
          <w:p w14:paraId="7EA2EF6E" w14:textId="77777777" w:rsidR="00870A14" w:rsidRDefault="00C34196" w:rsidP="00F914D9">
            <w:pPr>
              <w:pStyle w:val="Tablewriting"/>
              <w:keepNext/>
              <w:keepLines/>
              <w:widowControl w:val="0"/>
            </w:pPr>
            <w:proofErr w:type="spellStart"/>
            <w:r>
              <w:t>Omnitrope</w:t>
            </w:r>
            <w:proofErr w:type="spellEnd"/>
            <w:r>
              <w:t xml:space="preserve"> </w:t>
            </w:r>
            <w:proofErr w:type="spellStart"/>
            <w:r>
              <w:t>Surepal</w:t>
            </w:r>
            <w:proofErr w:type="spellEnd"/>
            <w:r>
              <w:t xml:space="preserve"> 15</w:t>
            </w:r>
          </w:p>
          <w:p w14:paraId="6DDCF942" w14:textId="6FBBB3F4" w:rsidR="00746933" w:rsidRPr="00A35800" w:rsidDel="00EE2BBB" w:rsidRDefault="00746933" w:rsidP="00F914D9">
            <w:pPr>
              <w:pStyle w:val="Tablewriting"/>
              <w:keepNext/>
              <w:keepLines/>
              <w:widowControl w:val="0"/>
            </w:pPr>
            <w:r>
              <w:t>Sandoz Pty Ltd</w:t>
            </w:r>
          </w:p>
        </w:tc>
      </w:tr>
      <w:tr w:rsidR="003325DF" w:rsidRPr="00A35800" w:rsidDel="00EE2BBB" w14:paraId="5A3ED40B" w14:textId="77777777" w:rsidTr="00F914D9">
        <w:trPr>
          <w:trHeight w:val="546"/>
          <w:tblHeader/>
        </w:trPr>
        <w:tc>
          <w:tcPr>
            <w:tcW w:w="969" w:type="dxa"/>
            <w:shd w:val="clear" w:color="auto" w:fill="auto"/>
          </w:tcPr>
          <w:p w14:paraId="68DCF88D" w14:textId="77777777" w:rsidR="003325DF" w:rsidRDefault="000F649D" w:rsidP="00F914D9">
            <w:pPr>
              <w:pStyle w:val="Tablewriting"/>
              <w:keepNext/>
              <w:keepLines/>
              <w:widowControl w:val="0"/>
            </w:pPr>
            <w:r>
              <w:t>5822K</w:t>
            </w:r>
          </w:p>
          <w:p w14:paraId="5C870C5B" w14:textId="77777777" w:rsidR="000F649D" w:rsidRDefault="000F649D" w:rsidP="00F914D9">
            <w:pPr>
              <w:pStyle w:val="Tablewriting"/>
              <w:keepNext/>
              <w:keepLines/>
              <w:widowControl w:val="0"/>
            </w:pPr>
            <w:r>
              <w:t>10462P</w:t>
            </w:r>
          </w:p>
          <w:p w14:paraId="169A6C61" w14:textId="37180196" w:rsidR="000F649D" w:rsidRPr="00A35800" w:rsidDel="00EE2BBB" w:rsidRDefault="000F649D" w:rsidP="00F914D9">
            <w:pPr>
              <w:pStyle w:val="Tablewriting"/>
              <w:keepNext/>
              <w:keepLines/>
              <w:widowControl w:val="0"/>
            </w:pPr>
            <w:r>
              <w:t>10458K</w:t>
            </w:r>
          </w:p>
        </w:tc>
        <w:tc>
          <w:tcPr>
            <w:tcW w:w="3562" w:type="dxa"/>
            <w:shd w:val="clear" w:color="auto" w:fill="auto"/>
          </w:tcPr>
          <w:p w14:paraId="3D3C8AB3" w14:textId="134C9EDC" w:rsidR="003325DF" w:rsidRDefault="003325DF" w:rsidP="00F914D9">
            <w:pPr>
              <w:pStyle w:val="Tablewriting"/>
              <w:keepNext/>
              <w:keepLines/>
              <w:widowControl w:val="0"/>
            </w:pPr>
            <w:proofErr w:type="spellStart"/>
            <w:r>
              <w:t>Somatropin</w:t>
            </w:r>
            <w:proofErr w:type="spellEnd"/>
            <w:r>
              <w:t xml:space="preserve"> 6 mg/1.03 mL injection, 1.03 mL cartridge </w:t>
            </w:r>
          </w:p>
        </w:tc>
        <w:tc>
          <w:tcPr>
            <w:tcW w:w="851" w:type="dxa"/>
            <w:shd w:val="clear" w:color="auto" w:fill="auto"/>
          </w:tcPr>
          <w:p w14:paraId="56A1B71D" w14:textId="419C194D" w:rsidR="003325DF" w:rsidRPr="00A35800" w:rsidDel="00EE2BBB" w:rsidRDefault="000F649D" w:rsidP="00F914D9">
            <w:pPr>
              <w:pStyle w:val="Tablewriting"/>
              <w:keepNext/>
              <w:keepLines/>
              <w:widowControl w:val="0"/>
            </w:pPr>
            <w:r>
              <w:t>1</w:t>
            </w:r>
          </w:p>
        </w:tc>
        <w:tc>
          <w:tcPr>
            <w:tcW w:w="709" w:type="dxa"/>
            <w:shd w:val="clear" w:color="auto" w:fill="auto"/>
          </w:tcPr>
          <w:p w14:paraId="14FAB552" w14:textId="70DA530F" w:rsidR="003325DF" w:rsidRPr="00A35800" w:rsidDel="00EE2BBB" w:rsidRDefault="000F649D" w:rsidP="00F914D9">
            <w:pPr>
              <w:pStyle w:val="Tablewriting"/>
              <w:keepNext/>
              <w:keepLines/>
              <w:widowControl w:val="0"/>
            </w:pPr>
            <w:r>
              <w:t>1</w:t>
            </w:r>
          </w:p>
        </w:tc>
        <w:tc>
          <w:tcPr>
            <w:tcW w:w="992" w:type="dxa"/>
            <w:shd w:val="clear" w:color="auto" w:fill="auto"/>
          </w:tcPr>
          <w:p w14:paraId="710ABFD6" w14:textId="3472B8CE" w:rsidR="003325DF" w:rsidRPr="00A35800" w:rsidDel="00EE2BBB" w:rsidRDefault="000F649D" w:rsidP="00F914D9">
            <w:pPr>
              <w:pStyle w:val="Tablewriting"/>
              <w:keepNext/>
              <w:keepLines/>
              <w:widowControl w:val="0"/>
            </w:pPr>
            <w:r>
              <w:t xml:space="preserve">$276.20 </w:t>
            </w:r>
          </w:p>
        </w:tc>
        <w:tc>
          <w:tcPr>
            <w:tcW w:w="1981" w:type="dxa"/>
            <w:vMerge w:val="restart"/>
            <w:shd w:val="clear" w:color="auto" w:fill="auto"/>
          </w:tcPr>
          <w:p w14:paraId="3E6A0252" w14:textId="77777777" w:rsidR="003325DF" w:rsidRDefault="003325DF" w:rsidP="00F914D9">
            <w:pPr>
              <w:pStyle w:val="Tablewriting"/>
              <w:keepNext/>
              <w:keepLines/>
              <w:widowControl w:val="0"/>
            </w:pPr>
            <w:proofErr w:type="spellStart"/>
            <w:r>
              <w:t>Saizen</w:t>
            </w:r>
            <w:proofErr w:type="spellEnd"/>
            <w:r>
              <w:t xml:space="preserve"> </w:t>
            </w:r>
          </w:p>
          <w:p w14:paraId="446E65A9" w14:textId="4726E3A1" w:rsidR="000F649D" w:rsidRPr="00A35800" w:rsidDel="00EE2BBB" w:rsidRDefault="000F649D" w:rsidP="00F914D9">
            <w:pPr>
              <w:pStyle w:val="Tablewriting"/>
              <w:keepNext/>
              <w:keepLines/>
              <w:widowControl w:val="0"/>
            </w:pPr>
            <w:r>
              <w:t xml:space="preserve">Merck Healthcare Pty Ltd </w:t>
            </w:r>
          </w:p>
        </w:tc>
      </w:tr>
      <w:tr w:rsidR="003325DF" w:rsidRPr="00A35800" w:rsidDel="00EE2BBB" w14:paraId="117BB0D1" w14:textId="77777777" w:rsidTr="00F914D9">
        <w:trPr>
          <w:trHeight w:val="546"/>
          <w:tblHeader/>
        </w:trPr>
        <w:tc>
          <w:tcPr>
            <w:tcW w:w="969" w:type="dxa"/>
            <w:shd w:val="clear" w:color="auto" w:fill="auto"/>
          </w:tcPr>
          <w:p w14:paraId="4DA6F881" w14:textId="77777777" w:rsidR="003325DF" w:rsidRDefault="000F649D" w:rsidP="00F914D9">
            <w:pPr>
              <w:pStyle w:val="Tablewriting"/>
              <w:keepNext/>
              <w:keepLines/>
              <w:widowControl w:val="0"/>
            </w:pPr>
            <w:r>
              <w:t>5824M</w:t>
            </w:r>
          </w:p>
          <w:p w14:paraId="1297501C" w14:textId="69DEF814" w:rsidR="000F649D" w:rsidRDefault="00EF3F70" w:rsidP="00F914D9">
            <w:pPr>
              <w:pStyle w:val="Tablewriting"/>
              <w:keepNext/>
              <w:keepLines/>
              <w:widowControl w:val="0"/>
            </w:pPr>
            <w:r w:rsidRPr="00EF3F70">
              <w:t>10483</w:t>
            </w:r>
            <w:r w:rsidR="000F649D" w:rsidRPr="00EF3F70">
              <w:t>R</w:t>
            </w:r>
          </w:p>
          <w:p w14:paraId="563B9350" w14:textId="4BDF01A0" w:rsidR="000F649D" w:rsidRPr="00A35800" w:rsidDel="00EE2BBB" w:rsidRDefault="000F649D" w:rsidP="00F914D9">
            <w:pPr>
              <w:pStyle w:val="Tablewriting"/>
              <w:keepNext/>
              <w:keepLines/>
              <w:widowControl w:val="0"/>
            </w:pPr>
            <w:r>
              <w:t>10495J</w:t>
            </w:r>
          </w:p>
        </w:tc>
        <w:tc>
          <w:tcPr>
            <w:tcW w:w="3562" w:type="dxa"/>
            <w:shd w:val="clear" w:color="auto" w:fill="auto"/>
          </w:tcPr>
          <w:p w14:paraId="468F3788" w14:textId="77FCE3E9" w:rsidR="003325DF" w:rsidRDefault="003325DF" w:rsidP="00F914D9">
            <w:pPr>
              <w:pStyle w:val="Tablewriting"/>
              <w:keepNext/>
              <w:keepLines/>
              <w:widowControl w:val="0"/>
            </w:pPr>
            <w:proofErr w:type="spellStart"/>
            <w:r>
              <w:t>Somatropin</w:t>
            </w:r>
            <w:proofErr w:type="spellEnd"/>
            <w:r>
              <w:t xml:space="preserve"> 12 mg/1.5 mL injection, 1.5 mL cartridge </w:t>
            </w:r>
          </w:p>
        </w:tc>
        <w:tc>
          <w:tcPr>
            <w:tcW w:w="851" w:type="dxa"/>
            <w:shd w:val="clear" w:color="auto" w:fill="auto"/>
          </w:tcPr>
          <w:p w14:paraId="7F524394" w14:textId="5015D381" w:rsidR="003325DF" w:rsidRPr="00A35800" w:rsidDel="00EE2BBB" w:rsidRDefault="000F649D" w:rsidP="00F914D9">
            <w:pPr>
              <w:pStyle w:val="Tablewriting"/>
              <w:keepNext/>
              <w:keepLines/>
              <w:widowControl w:val="0"/>
            </w:pPr>
            <w:r>
              <w:t>1</w:t>
            </w:r>
          </w:p>
        </w:tc>
        <w:tc>
          <w:tcPr>
            <w:tcW w:w="709" w:type="dxa"/>
            <w:shd w:val="clear" w:color="auto" w:fill="auto"/>
          </w:tcPr>
          <w:p w14:paraId="11F7898B" w14:textId="483ACF5F" w:rsidR="003325DF" w:rsidRPr="00A35800" w:rsidDel="00EE2BBB" w:rsidRDefault="000F649D" w:rsidP="00F914D9">
            <w:pPr>
              <w:pStyle w:val="Tablewriting"/>
              <w:keepNext/>
              <w:keepLines/>
              <w:widowControl w:val="0"/>
            </w:pPr>
            <w:r>
              <w:t>1</w:t>
            </w:r>
          </w:p>
        </w:tc>
        <w:tc>
          <w:tcPr>
            <w:tcW w:w="992" w:type="dxa"/>
            <w:shd w:val="clear" w:color="auto" w:fill="auto"/>
          </w:tcPr>
          <w:p w14:paraId="606447E0" w14:textId="15952250" w:rsidR="003325DF" w:rsidRPr="00A35800" w:rsidDel="00EE2BBB" w:rsidRDefault="000F649D" w:rsidP="00F914D9">
            <w:pPr>
              <w:pStyle w:val="Tablewriting"/>
              <w:keepNext/>
              <w:keepLines/>
              <w:widowControl w:val="0"/>
            </w:pPr>
            <w:r>
              <w:t>$526.66</w:t>
            </w:r>
          </w:p>
        </w:tc>
        <w:tc>
          <w:tcPr>
            <w:tcW w:w="1981" w:type="dxa"/>
            <w:vMerge/>
            <w:shd w:val="clear" w:color="auto" w:fill="auto"/>
          </w:tcPr>
          <w:p w14:paraId="022646ED" w14:textId="77777777" w:rsidR="003325DF" w:rsidRPr="00A35800" w:rsidDel="00EE2BBB" w:rsidRDefault="003325DF" w:rsidP="00F914D9">
            <w:pPr>
              <w:pStyle w:val="Tablewriting"/>
              <w:keepNext/>
              <w:keepLines/>
              <w:widowControl w:val="0"/>
            </w:pPr>
          </w:p>
        </w:tc>
      </w:tr>
      <w:tr w:rsidR="003325DF" w:rsidRPr="00A35800" w:rsidDel="00EE2BBB" w14:paraId="3B7A896F" w14:textId="77777777" w:rsidTr="00F914D9">
        <w:trPr>
          <w:trHeight w:val="546"/>
          <w:tblHeader/>
        </w:trPr>
        <w:tc>
          <w:tcPr>
            <w:tcW w:w="969" w:type="dxa"/>
            <w:shd w:val="clear" w:color="auto" w:fill="auto"/>
          </w:tcPr>
          <w:p w14:paraId="04157C4E" w14:textId="77777777" w:rsidR="003325DF" w:rsidRDefault="000F649D" w:rsidP="00F914D9">
            <w:pPr>
              <w:pStyle w:val="Tablewriting"/>
              <w:keepNext/>
              <w:keepLines/>
              <w:widowControl w:val="0"/>
            </w:pPr>
            <w:r>
              <w:t>3388H</w:t>
            </w:r>
          </w:p>
          <w:p w14:paraId="20FAA82B" w14:textId="4E58538B" w:rsidR="000F649D" w:rsidRDefault="000F649D" w:rsidP="00F914D9">
            <w:pPr>
              <w:pStyle w:val="Tablewriting"/>
              <w:keepNext/>
              <w:keepLines/>
              <w:widowControl w:val="0"/>
            </w:pPr>
            <w:r>
              <w:t>10497L</w:t>
            </w:r>
          </w:p>
          <w:p w14:paraId="4D3724E9" w14:textId="1A0CFC50" w:rsidR="000F649D" w:rsidRPr="00A35800" w:rsidDel="00EE2BBB" w:rsidRDefault="000F649D" w:rsidP="00F914D9">
            <w:pPr>
              <w:pStyle w:val="Tablewriting"/>
              <w:keepNext/>
              <w:keepLines/>
              <w:widowControl w:val="0"/>
            </w:pPr>
            <w:r>
              <w:t>10442N</w:t>
            </w:r>
          </w:p>
        </w:tc>
        <w:tc>
          <w:tcPr>
            <w:tcW w:w="3562" w:type="dxa"/>
            <w:shd w:val="clear" w:color="auto" w:fill="auto"/>
          </w:tcPr>
          <w:p w14:paraId="578FE7FE" w14:textId="464D8C8B" w:rsidR="003325DF" w:rsidRDefault="003325DF" w:rsidP="00F914D9">
            <w:pPr>
              <w:pStyle w:val="Tablewriting"/>
              <w:keepNext/>
              <w:keepLines/>
              <w:widowControl w:val="0"/>
            </w:pPr>
            <w:proofErr w:type="spellStart"/>
            <w:r>
              <w:t>Somatropin</w:t>
            </w:r>
            <w:proofErr w:type="spellEnd"/>
            <w:r>
              <w:t xml:space="preserve"> 20 mg/2.5 mL injection, 2.5 mL cartridge </w:t>
            </w:r>
          </w:p>
        </w:tc>
        <w:tc>
          <w:tcPr>
            <w:tcW w:w="851" w:type="dxa"/>
            <w:shd w:val="clear" w:color="auto" w:fill="auto"/>
          </w:tcPr>
          <w:p w14:paraId="46C3E3F3" w14:textId="288946DC" w:rsidR="003325DF" w:rsidRPr="00A35800" w:rsidDel="00EE2BBB" w:rsidRDefault="000F649D" w:rsidP="00F914D9">
            <w:pPr>
              <w:pStyle w:val="Tablewriting"/>
              <w:keepNext/>
              <w:keepLines/>
              <w:widowControl w:val="0"/>
            </w:pPr>
            <w:r>
              <w:t>1</w:t>
            </w:r>
          </w:p>
        </w:tc>
        <w:tc>
          <w:tcPr>
            <w:tcW w:w="709" w:type="dxa"/>
            <w:shd w:val="clear" w:color="auto" w:fill="auto"/>
          </w:tcPr>
          <w:p w14:paraId="640CB199" w14:textId="0E2FBFFC" w:rsidR="003325DF" w:rsidRPr="00A35800" w:rsidDel="00EE2BBB" w:rsidRDefault="000F649D" w:rsidP="00F914D9">
            <w:pPr>
              <w:pStyle w:val="Tablewriting"/>
              <w:keepNext/>
              <w:keepLines/>
              <w:widowControl w:val="0"/>
            </w:pPr>
            <w:r>
              <w:t>1</w:t>
            </w:r>
          </w:p>
        </w:tc>
        <w:tc>
          <w:tcPr>
            <w:tcW w:w="992" w:type="dxa"/>
            <w:shd w:val="clear" w:color="auto" w:fill="auto"/>
          </w:tcPr>
          <w:p w14:paraId="56062FFE" w14:textId="58ADA27C" w:rsidR="003325DF" w:rsidRPr="00A35800" w:rsidDel="00EE2BBB" w:rsidRDefault="000F649D" w:rsidP="00F914D9">
            <w:pPr>
              <w:pStyle w:val="Tablewriting"/>
              <w:keepNext/>
              <w:keepLines/>
              <w:widowControl w:val="0"/>
            </w:pPr>
            <w:r>
              <w:t>$872.60</w:t>
            </w:r>
          </w:p>
        </w:tc>
        <w:tc>
          <w:tcPr>
            <w:tcW w:w="1981" w:type="dxa"/>
            <w:vMerge/>
            <w:shd w:val="clear" w:color="auto" w:fill="auto"/>
          </w:tcPr>
          <w:p w14:paraId="466C1550" w14:textId="77777777" w:rsidR="003325DF" w:rsidRPr="00A35800" w:rsidDel="00EE2BBB" w:rsidRDefault="003325DF" w:rsidP="00F914D9">
            <w:pPr>
              <w:pStyle w:val="Tablewriting"/>
              <w:keepNext/>
              <w:keepLines/>
              <w:widowControl w:val="0"/>
            </w:pPr>
          </w:p>
        </w:tc>
      </w:tr>
      <w:tr w:rsidR="003325DF" w:rsidRPr="00A35800" w:rsidDel="00EE2BBB" w14:paraId="04A1F66C" w14:textId="77777777" w:rsidTr="00F914D9">
        <w:trPr>
          <w:trHeight w:val="546"/>
          <w:tblHeader/>
        </w:trPr>
        <w:tc>
          <w:tcPr>
            <w:tcW w:w="969" w:type="dxa"/>
            <w:shd w:val="clear" w:color="auto" w:fill="auto"/>
          </w:tcPr>
          <w:p w14:paraId="7F1377F3" w14:textId="6527B6CF" w:rsidR="003325DF" w:rsidRDefault="000F649D" w:rsidP="00F914D9">
            <w:pPr>
              <w:pStyle w:val="Tablewriting"/>
              <w:keepNext/>
              <w:keepLines/>
              <w:widowControl w:val="0"/>
            </w:pPr>
            <w:r>
              <w:t>11650E*</w:t>
            </w:r>
          </w:p>
          <w:p w14:paraId="7FA83381" w14:textId="2C2E3A1A" w:rsidR="000F649D" w:rsidRDefault="000F649D" w:rsidP="00F914D9">
            <w:pPr>
              <w:pStyle w:val="Tablewriting"/>
              <w:keepNext/>
              <w:keepLines/>
              <w:widowControl w:val="0"/>
            </w:pPr>
            <w:r>
              <w:t>9604L</w:t>
            </w:r>
          </w:p>
          <w:p w14:paraId="0477B8C9" w14:textId="163967A2" w:rsidR="000F649D" w:rsidRDefault="000F649D" w:rsidP="00F914D9">
            <w:pPr>
              <w:pStyle w:val="Tablewriting"/>
              <w:keepNext/>
              <w:keepLines/>
              <w:widowControl w:val="0"/>
            </w:pPr>
            <w:r>
              <w:t>10478L</w:t>
            </w:r>
          </w:p>
          <w:p w14:paraId="5B7AEC02" w14:textId="3C88B000" w:rsidR="000F649D" w:rsidRPr="00A35800" w:rsidDel="00EE2BBB" w:rsidRDefault="000F649D" w:rsidP="00F914D9">
            <w:pPr>
              <w:pStyle w:val="Tablewriting"/>
              <w:keepNext/>
              <w:keepLines/>
              <w:widowControl w:val="0"/>
            </w:pPr>
            <w:r>
              <w:t>10438J</w:t>
            </w:r>
          </w:p>
        </w:tc>
        <w:tc>
          <w:tcPr>
            <w:tcW w:w="3562" w:type="dxa"/>
            <w:shd w:val="clear" w:color="auto" w:fill="auto"/>
          </w:tcPr>
          <w:p w14:paraId="15BCF4DA" w14:textId="46A9C7CA" w:rsidR="003325DF" w:rsidRDefault="003325DF" w:rsidP="00F914D9">
            <w:pPr>
              <w:pStyle w:val="Tablewriting"/>
              <w:keepNext/>
              <w:keepLines/>
              <w:widowControl w:val="0"/>
            </w:pPr>
            <w:proofErr w:type="spellStart"/>
            <w:r>
              <w:t>Somatropin</w:t>
            </w:r>
            <w:proofErr w:type="spellEnd"/>
            <w:r>
              <w:t xml:space="preserve"> 10 mg/2 mL injection, 2 mL cartridge </w:t>
            </w:r>
          </w:p>
        </w:tc>
        <w:tc>
          <w:tcPr>
            <w:tcW w:w="851" w:type="dxa"/>
            <w:shd w:val="clear" w:color="auto" w:fill="auto"/>
          </w:tcPr>
          <w:p w14:paraId="28C7EBFA" w14:textId="31E5003D" w:rsidR="003325DF" w:rsidRDefault="000F649D" w:rsidP="00F914D9">
            <w:pPr>
              <w:pStyle w:val="Tablewriting"/>
              <w:keepNext/>
              <w:keepLines/>
              <w:widowControl w:val="0"/>
            </w:pPr>
            <w:r>
              <w:t>1*</w:t>
            </w:r>
          </w:p>
          <w:p w14:paraId="0D0A06CC" w14:textId="6BF97DDB" w:rsidR="000F649D" w:rsidRPr="00A35800" w:rsidDel="00EE2BBB" w:rsidRDefault="000F649D" w:rsidP="00F914D9">
            <w:pPr>
              <w:pStyle w:val="Tablewriting"/>
              <w:keepNext/>
              <w:keepLines/>
              <w:widowControl w:val="0"/>
            </w:pPr>
            <w:r>
              <w:t>1</w:t>
            </w:r>
          </w:p>
        </w:tc>
        <w:tc>
          <w:tcPr>
            <w:tcW w:w="709" w:type="dxa"/>
            <w:shd w:val="clear" w:color="auto" w:fill="auto"/>
          </w:tcPr>
          <w:p w14:paraId="4A4887F2" w14:textId="3E422AF0" w:rsidR="003325DF" w:rsidRDefault="000F649D" w:rsidP="00F914D9">
            <w:pPr>
              <w:pStyle w:val="Tablewriting"/>
              <w:keepNext/>
              <w:keepLines/>
              <w:widowControl w:val="0"/>
            </w:pPr>
            <w:r>
              <w:t>5*</w:t>
            </w:r>
          </w:p>
          <w:p w14:paraId="54B36B0B" w14:textId="5513347F" w:rsidR="000F649D" w:rsidRPr="00A35800" w:rsidDel="00EE2BBB" w:rsidRDefault="000F649D" w:rsidP="00F914D9">
            <w:pPr>
              <w:pStyle w:val="Tablewriting"/>
              <w:keepNext/>
              <w:keepLines/>
              <w:widowControl w:val="0"/>
            </w:pPr>
            <w:r>
              <w:t>1</w:t>
            </w:r>
          </w:p>
        </w:tc>
        <w:tc>
          <w:tcPr>
            <w:tcW w:w="992" w:type="dxa"/>
            <w:shd w:val="clear" w:color="auto" w:fill="auto"/>
          </w:tcPr>
          <w:p w14:paraId="27FB9CAB" w14:textId="01BB93BF" w:rsidR="003325DF" w:rsidRDefault="000F649D" w:rsidP="00F914D9">
            <w:pPr>
              <w:pStyle w:val="Tablewriting"/>
              <w:keepNext/>
              <w:keepLines/>
              <w:widowControl w:val="0"/>
            </w:pPr>
            <w:r>
              <w:t>$426.76*</w:t>
            </w:r>
          </w:p>
          <w:p w14:paraId="25BFD512" w14:textId="77777777" w:rsidR="000F649D" w:rsidRDefault="000F649D" w:rsidP="00F914D9">
            <w:pPr>
              <w:pStyle w:val="Tablewriting"/>
              <w:keepNext/>
              <w:keepLines/>
              <w:widowControl w:val="0"/>
            </w:pPr>
            <w:r>
              <w:t>$426.76</w:t>
            </w:r>
          </w:p>
          <w:p w14:paraId="021E61E9" w14:textId="3520020E" w:rsidR="000F649D" w:rsidRPr="00A35800" w:rsidDel="00EE2BBB" w:rsidRDefault="000F649D" w:rsidP="00F914D9">
            <w:pPr>
              <w:pStyle w:val="Tablewriting"/>
              <w:keepNext/>
              <w:keepLines/>
              <w:widowControl w:val="0"/>
            </w:pPr>
          </w:p>
        </w:tc>
        <w:tc>
          <w:tcPr>
            <w:tcW w:w="1981" w:type="dxa"/>
            <w:shd w:val="clear" w:color="auto" w:fill="auto"/>
          </w:tcPr>
          <w:p w14:paraId="07E8E820" w14:textId="77777777" w:rsidR="003325DF" w:rsidRDefault="003325DF" w:rsidP="00F914D9">
            <w:pPr>
              <w:pStyle w:val="Tablewriting"/>
              <w:keepNext/>
              <w:keepLines/>
              <w:widowControl w:val="0"/>
            </w:pPr>
            <w:proofErr w:type="spellStart"/>
            <w:r>
              <w:t>Nutritropin</w:t>
            </w:r>
            <w:proofErr w:type="spellEnd"/>
            <w:r>
              <w:t xml:space="preserve"> </w:t>
            </w:r>
            <w:proofErr w:type="spellStart"/>
            <w:r>
              <w:t>Aq</w:t>
            </w:r>
            <w:proofErr w:type="spellEnd"/>
          </w:p>
          <w:p w14:paraId="629EE41C" w14:textId="19C7C8ED" w:rsidR="000F649D" w:rsidRPr="00A35800" w:rsidDel="00EE2BBB" w:rsidRDefault="000F649D" w:rsidP="00F914D9">
            <w:pPr>
              <w:pStyle w:val="Tablewriting"/>
              <w:keepNext/>
              <w:keepLines/>
              <w:widowControl w:val="0"/>
            </w:pPr>
            <w:proofErr w:type="spellStart"/>
            <w:r>
              <w:t>Ispen</w:t>
            </w:r>
            <w:proofErr w:type="spellEnd"/>
            <w:r>
              <w:t xml:space="preserve"> Pty Ltd </w:t>
            </w:r>
          </w:p>
        </w:tc>
      </w:tr>
      <w:tr w:rsidR="002A0DC8" w:rsidRPr="00A35800" w:rsidDel="00EE2BBB" w14:paraId="41B097F2" w14:textId="77777777" w:rsidTr="00F914D9">
        <w:trPr>
          <w:trHeight w:val="546"/>
          <w:tblHeader/>
        </w:trPr>
        <w:tc>
          <w:tcPr>
            <w:tcW w:w="969" w:type="dxa"/>
            <w:shd w:val="clear" w:color="auto" w:fill="auto"/>
          </w:tcPr>
          <w:p w14:paraId="68B85638" w14:textId="0BBE2E38" w:rsidR="002A0DC8" w:rsidRPr="00EF3F70" w:rsidRDefault="000F649D" w:rsidP="00F914D9">
            <w:pPr>
              <w:pStyle w:val="Tablewriting"/>
              <w:keepNext/>
              <w:keepLines/>
              <w:widowControl w:val="0"/>
            </w:pPr>
            <w:r w:rsidRPr="00EF3F70">
              <w:lastRenderedPageBreak/>
              <w:t>11493X*</w:t>
            </w:r>
          </w:p>
          <w:p w14:paraId="1952D771" w14:textId="60E71E74" w:rsidR="000F649D" w:rsidRPr="00EF3F70" w:rsidRDefault="000F649D" w:rsidP="00F914D9">
            <w:pPr>
              <w:pStyle w:val="Tablewriting"/>
              <w:keepNext/>
              <w:keepLines/>
              <w:widowControl w:val="0"/>
            </w:pPr>
            <w:r w:rsidRPr="00EF3F70">
              <w:t>9585L</w:t>
            </w:r>
          </w:p>
          <w:p w14:paraId="34AAFB6A" w14:textId="77777777" w:rsidR="000F649D" w:rsidRPr="00EF3F70" w:rsidRDefault="000F649D" w:rsidP="00F914D9">
            <w:pPr>
              <w:pStyle w:val="Tablewriting"/>
              <w:keepNext/>
              <w:keepLines/>
              <w:widowControl w:val="0"/>
            </w:pPr>
            <w:r w:rsidRPr="00EF3F70">
              <w:t>10443P</w:t>
            </w:r>
          </w:p>
          <w:p w14:paraId="41549CE6" w14:textId="19C59209" w:rsidR="000F649D" w:rsidRPr="00EF3F70" w:rsidDel="00EE2BBB" w:rsidRDefault="000F649D" w:rsidP="00F914D9">
            <w:pPr>
              <w:pStyle w:val="Tablewriting"/>
              <w:keepNext/>
              <w:keepLines/>
              <w:widowControl w:val="0"/>
              <w:rPr>
                <w:b/>
              </w:rPr>
            </w:pPr>
            <w:r w:rsidRPr="00EF3F70">
              <w:t>10435F</w:t>
            </w:r>
          </w:p>
        </w:tc>
        <w:tc>
          <w:tcPr>
            <w:tcW w:w="3562" w:type="dxa"/>
            <w:shd w:val="clear" w:color="auto" w:fill="auto"/>
          </w:tcPr>
          <w:p w14:paraId="6613F107" w14:textId="6F131D2B" w:rsidR="002A0DC8" w:rsidRDefault="002A0DC8" w:rsidP="00F914D9">
            <w:pPr>
              <w:pStyle w:val="Tablewriting"/>
              <w:keepNext/>
              <w:keepLines/>
              <w:widowControl w:val="0"/>
            </w:pPr>
            <w:proofErr w:type="spellStart"/>
            <w:r>
              <w:t>Somatropin</w:t>
            </w:r>
            <w:proofErr w:type="spellEnd"/>
            <w:r>
              <w:t xml:space="preserve"> (recombinant human growth hormone) powder for injection 5 mg (15 </w:t>
            </w:r>
            <w:proofErr w:type="spellStart"/>
            <w:r>
              <w:t>i.u</w:t>
            </w:r>
            <w:proofErr w:type="spellEnd"/>
            <w:r>
              <w:t>.) with diluent in pre-filled pen (with preservative), 1</w:t>
            </w:r>
          </w:p>
        </w:tc>
        <w:tc>
          <w:tcPr>
            <w:tcW w:w="851" w:type="dxa"/>
            <w:shd w:val="clear" w:color="auto" w:fill="auto"/>
          </w:tcPr>
          <w:p w14:paraId="7DACA3F0" w14:textId="0B7201B6" w:rsidR="002A0DC8" w:rsidRDefault="000F649D" w:rsidP="00F914D9">
            <w:pPr>
              <w:pStyle w:val="Tablewriting"/>
              <w:keepNext/>
              <w:keepLines/>
              <w:widowControl w:val="0"/>
            </w:pPr>
            <w:r>
              <w:t>1*</w:t>
            </w:r>
          </w:p>
          <w:p w14:paraId="261292B4" w14:textId="18A91A5D" w:rsidR="000F649D" w:rsidRPr="00A35800" w:rsidDel="00EE2BBB" w:rsidRDefault="000F649D" w:rsidP="00F914D9">
            <w:pPr>
              <w:pStyle w:val="Tablewriting"/>
              <w:keepNext/>
              <w:keepLines/>
              <w:widowControl w:val="0"/>
            </w:pPr>
            <w:r>
              <w:t>1</w:t>
            </w:r>
          </w:p>
        </w:tc>
        <w:tc>
          <w:tcPr>
            <w:tcW w:w="709" w:type="dxa"/>
            <w:shd w:val="clear" w:color="auto" w:fill="auto"/>
          </w:tcPr>
          <w:p w14:paraId="2CBC5441" w14:textId="76FC9E18" w:rsidR="002A0DC8" w:rsidRDefault="000F649D" w:rsidP="00F914D9">
            <w:pPr>
              <w:pStyle w:val="Tablewriting"/>
              <w:keepNext/>
              <w:keepLines/>
              <w:widowControl w:val="0"/>
            </w:pPr>
            <w:r>
              <w:t>5*</w:t>
            </w:r>
          </w:p>
          <w:p w14:paraId="3192D237" w14:textId="2ABD310A" w:rsidR="000F649D" w:rsidRPr="00A35800" w:rsidDel="00EE2BBB" w:rsidRDefault="000F649D" w:rsidP="00F914D9">
            <w:pPr>
              <w:pStyle w:val="Tablewriting"/>
              <w:keepNext/>
              <w:keepLines/>
              <w:widowControl w:val="0"/>
            </w:pPr>
            <w:r>
              <w:t>1</w:t>
            </w:r>
          </w:p>
        </w:tc>
        <w:tc>
          <w:tcPr>
            <w:tcW w:w="992" w:type="dxa"/>
            <w:shd w:val="clear" w:color="auto" w:fill="auto"/>
          </w:tcPr>
          <w:p w14:paraId="2FABC177" w14:textId="58615896" w:rsidR="002A0DC8" w:rsidRDefault="000F649D" w:rsidP="00F914D9">
            <w:pPr>
              <w:pStyle w:val="Tablewriting"/>
              <w:keepNext/>
              <w:keepLines/>
              <w:widowControl w:val="0"/>
            </w:pPr>
            <w:r>
              <w:t xml:space="preserve">$217.25* </w:t>
            </w:r>
          </w:p>
          <w:p w14:paraId="6897651D" w14:textId="60315F1C" w:rsidR="000F649D" w:rsidRPr="00A35800" w:rsidDel="00EE2BBB" w:rsidRDefault="000F649D" w:rsidP="00F914D9">
            <w:pPr>
              <w:pStyle w:val="Tablewriting"/>
              <w:keepNext/>
              <w:keepLines/>
              <w:widowControl w:val="0"/>
            </w:pPr>
            <w:r>
              <w:t>$217.25</w:t>
            </w:r>
          </w:p>
        </w:tc>
        <w:tc>
          <w:tcPr>
            <w:tcW w:w="1981" w:type="dxa"/>
            <w:vMerge w:val="restart"/>
            <w:shd w:val="clear" w:color="auto" w:fill="auto"/>
          </w:tcPr>
          <w:p w14:paraId="75CB38F5" w14:textId="77777777" w:rsidR="002A0DC8" w:rsidRDefault="002A0DC8" w:rsidP="00F914D9">
            <w:pPr>
              <w:pStyle w:val="Tablewriting"/>
              <w:keepNext/>
              <w:keepLines/>
              <w:widowControl w:val="0"/>
            </w:pPr>
            <w:proofErr w:type="spellStart"/>
            <w:r>
              <w:t>Genotropin</w:t>
            </w:r>
            <w:proofErr w:type="spellEnd"/>
            <w:r>
              <w:t xml:space="preserve"> </w:t>
            </w:r>
            <w:proofErr w:type="spellStart"/>
            <w:r>
              <w:t>GoQuick</w:t>
            </w:r>
            <w:proofErr w:type="spellEnd"/>
            <w:r>
              <w:t xml:space="preserve"> </w:t>
            </w:r>
          </w:p>
          <w:p w14:paraId="130F0146" w14:textId="14775763" w:rsidR="000F649D" w:rsidRDefault="000F649D" w:rsidP="00F914D9">
            <w:pPr>
              <w:pStyle w:val="Tablewriting"/>
              <w:keepNext/>
              <w:keepLines/>
              <w:widowControl w:val="0"/>
            </w:pPr>
            <w:r>
              <w:t xml:space="preserve">Pfizer Australia Pty Ltd </w:t>
            </w:r>
          </w:p>
        </w:tc>
      </w:tr>
      <w:tr w:rsidR="002A0DC8" w:rsidRPr="00A35800" w:rsidDel="00EE2BBB" w14:paraId="712EB81C" w14:textId="77777777" w:rsidTr="00F914D9">
        <w:trPr>
          <w:trHeight w:val="546"/>
          <w:tblHeader/>
        </w:trPr>
        <w:tc>
          <w:tcPr>
            <w:tcW w:w="969" w:type="dxa"/>
            <w:shd w:val="clear" w:color="auto" w:fill="auto"/>
          </w:tcPr>
          <w:p w14:paraId="12743ECF" w14:textId="6EE6D3B3" w:rsidR="002A0DC8" w:rsidRDefault="002A0DC8" w:rsidP="00F914D9">
            <w:pPr>
              <w:pStyle w:val="Tablewriting"/>
              <w:keepNext/>
              <w:keepLines/>
              <w:widowControl w:val="0"/>
            </w:pPr>
            <w:r>
              <w:t>11495B</w:t>
            </w:r>
            <w:r w:rsidR="000F649D">
              <w:t>*</w:t>
            </w:r>
          </w:p>
          <w:p w14:paraId="61B9C7F0" w14:textId="77777777" w:rsidR="002A0DC8" w:rsidRDefault="002A0DC8" w:rsidP="00F914D9">
            <w:pPr>
              <w:pStyle w:val="Tablewriting"/>
              <w:keepNext/>
              <w:keepLines/>
              <w:widowControl w:val="0"/>
            </w:pPr>
            <w:r>
              <w:t>9586M</w:t>
            </w:r>
          </w:p>
          <w:p w14:paraId="208970D0" w14:textId="77777777" w:rsidR="002A0DC8" w:rsidRDefault="002A0DC8" w:rsidP="00F914D9">
            <w:pPr>
              <w:pStyle w:val="Tablewriting"/>
              <w:keepNext/>
              <w:keepLines/>
              <w:widowControl w:val="0"/>
            </w:pPr>
            <w:r>
              <w:t>10431B</w:t>
            </w:r>
          </w:p>
          <w:p w14:paraId="32B2607F" w14:textId="5E84E1F4" w:rsidR="000F649D" w:rsidRPr="00A35800" w:rsidDel="00EE2BBB" w:rsidRDefault="000F649D" w:rsidP="00F914D9">
            <w:pPr>
              <w:pStyle w:val="Tablewriting"/>
              <w:keepNext/>
              <w:keepLines/>
              <w:widowControl w:val="0"/>
            </w:pPr>
            <w:r>
              <w:t>10426R</w:t>
            </w:r>
          </w:p>
        </w:tc>
        <w:tc>
          <w:tcPr>
            <w:tcW w:w="3562" w:type="dxa"/>
            <w:shd w:val="clear" w:color="auto" w:fill="auto"/>
          </w:tcPr>
          <w:p w14:paraId="002CC175" w14:textId="6388A67C" w:rsidR="002A0DC8" w:rsidRDefault="002A0DC8" w:rsidP="00F914D9">
            <w:pPr>
              <w:pStyle w:val="Tablewriting"/>
              <w:keepNext/>
              <w:keepLines/>
              <w:widowControl w:val="0"/>
            </w:pPr>
            <w:proofErr w:type="spellStart"/>
            <w:r>
              <w:t>Somatropin</w:t>
            </w:r>
            <w:proofErr w:type="spellEnd"/>
            <w:r>
              <w:t xml:space="preserve"> (recombinant human growth hormone) powder for injection 12 mg (36 </w:t>
            </w:r>
            <w:proofErr w:type="spellStart"/>
            <w:r>
              <w:t>i.u</w:t>
            </w:r>
            <w:proofErr w:type="spellEnd"/>
            <w:r>
              <w:t>.) with diluent in pre-filled pen (with preservative), 1</w:t>
            </w:r>
          </w:p>
        </w:tc>
        <w:tc>
          <w:tcPr>
            <w:tcW w:w="851" w:type="dxa"/>
            <w:shd w:val="clear" w:color="auto" w:fill="auto"/>
          </w:tcPr>
          <w:p w14:paraId="48CD9835" w14:textId="76C3C884" w:rsidR="002A0DC8" w:rsidRDefault="002A0DC8" w:rsidP="00F914D9">
            <w:pPr>
              <w:pStyle w:val="Tablewriting"/>
              <w:keepNext/>
              <w:keepLines/>
              <w:widowControl w:val="0"/>
            </w:pPr>
            <w:r>
              <w:t>1</w:t>
            </w:r>
            <w:r w:rsidR="000F649D">
              <w:t>*</w:t>
            </w:r>
          </w:p>
          <w:p w14:paraId="50064666" w14:textId="17E3ADFC" w:rsidR="002A0DC8" w:rsidRPr="00A35800" w:rsidDel="00EE2BBB" w:rsidRDefault="002A0DC8" w:rsidP="00F914D9">
            <w:pPr>
              <w:pStyle w:val="Tablewriting"/>
              <w:keepNext/>
              <w:keepLines/>
              <w:widowControl w:val="0"/>
            </w:pPr>
            <w:r>
              <w:t>1</w:t>
            </w:r>
          </w:p>
        </w:tc>
        <w:tc>
          <w:tcPr>
            <w:tcW w:w="709" w:type="dxa"/>
            <w:shd w:val="clear" w:color="auto" w:fill="auto"/>
          </w:tcPr>
          <w:p w14:paraId="3FCF7BDA" w14:textId="43FEE39E" w:rsidR="002A0DC8" w:rsidRDefault="002A0DC8" w:rsidP="00F914D9">
            <w:pPr>
              <w:pStyle w:val="Tablewriting"/>
              <w:keepNext/>
              <w:keepLines/>
              <w:widowControl w:val="0"/>
            </w:pPr>
            <w:r>
              <w:t>5</w:t>
            </w:r>
            <w:r w:rsidR="000F649D">
              <w:t>*</w:t>
            </w:r>
          </w:p>
          <w:p w14:paraId="1BC786EF" w14:textId="3DCE4F1A" w:rsidR="002A0DC8" w:rsidRPr="00A35800" w:rsidDel="00EE2BBB" w:rsidRDefault="002A0DC8" w:rsidP="00F914D9">
            <w:pPr>
              <w:pStyle w:val="Tablewriting"/>
              <w:keepNext/>
              <w:keepLines/>
              <w:widowControl w:val="0"/>
            </w:pPr>
            <w:r>
              <w:t>1</w:t>
            </w:r>
          </w:p>
        </w:tc>
        <w:tc>
          <w:tcPr>
            <w:tcW w:w="992" w:type="dxa"/>
            <w:shd w:val="clear" w:color="auto" w:fill="auto"/>
          </w:tcPr>
          <w:p w14:paraId="1D4B01DD" w14:textId="2877F4F0" w:rsidR="002A0DC8" w:rsidRDefault="002A0DC8" w:rsidP="00F914D9">
            <w:pPr>
              <w:pStyle w:val="Tablewriting"/>
              <w:keepNext/>
              <w:keepLines/>
              <w:widowControl w:val="0"/>
            </w:pPr>
            <w:r>
              <w:t>$510.55</w:t>
            </w:r>
            <w:r w:rsidR="000F649D">
              <w:t>*</w:t>
            </w:r>
          </w:p>
          <w:p w14:paraId="50903273" w14:textId="6A77A2F6" w:rsidR="002A0DC8" w:rsidRPr="00A35800" w:rsidDel="00EE2BBB" w:rsidRDefault="000F649D" w:rsidP="00F914D9">
            <w:pPr>
              <w:pStyle w:val="Tablewriting"/>
              <w:keepNext/>
              <w:keepLines/>
              <w:widowControl w:val="0"/>
            </w:pPr>
            <w:r>
              <w:t>$510.55</w:t>
            </w:r>
          </w:p>
        </w:tc>
        <w:tc>
          <w:tcPr>
            <w:tcW w:w="1981" w:type="dxa"/>
            <w:vMerge/>
            <w:shd w:val="clear" w:color="auto" w:fill="auto"/>
          </w:tcPr>
          <w:p w14:paraId="46EC4563" w14:textId="77777777" w:rsidR="002A0DC8" w:rsidRDefault="002A0DC8" w:rsidP="00F914D9">
            <w:pPr>
              <w:pStyle w:val="Tablewriting"/>
              <w:keepNext/>
              <w:keepLines/>
              <w:widowControl w:val="0"/>
            </w:pPr>
          </w:p>
        </w:tc>
      </w:tr>
      <w:tr w:rsidR="002A0DC8" w:rsidRPr="00A35800" w:rsidDel="00EE2BBB" w14:paraId="782394C4" w14:textId="77777777" w:rsidTr="00F914D9">
        <w:trPr>
          <w:trHeight w:val="546"/>
          <w:tblHeader/>
        </w:trPr>
        <w:tc>
          <w:tcPr>
            <w:tcW w:w="969" w:type="dxa"/>
            <w:shd w:val="clear" w:color="auto" w:fill="auto"/>
          </w:tcPr>
          <w:p w14:paraId="7FB81E07" w14:textId="77777777" w:rsidR="002A0DC8" w:rsidRDefault="002A0DC8" w:rsidP="00F914D9">
            <w:pPr>
              <w:pStyle w:val="Tablewriting"/>
              <w:keepNext/>
              <w:keepLines/>
              <w:widowControl w:val="0"/>
            </w:pPr>
            <w:r>
              <w:t>6266T</w:t>
            </w:r>
          </w:p>
          <w:p w14:paraId="4F48E96A" w14:textId="77777777" w:rsidR="002A0DC8" w:rsidRDefault="002A0DC8" w:rsidP="00F914D9">
            <w:pPr>
              <w:pStyle w:val="Tablewriting"/>
              <w:keepNext/>
              <w:keepLines/>
              <w:widowControl w:val="0"/>
            </w:pPr>
            <w:r>
              <w:t>10452D</w:t>
            </w:r>
          </w:p>
          <w:p w14:paraId="79FFE11E" w14:textId="1968EC46" w:rsidR="002A0DC8" w:rsidRPr="00A35800" w:rsidDel="00EE2BBB" w:rsidRDefault="002A0DC8" w:rsidP="00F914D9">
            <w:pPr>
              <w:pStyle w:val="Tablewriting"/>
              <w:keepNext/>
              <w:keepLines/>
              <w:widowControl w:val="0"/>
            </w:pPr>
            <w:r>
              <w:t>10447W</w:t>
            </w:r>
          </w:p>
        </w:tc>
        <w:tc>
          <w:tcPr>
            <w:tcW w:w="3562" w:type="dxa"/>
            <w:shd w:val="clear" w:color="auto" w:fill="auto"/>
          </w:tcPr>
          <w:p w14:paraId="686C289E" w14:textId="692711F1" w:rsidR="002A0DC8" w:rsidRDefault="002A0DC8" w:rsidP="00F914D9">
            <w:pPr>
              <w:pStyle w:val="Tablewriting"/>
              <w:keepNext/>
              <w:keepLines/>
              <w:widowControl w:val="0"/>
            </w:pPr>
            <w:proofErr w:type="spellStart"/>
            <w:r>
              <w:t>Somatropin</w:t>
            </w:r>
            <w:proofErr w:type="spellEnd"/>
            <w:r>
              <w:t xml:space="preserve"> 4 mg injection [1 vial] (&amp;) inert substance diluent [1 vial], 1 pack </w:t>
            </w:r>
          </w:p>
        </w:tc>
        <w:tc>
          <w:tcPr>
            <w:tcW w:w="851" w:type="dxa"/>
            <w:shd w:val="clear" w:color="auto" w:fill="auto"/>
          </w:tcPr>
          <w:p w14:paraId="185F24D2" w14:textId="4F2F57AC" w:rsidR="002A0DC8" w:rsidRPr="00A35800" w:rsidDel="00EE2BBB" w:rsidRDefault="002A0DC8" w:rsidP="00F914D9">
            <w:pPr>
              <w:pStyle w:val="Tablewriting"/>
              <w:keepNext/>
              <w:keepLines/>
              <w:widowControl w:val="0"/>
            </w:pPr>
            <w:r>
              <w:t>1</w:t>
            </w:r>
          </w:p>
        </w:tc>
        <w:tc>
          <w:tcPr>
            <w:tcW w:w="709" w:type="dxa"/>
            <w:shd w:val="clear" w:color="auto" w:fill="auto"/>
          </w:tcPr>
          <w:p w14:paraId="15144397" w14:textId="09CA21D3" w:rsidR="002A0DC8" w:rsidRPr="00A35800" w:rsidDel="00EE2BBB" w:rsidRDefault="002A0DC8" w:rsidP="00F914D9">
            <w:pPr>
              <w:pStyle w:val="Tablewriting"/>
              <w:keepNext/>
              <w:keepLines/>
              <w:widowControl w:val="0"/>
            </w:pPr>
            <w:r>
              <w:t>1</w:t>
            </w:r>
          </w:p>
        </w:tc>
        <w:tc>
          <w:tcPr>
            <w:tcW w:w="992" w:type="dxa"/>
            <w:shd w:val="clear" w:color="auto" w:fill="auto"/>
          </w:tcPr>
          <w:p w14:paraId="4571AD48" w14:textId="32575813" w:rsidR="002A0DC8" w:rsidRPr="00A35800" w:rsidDel="00EE2BBB" w:rsidRDefault="002A0DC8" w:rsidP="00F914D9">
            <w:pPr>
              <w:pStyle w:val="Tablewriting"/>
              <w:keepNext/>
              <w:keepLines/>
              <w:widowControl w:val="0"/>
            </w:pPr>
            <w:r>
              <w:t>$180.71</w:t>
            </w:r>
          </w:p>
        </w:tc>
        <w:tc>
          <w:tcPr>
            <w:tcW w:w="1981" w:type="dxa"/>
            <w:shd w:val="clear" w:color="auto" w:fill="auto"/>
          </w:tcPr>
          <w:p w14:paraId="5B67B4E1" w14:textId="77777777" w:rsidR="002A0DC8" w:rsidRDefault="002A0DC8" w:rsidP="00F914D9">
            <w:pPr>
              <w:pStyle w:val="Tablewriting"/>
              <w:keepNext/>
              <w:keepLines/>
              <w:widowControl w:val="0"/>
            </w:pPr>
            <w:proofErr w:type="spellStart"/>
            <w:r>
              <w:t>Zomacton</w:t>
            </w:r>
            <w:proofErr w:type="spellEnd"/>
            <w:r>
              <w:t xml:space="preserve"> </w:t>
            </w:r>
          </w:p>
          <w:p w14:paraId="35116A30" w14:textId="4514E64B" w:rsidR="002A0DC8" w:rsidRDefault="002A0DC8" w:rsidP="00F914D9">
            <w:pPr>
              <w:pStyle w:val="Tablewriting"/>
              <w:keepNext/>
              <w:keepLines/>
              <w:widowControl w:val="0"/>
            </w:pPr>
            <w:proofErr w:type="spellStart"/>
            <w:r>
              <w:t>Ferring</w:t>
            </w:r>
            <w:proofErr w:type="spellEnd"/>
            <w:r>
              <w:t xml:space="preserve"> Pharmaceuticals Pty Limited </w:t>
            </w:r>
          </w:p>
        </w:tc>
      </w:tr>
      <w:tr w:rsidR="002A0DC8" w:rsidRPr="00A35800" w:rsidDel="00EE2BBB" w14:paraId="1790C452" w14:textId="77777777" w:rsidTr="00F914D9">
        <w:trPr>
          <w:trHeight w:val="546"/>
          <w:tblHeader/>
        </w:trPr>
        <w:tc>
          <w:tcPr>
            <w:tcW w:w="969" w:type="dxa"/>
            <w:shd w:val="clear" w:color="auto" w:fill="auto"/>
          </w:tcPr>
          <w:p w14:paraId="322D4DDB" w14:textId="77777777" w:rsidR="002A0DC8" w:rsidRDefault="002A0DC8" w:rsidP="00F914D9">
            <w:pPr>
              <w:pStyle w:val="Tablewriting"/>
              <w:keepNext/>
              <w:keepLines/>
              <w:widowControl w:val="0"/>
            </w:pPr>
            <w:r>
              <w:t>6169Q</w:t>
            </w:r>
          </w:p>
          <w:p w14:paraId="28675DEF" w14:textId="71D79B97" w:rsidR="002A0DC8" w:rsidRDefault="002A0DC8" w:rsidP="00F914D9">
            <w:pPr>
              <w:pStyle w:val="Tablewriting"/>
              <w:keepNext/>
              <w:keepLines/>
              <w:widowControl w:val="0"/>
            </w:pPr>
            <w:r>
              <w:t>10482Q</w:t>
            </w:r>
          </w:p>
          <w:p w14:paraId="7778E291" w14:textId="7194C900" w:rsidR="00EF3F70" w:rsidRDefault="00EF3F70" w:rsidP="00F914D9">
            <w:pPr>
              <w:pStyle w:val="Tablewriting"/>
              <w:keepNext/>
              <w:keepLines/>
              <w:widowControl w:val="0"/>
            </w:pPr>
            <w:r>
              <w:t>10429X</w:t>
            </w:r>
          </w:p>
          <w:p w14:paraId="06370DFC" w14:textId="2F31E693" w:rsidR="002A0DC8" w:rsidRPr="00A35800" w:rsidDel="00EE2BBB" w:rsidRDefault="002A0DC8" w:rsidP="00F914D9">
            <w:pPr>
              <w:pStyle w:val="Tablewriting"/>
              <w:keepNext/>
              <w:keepLines/>
              <w:widowControl w:val="0"/>
            </w:pPr>
          </w:p>
        </w:tc>
        <w:tc>
          <w:tcPr>
            <w:tcW w:w="3562" w:type="dxa"/>
            <w:shd w:val="clear" w:color="auto" w:fill="auto"/>
          </w:tcPr>
          <w:p w14:paraId="09202769" w14:textId="6B9A3077" w:rsidR="002A0DC8" w:rsidRDefault="002A0DC8" w:rsidP="00F914D9">
            <w:pPr>
              <w:pStyle w:val="Tablewriting"/>
              <w:keepNext/>
              <w:keepLines/>
              <w:widowControl w:val="0"/>
            </w:pPr>
            <w:proofErr w:type="spellStart"/>
            <w:r>
              <w:t>Somatropin</w:t>
            </w:r>
            <w:proofErr w:type="spellEnd"/>
            <w:r>
              <w:t xml:space="preserve"> 6 mg injection [1 cartridge] (&amp;) inert substance diluent [3.15 mL syringe], 1 pack </w:t>
            </w:r>
          </w:p>
        </w:tc>
        <w:tc>
          <w:tcPr>
            <w:tcW w:w="851" w:type="dxa"/>
            <w:shd w:val="clear" w:color="auto" w:fill="auto"/>
          </w:tcPr>
          <w:p w14:paraId="319496BA" w14:textId="6A01966A" w:rsidR="002A0DC8" w:rsidRPr="00A35800" w:rsidDel="00EE2BBB" w:rsidRDefault="002A0DC8" w:rsidP="00F914D9">
            <w:pPr>
              <w:pStyle w:val="Tablewriting"/>
              <w:keepNext/>
              <w:keepLines/>
              <w:widowControl w:val="0"/>
            </w:pPr>
            <w:r>
              <w:t>1</w:t>
            </w:r>
          </w:p>
        </w:tc>
        <w:tc>
          <w:tcPr>
            <w:tcW w:w="709" w:type="dxa"/>
            <w:shd w:val="clear" w:color="auto" w:fill="auto"/>
          </w:tcPr>
          <w:p w14:paraId="2C671E29" w14:textId="4D1B77E1" w:rsidR="002A0DC8" w:rsidRPr="00A35800" w:rsidDel="00EE2BBB" w:rsidRDefault="002A0DC8" w:rsidP="00F914D9">
            <w:pPr>
              <w:pStyle w:val="Tablewriting"/>
              <w:keepNext/>
              <w:keepLines/>
              <w:widowControl w:val="0"/>
            </w:pPr>
            <w:r>
              <w:t>1</w:t>
            </w:r>
          </w:p>
        </w:tc>
        <w:tc>
          <w:tcPr>
            <w:tcW w:w="992" w:type="dxa"/>
            <w:shd w:val="clear" w:color="auto" w:fill="auto"/>
          </w:tcPr>
          <w:p w14:paraId="0AFCD467" w14:textId="14A3D671" w:rsidR="002A0DC8" w:rsidRPr="00A35800" w:rsidDel="00EE2BBB" w:rsidRDefault="002A0DC8" w:rsidP="00F914D9">
            <w:pPr>
              <w:pStyle w:val="Tablewriting"/>
              <w:keepNext/>
              <w:keepLines/>
              <w:widowControl w:val="0"/>
            </w:pPr>
            <w:r>
              <w:t>$267.20</w:t>
            </w:r>
          </w:p>
        </w:tc>
        <w:tc>
          <w:tcPr>
            <w:tcW w:w="1981" w:type="dxa"/>
            <w:vMerge w:val="restart"/>
            <w:shd w:val="clear" w:color="auto" w:fill="auto"/>
          </w:tcPr>
          <w:p w14:paraId="692B9D44" w14:textId="77777777" w:rsidR="002A0DC8" w:rsidRDefault="002A0DC8" w:rsidP="00F914D9">
            <w:pPr>
              <w:pStyle w:val="Tablewriting"/>
              <w:keepNext/>
              <w:keepLines/>
              <w:widowControl w:val="0"/>
            </w:pPr>
            <w:proofErr w:type="spellStart"/>
            <w:r>
              <w:t>Humatrope</w:t>
            </w:r>
            <w:proofErr w:type="spellEnd"/>
            <w:r>
              <w:t xml:space="preserve"> </w:t>
            </w:r>
          </w:p>
          <w:p w14:paraId="206D2E2A" w14:textId="79B377A1" w:rsidR="002A0DC8" w:rsidRDefault="002A0DC8" w:rsidP="00F914D9">
            <w:pPr>
              <w:pStyle w:val="Tablewriting"/>
              <w:keepNext/>
              <w:keepLines/>
              <w:widowControl w:val="0"/>
            </w:pPr>
            <w:r>
              <w:t xml:space="preserve">Eli Lilly Australia Pty Ltd </w:t>
            </w:r>
          </w:p>
        </w:tc>
      </w:tr>
      <w:tr w:rsidR="002A0DC8" w:rsidRPr="00A35800" w:rsidDel="00EE2BBB" w14:paraId="299E83D4" w14:textId="77777777" w:rsidTr="00F914D9">
        <w:trPr>
          <w:trHeight w:val="546"/>
          <w:tblHeader/>
        </w:trPr>
        <w:tc>
          <w:tcPr>
            <w:tcW w:w="969" w:type="dxa"/>
            <w:shd w:val="clear" w:color="auto" w:fill="auto"/>
          </w:tcPr>
          <w:p w14:paraId="0003079D" w14:textId="77777777" w:rsidR="002A0DC8" w:rsidRDefault="002A0DC8" w:rsidP="00F914D9">
            <w:pPr>
              <w:pStyle w:val="Tablewriting"/>
              <w:keepNext/>
              <w:keepLines/>
              <w:widowControl w:val="0"/>
            </w:pPr>
            <w:r>
              <w:t>6170R</w:t>
            </w:r>
          </w:p>
          <w:p w14:paraId="1594FD99" w14:textId="434B3A1E" w:rsidR="002A0DC8" w:rsidRDefault="00EF3F70" w:rsidP="00F914D9">
            <w:pPr>
              <w:pStyle w:val="Tablewriting"/>
              <w:keepNext/>
              <w:keepLines/>
              <w:widowControl w:val="0"/>
            </w:pPr>
            <w:r w:rsidRPr="00EF3F70">
              <w:t>104</w:t>
            </w:r>
            <w:r w:rsidR="002A0DC8" w:rsidRPr="00EF3F70">
              <w:t>8</w:t>
            </w:r>
            <w:r w:rsidRPr="00EF3F70">
              <w:t>7</w:t>
            </w:r>
            <w:r w:rsidR="002A0DC8" w:rsidRPr="00EF3F70">
              <w:t>Y</w:t>
            </w:r>
          </w:p>
          <w:p w14:paraId="08F8EEEE" w14:textId="0DA2F599" w:rsidR="002A0DC8" w:rsidRPr="00A35800" w:rsidDel="00EE2BBB" w:rsidRDefault="002A0DC8" w:rsidP="00F914D9">
            <w:pPr>
              <w:pStyle w:val="Tablewriting"/>
              <w:keepNext/>
              <w:keepLines/>
              <w:widowControl w:val="0"/>
            </w:pPr>
            <w:r>
              <w:t>10461N</w:t>
            </w:r>
          </w:p>
        </w:tc>
        <w:tc>
          <w:tcPr>
            <w:tcW w:w="3562" w:type="dxa"/>
            <w:shd w:val="clear" w:color="auto" w:fill="auto"/>
          </w:tcPr>
          <w:p w14:paraId="50F2E372" w14:textId="5FC7B09F" w:rsidR="002A0DC8" w:rsidRDefault="002A0DC8" w:rsidP="00F914D9">
            <w:pPr>
              <w:pStyle w:val="Tablewriting"/>
              <w:keepNext/>
              <w:keepLines/>
              <w:widowControl w:val="0"/>
            </w:pPr>
            <w:proofErr w:type="spellStart"/>
            <w:r>
              <w:t>Somatropin</w:t>
            </w:r>
            <w:proofErr w:type="spellEnd"/>
            <w:r>
              <w:t xml:space="preserve"> 12 mg injection [1 cartridge] (&amp;) inert substance diluent [3.15 mL syringe], 1 pack</w:t>
            </w:r>
          </w:p>
        </w:tc>
        <w:tc>
          <w:tcPr>
            <w:tcW w:w="851" w:type="dxa"/>
            <w:shd w:val="clear" w:color="auto" w:fill="auto"/>
          </w:tcPr>
          <w:p w14:paraId="110C7518" w14:textId="27C8D81E" w:rsidR="002A0DC8" w:rsidRPr="00A35800" w:rsidDel="00EE2BBB" w:rsidRDefault="002A0DC8" w:rsidP="00F914D9">
            <w:pPr>
              <w:pStyle w:val="Tablewriting"/>
              <w:keepNext/>
              <w:keepLines/>
              <w:widowControl w:val="0"/>
            </w:pPr>
            <w:r>
              <w:t>1</w:t>
            </w:r>
          </w:p>
        </w:tc>
        <w:tc>
          <w:tcPr>
            <w:tcW w:w="709" w:type="dxa"/>
            <w:shd w:val="clear" w:color="auto" w:fill="auto"/>
          </w:tcPr>
          <w:p w14:paraId="25F4C3AE" w14:textId="146DB4A3" w:rsidR="002A0DC8" w:rsidRPr="00A35800" w:rsidDel="00EE2BBB" w:rsidRDefault="002A0DC8" w:rsidP="00F914D9">
            <w:pPr>
              <w:pStyle w:val="Tablewriting"/>
              <w:keepNext/>
              <w:keepLines/>
              <w:widowControl w:val="0"/>
            </w:pPr>
            <w:r>
              <w:t>1</w:t>
            </w:r>
          </w:p>
        </w:tc>
        <w:tc>
          <w:tcPr>
            <w:tcW w:w="992" w:type="dxa"/>
            <w:shd w:val="clear" w:color="auto" w:fill="auto"/>
          </w:tcPr>
          <w:p w14:paraId="3A03B943" w14:textId="2A44F5AF" w:rsidR="002A0DC8" w:rsidRPr="00A35800" w:rsidDel="00EE2BBB" w:rsidRDefault="002A0DC8" w:rsidP="00F914D9">
            <w:pPr>
              <w:pStyle w:val="Tablewriting"/>
              <w:keepNext/>
              <w:keepLines/>
              <w:widowControl w:val="0"/>
            </w:pPr>
            <w:r>
              <w:t>$526.66</w:t>
            </w:r>
          </w:p>
        </w:tc>
        <w:tc>
          <w:tcPr>
            <w:tcW w:w="1981" w:type="dxa"/>
            <w:vMerge/>
            <w:shd w:val="clear" w:color="auto" w:fill="auto"/>
          </w:tcPr>
          <w:p w14:paraId="3BE70B05" w14:textId="77777777" w:rsidR="002A0DC8" w:rsidRDefault="002A0DC8" w:rsidP="00F914D9">
            <w:pPr>
              <w:pStyle w:val="Tablewriting"/>
              <w:keepNext/>
              <w:keepLines/>
              <w:widowControl w:val="0"/>
            </w:pPr>
          </w:p>
        </w:tc>
      </w:tr>
      <w:tr w:rsidR="002A0DC8" w:rsidRPr="00A35800" w:rsidDel="00EE2BBB" w14:paraId="43EDC02B" w14:textId="77777777" w:rsidTr="00F914D9">
        <w:trPr>
          <w:trHeight w:val="546"/>
          <w:tblHeader/>
        </w:trPr>
        <w:tc>
          <w:tcPr>
            <w:tcW w:w="969" w:type="dxa"/>
            <w:shd w:val="clear" w:color="auto" w:fill="auto"/>
          </w:tcPr>
          <w:p w14:paraId="2C9ACB4E" w14:textId="46F09A7B" w:rsidR="002A0DC8" w:rsidRDefault="002A0DC8" w:rsidP="00F914D9">
            <w:pPr>
              <w:pStyle w:val="Tablewriting"/>
              <w:keepNext/>
              <w:keepLines/>
              <w:widowControl w:val="0"/>
            </w:pPr>
            <w:r>
              <w:t>6345Y 10476J</w:t>
            </w:r>
          </w:p>
          <w:p w14:paraId="4A12F797" w14:textId="65745988" w:rsidR="002A0DC8" w:rsidRPr="00A35800" w:rsidDel="00EE2BBB" w:rsidRDefault="002A0DC8" w:rsidP="00F914D9">
            <w:pPr>
              <w:pStyle w:val="Tablewriting"/>
              <w:keepNext/>
              <w:keepLines/>
              <w:widowControl w:val="0"/>
            </w:pPr>
            <w:r>
              <w:t>10502R</w:t>
            </w:r>
          </w:p>
        </w:tc>
        <w:tc>
          <w:tcPr>
            <w:tcW w:w="3562" w:type="dxa"/>
            <w:shd w:val="clear" w:color="auto" w:fill="auto"/>
          </w:tcPr>
          <w:p w14:paraId="54B12A14" w14:textId="6CA07641" w:rsidR="002A0DC8" w:rsidRDefault="002A0DC8" w:rsidP="00F914D9">
            <w:pPr>
              <w:pStyle w:val="Tablewriting"/>
              <w:keepNext/>
              <w:keepLines/>
              <w:widowControl w:val="0"/>
            </w:pPr>
            <w:proofErr w:type="spellStart"/>
            <w:r>
              <w:t>Somatropin</w:t>
            </w:r>
            <w:proofErr w:type="spellEnd"/>
            <w:r>
              <w:t xml:space="preserve"> 24 mg injection [1 cartridge] (&amp;) inert substance diluent [3.15 mL syringe], 1 pack</w:t>
            </w:r>
          </w:p>
        </w:tc>
        <w:tc>
          <w:tcPr>
            <w:tcW w:w="851" w:type="dxa"/>
            <w:shd w:val="clear" w:color="auto" w:fill="auto"/>
          </w:tcPr>
          <w:p w14:paraId="2BA83362" w14:textId="1E5D4C77" w:rsidR="002A0DC8" w:rsidRPr="00A35800" w:rsidDel="00EE2BBB" w:rsidRDefault="002A0DC8" w:rsidP="00F914D9">
            <w:pPr>
              <w:pStyle w:val="Tablewriting"/>
              <w:keepNext/>
              <w:keepLines/>
              <w:widowControl w:val="0"/>
            </w:pPr>
            <w:r>
              <w:t>1</w:t>
            </w:r>
          </w:p>
        </w:tc>
        <w:tc>
          <w:tcPr>
            <w:tcW w:w="709" w:type="dxa"/>
            <w:shd w:val="clear" w:color="auto" w:fill="auto"/>
          </w:tcPr>
          <w:p w14:paraId="6EC80294" w14:textId="70CA702A" w:rsidR="002A0DC8" w:rsidRPr="00A35800" w:rsidDel="00EE2BBB" w:rsidRDefault="002A0DC8" w:rsidP="00F914D9">
            <w:pPr>
              <w:pStyle w:val="Tablewriting"/>
              <w:keepNext/>
              <w:keepLines/>
              <w:widowControl w:val="0"/>
            </w:pPr>
            <w:r>
              <w:t>1</w:t>
            </w:r>
          </w:p>
        </w:tc>
        <w:tc>
          <w:tcPr>
            <w:tcW w:w="992" w:type="dxa"/>
            <w:shd w:val="clear" w:color="auto" w:fill="auto"/>
          </w:tcPr>
          <w:p w14:paraId="0A17C8A7" w14:textId="355116B3" w:rsidR="002A0DC8" w:rsidRPr="00A35800" w:rsidDel="00EE2BBB" w:rsidRDefault="002A0DC8" w:rsidP="00F914D9">
            <w:pPr>
              <w:pStyle w:val="Tablewriting"/>
              <w:keepNext/>
              <w:keepLines/>
              <w:widowControl w:val="0"/>
            </w:pPr>
            <w:r>
              <w:t>$1045.58</w:t>
            </w:r>
          </w:p>
        </w:tc>
        <w:tc>
          <w:tcPr>
            <w:tcW w:w="1981" w:type="dxa"/>
            <w:vMerge/>
            <w:shd w:val="clear" w:color="auto" w:fill="auto"/>
          </w:tcPr>
          <w:p w14:paraId="4D795CE6" w14:textId="77777777" w:rsidR="002A0DC8" w:rsidRDefault="002A0DC8" w:rsidP="00F914D9">
            <w:pPr>
              <w:pStyle w:val="Tablewriting"/>
              <w:keepNext/>
              <w:keepLines/>
              <w:widowControl w:val="0"/>
            </w:pPr>
          </w:p>
        </w:tc>
      </w:tr>
    </w:tbl>
    <w:p w14:paraId="786D187E" w14:textId="31D5304E" w:rsidR="003325DF" w:rsidRDefault="003325DF" w:rsidP="003C79D1">
      <w:pPr>
        <w:pStyle w:val="Notes"/>
        <w:keepNext/>
        <w:keepLines/>
        <w:spacing w:after="0"/>
      </w:pPr>
      <w:r w:rsidRPr="00A35800" w:rsidDel="00EE2BBB">
        <w:t xml:space="preserve">Source: </w:t>
      </w:r>
      <w:r w:rsidDel="00EE2BBB">
        <w:t xml:space="preserve">the </w:t>
      </w:r>
      <w:hyperlink r:id="rId14" w:history="1">
        <w:r w:rsidRPr="001624D7" w:rsidDel="00EE2BBB">
          <w:rPr>
            <w:rStyle w:val="Hyperlink"/>
          </w:rPr>
          <w:t>PBS website</w:t>
        </w:r>
      </w:hyperlink>
      <w:r w:rsidDel="00EE2BBB">
        <w:t xml:space="preserve">.  </w:t>
      </w:r>
    </w:p>
    <w:p w14:paraId="07B98803" w14:textId="48ABBA44" w:rsidR="007C1CF1" w:rsidRDefault="007C1CF1" w:rsidP="00F60E07">
      <w:pPr>
        <w:pStyle w:val="Notes"/>
        <w:keepNext/>
        <w:keepLines/>
        <w:spacing w:after="0"/>
      </w:pPr>
      <w:r>
        <w:t>*Item for a</w:t>
      </w:r>
      <w:r w:rsidR="000F649D">
        <w:t xml:space="preserve">dult onset </w:t>
      </w:r>
      <w:r>
        <w:t>growth hormone deficiency.</w:t>
      </w:r>
    </w:p>
    <w:p w14:paraId="7F15AA2D" w14:textId="77777777" w:rsidR="00F60E07" w:rsidRDefault="00F60E07" w:rsidP="00F60E07">
      <w:pPr>
        <w:pStyle w:val="Notes"/>
        <w:keepNext/>
        <w:keepLines/>
        <w:spacing w:after="0"/>
      </w:pPr>
    </w:p>
    <w:p w14:paraId="47C1BF8B" w14:textId="0D996B51" w:rsidR="00571FDD" w:rsidRDefault="009C35F2" w:rsidP="00171757">
      <w:pPr>
        <w:pStyle w:val="Heading3"/>
      </w:pPr>
      <w:r w:rsidRPr="00675BB1" w:rsidDel="00EE2BBB">
        <w:t>Date of listing on PBS</w:t>
      </w:r>
    </w:p>
    <w:p w14:paraId="46A92DE2" w14:textId="7BAAC3EB" w:rsidR="00BF356C" w:rsidRDefault="00C4711F" w:rsidP="00C02CED">
      <w:proofErr w:type="spellStart"/>
      <w:r>
        <w:t>Somatropin</w:t>
      </w:r>
      <w:proofErr w:type="spellEnd"/>
      <w:r>
        <w:t xml:space="preserve"> </w:t>
      </w:r>
      <w:r w:rsidR="00CB2B31">
        <w:t xml:space="preserve">has been subsidised through </w:t>
      </w:r>
      <w:r w:rsidR="007E7647">
        <w:t xml:space="preserve">the </w:t>
      </w:r>
      <w:r w:rsidR="00CB2B31">
        <w:t>PBS under Section 100 Human Growth Hormone Program, in accordance with the “Guidelines for the Availability of Human Growth Hormone (HGH) as a Pharmaceutical Benefit” since</w:t>
      </w:r>
      <w:r w:rsidR="00DC746D">
        <w:t xml:space="preserve"> </w:t>
      </w:r>
      <w:r w:rsidR="00DC746D" w:rsidRPr="00EB091B">
        <w:t>1 August 1993</w:t>
      </w:r>
      <w:r w:rsidR="00882403" w:rsidRPr="00EB091B">
        <w:rPr>
          <w:rStyle w:val="FootnoteReference"/>
        </w:rPr>
        <w:footnoteReference w:id="18"/>
      </w:r>
      <w:r w:rsidRPr="00882403">
        <w:t>.</w:t>
      </w:r>
      <w:r w:rsidR="00571FDD">
        <w:t xml:space="preserve"> The program was administered by the </w:t>
      </w:r>
      <w:r w:rsidR="007E7647">
        <w:t xml:space="preserve">Commonwealth </w:t>
      </w:r>
      <w:r w:rsidR="00571FDD">
        <w:t>Department of H</w:t>
      </w:r>
      <w:r w:rsidR="00171757">
        <w:t>ealth with guidance from</w:t>
      </w:r>
      <w:r w:rsidR="00571FDD">
        <w:t xml:space="preserve"> the G</w:t>
      </w:r>
      <w:r w:rsidR="00171757">
        <w:t>HAC</w:t>
      </w:r>
      <w:r w:rsidR="00571FDD">
        <w:t xml:space="preserve">. </w:t>
      </w:r>
      <w:r w:rsidR="00CB2B31">
        <w:t xml:space="preserve">The </w:t>
      </w:r>
      <w:proofErr w:type="spellStart"/>
      <w:r w:rsidR="00CB2B31">
        <w:t>somatropin</w:t>
      </w:r>
      <w:proofErr w:type="spellEnd"/>
      <w:r w:rsidR="00CB2B31">
        <w:t xml:space="preserve"> listing was changed to align</w:t>
      </w:r>
      <w:r w:rsidR="00571FDD">
        <w:t xml:space="preserve"> the program with </w:t>
      </w:r>
      <w:r w:rsidR="00CB2B31">
        <w:t xml:space="preserve">other Authority </w:t>
      </w:r>
      <w:proofErr w:type="gramStart"/>
      <w:r w:rsidR="00CB2B31">
        <w:t>Required</w:t>
      </w:r>
      <w:proofErr w:type="gramEnd"/>
      <w:r w:rsidR="00275CFF">
        <w:t xml:space="preserve"> listed</w:t>
      </w:r>
      <w:r w:rsidR="00CB2B31">
        <w:t xml:space="preserve"> medicines on 1 September 2015. </w:t>
      </w:r>
    </w:p>
    <w:p w14:paraId="6A4264F5" w14:textId="77777777" w:rsidR="00820448" w:rsidRDefault="00820448">
      <w:pPr>
        <w:spacing w:line="276" w:lineRule="auto"/>
        <w:rPr>
          <w:b/>
          <w:i/>
          <w:szCs w:val="28"/>
        </w:rPr>
      </w:pPr>
      <w:r>
        <w:br w:type="page"/>
      </w:r>
    </w:p>
    <w:p w14:paraId="39EF75ED" w14:textId="0FEBF5D3" w:rsidR="00675BB1" w:rsidRPr="00675BB1" w:rsidDel="00EE2BBB" w:rsidRDefault="00675BB1" w:rsidP="00CF5E22">
      <w:pPr>
        <w:pStyle w:val="Heading3"/>
      </w:pPr>
      <w:r w:rsidRPr="00675BB1" w:rsidDel="00EE2BBB">
        <w:lastRenderedPageBreak/>
        <w:t>Changes to listing</w:t>
      </w:r>
    </w:p>
    <w:p w14:paraId="3098CE01" w14:textId="782C529C" w:rsidR="00DC746D" w:rsidRPr="00DC746D" w:rsidRDefault="00DC746D" w:rsidP="00BF544D">
      <w:r>
        <w:rPr>
          <w:b/>
          <w:i/>
        </w:rPr>
        <w:t xml:space="preserve">1 July 2009: </w:t>
      </w:r>
      <w:r>
        <w:t xml:space="preserve">Listing was extended to include improvement of body composition and short stature associated with </w:t>
      </w:r>
      <w:proofErr w:type="spellStart"/>
      <w:r>
        <w:t>Prader</w:t>
      </w:r>
      <w:proofErr w:type="spellEnd"/>
      <w:r>
        <w:t xml:space="preserve">-Willi Syndrome (PWS) in patients up to 18 years of age. </w:t>
      </w:r>
    </w:p>
    <w:p w14:paraId="6C19DFBA" w14:textId="2B37E9C0" w:rsidR="00BC778D" w:rsidRPr="00BC778D" w:rsidRDefault="00DD2783" w:rsidP="00BF544D">
      <w:r w:rsidRPr="008161CB">
        <w:rPr>
          <w:b/>
          <w:i/>
        </w:rPr>
        <w:t>1 September</w:t>
      </w:r>
      <w:r w:rsidR="008161CB" w:rsidRPr="008161CB">
        <w:rPr>
          <w:b/>
          <w:i/>
        </w:rPr>
        <w:t xml:space="preserve"> 2015:</w:t>
      </w:r>
      <w:r w:rsidR="008161CB">
        <w:rPr>
          <w:b/>
        </w:rPr>
        <w:t xml:space="preserve"> </w:t>
      </w:r>
      <w:r w:rsidR="003E2BBB">
        <w:t xml:space="preserve">The listing for </w:t>
      </w:r>
      <w:proofErr w:type="spellStart"/>
      <w:r w:rsidR="003E2BBB">
        <w:t>somatrop</w:t>
      </w:r>
      <w:r w:rsidR="00D840E8">
        <w:t>in</w:t>
      </w:r>
      <w:proofErr w:type="spellEnd"/>
      <w:r w:rsidR="00D840E8">
        <w:t xml:space="preserve"> was changed from</w:t>
      </w:r>
      <w:r w:rsidR="007C1CF1">
        <w:t xml:space="preserve"> Restricted to</w:t>
      </w:r>
      <w:r w:rsidR="000445DD">
        <w:t xml:space="preserve"> Authority </w:t>
      </w:r>
      <w:proofErr w:type="gramStart"/>
      <w:r w:rsidR="000445DD">
        <w:t>Required</w:t>
      </w:r>
      <w:proofErr w:type="gramEnd"/>
      <w:r w:rsidR="000445DD">
        <w:t xml:space="preserve"> </w:t>
      </w:r>
      <w:r w:rsidR="007C1CF1">
        <w:t xml:space="preserve">to align with other Authority Required medicines. The number of repeats was increased from 0 to 1. </w:t>
      </w:r>
    </w:p>
    <w:p w14:paraId="320EC23C" w14:textId="24068EC6" w:rsidR="00C4711F" w:rsidRPr="009367F5" w:rsidRDefault="00C4711F" w:rsidP="00BF544D">
      <w:r w:rsidRPr="008161CB">
        <w:rPr>
          <w:b/>
          <w:i/>
        </w:rPr>
        <w:t>1 December 2018:</w:t>
      </w:r>
      <w:r>
        <w:t xml:space="preserve"> Listing was extended to include treatment of adults with se</w:t>
      </w:r>
      <w:r w:rsidR="00EA5263">
        <w:t xml:space="preserve">vere growth hormone deficiency. The PBAC recommended the extension of listing at its July 2017 Meeting. </w:t>
      </w:r>
    </w:p>
    <w:p w14:paraId="18FEA348" w14:textId="4839776D" w:rsidR="00C4711F" w:rsidRDefault="00C4711F" w:rsidP="00BF544D">
      <w:r w:rsidRPr="008161CB">
        <w:rPr>
          <w:b/>
          <w:i/>
        </w:rPr>
        <w:t>1 February 2019:</w:t>
      </w:r>
      <w:r>
        <w:t xml:space="preserve"> </w:t>
      </w:r>
      <w:r w:rsidR="00A85B23">
        <w:t xml:space="preserve">Changes </w:t>
      </w:r>
      <w:r w:rsidR="00350FF1">
        <w:t>in</w:t>
      </w:r>
      <w:r w:rsidR="00A85B23">
        <w:t xml:space="preserve"> e</w:t>
      </w:r>
      <w:r>
        <w:t xml:space="preserve">ligibility restrictions </w:t>
      </w:r>
      <w:r w:rsidR="00350FF1">
        <w:t>for</w:t>
      </w:r>
      <w:r>
        <w:t xml:space="preserve"> paediatric growth hormone treatment, relating to: </w:t>
      </w:r>
    </w:p>
    <w:p w14:paraId="530CC9C3" w14:textId="37878F5D" w:rsidR="00C4711F" w:rsidRDefault="00C4711F" w:rsidP="00C4711F">
      <w:pPr>
        <w:pStyle w:val="ListParagraph"/>
        <w:numPr>
          <w:ilvl w:val="0"/>
          <w:numId w:val="8"/>
        </w:numPr>
      </w:pPr>
      <w:r>
        <w:t xml:space="preserve">Revised height percentile thresholds; </w:t>
      </w:r>
    </w:p>
    <w:p w14:paraId="6693BFFE" w14:textId="32D720E5" w:rsidR="00C4711F" w:rsidRDefault="00C4711F" w:rsidP="00C4711F">
      <w:pPr>
        <w:pStyle w:val="ListParagraph"/>
        <w:numPr>
          <w:ilvl w:val="0"/>
          <w:numId w:val="8"/>
        </w:numPr>
      </w:pPr>
      <w:r>
        <w:t>Growth velocity percentile for bone age and sex;</w:t>
      </w:r>
    </w:p>
    <w:p w14:paraId="0215B262" w14:textId="7D423148" w:rsidR="00C4711F" w:rsidRDefault="00C4711F" w:rsidP="00C4711F">
      <w:pPr>
        <w:pStyle w:val="ListParagraph"/>
        <w:numPr>
          <w:ilvl w:val="0"/>
          <w:numId w:val="8"/>
        </w:numPr>
      </w:pPr>
      <w:r>
        <w:t xml:space="preserve">Clarification of definitions within the restrictions; and </w:t>
      </w:r>
    </w:p>
    <w:p w14:paraId="100BA241" w14:textId="69E302AF" w:rsidR="00C4711F" w:rsidRDefault="00C4711F" w:rsidP="00C4711F">
      <w:pPr>
        <w:pStyle w:val="ListParagraph"/>
        <w:numPr>
          <w:ilvl w:val="0"/>
          <w:numId w:val="8"/>
        </w:numPr>
      </w:pPr>
      <w:r>
        <w:t xml:space="preserve">Streamlining the way associated growth data requirements are specified within the prescriber instructions. </w:t>
      </w:r>
    </w:p>
    <w:p w14:paraId="11FE17C3" w14:textId="58F32E37" w:rsidR="00E45A40" w:rsidRDefault="00C4711F" w:rsidP="00BF544D">
      <w:r>
        <w:t xml:space="preserve">For further details refer to </w:t>
      </w:r>
      <w:hyperlink r:id="rId15" w:history="1">
        <w:r w:rsidRPr="00C4711F">
          <w:rPr>
            <w:rStyle w:val="Hyperlink"/>
          </w:rPr>
          <w:t>PBS Growth Hormone Program (Paediatric Use) 1 February 2019 Listing Changes Quick Reference Guide for Prescribers</w:t>
        </w:r>
      </w:hyperlink>
      <w:r w:rsidR="00E45A40">
        <w:t xml:space="preserve">. </w:t>
      </w:r>
    </w:p>
    <w:p w14:paraId="0440EBCB" w14:textId="674A08F2" w:rsidR="003F7D81" w:rsidRDefault="003F7D81" w:rsidP="00BF544D">
      <w:r w:rsidRPr="009B5DC9">
        <w:rPr>
          <w:b/>
          <w:i/>
        </w:rPr>
        <w:t>1 September 2019:</w:t>
      </w:r>
      <w:r>
        <w:t xml:space="preserve"> </w:t>
      </w:r>
      <w:r w:rsidR="00D83614">
        <w:t xml:space="preserve">The </w:t>
      </w:r>
      <w:r>
        <w:t xml:space="preserve">Quality of Life Assessment of Growth Hormone Deficiency in Adults </w:t>
      </w:r>
      <w:r w:rsidR="00564FC0">
        <w:t>(</w:t>
      </w:r>
      <w:proofErr w:type="spellStart"/>
      <w:r w:rsidR="00564FC0">
        <w:t>QoL</w:t>
      </w:r>
      <w:proofErr w:type="spellEnd"/>
      <w:r w:rsidR="00564FC0">
        <w:t xml:space="preserve">-AGHDA) </w:t>
      </w:r>
      <w:r w:rsidR="00D83614">
        <w:t xml:space="preserve">was removed. The PBAC recommended its removal at </w:t>
      </w:r>
      <w:r w:rsidR="00985E79">
        <w:t>its</w:t>
      </w:r>
      <w:r>
        <w:t xml:space="preserve"> March 2019 PBAC </w:t>
      </w:r>
      <w:r w:rsidR="00192EFF">
        <w:t>m</w:t>
      </w:r>
      <w:r>
        <w:t>eeting</w:t>
      </w:r>
      <w:r w:rsidR="00D83614">
        <w:t xml:space="preserve"> due to accessibility issues</w:t>
      </w:r>
      <w:r w:rsidR="000A7919">
        <w:t>, noting not all endocrinologists in Australia have access to the questionnaire give</w:t>
      </w:r>
      <w:r w:rsidR="001513FF">
        <w:t>n</w:t>
      </w:r>
      <w:r w:rsidR="000A7919">
        <w:t xml:space="preserve"> it is privately owned</w:t>
      </w:r>
      <w:r>
        <w:t>.</w:t>
      </w:r>
      <w:r w:rsidR="000A7919">
        <w:t xml:space="preserve"> The PBAC considered there was uncertainty around the validity and reliability of the questionnaire given it comprises a set of sel</w:t>
      </w:r>
      <w:r w:rsidR="001513FF">
        <w:t xml:space="preserve">f-administered binary </w:t>
      </w:r>
      <w:r w:rsidR="000A7919">
        <w:t xml:space="preserve">questions. </w:t>
      </w:r>
      <w:r>
        <w:t xml:space="preserve"> </w:t>
      </w:r>
    </w:p>
    <w:p w14:paraId="7F0F38A4" w14:textId="77777777" w:rsidR="003B3FD2" w:rsidRPr="003B3FD2" w:rsidRDefault="003B3FD2" w:rsidP="00BF544D">
      <w:pPr>
        <w:rPr>
          <w:rFonts w:cstheme="minorHAnsi"/>
        </w:rPr>
      </w:pPr>
      <w:r w:rsidRPr="003B3FD2">
        <w:rPr>
          <w:rFonts w:cstheme="minorHAnsi"/>
        </w:rPr>
        <w:t xml:space="preserve">For further details refer to the </w:t>
      </w:r>
      <w:hyperlink r:id="rId16" w:history="1">
        <w:r w:rsidRPr="003B3FD2">
          <w:rPr>
            <w:rStyle w:val="Hyperlink"/>
            <w:rFonts w:cstheme="minorHAnsi"/>
          </w:rPr>
          <w:t>Public Summary Document</w:t>
        </w:r>
      </w:hyperlink>
      <w:r w:rsidRPr="003B3FD2">
        <w:rPr>
          <w:rFonts w:cstheme="minorHAnsi"/>
        </w:rPr>
        <w:t xml:space="preserve"> from the March 2019 PBAC meeting.</w:t>
      </w:r>
    </w:p>
    <w:p w14:paraId="7409269D" w14:textId="23DD6242" w:rsidR="009367F5" w:rsidRDefault="00C4711F" w:rsidP="00BF544D">
      <w:r w:rsidRPr="009B5DC9">
        <w:rPr>
          <w:b/>
          <w:i/>
        </w:rPr>
        <w:t>1 January 2020:</w:t>
      </w:r>
      <w:r w:rsidRPr="009B5DC9">
        <w:rPr>
          <w:i/>
        </w:rPr>
        <w:t xml:space="preserve"> </w:t>
      </w:r>
      <w:r w:rsidR="00E45A40">
        <w:t>The PBAC ratified r</w:t>
      </w:r>
      <w:r>
        <w:t xml:space="preserve">estriction changes to the adult listing of </w:t>
      </w:r>
      <w:proofErr w:type="spellStart"/>
      <w:r>
        <w:t>somatropin</w:t>
      </w:r>
      <w:proofErr w:type="spellEnd"/>
      <w:r>
        <w:t xml:space="preserve"> to provide additional clarity and improved access to patients with childhood onset growth hormone </w:t>
      </w:r>
      <w:r w:rsidR="009367F5">
        <w:t>deficiency (CO-GHD) due to congenital, genetic or structural cause</w:t>
      </w:r>
      <w:r w:rsidR="00E45A40">
        <w:t xml:space="preserve"> at its August 2019 PBAC Meeting</w:t>
      </w:r>
      <w:r w:rsidR="009367F5">
        <w:t xml:space="preserve">. The changes allow patients with CO-GHD due to congenital, genetic or structural cause to be eligible for adult use </w:t>
      </w:r>
      <w:proofErr w:type="spellStart"/>
      <w:r w:rsidR="009367F5">
        <w:t>somatropin</w:t>
      </w:r>
      <w:proofErr w:type="spellEnd"/>
      <w:r w:rsidR="009367F5">
        <w:t xml:space="preserve">, if they meet the PBS restriction criteria, once they no longer meet the PBS restriction criteria for paediatric growth hormone treatment. </w:t>
      </w:r>
    </w:p>
    <w:p w14:paraId="71471F01" w14:textId="77777777" w:rsidR="009367F5" w:rsidRDefault="009367F5" w:rsidP="00BF544D">
      <w:pPr>
        <w:pStyle w:val="ListParagraph"/>
        <w:numPr>
          <w:ilvl w:val="0"/>
          <w:numId w:val="10"/>
        </w:numPr>
      </w:pPr>
      <w:r>
        <w:t xml:space="preserve">The majority of patients CO-GHD due to congenital, genetic or structural cause are eligible to access </w:t>
      </w:r>
      <w:proofErr w:type="spellStart"/>
      <w:r>
        <w:t>somatropin</w:t>
      </w:r>
      <w:proofErr w:type="spellEnd"/>
      <w:r>
        <w:t xml:space="preserve"> as adults once skeletal maturity is reached, rather than the age of 18 years. </w:t>
      </w:r>
    </w:p>
    <w:p w14:paraId="2F0547F9" w14:textId="7BBF3452" w:rsidR="009367F5" w:rsidRDefault="009367F5" w:rsidP="00BF544D">
      <w:pPr>
        <w:pStyle w:val="ListParagraph"/>
        <w:numPr>
          <w:ilvl w:val="0"/>
          <w:numId w:val="10"/>
        </w:numPr>
      </w:pPr>
      <w:r>
        <w:t xml:space="preserve">Patients with </w:t>
      </w:r>
      <w:proofErr w:type="spellStart"/>
      <w:r>
        <w:t>Prader</w:t>
      </w:r>
      <w:proofErr w:type="spellEnd"/>
      <w:r>
        <w:t xml:space="preserve">-Willi syndrome, are eligible for adult use </w:t>
      </w:r>
      <w:proofErr w:type="spellStart"/>
      <w:r>
        <w:t>somatropin</w:t>
      </w:r>
      <w:proofErr w:type="spellEnd"/>
      <w:r>
        <w:t xml:space="preserve"> at the age of 18 years.</w:t>
      </w:r>
    </w:p>
    <w:p w14:paraId="4B3A1257" w14:textId="3153C7F9" w:rsidR="00C4711F" w:rsidRDefault="009367F5" w:rsidP="009367F5">
      <w:pPr>
        <w:pStyle w:val="ListParagraph"/>
        <w:numPr>
          <w:ilvl w:val="0"/>
          <w:numId w:val="9"/>
        </w:numPr>
      </w:pPr>
      <w:r>
        <w:lastRenderedPageBreak/>
        <w:t>CO-GHD patients due to a congenital, genetic or structural cause who have previously received PBS-subsidised therapy as children are no longer requi</w:t>
      </w:r>
      <w:r w:rsidR="00985E79">
        <w:t>red to provide provocation test</w:t>
      </w:r>
      <w:r>
        <w:t xml:space="preserve">s to meet the eligibility criteria for adult use </w:t>
      </w:r>
      <w:proofErr w:type="spellStart"/>
      <w:r>
        <w:t>somatropin</w:t>
      </w:r>
      <w:proofErr w:type="spellEnd"/>
      <w:r>
        <w:t xml:space="preserve">.  </w:t>
      </w:r>
    </w:p>
    <w:p w14:paraId="5E3B8D57" w14:textId="187DBB96" w:rsidR="00C4711F" w:rsidRDefault="00C4711F" w:rsidP="00BF544D">
      <w:r>
        <w:t xml:space="preserve">For further details refer to </w:t>
      </w:r>
      <w:hyperlink r:id="rId17" w:history="1">
        <w:r w:rsidRPr="009367F5">
          <w:rPr>
            <w:rStyle w:val="Hyperlink"/>
          </w:rPr>
          <w:t>Frequently Asked Questions PBS Growth Hormone Program</w:t>
        </w:r>
      </w:hyperlink>
      <w:r w:rsidR="009367F5">
        <w:t xml:space="preserve">. </w:t>
      </w:r>
    </w:p>
    <w:p w14:paraId="0D8293C8" w14:textId="0AF99005" w:rsidR="003B3FD2" w:rsidRDefault="00BF544D" w:rsidP="003B3FD2">
      <w:r w:rsidRPr="002F61CA" w:rsidDel="00EE2BBB">
        <w:t xml:space="preserve">Current PBS listing details are available from </w:t>
      </w:r>
      <w:r w:rsidDel="00EE2BBB">
        <w:t xml:space="preserve">the </w:t>
      </w:r>
      <w:hyperlink r:id="rId18" w:history="1">
        <w:r w:rsidRPr="00985E79" w:rsidDel="00EE2BBB">
          <w:rPr>
            <w:rStyle w:val="Hyperlink"/>
          </w:rPr>
          <w:t>PBS website</w:t>
        </w:r>
      </w:hyperlink>
      <w:r w:rsidDel="00EE2BBB">
        <w:t>.</w:t>
      </w:r>
    </w:p>
    <w:p w14:paraId="1D28619A" w14:textId="77777777" w:rsidR="003B3FD2" w:rsidRDefault="003B3FD2">
      <w:pPr>
        <w:spacing w:line="276" w:lineRule="auto"/>
        <w:rPr>
          <w:b/>
          <w:sz w:val="28"/>
        </w:rPr>
      </w:pPr>
      <w:r>
        <w:br w:type="page"/>
      </w:r>
    </w:p>
    <w:p w14:paraId="5868B8A7" w14:textId="0DB2BDCF" w:rsidR="00E45A40" w:rsidRDefault="00394AEE" w:rsidP="00883C8C">
      <w:pPr>
        <w:pStyle w:val="Heading2"/>
      </w:pPr>
      <w:r>
        <w:lastRenderedPageBreak/>
        <w:t>Relevant aspects of</w:t>
      </w:r>
      <w:r w:rsidR="00736041" w:rsidRPr="005E22C2">
        <w:t xml:space="preserve"> consideration</w:t>
      </w:r>
      <w:r>
        <w:t xml:space="preserve"> by the Pharmaceutical Benefits Advisory Committee (PBAC)</w:t>
      </w:r>
    </w:p>
    <w:p w14:paraId="2B6AF5D1" w14:textId="55F499EF" w:rsidR="00D34EDD" w:rsidRPr="003B3FD2" w:rsidRDefault="00255F34" w:rsidP="00D34EDD">
      <w:pPr>
        <w:spacing w:after="0"/>
        <w:contextualSpacing/>
        <w:rPr>
          <w:b/>
          <w:u w:val="single"/>
        </w:rPr>
      </w:pPr>
      <w:r>
        <w:rPr>
          <w:b/>
          <w:u w:val="single"/>
        </w:rPr>
        <w:t>Committee-in-c</w:t>
      </w:r>
      <w:r w:rsidR="00D34EDD" w:rsidRPr="003B3FD2">
        <w:rPr>
          <w:b/>
          <w:u w:val="single"/>
        </w:rPr>
        <w:t>onfidence</w:t>
      </w:r>
    </w:p>
    <w:p w14:paraId="41651EFA" w14:textId="77777777" w:rsidR="00D34EDD" w:rsidRPr="00E82BBF" w:rsidRDefault="00D34EDD" w:rsidP="00D34EDD">
      <w:pPr>
        <w:rPr>
          <w:b/>
          <w:i/>
          <w:highlight w:val="black"/>
        </w:rPr>
      </w:pPr>
      <w:r>
        <w:rPr>
          <w:b/>
          <w:i/>
          <w:noProof/>
          <w:color w:val="000000"/>
          <w:highlight w:val="black"/>
        </w:rPr>
        <w:t xml:space="preserve">'''''''''''' ''''''''' ''''''''' ''''''''''''''' </w:t>
      </w:r>
    </w:p>
    <w:p w14:paraId="5F6244AB" w14:textId="77777777" w:rsidR="00D34EDD" w:rsidRPr="00E82BBF" w:rsidRDefault="00D34EDD" w:rsidP="00D34EDD">
      <w:r>
        <w:rPr>
          <w:noProof/>
          <w:color w:val="000000"/>
          <w:highlight w:val="black"/>
        </w:rPr>
        <w:t xml:space="preserve">'''''''' '''''''''''''''''''''''' '''''''''''''''''''' '''''''' '''''' ''''''''' '''''''''''''' '''''''''''' ''''' ''''''' ''''''''''''''''''''''''''' ''''' '''''''''''''''' '''''''''''''''' '''' '''''' '''''''''''' '''''''' '''''''''''' ''''''''''''''''''''''''''''' '''''' '''''''''''''''''''' '''''''''''''' '''''''''''''''''' ''''''''''''''' '''''' ''''''''''' ''''''' '''''''''''''''''''' ''''' '''''''''''''' ''''''' '''' ''''''' </w:t>
      </w:r>
      <w:r>
        <w:rPr>
          <w:i/>
          <w:noProof/>
          <w:color w:val="000000"/>
          <w:highlight w:val="black"/>
        </w:rPr>
        <w:t>'''''''''''''''''' '''''''''''' '''''' ''''''''''</w:t>
      </w:r>
      <w:r>
        <w:rPr>
          <w:noProof/>
          <w:color w:val="000000"/>
          <w:highlight w:val="black"/>
        </w:rPr>
        <w:t xml:space="preserve"> '''''''' ''''''''' </w:t>
      </w:r>
    </w:p>
    <w:p w14:paraId="57F14AE2" w14:textId="77777777" w:rsidR="00D34EDD" w:rsidRPr="00E82BBF" w:rsidRDefault="00D34EDD" w:rsidP="00D34EDD">
      <w:pPr>
        <w:rPr>
          <w:highlight w:val="black"/>
        </w:rPr>
      </w:pPr>
      <w:r>
        <w:rPr>
          <w:noProof/>
          <w:color w:val="000000"/>
          <w:highlight w:val="black"/>
        </w:rPr>
        <w:t xml:space="preserve">'''''' '''''''''' ''''''''''' '''''' '''''''''''''''''' '''''''''''''''''''''' '''' '''''' '''''''''''''''''''''''' ''''''''' '''''''''''' '''''''''''''''''''''''' ''''''' '''''''''''''''' </w:t>
      </w:r>
    </w:p>
    <w:p w14:paraId="5ED2961E" w14:textId="77777777" w:rsidR="00D34EDD" w:rsidRPr="00E82BBF" w:rsidRDefault="00D34EDD" w:rsidP="00D34EDD">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4FD5EAD1" w14:textId="77777777" w:rsidR="00D34EDD" w:rsidRPr="00E82BBF" w:rsidRDefault="00D34EDD" w:rsidP="00D34EDD">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5C9E3FAC" w14:textId="77777777" w:rsidR="00D34EDD" w:rsidRPr="00E82BBF" w:rsidRDefault="00D34EDD" w:rsidP="00D34EDD">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DFD8AF7" w14:textId="77777777" w:rsidR="00D34EDD" w:rsidRPr="00E82BBF" w:rsidRDefault="00D34EDD" w:rsidP="00D34EDD">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42C90BA2" w14:textId="77777777" w:rsidR="00D34EDD" w:rsidRPr="00E82BBF" w:rsidRDefault="00D34EDD" w:rsidP="00D34EDD">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5D020E4" w14:textId="77777777" w:rsidR="00D34EDD" w:rsidRPr="00E82BBF" w:rsidRDefault="00D34EDD" w:rsidP="00D34EDD">
      <w:pPr>
        <w:rPr>
          <w:highlight w:val="black"/>
        </w:rPr>
      </w:pPr>
      <w:r>
        <w:rPr>
          <w:noProof/>
          <w:color w:val="000000"/>
          <w:highlight w:val="black"/>
        </w:rPr>
        <w:t xml:space="preserve">''''''' '''''''''' ''''''''''''''''''''''''''' '''''''' ''''''' '''''''''''''''''''''' '''''''''''''''''''' ''''''''' '''' '''''''''''' '''''' '''''''''''' ''''''''''''''''''''''' '''''' ''''''' ''''''''''''' ''''''''''''' '''''''''''''''''''''''' ''''''''''' ''''''''''''''' ''''''''' </w:t>
      </w:r>
    </w:p>
    <w:p w14:paraId="0C8A98E8" w14:textId="77777777" w:rsidR="00D34EDD" w:rsidRPr="00E82BBF" w:rsidRDefault="00D34EDD" w:rsidP="00D34EDD">
      <w:pPr>
        <w:rPr>
          <w:b/>
          <w:i/>
          <w:highlight w:val="black"/>
        </w:rPr>
      </w:pPr>
      <w:r>
        <w:rPr>
          <w:b/>
          <w:i/>
          <w:noProof/>
          <w:color w:val="000000"/>
          <w:highlight w:val="black"/>
        </w:rPr>
        <w:t xml:space="preserve">'''''''' '''''''''' '''''''''' '''''''''''''''' </w:t>
      </w:r>
    </w:p>
    <w:p w14:paraId="3C18BA19" w14:textId="77777777" w:rsidR="00D34EDD" w:rsidRPr="00E82BBF" w:rsidRDefault="00D34EDD" w:rsidP="00D34EDD">
      <w:pPr>
        <w:rPr>
          <w:highlight w:val="black"/>
        </w:rPr>
      </w:pPr>
      <w:r>
        <w:rPr>
          <w:noProof/>
          <w:color w:val="000000"/>
          <w:highlight w:val="black"/>
        </w:rPr>
        <w:t>''''''' '''''''''' ''''''''''''' '''''''' ''''''' ''''''''''''''''''''''' '''''''''''''''' ''''' '''''' ''''''''''''''''''''''''' '''''''''' ''''''''''''''''''' ''''''''' ''''''' ''''''''''''''''''''''' ''''''''''''' ''' '''''''''''' ''''''''' ''''' '''''''''' '''''' '''''''''''''''''''''' '''''''' ''''''' ''''''' ''''' '''''' '''''''' '''''''' '''''''''' ''''''''''' ''''''' ''''''' '''''''''''''''' ''''''''''' '''''''''''' '''''''' '''''''' ''''''''''''''''''''''' '''''''''''' ''''''''''' ''''' '''''''''''''''' '''''''''''' '''''' ''''''''''''''''''''''' '''''''' '''''''' '''''' '''''''''''' ''''''''''' ''''''''''' ''''''''''''''''' '''''' '''''' '''''''''''' '''''''''</w:t>
      </w:r>
    </w:p>
    <w:p w14:paraId="1BA8254E" w14:textId="77777777" w:rsidR="00D34EDD" w:rsidRPr="00E82BBF" w:rsidRDefault="00D34EDD" w:rsidP="00D34EDD">
      <w:pPr>
        <w:spacing w:after="0"/>
        <w:contextualSpacing/>
        <w:rPr>
          <w:highlight w:val="black"/>
        </w:rPr>
      </w:pPr>
      <w:r>
        <w:rPr>
          <w:noProof/>
          <w:color w:val="000000"/>
          <w:highlight w:val="black"/>
        </w:rPr>
        <w:t xml:space="preserve">'''''''' ''''''''''' ''''''''''''' ''''''' '''''''''''''''''''' ''''' '''''''''''''''''''''''''' ''''''''''''''''' '''''''''''' ''''''''''''' ''''''''' ''''' ''''''' '''''''''''''''''' ''''''''''''''''''''''''' ''''''''''''''' '''''''''''''''''' ''''''''' ''''''''''''''''''' ''''''' ''''''''''''''''''''''' </w:t>
      </w:r>
    </w:p>
    <w:p w14:paraId="1CABDB1C" w14:textId="5DD79B4A" w:rsidR="00D34EDD" w:rsidRPr="003B3FD2" w:rsidRDefault="00255F34" w:rsidP="00D34EDD">
      <w:pPr>
        <w:spacing w:after="0"/>
        <w:contextualSpacing/>
        <w:rPr>
          <w:b/>
          <w:u w:val="single"/>
        </w:rPr>
      </w:pPr>
      <w:r>
        <w:rPr>
          <w:b/>
          <w:u w:val="single"/>
        </w:rPr>
        <w:t>End committee-in-c</w:t>
      </w:r>
      <w:r w:rsidR="00D34EDD" w:rsidRPr="003B3FD2">
        <w:rPr>
          <w:b/>
          <w:u w:val="single"/>
        </w:rPr>
        <w:t>onfidence</w:t>
      </w:r>
    </w:p>
    <w:p w14:paraId="69E6B49B" w14:textId="6F665850" w:rsidR="00FD31EB" w:rsidRDefault="00FD31EB">
      <w:pPr>
        <w:spacing w:line="276" w:lineRule="auto"/>
        <w:rPr>
          <w:b/>
        </w:rPr>
      </w:pPr>
      <w:r>
        <w:br w:type="page"/>
      </w:r>
    </w:p>
    <w:p w14:paraId="47CB4871" w14:textId="1D97F6E0" w:rsidR="002B03C2" w:rsidRPr="002B03C2" w:rsidRDefault="00286802" w:rsidP="002B03C2">
      <w:pPr>
        <w:pStyle w:val="Tabletitle"/>
      </w:pPr>
      <w:r>
        <w:lastRenderedPageBreak/>
        <w:t>Table 3</w:t>
      </w:r>
      <w:r w:rsidR="002B03C2" w:rsidRPr="00B76F3E" w:rsidDel="00EE2BBB">
        <w:t xml:space="preserve">: </w:t>
      </w:r>
      <w:r w:rsidR="002B03C2" w:rsidRPr="00B76F3E">
        <w:t xml:space="preserve">Summary of </w:t>
      </w:r>
      <w:proofErr w:type="spellStart"/>
      <w:r w:rsidR="002B03C2">
        <w:t>somatropin</w:t>
      </w:r>
      <w:proofErr w:type="spellEnd"/>
      <w:r w:rsidR="002B03C2" w:rsidRPr="00B76F3E">
        <w:t xml:space="preserve"> </w:t>
      </w:r>
      <w:r w:rsidR="002B03C2">
        <w:t>s</w:t>
      </w:r>
      <w:r w:rsidR="002B03C2" w:rsidRPr="00B76F3E">
        <w:t xml:space="preserve">ubmissions to the PBAC </w:t>
      </w:r>
    </w:p>
    <w:tbl>
      <w:tblPr>
        <w:tblStyle w:val="TableGrid"/>
        <w:tblW w:w="0" w:type="auto"/>
        <w:tblLook w:val="04A0" w:firstRow="1" w:lastRow="0" w:firstColumn="1" w:lastColumn="0" w:noHBand="0" w:noVBand="1"/>
        <w:tblCaption w:val="Table 3: Summary of somatropin submissions to the PBAC "/>
      </w:tblPr>
      <w:tblGrid>
        <w:gridCol w:w="1555"/>
        <w:gridCol w:w="7392"/>
      </w:tblGrid>
      <w:tr w:rsidR="002B03C2" w:rsidRPr="008161CB" w14:paraId="7E9AEC79" w14:textId="77777777" w:rsidTr="000B385E">
        <w:trPr>
          <w:tblHeader/>
        </w:trPr>
        <w:tc>
          <w:tcPr>
            <w:tcW w:w="1555" w:type="dxa"/>
            <w:shd w:val="clear" w:color="auto" w:fill="BFBFBF" w:themeFill="background1" w:themeFillShade="BF"/>
          </w:tcPr>
          <w:p w14:paraId="475EDF35" w14:textId="3F4BD0F5" w:rsidR="002B03C2" w:rsidRPr="008161CB" w:rsidRDefault="002B03C2" w:rsidP="00A35800">
            <w:pPr>
              <w:rPr>
                <w:rFonts w:cstheme="minorHAnsi"/>
                <w:b/>
                <w:sz w:val="22"/>
                <w:szCs w:val="22"/>
              </w:rPr>
            </w:pPr>
            <w:r w:rsidRPr="008161CB">
              <w:rPr>
                <w:rFonts w:cstheme="minorHAnsi"/>
                <w:b/>
                <w:sz w:val="22"/>
                <w:szCs w:val="22"/>
              </w:rPr>
              <w:t xml:space="preserve">PBAC meeting </w:t>
            </w:r>
          </w:p>
        </w:tc>
        <w:tc>
          <w:tcPr>
            <w:tcW w:w="7392" w:type="dxa"/>
            <w:shd w:val="clear" w:color="auto" w:fill="BFBFBF" w:themeFill="background1" w:themeFillShade="BF"/>
          </w:tcPr>
          <w:p w14:paraId="1DA5D9A2" w14:textId="46805C61" w:rsidR="002B03C2" w:rsidRPr="008161CB" w:rsidRDefault="002B03C2" w:rsidP="00A35800">
            <w:pPr>
              <w:rPr>
                <w:rFonts w:cstheme="minorHAnsi"/>
                <w:b/>
                <w:sz w:val="22"/>
                <w:szCs w:val="22"/>
              </w:rPr>
            </w:pPr>
            <w:r w:rsidRPr="008161CB">
              <w:rPr>
                <w:rFonts w:cstheme="minorHAnsi"/>
                <w:b/>
                <w:sz w:val="22"/>
                <w:szCs w:val="22"/>
              </w:rPr>
              <w:t xml:space="preserve">PBAC outcome </w:t>
            </w:r>
          </w:p>
        </w:tc>
      </w:tr>
      <w:tr w:rsidR="002B03C2" w:rsidRPr="008161CB" w14:paraId="1661A6FE" w14:textId="77777777" w:rsidTr="000306D8">
        <w:tc>
          <w:tcPr>
            <w:tcW w:w="1555" w:type="dxa"/>
          </w:tcPr>
          <w:p w14:paraId="186EC8E2" w14:textId="50673C10" w:rsidR="002B03C2" w:rsidRPr="008161CB" w:rsidRDefault="002B03C2" w:rsidP="00A35800">
            <w:pPr>
              <w:rPr>
                <w:rFonts w:cstheme="minorHAnsi"/>
                <w:sz w:val="22"/>
                <w:szCs w:val="22"/>
              </w:rPr>
            </w:pPr>
            <w:r w:rsidRPr="008161CB">
              <w:rPr>
                <w:rFonts w:cstheme="minorHAnsi"/>
                <w:sz w:val="22"/>
                <w:szCs w:val="22"/>
              </w:rPr>
              <w:t xml:space="preserve">November 2006 </w:t>
            </w:r>
          </w:p>
        </w:tc>
        <w:tc>
          <w:tcPr>
            <w:tcW w:w="7392" w:type="dxa"/>
          </w:tcPr>
          <w:p w14:paraId="3F9B24B1" w14:textId="50032BEA" w:rsidR="002B03C2" w:rsidRPr="008161CB" w:rsidRDefault="002B03C2" w:rsidP="002B03C2">
            <w:pPr>
              <w:autoSpaceDE w:val="0"/>
              <w:autoSpaceDN w:val="0"/>
              <w:adjustRightInd w:val="0"/>
              <w:rPr>
                <w:rFonts w:cstheme="minorHAnsi"/>
                <w:sz w:val="22"/>
                <w:szCs w:val="22"/>
              </w:rPr>
            </w:pPr>
            <w:proofErr w:type="spellStart"/>
            <w:r w:rsidRPr="008161CB">
              <w:rPr>
                <w:rFonts w:cstheme="minorHAnsi"/>
                <w:sz w:val="22"/>
                <w:szCs w:val="22"/>
              </w:rPr>
              <w:t>Somatropin</w:t>
            </w:r>
            <w:proofErr w:type="spellEnd"/>
            <w:r w:rsidRPr="008161CB">
              <w:rPr>
                <w:rFonts w:cstheme="minorHAnsi"/>
                <w:sz w:val="22"/>
                <w:szCs w:val="22"/>
              </w:rPr>
              <w:t xml:space="preserve">, powder for injection and diluent, 5 mg per mL, 12 mg per mL (with preservative), powder for injection and diluent (single dose syringes) in strengths from 0.8 mg – 2 mg per 0.25 mL, </w:t>
            </w:r>
            <w:proofErr w:type="spellStart"/>
            <w:r w:rsidRPr="008161CB">
              <w:rPr>
                <w:rFonts w:cstheme="minorHAnsi"/>
                <w:sz w:val="22"/>
                <w:szCs w:val="22"/>
              </w:rPr>
              <w:t>Genotropin</w:t>
            </w:r>
            <w:proofErr w:type="spellEnd"/>
            <w:r w:rsidRPr="008161CB">
              <w:rPr>
                <w:rFonts w:cstheme="minorHAnsi"/>
                <w:sz w:val="22"/>
                <w:szCs w:val="22"/>
              </w:rPr>
              <w:t xml:space="preserve">® and </w:t>
            </w:r>
            <w:proofErr w:type="spellStart"/>
            <w:r w:rsidRPr="008161CB">
              <w:rPr>
                <w:rFonts w:cstheme="minorHAnsi"/>
                <w:sz w:val="22"/>
                <w:szCs w:val="22"/>
              </w:rPr>
              <w:t>Genotropin</w:t>
            </w:r>
            <w:proofErr w:type="spellEnd"/>
            <w:r w:rsidRPr="008161CB">
              <w:rPr>
                <w:rFonts w:cstheme="minorHAnsi"/>
                <w:sz w:val="22"/>
                <w:szCs w:val="22"/>
              </w:rPr>
              <w:t xml:space="preserve"> </w:t>
            </w:r>
            <w:proofErr w:type="spellStart"/>
            <w:r w:rsidRPr="008161CB">
              <w:rPr>
                <w:rFonts w:cstheme="minorHAnsi"/>
                <w:sz w:val="22"/>
                <w:szCs w:val="22"/>
              </w:rPr>
              <w:t>MiniQuick</w:t>
            </w:r>
            <w:proofErr w:type="spellEnd"/>
            <w:r w:rsidRPr="008161CB">
              <w:rPr>
                <w:rFonts w:cstheme="minorHAnsi"/>
                <w:sz w:val="22"/>
                <w:szCs w:val="22"/>
              </w:rPr>
              <w:t>®</w:t>
            </w:r>
          </w:p>
          <w:p w14:paraId="3DDB763D" w14:textId="77777777" w:rsidR="002B03C2" w:rsidRPr="008161CB" w:rsidRDefault="002B03C2" w:rsidP="002B03C2">
            <w:pPr>
              <w:rPr>
                <w:rFonts w:cstheme="minorHAnsi"/>
                <w:sz w:val="22"/>
                <w:szCs w:val="22"/>
              </w:rPr>
            </w:pPr>
            <w:r w:rsidRPr="008161CB">
              <w:rPr>
                <w:rFonts w:cstheme="minorHAnsi"/>
                <w:sz w:val="22"/>
                <w:szCs w:val="22"/>
              </w:rPr>
              <w:t>Pfizer Australia Pty Ltd</w:t>
            </w:r>
          </w:p>
          <w:p w14:paraId="2753D721" w14:textId="77777777" w:rsidR="002B03C2" w:rsidRPr="008161CB" w:rsidRDefault="002B03C2" w:rsidP="002B03C2">
            <w:pPr>
              <w:rPr>
                <w:rFonts w:cstheme="minorHAnsi"/>
                <w:sz w:val="22"/>
                <w:szCs w:val="22"/>
              </w:rPr>
            </w:pPr>
          </w:p>
          <w:p w14:paraId="5670E614" w14:textId="68CC3C02" w:rsidR="002B03C2" w:rsidRPr="008161CB" w:rsidRDefault="003A1C57" w:rsidP="002B03C2">
            <w:pPr>
              <w:rPr>
                <w:rFonts w:cstheme="minorHAnsi"/>
                <w:sz w:val="22"/>
                <w:szCs w:val="22"/>
              </w:rPr>
            </w:pPr>
            <w:r>
              <w:rPr>
                <w:rFonts w:cstheme="minorHAnsi"/>
                <w:sz w:val="22"/>
                <w:szCs w:val="22"/>
              </w:rPr>
              <w:t>The r</w:t>
            </w:r>
            <w:r w:rsidR="002B03C2" w:rsidRPr="008161CB">
              <w:rPr>
                <w:rFonts w:cstheme="minorHAnsi"/>
                <w:sz w:val="22"/>
                <w:szCs w:val="22"/>
              </w:rPr>
              <w:t>esubmission sought an extension to the Section 100 human growth hormone program “Guidelines for the Availability of human Growth Hormone (</w:t>
            </w:r>
            <w:proofErr w:type="spellStart"/>
            <w:r w:rsidRPr="008161CB">
              <w:rPr>
                <w:rFonts w:cstheme="minorHAnsi"/>
                <w:sz w:val="22"/>
                <w:szCs w:val="22"/>
              </w:rPr>
              <w:t>h</w:t>
            </w:r>
            <w:r>
              <w:rPr>
                <w:rFonts w:cstheme="minorHAnsi"/>
                <w:sz w:val="22"/>
                <w:szCs w:val="22"/>
              </w:rPr>
              <w:t>GH</w:t>
            </w:r>
            <w:proofErr w:type="spellEnd"/>
            <w:r>
              <w:rPr>
                <w:rFonts w:cstheme="minorHAnsi"/>
                <w:sz w:val="22"/>
                <w:szCs w:val="22"/>
              </w:rPr>
              <w:t>) as a Pharmaceutical B</w:t>
            </w:r>
            <w:r w:rsidR="002B03C2" w:rsidRPr="008161CB">
              <w:rPr>
                <w:rFonts w:cstheme="minorHAnsi"/>
                <w:sz w:val="22"/>
                <w:szCs w:val="22"/>
              </w:rPr>
              <w:t>enefit</w:t>
            </w:r>
            <w:r>
              <w:rPr>
                <w:rFonts w:cstheme="minorHAnsi"/>
                <w:sz w:val="22"/>
                <w:szCs w:val="22"/>
              </w:rPr>
              <w:t>”</w:t>
            </w:r>
            <w:r w:rsidR="002B03C2" w:rsidRPr="008161CB">
              <w:rPr>
                <w:rFonts w:cstheme="minorHAnsi"/>
                <w:sz w:val="22"/>
                <w:szCs w:val="22"/>
              </w:rPr>
              <w:t xml:space="preserve"> to allow treatment for the improvement of body composition and short stature associated with </w:t>
            </w:r>
            <w:proofErr w:type="spellStart"/>
            <w:r w:rsidR="002B03C2" w:rsidRPr="008161CB">
              <w:rPr>
                <w:rFonts w:cstheme="minorHAnsi"/>
                <w:sz w:val="22"/>
                <w:szCs w:val="22"/>
              </w:rPr>
              <w:t>Prader</w:t>
            </w:r>
            <w:proofErr w:type="spellEnd"/>
            <w:r w:rsidR="002B03C2" w:rsidRPr="008161CB">
              <w:rPr>
                <w:rFonts w:cstheme="minorHAnsi"/>
                <w:sz w:val="22"/>
                <w:szCs w:val="22"/>
              </w:rPr>
              <w:t xml:space="preserve">-Willi Syndrome (PWS) in paediatric patients. Overall, whilst the PBAC was sympathetic to this small patient group and acknowledged that some patients with PWS were receiving PBS subsidy for </w:t>
            </w:r>
            <w:proofErr w:type="spellStart"/>
            <w:r w:rsidR="002B03C2" w:rsidRPr="008161CB">
              <w:rPr>
                <w:rFonts w:cstheme="minorHAnsi"/>
                <w:sz w:val="22"/>
                <w:szCs w:val="22"/>
              </w:rPr>
              <w:t>somatropin</w:t>
            </w:r>
            <w:proofErr w:type="spellEnd"/>
            <w:r w:rsidR="002B03C2" w:rsidRPr="008161CB">
              <w:rPr>
                <w:rFonts w:cstheme="minorHAnsi"/>
                <w:sz w:val="22"/>
                <w:szCs w:val="22"/>
              </w:rPr>
              <w:t xml:space="preserve"> based on </w:t>
            </w:r>
            <w:proofErr w:type="spellStart"/>
            <w:r w:rsidR="002B03C2" w:rsidRPr="008161CB">
              <w:rPr>
                <w:rFonts w:cstheme="minorHAnsi"/>
                <w:sz w:val="22"/>
                <w:szCs w:val="22"/>
              </w:rPr>
              <w:t>auxological</w:t>
            </w:r>
            <w:proofErr w:type="spellEnd"/>
            <w:r w:rsidR="002B03C2" w:rsidRPr="008161CB">
              <w:rPr>
                <w:rFonts w:cstheme="minorHAnsi"/>
                <w:sz w:val="22"/>
                <w:szCs w:val="22"/>
              </w:rPr>
              <w:t xml:space="preserve"> criteria under the current Growth Hormone Program, it </w:t>
            </w:r>
            <w:r w:rsidR="00653B3C">
              <w:rPr>
                <w:rFonts w:cstheme="minorHAnsi"/>
                <w:sz w:val="22"/>
                <w:szCs w:val="22"/>
              </w:rPr>
              <w:t xml:space="preserve">did not recommend the requested extension to the listing </w:t>
            </w:r>
            <w:r w:rsidR="002B03C2" w:rsidRPr="008161CB">
              <w:rPr>
                <w:rFonts w:cstheme="minorHAnsi"/>
                <w:sz w:val="22"/>
                <w:szCs w:val="22"/>
              </w:rPr>
              <w:t xml:space="preserve">as the long-term benefit of treatment </w:t>
            </w:r>
            <w:r w:rsidR="009C50D3">
              <w:rPr>
                <w:rFonts w:cstheme="minorHAnsi"/>
                <w:sz w:val="22"/>
                <w:szCs w:val="22"/>
              </w:rPr>
              <w:t>wa</w:t>
            </w:r>
            <w:r w:rsidR="002B03C2" w:rsidRPr="008161CB">
              <w:rPr>
                <w:rFonts w:cstheme="minorHAnsi"/>
                <w:sz w:val="22"/>
                <w:szCs w:val="22"/>
              </w:rPr>
              <w:t>s highly uncertain resulting in uncertain cost effectiveness.</w:t>
            </w:r>
          </w:p>
          <w:p w14:paraId="443765FB" w14:textId="77777777" w:rsidR="002B03C2" w:rsidRPr="008161CB" w:rsidRDefault="002B03C2" w:rsidP="002B03C2">
            <w:pPr>
              <w:rPr>
                <w:rFonts w:cstheme="minorHAnsi"/>
                <w:sz w:val="22"/>
                <w:szCs w:val="22"/>
              </w:rPr>
            </w:pPr>
          </w:p>
          <w:p w14:paraId="6D1D415E" w14:textId="1C502A6C" w:rsidR="002B03C2" w:rsidRPr="008161CB" w:rsidRDefault="002B03C2" w:rsidP="002B03C2">
            <w:pPr>
              <w:rPr>
                <w:rFonts w:cstheme="minorHAnsi"/>
                <w:b/>
                <w:sz w:val="22"/>
                <w:szCs w:val="22"/>
              </w:rPr>
            </w:pPr>
            <w:r w:rsidRPr="008161CB">
              <w:rPr>
                <w:rFonts w:cstheme="minorHAnsi"/>
                <w:sz w:val="22"/>
                <w:szCs w:val="22"/>
              </w:rPr>
              <w:t xml:space="preserve">For further details refer to the </w:t>
            </w:r>
            <w:hyperlink r:id="rId19" w:history="1">
              <w:r w:rsidRPr="008161CB">
                <w:rPr>
                  <w:rStyle w:val="Hyperlink"/>
                  <w:rFonts w:cstheme="minorHAnsi"/>
                  <w:sz w:val="22"/>
                  <w:szCs w:val="22"/>
                </w:rPr>
                <w:t>Public Summary Document</w:t>
              </w:r>
            </w:hyperlink>
            <w:r w:rsidRPr="008161CB">
              <w:rPr>
                <w:rFonts w:cstheme="minorHAnsi"/>
                <w:sz w:val="22"/>
                <w:szCs w:val="22"/>
              </w:rPr>
              <w:t xml:space="preserve"> from the November 2006 PBAC meeting.</w:t>
            </w:r>
          </w:p>
        </w:tc>
      </w:tr>
      <w:tr w:rsidR="00E45A40" w:rsidRPr="008161CB" w14:paraId="38F9144B" w14:textId="77777777" w:rsidTr="000306D8">
        <w:tc>
          <w:tcPr>
            <w:tcW w:w="1555" w:type="dxa"/>
          </w:tcPr>
          <w:p w14:paraId="7ACDCBF7" w14:textId="52BD483B" w:rsidR="00E45A40" w:rsidRPr="008161CB" w:rsidRDefault="00A04C41" w:rsidP="00A35800">
            <w:pPr>
              <w:rPr>
                <w:rFonts w:cstheme="minorHAnsi"/>
                <w:sz w:val="22"/>
                <w:szCs w:val="22"/>
              </w:rPr>
            </w:pPr>
            <w:r w:rsidRPr="008161CB">
              <w:rPr>
                <w:rFonts w:cstheme="minorHAnsi"/>
                <w:sz w:val="22"/>
                <w:szCs w:val="22"/>
              </w:rPr>
              <w:t xml:space="preserve">March 2008 </w:t>
            </w:r>
          </w:p>
        </w:tc>
        <w:tc>
          <w:tcPr>
            <w:tcW w:w="7392" w:type="dxa"/>
          </w:tcPr>
          <w:p w14:paraId="1EC271AB" w14:textId="52297514" w:rsidR="0044585A" w:rsidRDefault="00E45A40" w:rsidP="00E45A40">
            <w:pPr>
              <w:autoSpaceDE w:val="0"/>
              <w:autoSpaceDN w:val="0"/>
              <w:adjustRightInd w:val="0"/>
              <w:rPr>
                <w:rFonts w:cstheme="minorHAnsi"/>
                <w:color w:val="000000"/>
                <w:sz w:val="22"/>
                <w:szCs w:val="22"/>
              </w:rPr>
            </w:pPr>
            <w:proofErr w:type="spellStart"/>
            <w:r w:rsidRPr="008161CB">
              <w:rPr>
                <w:rFonts w:cstheme="minorHAnsi"/>
                <w:color w:val="000000"/>
                <w:sz w:val="22"/>
                <w:szCs w:val="22"/>
              </w:rPr>
              <w:t>Somatropin</w:t>
            </w:r>
            <w:proofErr w:type="spellEnd"/>
            <w:r w:rsidRPr="008161CB">
              <w:rPr>
                <w:rFonts w:cstheme="minorHAnsi"/>
                <w:color w:val="000000"/>
                <w:sz w:val="22"/>
                <w:szCs w:val="22"/>
              </w:rPr>
              <w:t xml:space="preserve">, powder for injection and diluent (cartridge), 5 mg per mL, 12 mg per mL (with preservative), powder for injection and diluent (single dose syringes) in strengths from 0.6 mg – 2 mg per 0.25 mL, </w:t>
            </w:r>
            <w:proofErr w:type="spellStart"/>
            <w:r w:rsidRPr="008161CB">
              <w:rPr>
                <w:rFonts w:cstheme="minorHAnsi"/>
                <w:color w:val="000000"/>
                <w:sz w:val="22"/>
                <w:szCs w:val="22"/>
              </w:rPr>
              <w:t>Genotro</w:t>
            </w:r>
            <w:r w:rsidR="0044585A">
              <w:rPr>
                <w:rFonts w:cstheme="minorHAnsi"/>
                <w:color w:val="000000"/>
                <w:sz w:val="22"/>
                <w:szCs w:val="22"/>
              </w:rPr>
              <w:t>pin</w:t>
            </w:r>
            <w:proofErr w:type="spellEnd"/>
            <w:r w:rsidR="0044585A">
              <w:rPr>
                <w:rFonts w:cstheme="minorHAnsi"/>
                <w:color w:val="000000"/>
                <w:sz w:val="22"/>
                <w:szCs w:val="22"/>
              </w:rPr>
              <w:t>®</w:t>
            </w:r>
            <w:r w:rsidRPr="008161CB">
              <w:rPr>
                <w:rFonts w:cstheme="minorHAnsi"/>
                <w:color w:val="000000"/>
                <w:position w:val="10"/>
                <w:sz w:val="22"/>
                <w:szCs w:val="22"/>
                <w:vertAlign w:val="superscript"/>
              </w:rPr>
              <w:t xml:space="preserve"> </w:t>
            </w:r>
            <w:r w:rsidRPr="008161CB">
              <w:rPr>
                <w:rFonts w:cstheme="minorHAnsi"/>
                <w:color w:val="000000"/>
                <w:sz w:val="22"/>
                <w:szCs w:val="22"/>
              </w:rPr>
              <w:t xml:space="preserve">and </w:t>
            </w:r>
            <w:proofErr w:type="spellStart"/>
            <w:r w:rsidRPr="008161CB">
              <w:rPr>
                <w:rFonts w:cstheme="minorHAnsi"/>
                <w:color w:val="000000"/>
                <w:sz w:val="22"/>
                <w:szCs w:val="22"/>
              </w:rPr>
              <w:t>Genotropin</w:t>
            </w:r>
            <w:proofErr w:type="spellEnd"/>
            <w:r w:rsidRPr="008161CB">
              <w:rPr>
                <w:rFonts w:cstheme="minorHAnsi"/>
                <w:color w:val="000000"/>
                <w:sz w:val="22"/>
                <w:szCs w:val="22"/>
              </w:rPr>
              <w:t xml:space="preserve"> </w:t>
            </w:r>
            <w:proofErr w:type="spellStart"/>
            <w:r w:rsidRPr="008161CB">
              <w:rPr>
                <w:rFonts w:cstheme="minorHAnsi"/>
                <w:color w:val="000000"/>
                <w:sz w:val="22"/>
                <w:szCs w:val="22"/>
              </w:rPr>
              <w:t>MiniQuick</w:t>
            </w:r>
            <w:proofErr w:type="spellEnd"/>
            <w:r w:rsidR="0044585A">
              <w:rPr>
                <w:rFonts w:cstheme="minorHAnsi"/>
                <w:color w:val="000000"/>
                <w:sz w:val="22"/>
                <w:szCs w:val="22"/>
              </w:rPr>
              <w:t xml:space="preserve">® </w:t>
            </w:r>
          </w:p>
          <w:p w14:paraId="410EA4F0" w14:textId="33B41626" w:rsidR="00E45A40" w:rsidRPr="008161CB" w:rsidRDefault="00E45A40" w:rsidP="00E45A40">
            <w:pPr>
              <w:autoSpaceDE w:val="0"/>
              <w:autoSpaceDN w:val="0"/>
              <w:adjustRightInd w:val="0"/>
              <w:rPr>
                <w:rFonts w:cstheme="minorHAnsi"/>
                <w:color w:val="000000"/>
                <w:sz w:val="22"/>
                <w:szCs w:val="22"/>
              </w:rPr>
            </w:pPr>
            <w:r w:rsidRPr="008161CB">
              <w:rPr>
                <w:rFonts w:cstheme="minorHAnsi"/>
                <w:color w:val="000000"/>
                <w:sz w:val="22"/>
                <w:szCs w:val="22"/>
              </w:rPr>
              <w:t xml:space="preserve">Pfizer Australia Pty Ltd </w:t>
            </w:r>
          </w:p>
          <w:p w14:paraId="69DA56A3" w14:textId="77777777" w:rsidR="00E45A40" w:rsidRPr="008161CB" w:rsidRDefault="00E45A40" w:rsidP="00E45A40">
            <w:pPr>
              <w:autoSpaceDE w:val="0"/>
              <w:autoSpaceDN w:val="0"/>
              <w:adjustRightInd w:val="0"/>
              <w:rPr>
                <w:rFonts w:cstheme="minorHAnsi"/>
                <w:color w:val="000000"/>
                <w:sz w:val="22"/>
                <w:szCs w:val="22"/>
              </w:rPr>
            </w:pPr>
          </w:p>
          <w:p w14:paraId="783AA80B" w14:textId="17EFA88A" w:rsidR="00E45A40" w:rsidRPr="008161CB" w:rsidRDefault="00E45A40" w:rsidP="00E45A40">
            <w:pPr>
              <w:autoSpaceDE w:val="0"/>
              <w:autoSpaceDN w:val="0"/>
              <w:adjustRightInd w:val="0"/>
              <w:rPr>
                <w:rFonts w:cstheme="minorHAnsi"/>
                <w:color w:val="000000"/>
                <w:sz w:val="22"/>
                <w:szCs w:val="22"/>
              </w:rPr>
            </w:pPr>
            <w:r w:rsidRPr="008161CB">
              <w:rPr>
                <w:rFonts w:cstheme="minorHAnsi"/>
                <w:color w:val="000000"/>
                <w:sz w:val="22"/>
                <w:szCs w:val="22"/>
              </w:rPr>
              <w:t xml:space="preserve">The PBAC recommended amending the listing of </w:t>
            </w:r>
            <w:proofErr w:type="spellStart"/>
            <w:r w:rsidRPr="008161CB">
              <w:rPr>
                <w:rFonts w:cstheme="minorHAnsi"/>
                <w:color w:val="000000"/>
                <w:sz w:val="22"/>
                <w:szCs w:val="22"/>
              </w:rPr>
              <w:t>somatropin</w:t>
            </w:r>
            <w:proofErr w:type="spellEnd"/>
            <w:r w:rsidRPr="008161CB">
              <w:rPr>
                <w:rFonts w:cstheme="minorHAnsi"/>
                <w:color w:val="000000"/>
                <w:sz w:val="22"/>
                <w:szCs w:val="22"/>
              </w:rPr>
              <w:t xml:space="preserve"> on the PBS under the Section 100 Human Growth Hormone Program to include improvement of body composition and short stature associated with </w:t>
            </w:r>
            <w:proofErr w:type="spellStart"/>
            <w:r w:rsidRPr="008161CB">
              <w:rPr>
                <w:rFonts w:cstheme="minorHAnsi"/>
                <w:color w:val="000000"/>
                <w:sz w:val="22"/>
                <w:szCs w:val="22"/>
              </w:rPr>
              <w:t>Prader</w:t>
            </w:r>
            <w:proofErr w:type="spellEnd"/>
            <w:r w:rsidRPr="008161CB">
              <w:rPr>
                <w:rFonts w:cstheme="minorHAnsi"/>
                <w:color w:val="000000"/>
                <w:sz w:val="22"/>
                <w:szCs w:val="22"/>
              </w:rPr>
              <w:t>-Willi Syndrome (PWS) in patients up to 18 years of age on the basis of high but acceptable cost-effectiveness compared with placebo.</w:t>
            </w:r>
          </w:p>
          <w:p w14:paraId="7D4D9F5C" w14:textId="77777777" w:rsidR="00E45A40" w:rsidRPr="008161CB" w:rsidRDefault="00E45A40" w:rsidP="00E45A40">
            <w:pPr>
              <w:autoSpaceDE w:val="0"/>
              <w:autoSpaceDN w:val="0"/>
              <w:adjustRightInd w:val="0"/>
              <w:rPr>
                <w:rFonts w:cstheme="minorHAnsi"/>
                <w:color w:val="000000"/>
                <w:sz w:val="22"/>
                <w:szCs w:val="22"/>
              </w:rPr>
            </w:pPr>
          </w:p>
          <w:p w14:paraId="4416C7BA" w14:textId="4E566C87" w:rsidR="00E45A40" w:rsidRPr="008161CB" w:rsidRDefault="00E45A40" w:rsidP="00A04C41">
            <w:pPr>
              <w:rPr>
                <w:rFonts w:cstheme="minorHAnsi"/>
                <w:sz w:val="22"/>
                <w:szCs w:val="22"/>
              </w:rPr>
            </w:pPr>
            <w:r w:rsidRPr="008161CB">
              <w:rPr>
                <w:rFonts w:cstheme="minorHAnsi"/>
                <w:sz w:val="22"/>
                <w:szCs w:val="22"/>
              </w:rPr>
              <w:t xml:space="preserve">For further details refer to the </w:t>
            </w:r>
            <w:hyperlink r:id="rId20" w:history="1">
              <w:r w:rsidRPr="008161CB">
                <w:rPr>
                  <w:rStyle w:val="Hyperlink"/>
                  <w:rFonts w:cstheme="minorHAnsi"/>
                  <w:sz w:val="22"/>
                  <w:szCs w:val="22"/>
                </w:rPr>
                <w:t>Public Summary Document</w:t>
              </w:r>
            </w:hyperlink>
            <w:r w:rsidRPr="008161CB">
              <w:rPr>
                <w:rFonts w:cstheme="minorHAnsi"/>
                <w:sz w:val="22"/>
                <w:szCs w:val="22"/>
              </w:rPr>
              <w:t xml:space="preserve"> fr</w:t>
            </w:r>
            <w:r w:rsidR="00A04C41" w:rsidRPr="008161CB">
              <w:rPr>
                <w:rFonts w:cstheme="minorHAnsi"/>
                <w:sz w:val="22"/>
                <w:szCs w:val="22"/>
              </w:rPr>
              <w:t>om the March 2008 PBAC meeting.</w:t>
            </w:r>
          </w:p>
        </w:tc>
      </w:tr>
      <w:tr w:rsidR="002B03C2" w:rsidRPr="008161CB" w14:paraId="61BF2EAE" w14:textId="77777777" w:rsidTr="000306D8">
        <w:tc>
          <w:tcPr>
            <w:tcW w:w="1555" w:type="dxa"/>
          </w:tcPr>
          <w:p w14:paraId="3B500ADB" w14:textId="62821ED0" w:rsidR="002B03C2" w:rsidRPr="008161CB" w:rsidRDefault="002B03C2" w:rsidP="00A35800">
            <w:pPr>
              <w:rPr>
                <w:rFonts w:cstheme="minorHAnsi"/>
                <w:sz w:val="22"/>
                <w:szCs w:val="22"/>
              </w:rPr>
            </w:pPr>
            <w:r w:rsidRPr="008161CB">
              <w:rPr>
                <w:rFonts w:cstheme="minorHAnsi"/>
                <w:sz w:val="22"/>
                <w:szCs w:val="22"/>
              </w:rPr>
              <w:t xml:space="preserve">July 2011 </w:t>
            </w:r>
          </w:p>
        </w:tc>
        <w:tc>
          <w:tcPr>
            <w:tcW w:w="7392" w:type="dxa"/>
          </w:tcPr>
          <w:p w14:paraId="73C618DE" w14:textId="6C1BB0AC" w:rsidR="00A84611" w:rsidRDefault="002B03C2" w:rsidP="002B03C2">
            <w:pPr>
              <w:autoSpaceDE w:val="0"/>
              <w:autoSpaceDN w:val="0"/>
              <w:adjustRightInd w:val="0"/>
              <w:rPr>
                <w:rFonts w:cstheme="minorHAnsi"/>
                <w:sz w:val="22"/>
                <w:szCs w:val="22"/>
              </w:rPr>
            </w:pPr>
            <w:proofErr w:type="spellStart"/>
            <w:r w:rsidRPr="008161CB">
              <w:rPr>
                <w:rFonts w:cstheme="minorHAnsi"/>
                <w:sz w:val="22"/>
                <w:szCs w:val="22"/>
              </w:rPr>
              <w:t>Somatropin</w:t>
            </w:r>
            <w:proofErr w:type="spellEnd"/>
            <w:r w:rsidRPr="008161CB">
              <w:rPr>
                <w:rFonts w:cstheme="minorHAnsi"/>
                <w:sz w:val="22"/>
                <w:szCs w:val="22"/>
              </w:rPr>
              <w:t xml:space="preserve"> (Recombinant human growth hormone), injection, 5 mg (15 </w:t>
            </w:r>
            <w:proofErr w:type="spellStart"/>
            <w:r w:rsidRPr="008161CB">
              <w:rPr>
                <w:rFonts w:cstheme="minorHAnsi"/>
                <w:sz w:val="22"/>
                <w:szCs w:val="22"/>
              </w:rPr>
              <w:t>i.u</w:t>
            </w:r>
            <w:proofErr w:type="spellEnd"/>
            <w:r w:rsidRPr="008161CB">
              <w:rPr>
                <w:rFonts w:cstheme="minorHAnsi"/>
                <w:sz w:val="22"/>
                <w:szCs w:val="22"/>
              </w:rPr>
              <w:t xml:space="preserve">.) and 12 mg (36 </w:t>
            </w:r>
            <w:proofErr w:type="spellStart"/>
            <w:r w:rsidRPr="008161CB">
              <w:rPr>
                <w:rFonts w:cstheme="minorHAnsi"/>
                <w:sz w:val="22"/>
                <w:szCs w:val="22"/>
              </w:rPr>
              <w:t>i.u</w:t>
            </w:r>
            <w:proofErr w:type="spellEnd"/>
            <w:r w:rsidRPr="008161CB">
              <w:rPr>
                <w:rFonts w:cstheme="minorHAnsi"/>
                <w:sz w:val="22"/>
                <w:szCs w:val="22"/>
              </w:rPr>
              <w:t xml:space="preserve">.) in 1 mL cartridge (with preservative), </w:t>
            </w:r>
            <w:proofErr w:type="spellStart"/>
            <w:r w:rsidRPr="008161CB">
              <w:rPr>
                <w:rFonts w:cstheme="minorHAnsi"/>
                <w:sz w:val="22"/>
                <w:szCs w:val="22"/>
              </w:rPr>
              <w:t>Genotropin</w:t>
            </w:r>
            <w:proofErr w:type="spellEnd"/>
            <w:r w:rsidRPr="008161CB">
              <w:rPr>
                <w:rFonts w:cstheme="minorHAnsi"/>
                <w:sz w:val="22"/>
                <w:szCs w:val="22"/>
              </w:rPr>
              <w:t xml:space="preserve">®; powder for injection, 5 mg (15 </w:t>
            </w:r>
            <w:proofErr w:type="spellStart"/>
            <w:r w:rsidRPr="008161CB">
              <w:rPr>
                <w:rFonts w:cstheme="minorHAnsi"/>
                <w:sz w:val="22"/>
                <w:szCs w:val="22"/>
              </w:rPr>
              <w:t>i.u</w:t>
            </w:r>
            <w:proofErr w:type="spellEnd"/>
            <w:r w:rsidRPr="008161CB">
              <w:rPr>
                <w:rFonts w:cstheme="minorHAnsi"/>
                <w:sz w:val="22"/>
                <w:szCs w:val="22"/>
              </w:rPr>
              <w:t xml:space="preserve">.) and 12 mg (36 </w:t>
            </w:r>
            <w:proofErr w:type="spellStart"/>
            <w:r w:rsidRPr="008161CB">
              <w:rPr>
                <w:rFonts w:cstheme="minorHAnsi"/>
                <w:sz w:val="22"/>
                <w:szCs w:val="22"/>
              </w:rPr>
              <w:t>i.u</w:t>
            </w:r>
            <w:proofErr w:type="spellEnd"/>
            <w:r w:rsidRPr="008161CB">
              <w:rPr>
                <w:rFonts w:cstheme="minorHAnsi"/>
                <w:sz w:val="22"/>
                <w:szCs w:val="22"/>
              </w:rPr>
              <w:t xml:space="preserve">.) with diluent in pre-filled pen (with preservative), </w:t>
            </w:r>
            <w:proofErr w:type="spellStart"/>
            <w:r w:rsidRPr="008161CB">
              <w:rPr>
                <w:rFonts w:cstheme="minorHAnsi"/>
                <w:sz w:val="22"/>
                <w:szCs w:val="22"/>
              </w:rPr>
              <w:t>Genotropin</w:t>
            </w:r>
            <w:proofErr w:type="spellEnd"/>
            <w:r w:rsidRPr="008161CB">
              <w:rPr>
                <w:rFonts w:cstheme="minorHAnsi"/>
                <w:sz w:val="22"/>
                <w:szCs w:val="22"/>
              </w:rPr>
              <w:t xml:space="preserve"> </w:t>
            </w:r>
            <w:proofErr w:type="spellStart"/>
            <w:r w:rsidRPr="008161CB">
              <w:rPr>
                <w:rFonts w:cstheme="minorHAnsi"/>
                <w:sz w:val="22"/>
                <w:szCs w:val="22"/>
              </w:rPr>
              <w:t>GoQuick</w:t>
            </w:r>
            <w:proofErr w:type="spellEnd"/>
            <w:r w:rsidRPr="008161CB">
              <w:rPr>
                <w:rFonts w:cstheme="minorHAnsi"/>
                <w:sz w:val="22"/>
                <w:szCs w:val="22"/>
              </w:rPr>
              <w:t xml:space="preserve">®; injection, 0.6 mg (1.8 </w:t>
            </w:r>
            <w:proofErr w:type="spellStart"/>
            <w:r w:rsidRPr="008161CB">
              <w:rPr>
                <w:rFonts w:cstheme="minorHAnsi"/>
                <w:sz w:val="22"/>
                <w:szCs w:val="22"/>
              </w:rPr>
              <w:t>i.u</w:t>
            </w:r>
            <w:proofErr w:type="spellEnd"/>
            <w:r w:rsidRPr="008161CB">
              <w:rPr>
                <w:rFonts w:cstheme="minorHAnsi"/>
                <w:sz w:val="22"/>
                <w:szCs w:val="22"/>
              </w:rPr>
              <w:t xml:space="preserve">.), 0.8 mg (2.4 </w:t>
            </w:r>
            <w:proofErr w:type="spellStart"/>
            <w:r w:rsidRPr="008161CB">
              <w:rPr>
                <w:rFonts w:cstheme="minorHAnsi"/>
                <w:sz w:val="22"/>
                <w:szCs w:val="22"/>
              </w:rPr>
              <w:t>i.u</w:t>
            </w:r>
            <w:proofErr w:type="spellEnd"/>
            <w:r w:rsidRPr="008161CB">
              <w:rPr>
                <w:rFonts w:cstheme="minorHAnsi"/>
                <w:sz w:val="22"/>
                <w:szCs w:val="22"/>
              </w:rPr>
              <w:t xml:space="preserve">.), 1 mg (3 </w:t>
            </w:r>
            <w:proofErr w:type="spellStart"/>
            <w:r w:rsidRPr="008161CB">
              <w:rPr>
                <w:rFonts w:cstheme="minorHAnsi"/>
                <w:sz w:val="22"/>
                <w:szCs w:val="22"/>
              </w:rPr>
              <w:t>i.u</w:t>
            </w:r>
            <w:proofErr w:type="spellEnd"/>
            <w:r w:rsidRPr="008161CB">
              <w:rPr>
                <w:rFonts w:cstheme="minorHAnsi"/>
                <w:sz w:val="22"/>
                <w:szCs w:val="22"/>
              </w:rPr>
              <w:t xml:space="preserve">.), 1.2 mg (3.6 </w:t>
            </w:r>
            <w:proofErr w:type="spellStart"/>
            <w:r w:rsidRPr="008161CB">
              <w:rPr>
                <w:rFonts w:cstheme="minorHAnsi"/>
                <w:sz w:val="22"/>
                <w:szCs w:val="22"/>
              </w:rPr>
              <w:t>i.u</w:t>
            </w:r>
            <w:proofErr w:type="spellEnd"/>
            <w:r w:rsidRPr="008161CB">
              <w:rPr>
                <w:rFonts w:cstheme="minorHAnsi"/>
                <w:sz w:val="22"/>
                <w:szCs w:val="22"/>
              </w:rPr>
              <w:t xml:space="preserve">.), 1.4 mg (4.2 </w:t>
            </w:r>
            <w:proofErr w:type="spellStart"/>
            <w:r w:rsidRPr="008161CB">
              <w:rPr>
                <w:rFonts w:cstheme="minorHAnsi"/>
                <w:sz w:val="22"/>
                <w:szCs w:val="22"/>
              </w:rPr>
              <w:t>i.u</w:t>
            </w:r>
            <w:proofErr w:type="spellEnd"/>
            <w:r w:rsidRPr="008161CB">
              <w:rPr>
                <w:rFonts w:cstheme="minorHAnsi"/>
                <w:sz w:val="22"/>
                <w:szCs w:val="22"/>
              </w:rPr>
              <w:t xml:space="preserve">.), 1.6 mg (4.8 </w:t>
            </w:r>
            <w:proofErr w:type="spellStart"/>
            <w:r w:rsidRPr="008161CB">
              <w:rPr>
                <w:rFonts w:cstheme="minorHAnsi"/>
                <w:sz w:val="22"/>
                <w:szCs w:val="22"/>
              </w:rPr>
              <w:t>i.u</w:t>
            </w:r>
            <w:proofErr w:type="spellEnd"/>
            <w:r w:rsidRPr="008161CB">
              <w:rPr>
                <w:rFonts w:cstheme="minorHAnsi"/>
                <w:sz w:val="22"/>
                <w:szCs w:val="22"/>
              </w:rPr>
              <w:t xml:space="preserve">.), 1.8 mg (5.4 </w:t>
            </w:r>
            <w:proofErr w:type="spellStart"/>
            <w:r w:rsidRPr="008161CB">
              <w:rPr>
                <w:rFonts w:cstheme="minorHAnsi"/>
                <w:sz w:val="22"/>
                <w:szCs w:val="22"/>
              </w:rPr>
              <w:t>i.u</w:t>
            </w:r>
            <w:proofErr w:type="spellEnd"/>
            <w:r w:rsidRPr="008161CB">
              <w:rPr>
                <w:rFonts w:cstheme="minorHAnsi"/>
                <w:sz w:val="22"/>
                <w:szCs w:val="22"/>
              </w:rPr>
              <w:t xml:space="preserve">.), and 2 mg (6 </w:t>
            </w:r>
            <w:proofErr w:type="spellStart"/>
            <w:r w:rsidRPr="008161CB">
              <w:rPr>
                <w:rFonts w:cstheme="minorHAnsi"/>
                <w:sz w:val="22"/>
                <w:szCs w:val="22"/>
              </w:rPr>
              <w:t>i.u</w:t>
            </w:r>
            <w:proofErr w:type="spellEnd"/>
            <w:r w:rsidRPr="008161CB">
              <w:rPr>
                <w:rFonts w:cstheme="minorHAnsi"/>
                <w:sz w:val="22"/>
                <w:szCs w:val="22"/>
              </w:rPr>
              <w:t>.) with diluent in single use syringe (without prese</w:t>
            </w:r>
            <w:r w:rsidR="00E45A40" w:rsidRPr="008161CB">
              <w:rPr>
                <w:rFonts w:cstheme="minorHAnsi"/>
                <w:sz w:val="22"/>
                <w:szCs w:val="22"/>
              </w:rPr>
              <w:t xml:space="preserve">rvative), </w:t>
            </w:r>
            <w:proofErr w:type="spellStart"/>
            <w:r w:rsidR="00E45A40" w:rsidRPr="008161CB">
              <w:rPr>
                <w:rFonts w:cstheme="minorHAnsi"/>
                <w:sz w:val="22"/>
                <w:szCs w:val="22"/>
              </w:rPr>
              <w:t>Genotropin</w:t>
            </w:r>
            <w:proofErr w:type="spellEnd"/>
            <w:r w:rsidR="00E45A40" w:rsidRPr="008161CB">
              <w:rPr>
                <w:rFonts w:cstheme="minorHAnsi"/>
                <w:sz w:val="22"/>
                <w:szCs w:val="22"/>
              </w:rPr>
              <w:t xml:space="preserve"> </w:t>
            </w:r>
            <w:proofErr w:type="spellStart"/>
            <w:r w:rsidR="00E45A40" w:rsidRPr="008161CB">
              <w:rPr>
                <w:rFonts w:cstheme="minorHAnsi"/>
                <w:sz w:val="22"/>
                <w:szCs w:val="22"/>
              </w:rPr>
              <w:t>MiniQuick</w:t>
            </w:r>
            <w:proofErr w:type="spellEnd"/>
            <w:r w:rsidR="00E45A40" w:rsidRPr="008161CB">
              <w:rPr>
                <w:rFonts w:cstheme="minorHAnsi"/>
                <w:sz w:val="22"/>
                <w:szCs w:val="22"/>
              </w:rPr>
              <w:t xml:space="preserve">® </w:t>
            </w:r>
          </w:p>
          <w:p w14:paraId="2672C2F1" w14:textId="63BA0E5E" w:rsidR="002B03C2" w:rsidRPr="008161CB" w:rsidRDefault="002B03C2" w:rsidP="002B03C2">
            <w:pPr>
              <w:autoSpaceDE w:val="0"/>
              <w:autoSpaceDN w:val="0"/>
              <w:adjustRightInd w:val="0"/>
              <w:rPr>
                <w:rFonts w:cstheme="minorHAnsi"/>
                <w:sz w:val="22"/>
                <w:szCs w:val="22"/>
              </w:rPr>
            </w:pPr>
            <w:r w:rsidRPr="008161CB">
              <w:rPr>
                <w:rFonts w:cstheme="minorHAnsi"/>
                <w:sz w:val="22"/>
                <w:szCs w:val="22"/>
              </w:rPr>
              <w:t>Pfizer Australia Pty Ltd</w:t>
            </w:r>
          </w:p>
          <w:p w14:paraId="1BAD5E6F" w14:textId="77777777" w:rsidR="002B03C2" w:rsidRPr="008161CB" w:rsidRDefault="002B03C2" w:rsidP="002B03C2">
            <w:pPr>
              <w:autoSpaceDE w:val="0"/>
              <w:autoSpaceDN w:val="0"/>
              <w:adjustRightInd w:val="0"/>
              <w:rPr>
                <w:rFonts w:cstheme="minorHAnsi"/>
                <w:sz w:val="22"/>
                <w:szCs w:val="22"/>
              </w:rPr>
            </w:pPr>
          </w:p>
          <w:p w14:paraId="44274F41" w14:textId="1A9291F1" w:rsidR="002B03C2" w:rsidRPr="008161CB" w:rsidRDefault="002B03C2" w:rsidP="002B03C2">
            <w:pPr>
              <w:autoSpaceDE w:val="0"/>
              <w:autoSpaceDN w:val="0"/>
              <w:adjustRightInd w:val="0"/>
              <w:rPr>
                <w:rFonts w:cstheme="minorHAnsi"/>
                <w:sz w:val="22"/>
                <w:szCs w:val="22"/>
              </w:rPr>
            </w:pPr>
            <w:r w:rsidRPr="008161CB">
              <w:rPr>
                <w:rFonts w:cstheme="minorHAnsi"/>
                <w:sz w:val="22"/>
                <w:szCs w:val="22"/>
              </w:rPr>
              <w:t xml:space="preserve">The submission requested an extension of the current Section 100 (Human Growth Hormone Program) listing to include treatment of severe adult growth hormone deficiency (AGHD). The PBAC </w:t>
            </w:r>
            <w:r w:rsidR="00F25CF0">
              <w:rPr>
                <w:rFonts w:cstheme="minorHAnsi"/>
                <w:sz w:val="22"/>
                <w:szCs w:val="22"/>
              </w:rPr>
              <w:t>did not recommend to change the listing</w:t>
            </w:r>
            <w:r w:rsidRPr="008161CB">
              <w:rPr>
                <w:rFonts w:cstheme="minorHAnsi"/>
                <w:sz w:val="22"/>
                <w:szCs w:val="22"/>
              </w:rPr>
              <w:t xml:space="preserve"> on the basis of uncertain clinical benefit and highly uncertain cost effectiveness.</w:t>
            </w:r>
          </w:p>
          <w:p w14:paraId="331844FC" w14:textId="77777777" w:rsidR="002B03C2" w:rsidRPr="008161CB" w:rsidRDefault="002B03C2" w:rsidP="002B03C2">
            <w:pPr>
              <w:autoSpaceDE w:val="0"/>
              <w:autoSpaceDN w:val="0"/>
              <w:adjustRightInd w:val="0"/>
              <w:rPr>
                <w:rFonts w:cstheme="minorHAnsi"/>
                <w:color w:val="000000"/>
                <w:sz w:val="22"/>
                <w:szCs w:val="22"/>
              </w:rPr>
            </w:pPr>
          </w:p>
          <w:p w14:paraId="08BD5053" w14:textId="451B3F41" w:rsidR="002B03C2" w:rsidRPr="008161CB" w:rsidRDefault="002B03C2" w:rsidP="002B03C2">
            <w:pPr>
              <w:rPr>
                <w:rFonts w:cstheme="minorHAnsi"/>
                <w:b/>
                <w:sz w:val="22"/>
                <w:szCs w:val="22"/>
              </w:rPr>
            </w:pPr>
            <w:r w:rsidRPr="008161CB">
              <w:rPr>
                <w:rFonts w:cstheme="minorHAnsi"/>
                <w:sz w:val="22"/>
                <w:szCs w:val="22"/>
              </w:rPr>
              <w:lastRenderedPageBreak/>
              <w:t xml:space="preserve">For further details refer to the </w:t>
            </w:r>
            <w:hyperlink r:id="rId21" w:history="1">
              <w:r w:rsidRPr="008161CB">
                <w:rPr>
                  <w:rStyle w:val="Hyperlink"/>
                  <w:rFonts w:cstheme="minorHAnsi"/>
                  <w:sz w:val="22"/>
                  <w:szCs w:val="22"/>
                </w:rPr>
                <w:t>Public Summary Document</w:t>
              </w:r>
            </w:hyperlink>
            <w:r w:rsidRPr="008161CB">
              <w:rPr>
                <w:rFonts w:cstheme="minorHAnsi"/>
                <w:sz w:val="22"/>
                <w:szCs w:val="22"/>
              </w:rPr>
              <w:t xml:space="preserve"> from the July 2011 PBAC meeting</w:t>
            </w:r>
          </w:p>
        </w:tc>
      </w:tr>
      <w:tr w:rsidR="002B03C2" w:rsidRPr="008161CB" w14:paraId="665012DE" w14:textId="77777777" w:rsidTr="000306D8">
        <w:tc>
          <w:tcPr>
            <w:tcW w:w="1555" w:type="dxa"/>
          </w:tcPr>
          <w:p w14:paraId="025E95BC" w14:textId="768DD127" w:rsidR="002B03C2" w:rsidRPr="008161CB" w:rsidRDefault="00E45A40" w:rsidP="00A35800">
            <w:pPr>
              <w:rPr>
                <w:rFonts w:cstheme="minorHAnsi"/>
                <w:sz w:val="22"/>
                <w:szCs w:val="22"/>
              </w:rPr>
            </w:pPr>
            <w:r w:rsidRPr="008161CB">
              <w:rPr>
                <w:rFonts w:cstheme="minorHAnsi"/>
                <w:sz w:val="22"/>
                <w:szCs w:val="22"/>
              </w:rPr>
              <w:lastRenderedPageBreak/>
              <w:t xml:space="preserve">March 2016 </w:t>
            </w:r>
          </w:p>
        </w:tc>
        <w:tc>
          <w:tcPr>
            <w:tcW w:w="7392" w:type="dxa"/>
          </w:tcPr>
          <w:p w14:paraId="75567120" w14:textId="77777777" w:rsidR="00E45A40" w:rsidRPr="008161CB" w:rsidRDefault="00E45A40" w:rsidP="00E45A40">
            <w:pPr>
              <w:autoSpaceDE w:val="0"/>
              <w:autoSpaceDN w:val="0"/>
              <w:adjustRightInd w:val="0"/>
              <w:rPr>
                <w:rFonts w:cstheme="minorHAnsi"/>
                <w:bCs/>
                <w:color w:val="000000"/>
                <w:sz w:val="22"/>
                <w:szCs w:val="22"/>
              </w:rPr>
            </w:pPr>
            <w:r w:rsidRPr="008161CB">
              <w:rPr>
                <w:rFonts w:cstheme="minorHAnsi"/>
                <w:bCs/>
                <w:color w:val="000000"/>
                <w:sz w:val="22"/>
                <w:szCs w:val="22"/>
              </w:rPr>
              <w:t xml:space="preserve">SOMATROPIN 0.4 mg (1.2 IU) with diluent in single use syringe, </w:t>
            </w:r>
            <w:proofErr w:type="spellStart"/>
            <w:r w:rsidRPr="008161CB">
              <w:rPr>
                <w:rFonts w:cstheme="minorHAnsi"/>
                <w:bCs/>
                <w:color w:val="000000"/>
                <w:sz w:val="22"/>
                <w:szCs w:val="22"/>
              </w:rPr>
              <w:t>Genotropin</w:t>
            </w:r>
            <w:proofErr w:type="spellEnd"/>
            <w:r w:rsidRPr="008161CB">
              <w:rPr>
                <w:rFonts w:cstheme="minorHAnsi"/>
                <w:bCs/>
                <w:color w:val="000000"/>
                <w:sz w:val="22"/>
                <w:szCs w:val="22"/>
              </w:rPr>
              <w:t xml:space="preserve">® </w:t>
            </w:r>
            <w:proofErr w:type="spellStart"/>
            <w:r w:rsidRPr="008161CB">
              <w:rPr>
                <w:rFonts w:cstheme="minorHAnsi"/>
                <w:bCs/>
                <w:color w:val="000000"/>
                <w:sz w:val="22"/>
                <w:szCs w:val="22"/>
              </w:rPr>
              <w:t>MiniQuick</w:t>
            </w:r>
            <w:proofErr w:type="spellEnd"/>
            <w:r w:rsidRPr="008161CB">
              <w:rPr>
                <w:rFonts w:cstheme="minorHAnsi"/>
                <w:bCs/>
                <w:color w:val="000000"/>
                <w:sz w:val="22"/>
                <w:szCs w:val="22"/>
              </w:rPr>
              <w:t>, Pfizer Australia Pty Ltd.</w:t>
            </w:r>
          </w:p>
          <w:p w14:paraId="103EDA67" w14:textId="77777777" w:rsidR="00E45A40" w:rsidRPr="008161CB" w:rsidRDefault="00E45A40" w:rsidP="00E45A40">
            <w:pPr>
              <w:autoSpaceDE w:val="0"/>
              <w:autoSpaceDN w:val="0"/>
              <w:adjustRightInd w:val="0"/>
              <w:rPr>
                <w:rFonts w:cstheme="minorHAnsi"/>
                <w:color w:val="000000"/>
                <w:sz w:val="22"/>
                <w:szCs w:val="22"/>
              </w:rPr>
            </w:pPr>
            <w:r w:rsidRPr="008161CB">
              <w:rPr>
                <w:rFonts w:cstheme="minorHAnsi"/>
                <w:color w:val="000000"/>
                <w:sz w:val="22"/>
                <w:szCs w:val="22"/>
              </w:rPr>
              <w:t xml:space="preserve"> </w:t>
            </w:r>
          </w:p>
          <w:p w14:paraId="564D6BF8" w14:textId="77777777" w:rsidR="00E45A40" w:rsidRPr="008161CB" w:rsidRDefault="00E45A40" w:rsidP="00E45A40">
            <w:pPr>
              <w:autoSpaceDE w:val="0"/>
              <w:autoSpaceDN w:val="0"/>
              <w:adjustRightInd w:val="0"/>
              <w:rPr>
                <w:rFonts w:cstheme="minorHAnsi"/>
                <w:color w:val="000000"/>
                <w:sz w:val="22"/>
                <w:szCs w:val="22"/>
              </w:rPr>
            </w:pPr>
            <w:r w:rsidRPr="008161CB">
              <w:rPr>
                <w:rFonts w:cstheme="minorHAnsi"/>
                <w:color w:val="000000"/>
                <w:sz w:val="22"/>
                <w:szCs w:val="22"/>
              </w:rPr>
              <w:t xml:space="preserve">The minor submission requested the listing of lower strength of </w:t>
            </w:r>
            <w:proofErr w:type="spellStart"/>
            <w:r w:rsidRPr="008161CB">
              <w:rPr>
                <w:rFonts w:cstheme="minorHAnsi"/>
                <w:color w:val="000000"/>
                <w:sz w:val="22"/>
                <w:szCs w:val="22"/>
              </w:rPr>
              <w:t>somatropin</w:t>
            </w:r>
            <w:proofErr w:type="spellEnd"/>
            <w:r w:rsidRPr="008161CB">
              <w:rPr>
                <w:rFonts w:cstheme="minorHAnsi"/>
                <w:color w:val="000000"/>
                <w:sz w:val="22"/>
                <w:szCs w:val="22"/>
              </w:rPr>
              <w:t xml:space="preserve"> (</w:t>
            </w:r>
            <w:proofErr w:type="spellStart"/>
            <w:r w:rsidRPr="008161CB">
              <w:rPr>
                <w:rFonts w:cstheme="minorHAnsi"/>
                <w:color w:val="000000"/>
                <w:sz w:val="22"/>
                <w:szCs w:val="22"/>
              </w:rPr>
              <w:t>Genotropin</w:t>
            </w:r>
            <w:proofErr w:type="spellEnd"/>
            <w:r w:rsidRPr="008161CB">
              <w:rPr>
                <w:rFonts w:cstheme="minorHAnsi"/>
                <w:color w:val="000000"/>
                <w:sz w:val="22"/>
                <w:szCs w:val="22"/>
              </w:rPr>
              <w:t xml:space="preserve"> </w:t>
            </w:r>
            <w:proofErr w:type="spellStart"/>
            <w:r w:rsidRPr="008161CB">
              <w:rPr>
                <w:rFonts w:cstheme="minorHAnsi"/>
                <w:color w:val="000000"/>
                <w:sz w:val="22"/>
                <w:szCs w:val="22"/>
              </w:rPr>
              <w:t>MiniQuick</w:t>
            </w:r>
            <w:proofErr w:type="spellEnd"/>
            <w:r w:rsidRPr="008161CB">
              <w:rPr>
                <w:rFonts w:cstheme="minorHAnsi"/>
                <w:color w:val="000000"/>
                <w:sz w:val="22"/>
                <w:szCs w:val="22"/>
              </w:rPr>
              <w:t xml:space="preserve"> 0.4 mg (1.2 IU) injection) in the Section 100 (Growth Hormone Programme) on the PBS. The currently listed strengths are 1.8 IU (600 micrograms) and 2.4 IU (800 micrograms). The PBAC recommended listing of the 0.4 mg strength of </w:t>
            </w:r>
            <w:proofErr w:type="spellStart"/>
            <w:r w:rsidRPr="008161CB">
              <w:rPr>
                <w:rFonts w:cstheme="minorHAnsi"/>
                <w:color w:val="000000"/>
                <w:sz w:val="22"/>
                <w:szCs w:val="22"/>
              </w:rPr>
              <w:t>somatropin</w:t>
            </w:r>
            <w:proofErr w:type="spellEnd"/>
            <w:r w:rsidRPr="008161CB">
              <w:rPr>
                <w:rFonts w:cstheme="minorHAnsi"/>
                <w:color w:val="000000"/>
                <w:sz w:val="22"/>
                <w:szCs w:val="22"/>
              </w:rPr>
              <w:t xml:space="preserve"> under the same circumstances to be consistent with the currently listed strengths of </w:t>
            </w:r>
            <w:proofErr w:type="spellStart"/>
            <w:r w:rsidRPr="008161CB">
              <w:rPr>
                <w:rFonts w:cstheme="minorHAnsi"/>
                <w:color w:val="000000"/>
                <w:sz w:val="22"/>
                <w:szCs w:val="22"/>
              </w:rPr>
              <w:t>somatropin</w:t>
            </w:r>
            <w:proofErr w:type="spellEnd"/>
            <w:r w:rsidRPr="008161CB">
              <w:rPr>
                <w:rFonts w:cstheme="minorHAnsi"/>
                <w:color w:val="000000"/>
                <w:sz w:val="22"/>
                <w:szCs w:val="22"/>
              </w:rPr>
              <w:t xml:space="preserve">. </w:t>
            </w:r>
          </w:p>
          <w:p w14:paraId="7333FF07" w14:textId="77777777" w:rsidR="00E45A40" w:rsidRPr="008161CB" w:rsidRDefault="00E45A40" w:rsidP="00E45A40">
            <w:pPr>
              <w:autoSpaceDE w:val="0"/>
              <w:autoSpaceDN w:val="0"/>
              <w:adjustRightInd w:val="0"/>
              <w:rPr>
                <w:rFonts w:cstheme="minorHAnsi"/>
                <w:color w:val="000000"/>
                <w:sz w:val="22"/>
                <w:szCs w:val="22"/>
              </w:rPr>
            </w:pPr>
          </w:p>
          <w:p w14:paraId="01A306FF" w14:textId="55BA7BA8" w:rsidR="002B03C2" w:rsidRPr="008161CB" w:rsidRDefault="00E45A40" w:rsidP="00A35800">
            <w:pPr>
              <w:rPr>
                <w:rFonts w:cstheme="minorHAnsi"/>
                <w:sz w:val="22"/>
                <w:szCs w:val="22"/>
              </w:rPr>
            </w:pPr>
            <w:r w:rsidRPr="008161CB">
              <w:rPr>
                <w:rFonts w:cstheme="minorHAnsi"/>
                <w:sz w:val="22"/>
                <w:szCs w:val="22"/>
              </w:rPr>
              <w:t xml:space="preserve">For further details refer to the </w:t>
            </w:r>
            <w:hyperlink r:id="rId22" w:history="1">
              <w:r w:rsidRPr="008161CB">
                <w:rPr>
                  <w:rStyle w:val="Hyperlink"/>
                  <w:rFonts w:cstheme="minorHAnsi"/>
                  <w:sz w:val="22"/>
                  <w:szCs w:val="22"/>
                </w:rPr>
                <w:t>Public Summary Document</w:t>
              </w:r>
            </w:hyperlink>
            <w:r w:rsidRPr="008161CB">
              <w:rPr>
                <w:rFonts w:cstheme="minorHAnsi"/>
                <w:sz w:val="22"/>
                <w:szCs w:val="22"/>
              </w:rPr>
              <w:t xml:space="preserve"> from the March 2016 PBAC meeting.</w:t>
            </w:r>
          </w:p>
        </w:tc>
      </w:tr>
      <w:tr w:rsidR="002B03C2" w:rsidRPr="008161CB" w14:paraId="7371AD99" w14:textId="77777777" w:rsidTr="000306D8">
        <w:tc>
          <w:tcPr>
            <w:tcW w:w="1555" w:type="dxa"/>
          </w:tcPr>
          <w:p w14:paraId="28F0C242" w14:textId="5384C44F" w:rsidR="002B03C2" w:rsidRPr="008161CB" w:rsidRDefault="00E45A40" w:rsidP="00A35800">
            <w:pPr>
              <w:rPr>
                <w:rFonts w:cstheme="minorHAnsi"/>
                <w:sz w:val="22"/>
                <w:szCs w:val="22"/>
              </w:rPr>
            </w:pPr>
            <w:r w:rsidRPr="008161CB">
              <w:rPr>
                <w:rFonts w:cstheme="minorHAnsi"/>
                <w:sz w:val="22"/>
                <w:szCs w:val="22"/>
              </w:rPr>
              <w:t xml:space="preserve">November 2016 </w:t>
            </w:r>
          </w:p>
        </w:tc>
        <w:tc>
          <w:tcPr>
            <w:tcW w:w="7392" w:type="dxa"/>
          </w:tcPr>
          <w:p w14:paraId="6E1B8F14" w14:textId="77777777" w:rsidR="00E45A40" w:rsidRPr="008161CB" w:rsidRDefault="00E45A40" w:rsidP="00E45A40">
            <w:pPr>
              <w:autoSpaceDE w:val="0"/>
              <w:autoSpaceDN w:val="0"/>
              <w:adjustRightInd w:val="0"/>
              <w:rPr>
                <w:rFonts w:cstheme="minorHAnsi"/>
                <w:color w:val="000000"/>
                <w:sz w:val="22"/>
                <w:szCs w:val="22"/>
              </w:rPr>
            </w:pPr>
            <w:r w:rsidRPr="008161CB">
              <w:rPr>
                <w:rFonts w:cstheme="minorHAnsi"/>
                <w:bCs/>
                <w:color w:val="000000"/>
                <w:sz w:val="22"/>
                <w:szCs w:val="22"/>
              </w:rPr>
              <w:t xml:space="preserve">Solution for injection 6 mg (18 </w:t>
            </w:r>
            <w:proofErr w:type="spellStart"/>
            <w:r w:rsidRPr="008161CB">
              <w:rPr>
                <w:rFonts w:cstheme="minorHAnsi"/>
                <w:bCs/>
                <w:color w:val="000000"/>
                <w:sz w:val="22"/>
                <w:szCs w:val="22"/>
              </w:rPr>
              <w:t>i.u</w:t>
            </w:r>
            <w:proofErr w:type="spellEnd"/>
            <w:r w:rsidRPr="008161CB">
              <w:rPr>
                <w:rFonts w:cstheme="minorHAnsi"/>
                <w:bCs/>
                <w:color w:val="000000"/>
                <w:sz w:val="22"/>
                <w:szCs w:val="22"/>
              </w:rPr>
              <w:t xml:space="preserve">.) in 1.03 mL cartridge (with preservative), </w:t>
            </w:r>
          </w:p>
          <w:p w14:paraId="324CE38F" w14:textId="77777777" w:rsidR="00E45A40" w:rsidRPr="008161CB" w:rsidRDefault="00E45A40" w:rsidP="00E45A40">
            <w:pPr>
              <w:autoSpaceDE w:val="0"/>
              <w:autoSpaceDN w:val="0"/>
              <w:adjustRightInd w:val="0"/>
              <w:rPr>
                <w:rFonts w:cstheme="minorHAnsi"/>
                <w:color w:val="000000"/>
                <w:sz w:val="22"/>
                <w:szCs w:val="22"/>
              </w:rPr>
            </w:pPr>
            <w:r w:rsidRPr="008161CB">
              <w:rPr>
                <w:rFonts w:cstheme="minorHAnsi"/>
                <w:bCs/>
                <w:color w:val="000000"/>
                <w:sz w:val="22"/>
                <w:szCs w:val="22"/>
              </w:rPr>
              <w:t xml:space="preserve">Solution for injection 12 mg (36 </w:t>
            </w:r>
            <w:proofErr w:type="spellStart"/>
            <w:r w:rsidRPr="008161CB">
              <w:rPr>
                <w:rFonts w:cstheme="minorHAnsi"/>
                <w:bCs/>
                <w:color w:val="000000"/>
                <w:sz w:val="22"/>
                <w:szCs w:val="22"/>
              </w:rPr>
              <w:t>i.u</w:t>
            </w:r>
            <w:proofErr w:type="spellEnd"/>
            <w:r w:rsidRPr="008161CB">
              <w:rPr>
                <w:rFonts w:cstheme="minorHAnsi"/>
                <w:bCs/>
                <w:color w:val="000000"/>
                <w:sz w:val="22"/>
                <w:szCs w:val="22"/>
              </w:rPr>
              <w:t xml:space="preserve">.) in 1.5 mL cartridge (with preservative), </w:t>
            </w:r>
          </w:p>
          <w:p w14:paraId="4AC2B100" w14:textId="77777777" w:rsidR="00E45A40" w:rsidRPr="008161CB" w:rsidRDefault="00E45A40" w:rsidP="00E45A40">
            <w:pPr>
              <w:autoSpaceDE w:val="0"/>
              <w:autoSpaceDN w:val="0"/>
              <w:adjustRightInd w:val="0"/>
              <w:rPr>
                <w:rFonts w:cstheme="minorHAnsi"/>
                <w:color w:val="000000"/>
                <w:sz w:val="22"/>
                <w:szCs w:val="22"/>
              </w:rPr>
            </w:pPr>
            <w:r w:rsidRPr="008161CB">
              <w:rPr>
                <w:rFonts w:cstheme="minorHAnsi"/>
                <w:bCs/>
                <w:color w:val="000000"/>
                <w:sz w:val="22"/>
                <w:szCs w:val="22"/>
              </w:rPr>
              <w:t xml:space="preserve">Solution for injection 20 mg (60 </w:t>
            </w:r>
            <w:proofErr w:type="spellStart"/>
            <w:r w:rsidRPr="008161CB">
              <w:rPr>
                <w:rFonts w:cstheme="minorHAnsi"/>
                <w:bCs/>
                <w:color w:val="000000"/>
                <w:sz w:val="22"/>
                <w:szCs w:val="22"/>
              </w:rPr>
              <w:t>i.u</w:t>
            </w:r>
            <w:proofErr w:type="spellEnd"/>
            <w:r w:rsidRPr="008161CB">
              <w:rPr>
                <w:rFonts w:cstheme="minorHAnsi"/>
                <w:bCs/>
                <w:color w:val="000000"/>
                <w:sz w:val="22"/>
                <w:szCs w:val="22"/>
              </w:rPr>
              <w:t xml:space="preserve">.) in 2.5 mL cartridge (with preservative), </w:t>
            </w:r>
          </w:p>
          <w:p w14:paraId="57B15F98" w14:textId="6C2BDC5B" w:rsidR="00E45A40" w:rsidRPr="008161CB" w:rsidRDefault="00E45A40" w:rsidP="00E45A40">
            <w:pPr>
              <w:autoSpaceDE w:val="0"/>
              <w:autoSpaceDN w:val="0"/>
              <w:adjustRightInd w:val="0"/>
              <w:rPr>
                <w:rFonts w:cstheme="minorHAnsi"/>
                <w:color w:val="000000"/>
                <w:sz w:val="22"/>
                <w:szCs w:val="22"/>
              </w:rPr>
            </w:pPr>
            <w:proofErr w:type="spellStart"/>
            <w:r w:rsidRPr="008161CB">
              <w:rPr>
                <w:rFonts w:cstheme="minorHAnsi"/>
                <w:bCs/>
                <w:color w:val="000000"/>
                <w:sz w:val="22"/>
                <w:szCs w:val="22"/>
              </w:rPr>
              <w:t>Saizen</w:t>
            </w:r>
            <w:proofErr w:type="spellEnd"/>
            <w:r w:rsidRPr="008161CB">
              <w:rPr>
                <w:rFonts w:cstheme="minorHAnsi"/>
                <w:bCs/>
                <w:color w:val="000000"/>
                <w:sz w:val="22"/>
                <w:szCs w:val="22"/>
              </w:rPr>
              <w:t xml:space="preserve">®, Merck </w:t>
            </w:r>
            <w:proofErr w:type="spellStart"/>
            <w:r w:rsidRPr="008161CB">
              <w:rPr>
                <w:rFonts w:cstheme="minorHAnsi"/>
                <w:bCs/>
                <w:color w:val="000000"/>
                <w:sz w:val="22"/>
                <w:szCs w:val="22"/>
              </w:rPr>
              <w:t>Serono</w:t>
            </w:r>
            <w:proofErr w:type="spellEnd"/>
            <w:r w:rsidRPr="008161CB">
              <w:rPr>
                <w:rFonts w:cstheme="minorHAnsi"/>
                <w:bCs/>
                <w:color w:val="000000"/>
                <w:sz w:val="22"/>
                <w:szCs w:val="22"/>
              </w:rPr>
              <w:t xml:space="preserve"> Australia Pty Ltd.</w:t>
            </w:r>
          </w:p>
          <w:p w14:paraId="4AAD203C" w14:textId="77777777" w:rsidR="00E45A40" w:rsidRPr="008161CB" w:rsidRDefault="00E45A40" w:rsidP="00E45A40">
            <w:pPr>
              <w:autoSpaceDE w:val="0"/>
              <w:autoSpaceDN w:val="0"/>
              <w:adjustRightInd w:val="0"/>
              <w:rPr>
                <w:rFonts w:cstheme="minorHAnsi"/>
                <w:color w:val="000000"/>
                <w:sz w:val="22"/>
                <w:szCs w:val="22"/>
              </w:rPr>
            </w:pPr>
          </w:p>
          <w:p w14:paraId="6EBA8BB7" w14:textId="10808348" w:rsidR="00E45A40" w:rsidRPr="008161CB" w:rsidRDefault="00E45A40" w:rsidP="00E45A40">
            <w:pPr>
              <w:pStyle w:val="Default"/>
              <w:rPr>
                <w:rFonts w:asciiTheme="minorHAnsi" w:eastAsiaTheme="minorEastAsia" w:hAnsiTheme="minorHAnsi" w:cstheme="minorHAnsi"/>
                <w:sz w:val="22"/>
                <w:szCs w:val="22"/>
                <w:lang w:eastAsia="en-AU"/>
              </w:rPr>
            </w:pPr>
            <w:r w:rsidRPr="008161CB">
              <w:rPr>
                <w:rFonts w:asciiTheme="minorHAnsi" w:hAnsiTheme="minorHAnsi" w:cstheme="minorHAnsi"/>
                <w:sz w:val="22"/>
                <w:szCs w:val="22"/>
              </w:rPr>
              <w:t xml:space="preserve">The PBAC recommended the listing of </w:t>
            </w:r>
            <w:proofErr w:type="spellStart"/>
            <w:r w:rsidRPr="008161CB">
              <w:rPr>
                <w:rFonts w:asciiTheme="minorHAnsi" w:hAnsiTheme="minorHAnsi" w:cstheme="minorHAnsi"/>
                <w:sz w:val="22"/>
                <w:szCs w:val="22"/>
              </w:rPr>
              <w:t>Saizen</w:t>
            </w:r>
            <w:proofErr w:type="spellEnd"/>
            <w:r w:rsidRPr="008161CB">
              <w:rPr>
                <w:rFonts w:asciiTheme="minorHAnsi" w:hAnsiTheme="minorHAnsi" w:cstheme="minorHAnsi"/>
                <w:sz w:val="22"/>
                <w:szCs w:val="22"/>
              </w:rPr>
              <w:t xml:space="preserve">® to include an Authority Required listing for the treatment of ‘short stature associated with chronic renal insufficiency (CRI)’, consistent with the currently listed brands of </w:t>
            </w:r>
            <w:proofErr w:type="spellStart"/>
            <w:r w:rsidRPr="008161CB">
              <w:rPr>
                <w:rFonts w:asciiTheme="minorHAnsi" w:hAnsiTheme="minorHAnsi" w:cstheme="minorHAnsi"/>
                <w:sz w:val="22"/>
                <w:szCs w:val="22"/>
              </w:rPr>
              <w:t>somatropin</w:t>
            </w:r>
            <w:proofErr w:type="spellEnd"/>
            <w:r w:rsidRPr="008161CB">
              <w:rPr>
                <w:rFonts w:asciiTheme="minorHAnsi" w:hAnsiTheme="minorHAnsi" w:cstheme="minorHAnsi"/>
                <w:sz w:val="22"/>
                <w:szCs w:val="22"/>
              </w:rPr>
              <w:t xml:space="preserve">, on the basis that it should be available only under special arrangements under Section 100 Human Growth Hormone Program, at an equivalent price per milligram as other brands of </w:t>
            </w:r>
            <w:proofErr w:type="spellStart"/>
            <w:r w:rsidRPr="008161CB">
              <w:rPr>
                <w:rFonts w:asciiTheme="minorHAnsi" w:hAnsiTheme="minorHAnsi" w:cstheme="minorHAnsi"/>
                <w:sz w:val="22"/>
                <w:szCs w:val="22"/>
              </w:rPr>
              <w:t>somatropin</w:t>
            </w:r>
            <w:proofErr w:type="spellEnd"/>
            <w:r w:rsidRPr="008161CB">
              <w:rPr>
                <w:rFonts w:asciiTheme="minorHAnsi" w:hAnsiTheme="minorHAnsi" w:cstheme="minorHAnsi"/>
                <w:sz w:val="22"/>
                <w:szCs w:val="22"/>
              </w:rPr>
              <w:t xml:space="preserve">. </w:t>
            </w:r>
          </w:p>
          <w:p w14:paraId="058ED73B" w14:textId="77777777" w:rsidR="00E45A40" w:rsidRPr="008161CB" w:rsidRDefault="00E45A40" w:rsidP="00E45A40">
            <w:pPr>
              <w:autoSpaceDE w:val="0"/>
              <w:autoSpaceDN w:val="0"/>
              <w:adjustRightInd w:val="0"/>
              <w:rPr>
                <w:rFonts w:cstheme="minorHAnsi"/>
                <w:color w:val="000000"/>
                <w:sz w:val="22"/>
                <w:szCs w:val="22"/>
              </w:rPr>
            </w:pPr>
          </w:p>
          <w:p w14:paraId="37592F20" w14:textId="75708DAF" w:rsidR="002B03C2" w:rsidRPr="008161CB" w:rsidRDefault="00E45A40" w:rsidP="00A35800">
            <w:pPr>
              <w:rPr>
                <w:rFonts w:cstheme="minorHAnsi"/>
                <w:sz w:val="22"/>
                <w:szCs w:val="22"/>
              </w:rPr>
            </w:pPr>
            <w:r w:rsidRPr="008161CB">
              <w:rPr>
                <w:rFonts w:cstheme="minorHAnsi"/>
                <w:sz w:val="22"/>
                <w:szCs w:val="22"/>
              </w:rPr>
              <w:t xml:space="preserve">For further details refer to the </w:t>
            </w:r>
            <w:hyperlink r:id="rId23" w:history="1">
              <w:r w:rsidRPr="008161CB">
                <w:rPr>
                  <w:rStyle w:val="Hyperlink"/>
                  <w:rFonts w:cstheme="minorHAnsi"/>
                  <w:sz w:val="22"/>
                  <w:szCs w:val="22"/>
                </w:rPr>
                <w:t>Public Summary Document</w:t>
              </w:r>
            </w:hyperlink>
            <w:r w:rsidRPr="008161CB">
              <w:rPr>
                <w:rFonts w:cstheme="minorHAnsi"/>
                <w:sz w:val="22"/>
                <w:szCs w:val="22"/>
              </w:rPr>
              <w:t xml:space="preserve"> from </w:t>
            </w:r>
            <w:r w:rsidR="00A04C41" w:rsidRPr="008161CB">
              <w:rPr>
                <w:rFonts w:cstheme="minorHAnsi"/>
                <w:sz w:val="22"/>
                <w:szCs w:val="22"/>
              </w:rPr>
              <w:t>the November 2016 PBAC meeting.</w:t>
            </w:r>
          </w:p>
        </w:tc>
      </w:tr>
      <w:tr w:rsidR="00883C8C" w:rsidRPr="008161CB" w14:paraId="418F8C79" w14:textId="77777777" w:rsidTr="000306D8">
        <w:tc>
          <w:tcPr>
            <w:tcW w:w="1555" w:type="dxa"/>
          </w:tcPr>
          <w:p w14:paraId="696392BC" w14:textId="6371E93B" w:rsidR="00883C8C" w:rsidRPr="008161CB" w:rsidRDefault="00883C8C" w:rsidP="00883C8C">
            <w:pPr>
              <w:rPr>
                <w:rFonts w:cstheme="minorHAnsi"/>
                <w:sz w:val="22"/>
                <w:szCs w:val="22"/>
              </w:rPr>
            </w:pPr>
            <w:r w:rsidRPr="008161CB">
              <w:rPr>
                <w:rFonts w:cstheme="minorHAnsi"/>
                <w:sz w:val="22"/>
                <w:szCs w:val="22"/>
              </w:rPr>
              <w:t xml:space="preserve">November 2016 </w:t>
            </w:r>
          </w:p>
        </w:tc>
        <w:tc>
          <w:tcPr>
            <w:tcW w:w="7392" w:type="dxa"/>
          </w:tcPr>
          <w:p w14:paraId="69782117" w14:textId="77777777" w:rsidR="00883C8C" w:rsidRPr="008161CB" w:rsidRDefault="00883C8C" w:rsidP="00883C8C">
            <w:pPr>
              <w:autoSpaceDE w:val="0"/>
              <w:autoSpaceDN w:val="0"/>
              <w:adjustRightInd w:val="0"/>
              <w:rPr>
                <w:sz w:val="22"/>
                <w:szCs w:val="22"/>
              </w:rPr>
            </w:pPr>
            <w:r w:rsidRPr="008161CB">
              <w:rPr>
                <w:sz w:val="22"/>
                <w:szCs w:val="22"/>
              </w:rPr>
              <w:t>Multiple forms and strengths, Multiple brands, Endocrine Society of Australia, Australian Paediatric Endocrine Group</w:t>
            </w:r>
          </w:p>
          <w:p w14:paraId="409A5F60" w14:textId="77777777" w:rsidR="00883C8C" w:rsidRPr="008161CB" w:rsidRDefault="00883C8C" w:rsidP="00883C8C">
            <w:pPr>
              <w:autoSpaceDE w:val="0"/>
              <w:autoSpaceDN w:val="0"/>
              <w:adjustRightInd w:val="0"/>
              <w:rPr>
                <w:rFonts w:eastAsia="Arial+FPEF" w:cstheme="minorHAnsi"/>
                <w:sz w:val="22"/>
                <w:szCs w:val="22"/>
              </w:rPr>
            </w:pPr>
          </w:p>
          <w:p w14:paraId="7D49AE8D" w14:textId="6C7ADDF1" w:rsidR="00883C8C" w:rsidRDefault="003A1C57" w:rsidP="00883C8C">
            <w:pPr>
              <w:autoSpaceDE w:val="0"/>
              <w:autoSpaceDN w:val="0"/>
              <w:adjustRightInd w:val="0"/>
              <w:rPr>
                <w:rFonts w:eastAsia="Arial+FPEF" w:cstheme="minorHAnsi"/>
                <w:sz w:val="22"/>
                <w:szCs w:val="22"/>
              </w:rPr>
            </w:pPr>
            <w:r>
              <w:rPr>
                <w:rFonts w:eastAsia="Arial+FPEF" w:cstheme="minorHAnsi"/>
                <w:sz w:val="22"/>
                <w:szCs w:val="22"/>
              </w:rPr>
              <w:t xml:space="preserve">The resubmission requested a </w:t>
            </w:r>
            <w:r w:rsidR="00883C8C" w:rsidRPr="008161CB">
              <w:rPr>
                <w:rFonts w:eastAsia="Arial+FPEF" w:cstheme="minorHAnsi"/>
                <w:sz w:val="22"/>
                <w:szCs w:val="22"/>
              </w:rPr>
              <w:t xml:space="preserve">Section 100 (PBS Growth Hormone Program) listing for </w:t>
            </w:r>
            <w:proofErr w:type="spellStart"/>
            <w:r w:rsidR="00883C8C" w:rsidRPr="008161CB">
              <w:rPr>
                <w:rFonts w:eastAsia="Arial+FPEF" w:cstheme="minorHAnsi"/>
                <w:sz w:val="22"/>
                <w:szCs w:val="22"/>
              </w:rPr>
              <w:t>somatropin</w:t>
            </w:r>
            <w:proofErr w:type="spellEnd"/>
            <w:r w:rsidR="00883C8C" w:rsidRPr="008161CB">
              <w:rPr>
                <w:rFonts w:eastAsia="Arial+FPEF" w:cstheme="minorHAnsi"/>
                <w:sz w:val="22"/>
                <w:szCs w:val="22"/>
              </w:rPr>
              <w:t xml:space="preserve"> for treatment of adults with severe growth hormone deficiency (GHD) and substantially impaired quality of life (</w:t>
            </w:r>
            <w:proofErr w:type="spellStart"/>
            <w:r w:rsidR="00883C8C" w:rsidRPr="008161CB">
              <w:rPr>
                <w:rFonts w:eastAsia="Arial+FPEF" w:cstheme="minorHAnsi"/>
                <w:sz w:val="22"/>
                <w:szCs w:val="22"/>
              </w:rPr>
              <w:t>QoL</w:t>
            </w:r>
            <w:proofErr w:type="spellEnd"/>
            <w:r w:rsidR="00883C8C" w:rsidRPr="008161CB">
              <w:rPr>
                <w:rFonts w:eastAsia="Arial+FPEF" w:cstheme="minorHAnsi"/>
                <w:sz w:val="22"/>
                <w:szCs w:val="22"/>
              </w:rPr>
              <w:t>) at baseline. This resubmission was based on the submission in July 2011. The first submission was reviewed and rejected in December 2001 (Eli Lilly Australia Pty Ltd). The second resubmission in July 2011 (Pfizer Australia Pty Ltd)</w:t>
            </w:r>
            <w:r w:rsidR="009C50D3">
              <w:rPr>
                <w:rFonts w:eastAsia="Arial+FPEF" w:cstheme="minorHAnsi"/>
                <w:sz w:val="22"/>
                <w:szCs w:val="22"/>
              </w:rPr>
              <w:t xml:space="preserve"> was not recommended </w:t>
            </w:r>
            <w:r w:rsidR="00883C8C" w:rsidRPr="008161CB">
              <w:rPr>
                <w:rFonts w:eastAsia="Arial+FPEF" w:cstheme="minorHAnsi"/>
                <w:sz w:val="22"/>
                <w:szCs w:val="22"/>
              </w:rPr>
              <w:t>on the basis of uncertain clinical benefit and highly uncertain cost-effectiveness (</w:t>
            </w:r>
            <w:r w:rsidR="008501A5">
              <w:rPr>
                <w:rFonts w:eastAsia="Arial+FPEF" w:cstheme="minorHAnsi"/>
                <w:sz w:val="22"/>
                <w:szCs w:val="22"/>
              </w:rPr>
              <w:t xml:space="preserve">paragraph 12, </w:t>
            </w:r>
            <w:proofErr w:type="spellStart"/>
            <w:r w:rsidR="008501A5">
              <w:rPr>
                <w:rFonts w:eastAsia="Arial+FPEF" w:cstheme="minorHAnsi"/>
                <w:sz w:val="22"/>
                <w:szCs w:val="22"/>
              </w:rPr>
              <w:t>somatropin</w:t>
            </w:r>
            <w:proofErr w:type="spellEnd"/>
            <w:r w:rsidR="008501A5">
              <w:rPr>
                <w:rFonts w:eastAsia="Arial+FPEF" w:cstheme="minorHAnsi"/>
                <w:sz w:val="22"/>
                <w:szCs w:val="22"/>
              </w:rPr>
              <w:t xml:space="preserve"> Public Summary Document (PSD), July 2011)</w:t>
            </w:r>
            <w:r w:rsidR="00883C8C" w:rsidRPr="008161CB">
              <w:rPr>
                <w:rFonts w:eastAsia="Arial+FPEF" w:cstheme="minorHAnsi"/>
                <w:sz w:val="22"/>
                <w:szCs w:val="22"/>
              </w:rPr>
              <w:t>.</w:t>
            </w:r>
          </w:p>
          <w:p w14:paraId="4AFF81B9" w14:textId="77777777" w:rsidR="003A1C57" w:rsidRPr="008161CB" w:rsidRDefault="003A1C57" w:rsidP="00883C8C">
            <w:pPr>
              <w:autoSpaceDE w:val="0"/>
              <w:autoSpaceDN w:val="0"/>
              <w:adjustRightInd w:val="0"/>
              <w:rPr>
                <w:rFonts w:eastAsia="Arial+FPEF" w:cstheme="minorHAnsi"/>
                <w:sz w:val="22"/>
                <w:szCs w:val="22"/>
              </w:rPr>
            </w:pPr>
          </w:p>
          <w:p w14:paraId="0EBA5EC5" w14:textId="51C9CD33" w:rsidR="00883C8C" w:rsidRPr="008161CB" w:rsidRDefault="00883C8C" w:rsidP="00883C8C">
            <w:pPr>
              <w:autoSpaceDE w:val="0"/>
              <w:autoSpaceDN w:val="0"/>
              <w:adjustRightInd w:val="0"/>
              <w:rPr>
                <w:rFonts w:eastAsia="Arial+FPEF" w:cstheme="minorHAnsi"/>
                <w:sz w:val="22"/>
                <w:szCs w:val="22"/>
              </w:rPr>
            </w:pPr>
            <w:r w:rsidRPr="008161CB">
              <w:rPr>
                <w:rFonts w:eastAsia="Arial+FPEF" w:cstheme="minorHAnsi"/>
                <w:sz w:val="22"/>
                <w:szCs w:val="22"/>
              </w:rPr>
              <w:t xml:space="preserve">The PBAC decided to defer making its decision on whether to list </w:t>
            </w:r>
            <w:proofErr w:type="spellStart"/>
            <w:r w:rsidRPr="008161CB">
              <w:rPr>
                <w:rFonts w:eastAsia="Arial+FPEF" w:cstheme="minorHAnsi"/>
                <w:sz w:val="22"/>
                <w:szCs w:val="22"/>
              </w:rPr>
              <w:t>somatropin</w:t>
            </w:r>
            <w:proofErr w:type="spellEnd"/>
            <w:r w:rsidRPr="008161CB">
              <w:rPr>
                <w:rFonts w:eastAsia="Arial+FPEF" w:cstheme="minorHAnsi"/>
                <w:sz w:val="22"/>
                <w:szCs w:val="22"/>
              </w:rPr>
              <w:t xml:space="preserve"> on the PBS for the treatment of adults with severe growth hormone deficiency (GHD) and substantially impaired quality of life (</w:t>
            </w:r>
            <w:proofErr w:type="spellStart"/>
            <w:r w:rsidRPr="008161CB">
              <w:rPr>
                <w:rFonts w:eastAsia="Arial+FPEF" w:cstheme="minorHAnsi"/>
                <w:sz w:val="22"/>
                <w:szCs w:val="22"/>
              </w:rPr>
              <w:t>QoL</w:t>
            </w:r>
            <w:proofErr w:type="spellEnd"/>
            <w:r w:rsidRPr="008161CB">
              <w:rPr>
                <w:rFonts w:eastAsia="Arial+FPEF" w:cstheme="minorHAnsi"/>
                <w:sz w:val="22"/>
                <w:szCs w:val="22"/>
              </w:rPr>
              <w:t xml:space="preserve">) at baseline. In making this decision, the PBAC </w:t>
            </w:r>
            <w:r w:rsidR="001F7655">
              <w:rPr>
                <w:rFonts w:eastAsia="Arial+FPEF" w:cstheme="minorHAnsi"/>
                <w:sz w:val="22"/>
                <w:szCs w:val="22"/>
              </w:rPr>
              <w:t xml:space="preserve">was of the </w:t>
            </w:r>
            <w:r w:rsidRPr="008161CB">
              <w:rPr>
                <w:rFonts w:eastAsia="Arial+FPEF" w:cstheme="minorHAnsi"/>
                <w:sz w:val="22"/>
                <w:szCs w:val="22"/>
              </w:rPr>
              <w:t xml:space="preserve">view that although there was a place for this drug in therapy for adults with severe GHD, the clinical benefit in terms of </w:t>
            </w:r>
            <w:proofErr w:type="spellStart"/>
            <w:r w:rsidRPr="008161CB">
              <w:rPr>
                <w:rFonts w:eastAsia="Arial+FPEF" w:cstheme="minorHAnsi"/>
                <w:sz w:val="22"/>
                <w:szCs w:val="22"/>
              </w:rPr>
              <w:t>QoL</w:t>
            </w:r>
            <w:proofErr w:type="spellEnd"/>
            <w:r w:rsidRPr="008161CB">
              <w:rPr>
                <w:rFonts w:eastAsia="Arial+FPEF" w:cstheme="minorHAnsi"/>
                <w:sz w:val="22"/>
                <w:szCs w:val="22"/>
              </w:rPr>
              <w:t xml:space="preserve"> was uncertain and the magnitude was likely overestimated, and consequently the PBAC was uncertain as to the cost effectiveness of the drug for this indication. The PBAC deferred its decision to seek further comparative analysis on the </w:t>
            </w:r>
            <w:r w:rsidRPr="008161CB">
              <w:rPr>
                <w:rFonts w:eastAsia="Arial+FPEF" w:cstheme="minorHAnsi"/>
                <w:sz w:val="22"/>
                <w:szCs w:val="22"/>
              </w:rPr>
              <w:lastRenderedPageBreak/>
              <w:t xml:space="preserve">range of clinical benefits provided by </w:t>
            </w:r>
            <w:proofErr w:type="spellStart"/>
            <w:r w:rsidRPr="008161CB">
              <w:rPr>
                <w:rFonts w:eastAsia="Arial+FPEF" w:cstheme="minorHAnsi"/>
                <w:sz w:val="22"/>
                <w:szCs w:val="22"/>
              </w:rPr>
              <w:t>somatropin</w:t>
            </w:r>
            <w:proofErr w:type="spellEnd"/>
            <w:r w:rsidRPr="008161CB">
              <w:rPr>
                <w:rFonts w:eastAsia="Arial+FPEF" w:cstheme="minorHAnsi"/>
                <w:sz w:val="22"/>
                <w:szCs w:val="22"/>
              </w:rPr>
              <w:t xml:space="preserve">, to clarify the proposed PBS restriction, and to allow the Department to discuss appropriate pricing in this setting with sponsors of </w:t>
            </w:r>
            <w:proofErr w:type="spellStart"/>
            <w:r w:rsidRPr="008161CB">
              <w:rPr>
                <w:rFonts w:eastAsia="Arial+FPEF" w:cstheme="minorHAnsi"/>
                <w:sz w:val="22"/>
                <w:szCs w:val="22"/>
              </w:rPr>
              <w:t>somatropin</w:t>
            </w:r>
            <w:proofErr w:type="spellEnd"/>
            <w:r w:rsidRPr="008161CB">
              <w:rPr>
                <w:rFonts w:eastAsia="Arial+FPEF" w:cstheme="minorHAnsi"/>
                <w:sz w:val="22"/>
                <w:szCs w:val="22"/>
              </w:rPr>
              <w:t xml:space="preserve"> products registered for use in adults.</w:t>
            </w:r>
          </w:p>
          <w:p w14:paraId="1ED275AC" w14:textId="77777777" w:rsidR="00883C8C" w:rsidRPr="008161CB" w:rsidRDefault="00883C8C" w:rsidP="00883C8C">
            <w:pPr>
              <w:autoSpaceDE w:val="0"/>
              <w:autoSpaceDN w:val="0"/>
              <w:adjustRightInd w:val="0"/>
              <w:rPr>
                <w:rFonts w:eastAsia="Arial+FPEF" w:cstheme="minorHAnsi"/>
                <w:sz w:val="22"/>
                <w:szCs w:val="22"/>
              </w:rPr>
            </w:pPr>
          </w:p>
          <w:p w14:paraId="2C011BAD" w14:textId="0AF9139D" w:rsidR="00883C8C" w:rsidRPr="008161CB" w:rsidRDefault="00883C8C" w:rsidP="00883C8C">
            <w:pPr>
              <w:autoSpaceDE w:val="0"/>
              <w:autoSpaceDN w:val="0"/>
              <w:adjustRightInd w:val="0"/>
              <w:rPr>
                <w:rFonts w:cstheme="minorHAnsi"/>
                <w:bCs/>
                <w:color w:val="000000"/>
                <w:sz w:val="22"/>
                <w:szCs w:val="22"/>
              </w:rPr>
            </w:pPr>
            <w:r w:rsidRPr="008161CB">
              <w:rPr>
                <w:rFonts w:cstheme="minorHAnsi"/>
                <w:sz w:val="22"/>
                <w:szCs w:val="22"/>
              </w:rPr>
              <w:t xml:space="preserve">For further details refer to the </w:t>
            </w:r>
            <w:hyperlink r:id="rId24" w:history="1">
              <w:r w:rsidRPr="008161CB">
                <w:rPr>
                  <w:rStyle w:val="Hyperlink"/>
                  <w:rFonts w:cstheme="minorHAnsi"/>
                  <w:sz w:val="22"/>
                  <w:szCs w:val="22"/>
                </w:rPr>
                <w:t>Public Summary Document</w:t>
              </w:r>
            </w:hyperlink>
            <w:r w:rsidRPr="008161CB">
              <w:rPr>
                <w:rFonts w:cstheme="minorHAnsi"/>
                <w:sz w:val="22"/>
                <w:szCs w:val="22"/>
              </w:rPr>
              <w:t xml:space="preserve"> from the November 2016 PBAC meeting.</w:t>
            </w:r>
          </w:p>
        </w:tc>
      </w:tr>
      <w:tr w:rsidR="00883C8C" w:rsidRPr="008161CB" w14:paraId="0F90AE99" w14:textId="77777777" w:rsidTr="000306D8">
        <w:tc>
          <w:tcPr>
            <w:tcW w:w="1555" w:type="dxa"/>
          </w:tcPr>
          <w:p w14:paraId="5B93E97B" w14:textId="2FAE0A3B" w:rsidR="00883C8C" w:rsidRPr="008161CB" w:rsidRDefault="00883C8C" w:rsidP="00883C8C">
            <w:pPr>
              <w:rPr>
                <w:rFonts w:cstheme="minorHAnsi"/>
                <w:sz w:val="22"/>
                <w:szCs w:val="22"/>
              </w:rPr>
            </w:pPr>
            <w:r w:rsidRPr="008161CB">
              <w:rPr>
                <w:rFonts w:cstheme="minorHAnsi"/>
                <w:sz w:val="22"/>
                <w:szCs w:val="22"/>
              </w:rPr>
              <w:lastRenderedPageBreak/>
              <w:t xml:space="preserve">July 2017 </w:t>
            </w:r>
          </w:p>
        </w:tc>
        <w:tc>
          <w:tcPr>
            <w:tcW w:w="7392" w:type="dxa"/>
          </w:tcPr>
          <w:p w14:paraId="2E823BC2" w14:textId="77777777" w:rsidR="00883C8C" w:rsidRPr="008161CB" w:rsidRDefault="00883C8C" w:rsidP="00883C8C">
            <w:pPr>
              <w:autoSpaceDE w:val="0"/>
              <w:autoSpaceDN w:val="0"/>
              <w:adjustRightInd w:val="0"/>
              <w:rPr>
                <w:sz w:val="22"/>
                <w:szCs w:val="22"/>
              </w:rPr>
            </w:pPr>
            <w:r w:rsidRPr="008161CB">
              <w:rPr>
                <w:sz w:val="22"/>
                <w:szCs w:val="22"/>
              </w:rPr>
              <w:t>SOMATROPIN multiple forms and strengths, multiple brands, Endocrine Society of Australia and Australian Paediatric Endocrine Group</w:t>
            </w:r>
          </w:p>
          <w:p w14:paraId="553B5BB0" w14:textId="77777777" w:rsidR="00883C8C" w:rsidRPr="008161CB" w:rsidRDefault="00883C8C" w:rsidP="00883C8C">
            <w:pPr>
              <w:autoSpaceDE w:val="0"/>
              <w:autoSpaceDN w:val="0"/>
              <w:adjustRightInd w:val="0"/>
              <w:rPr>
                <w:rFonts w:cstheme="minorHAnsi"/>
                <w:sz w:val="22"/>
                <w:szCs w:val="22"/>
              </w:rPr>
            </w:pPr>
          </w:p>
          <w:p w14:paraId="61396373" w14:textId="77777777" w:rsidR="00883C8C" w:rsidRPr="008161CB" w:rsidRDefault="00883C8C" w:rsidP="00883C8C">
            <w:pPr>
              <w:autoSpaceDE w:val="0"/>
              <w:autoSpaceDN w:val="0"/>
              <w:adjustRightInd w:val="0"/>
              <w:rPr>
                <w:rFonts w:cstheme="minorHAnsi"/>
                <w:sz w:val="22"/>
                <w:szCs w:val="22"/>
              </w:rPr>
            </w:pPr>
            <w:r w:rsidRPr="008161CB">
              <w:rPr>
                <w:rFonts w:cstheme="minorHAnsi"/>
                <w:sz w:val="22"/>
                <w:szCs w:val="22"/>
              </w:rPr>
              <w:t>The minor resubmission requested a Section 100 (Growth Hormone) Authority Required listing for the treatment of adults with severe growth hormone deficiency (GHD) and substantially impaired quality of life (</w:t>
            </w:r>
            <w:proofErr w:type="spellStart"/>
            <w:r w:rsidRPr="008161CB">
              <w:rPr>
                <w:rFonts w:cstheme="minorHAnsi"/>
                <w:sz w:val="22"/>
                <w:szCs w:val="22"/>
              </w:rPr>
              <w:t>QoL</w:t>
            </w:r>
            <w:proofErr w:type="spellEnd"/>
            <w:r w:rsidRPr="008161CB">
              <w:rPr>
                <w:rFonts w:cstheme="minorHAnsi"/>
                <w:sz w:val="22"/>
                <w:szCs w:val="22"/>
              </w:rPr>
              <w:t>) at baseline.</w:t>
            </w:r>
          </w:p>
          <w:p w14:paraId="71A91DEC" w14:textId="343B87B5" w:rsidR="00883C8C" w:rsidRPr="008161CB" w:rsidRDefault="00883C8C" w:rsidP="00883C8C">
            <w:pPr>
              <w:autoSpaceDE w:val="0"/>
              <w:autoSpaceDN w:val="0"/>
              <w:adjustRightInd w:val="0"/>
              <w:rPr>
                <w:rFonts w:cstheme="minorHAnsi"/>
                <w:sz w:val="22"/>
                <w:szCs w:val="22"/>
              </w:rPr>
            </w:pPr>
            <w:r w:rsidRPr="008161CB">
              <w:rPr>
                <w:rFonts w:cstheme="minorHAnsi"/>
                <w:sz w:val="22"/>
                <w:szCs w:val="22"/>
              </w:rPr>
              <w:t xml:space="preserve">The PBAC recommended the listing of </w:t>
            </w:r>
            <w:proofErr w:type="spellStart"/>
            <w:r w:rsidRPr="008161CB">
              <w:rPr>
                <w:rFonts w:cstheme="minorHAnsi"/>
                <w:sz w:val="22"/>
                <w:szCs w:val="22"/>
              </w:rPr>
              <w:t>somatropin</w:t>
            </w:r>
            <w:proofErr w:type="spellEnd"/>
            <w:r w:rsidRPr="008161CB">
              <w:rPr>
                <w:rFonts w:cstheme="minorHAnsi"/>
                <w:sz w:val="22"/>
                <w:szCs w:val="22"/>
              </w:rPr>
              <w:t xml:space="preserve"> for the treatment of adults with severe GHD, and substantially impaired </w:t>
            </w:r>
            <w:proofErr w:type="spellStart"/>
            <w:r w:rsidRPr="008161CB">
              <w:rPr>
                <w:rFonts w:cstheme="minorHAnsi"/>
                <w:sz w:val="22"/>
                <w:szCs w:val="22"/>
              </w:rPr>
              <w:t>QoL</w:t>
            </w:r>
            <w:proofErr w:type="spellEnd"/>
            <w:r w:rsidRPr="008161CB">
              <w:rPr>
                <w:rFonts w:cstheme="minorHAnsi"/>
                <w:sz w:val="22"/>
                <w:szCs w:val="22"/>
              </w:rPr>
              <w:t xml:space="preserve"> at baseline, on the basis that it should be available only under special arrangements under Section 100 (Growth Hormone Program). The PBAC </w:t>
            </w:r>
            <w:r w:rsidR="009C50D3">
              <w:rPr>
                <w:rFonts w:cstheme="minorHAnsi"/>
                <w:sz w:val="22"/>
                <w:szCs w:val="22"/>
              </w:rPr>
              <w:t>wa</w:t>
            </w:r>
            <w:r w:rsidRPr="008161CB">
              <w:rPr>
                <w:rFonts w:cstheme="minorHAnsi"/>
                <w:sz w:val="22"/>
                <w:szCs w:val="22"/>
              </w:rPr>
              <w:t xml:space="preserve">s satisfied that </w:t>
            </w:r>
            <w:proofErr w:type="spellStart"/>
            <w:r w:rsidRPr="008161CB">
              <w:rPr>
                <w:rFonts w:cstheme="minorHAnsi"/>
                <w:sz w:val="22"/>
                <w:szCs w:val="22"/>
              </w:rPr>
              <w:t>somatropin</w:t>
            </w:r>
            <w:proofErr w:type="spellEnd"/>
            <w:r w:rsidRPr="008161CB">
              <w:rPr>
                <w:rFonts w:cstheme="minorHAnsi"/>
                <w:sz w:val="22"/>
                <w:szCs w:val="22"/>
              </w:rPr>
              <w:t xml:space="preserve"> provide</w:t>
            </w:r>
            <w:r w:rsidR="009C50D3">
              <w:rPr>
                <w:rFonts w:cstheme="minorHAnsi"/>
                <w:sz w:val="22"/>
                <w:szCs w:val="22"/>
              </w:rPr>
              <w:t>d</w:t>
            </w:r>
            <w:r w:rsidRPr="008161CB">
              <w:rPr>
                <w:rFonts w:cstheme="minorHAnsi"/>
                <w:sz w:val="22"/>
                <w:szCs w:val="22"/>
              </w:rPr>
              <w:t>, for some patients, a significant improvement in efficacy over standard care.</w:t>
            </w:r>
          </w:p>
          <w:p w14:paraId="7FEDDD31" w14:textId="77777777" w:rsidR="00883C8C" w:rsidRPr="008161CB" w:rsidRDefault="00883C8C" w:rsidP="00883C8C">
            <w:pPr>
              <w:autoSpaceDE w:val="0"/>
              <w:autoSpaceDN w:val="0"/>
              <w:adjustRightInd w:val="0"/>
              <w:rPr>
                <w:rFonts w:cstheme="minorHAnsi"/>
                <w:sz w:val="22"/>
                <w:szCs w:val="22"/>
              </w:rPr>
            </w:pPr>
          </w:p>
          <w:p w14:paraId="547109C5" w14:textId="634BA7BF" w:rsidR="00883C8C" w:rsidRPr="008161CB" w:rsidRDefault="00883C8C" w:rsidP="00883C8C">
            <w:pPr>
              <w:autoSpaceDE w:val="0"/>
              <w:autoSpaceDN w:val="0"/>
              <w:adjustRightInd w:val="0"/>
              <w:rPr>
                <w:sz w:val="22"/>
                <w:szCs w:val="22"/>
              </w:rPr>
            </w:pPr>
            <w:r w:rsidRPr="008161CB">
              <w:rPr>
                <w:rFonts w:cstheme="minorHAnsi"/>
                <w:sz w:val="22"/>
                <w:szCs w:val="22"/>
              </w:rPr>
              <w:t xml:space="preserve">For further details refer to the </w:t>
            </w:r>
            <w:hyperlink r:id="rId25" w:history="1">
              <w:r w:rsidRPr="008161CB">
                <w:rPr>
                  <w:rStyle w:val="Hyperlink"/>
                  <w:rFonts w:cstheme="minorHAnsi"/>
                  <w:sz w:val="22"/>
                  <w:szCs w:val="22"/>
                </w:rPr>
                <w:t>Public Summary Document</w:t>
              </w:r>
            </w:hyperlink>
            <w:r w:rsidRPr="008161CB">
              <w:rPr>
                <w:rFonts w:cstheme="minorHAnsi"/>
                <w:sz w:val="22"/>
                <w:szCs w:val="22"/>
              </w:rPr>
              <w:t xml:space="preserve"> from the July 2017 PBAC meeting.</w:t>
            </w:r>
          </w:p>
        </w:tc>
      </w:tr>
      <w:tr w:rsidR="00883C8C" w:rsidRPr="008161CB" w14:paraId="431476EF" w14:textId="77777777" w:rsidTr="000306D8">
        <w:tc>
          <w:tcPr>
            <w:tcW w:w="1555" w:type="dxa"/>
          </w:tcPr>
          <w:p w14:paraId="40F3162F" w14:textId="4ED31795" w:rsidR="00883C8C" w:rsidRPr="008161CB" w:rsidRDefault="00883C8C" w:rsidP="00883C8C">
            <w:pPr>
              <w:rPr>
                <w:rFonts w:cstheme="minorHAnsi"/>
                <w:sz w:val="22"/>
                <w:szCs w:val="22"/>
              </w:rPr>
            </w:pPr>
            <w:r w:rsidRPr="008161CB">
              <w:rPr>
                <w:rFonts w:cstheme="minorHAnsi"/>
                <w:sz w:val="22"/>
                <w:szCs w:val="22"/>
              </w:rPr>
              <w:t xml:space="preserve">July 2018 </w:t>
            </w:r>
          </w:p>
        </w:tc>
        <w:tc>
          <w:tcPr>
            <w:tcW w:w="7392" w:type="dxa"/>
          </w:tcPr>
          <w:p w14:paraId="01557110" w14:textId="5FA69933" w:rsidR="00883C8C" w:rsidRPr="008161CB" w:rsidRDefault="00883C8C" w:rsidP="00883C8C">
            <w:pPr>
              <w:autoSpaceDE w:val="0"/>
              <w:autoSpaceDN w:val="0"/>
              <w:adjustRightInd w:val="0"/>
              <w:rPr>
                <w:rFonts w:cstheme="minorHAnsi"/>
                <w:bCs/>
                <w:sz w:val="22"/>
                <w:szCs w:val="22"/>
              </w:rPr>
            </w:pPr>
            <w:r w:rsidRPr="008161CB">
              <w:rPr>
                <w:rFonts w:cstheme="minorHAnsi"/>
                <w:bCs/>
                <w:sz w:val="22"/>
                <w:szCs w:val="22"/>
              </w:rPr>
              <w:t xml:space="preserve">Solution for injection 5 mg (15 </w:t>
            </w:r>
            <w:proofErr w:type="spellStart"/>
            <w:r w:rsidRPr="008161CB">
              <w:rPr>
                <w:rFonts w:cstheme="minorHAnsi"/>
                <w:bCs/>
                <w:sz w:val="22"/>
                <w:szCs w:val="22"/>
              </w:rPr>
              <w:t>i.u</w:t>
            </w:r>
            <w:proofErr w:type="spellEnd"/>
            <w:r w:rsidRPr="008161CB">
              <w:rPr>
                <w:rFonts w:cstheme="minorHAnsi"/>
                <w:bCs/>
                <w:sz w:val="22"/>
                <w:szCs w:val="22"/>
              </w:rPr>
              <w:t xml:space="preserve">.) in 1.5 mL cartridge (with preservative), </w:t>
            </w:r>
            <w:proofErr w:type="spellStart"/>
            <w:r w:rsidRPr="008161CB">
              <w:rPr>
                <w:rFonts w:cstheme="minorHAnsi"/>
                <w:bCs/>
                <w:sz w:val="22"/>
                <w:szCs w:val="22"/>
              </w:rPr>
              <w:t>SciTropin</w:t>
            </w:r>
            <w:proofErr w:type="spellEnd"/>
            <w:r w:rsidRPr="008161CB">
              <w:rPr>
                <w:rFonts w:cstheme="minorHAnsi"/>
                <w:bCs/>
                <w:sz w:val="22"/>
                <w:szCs w:val="22"/>
              </w:rPr>
              <w:t xml:space="preserve"> A™, </w:t>
            </w:r>
            <w:proofErr w:type="spellStart"/>
            <w:r w:rsidRPr="008161CB">
              <w:rPr>
                <w:rFonts w:cstheme="minorHAnsi"/>
                <w:bCs/>
                <w:sz w:val="22"/>
                <w:szCs w:val="22"/>
              </w:rPr>
              <w:t>SciGen</w:t>
            </w:r>
            <w:proofErr w:type="spellEnd"/>
            <w:r w:rsidRPr="008161CB">
              <w:rPr>
                <w:rFonts w:cstheme="minorHAnsi"/>
                <w:bCs/>
                <w:sz w:val="22"/>
                <w:szCs w:val="22"/>
              </w:rPr>
              <w:t xml:space="preserve"> (Australia) Pty Ltd</w:t>
            </w:r>
          </w:p>
          <w:p w14:paraId="45DF1DD2" w14:textId="77777777" w:rsidR="00883C8C" w:rsidRPr="008161CB" w:rsidRDefault="00883C8C" w:rsidP="00883C8C">
            <w:pPr>
              <w:autoSpaceDE w:val="0"/>
              <w:autoSpaceDN w:val="0"/>
              <w:adjustRightInd w:val="0"/>
              <w:rPr>
                <w:rFonts w:cstheme="minorHAnsi"/>
                <w:b/>
                <w:bCs/>
                <w:sz w:val="22"/>
                <w:szCs w:val="22"/>
              </w:rPr>
            </w:pPr>
          </w:p>
          <w:p w14:paraId="1D793059" w14:textId="3E4636F6" w:rsidR="00883C8C" w:rsidRPr="008161CB" w:rsidRDefault="00883C8C" w:rsidP="00883C8C">
            <w:pPr>
              <w:autoSpaceDE w:val="0"/>
              <w:autoSpaceDN w:val="0"/>
              <w:adjustRightInd w:val="0"/>
              <w:rPr>
                <w:rFonts w:cstheme="minorHAnsi"/>
                <w:sz w:val="22"/>
                <w:szCs w:val="22"/>
              </w:rPr>
            </w:pPr>
            <w:r w:rsidRPr="008161CB">
              <w:rPr>
                <w:rFonts w:cstheme="minorHAnsi"/>
                <w:sz w:val="22"/>
                <w:szCs w:val="22"/>
              </w:rPr>
              <w:t xml:space="preserve">The PBAC recommended the re-listing of 5 mg (15 </w:t>
            </w:r>
            <w:proofErr w:type="spellStart"/>
            <w:r w:rsidRPr="008161CB">
              <w:rPr>
                <w:rFonts w:cstheme="minorHAnsi"/>
                <w:sz w:val="22"/>
                <w:szCs w:val="22"/>
              </w:rPr>
              <w:t>i.u</w:t>
            </w:r>
            <w:proofErr w:type="spellEnd"/>
            <w:r w:rsidRPr="008161CB">
              <w:rPr>
                <w:rFonts w:cstheme="minorHAnsi"/>
                <w:sz w:val="22"/>
                <w:szCs w:val="22"/>
              </w:rPr>
              <w:t xml:space="preserve">.) in 1.5 mL form of </w:t>
            </w:r>
            <w:proofErr w:type="spellStart"/>
            <w:r w:rsidRPr="008161CB">
              <w:rPr>
                <w:rFonts w:cstheme="minorHAnsi"/>
                <w:sz w:val="22"/>
                <w:szCs w:val="22"/>
              </w:rPr>
              <w:t>somatropin</w:t>
            </w:r>
            <w:proofErr w:type="spellEnd"/>
            <w:r w:rsidRPr="008161CB">
              <w:rPr>
                <w:rFonts w:cstheme="minorHAnsi"/>
                <w:sz w:val="22"/>
                <w:szCs w:val="22"/>
              </w:rPr>
              <w:t xml:space="preserve"> under the </w:t>
            </w:r>
            <w:proofErr w:type="spellStart"/>
            <w:r w:rsidRPr="008161CB">
              <w:rPr>
                <w:rFonts w:cstheme="minorHAnsi"/>
                <w:sz w:val="22"/>
                <w:szCs w:val="22"/>
              </w:rPr>
              <w:t>SciTropin</w:t>
            </w:r>
            <w:proofErr w:type="spellEnd"/>
            <w:r w:rsidRPr="008161CB">
              <w:rPr>
                <w:rFonts w:cstheme="minorHAnsi"/>
                <w:sz w:val="22"/>
                <w:szCs w:val="22"/>
              </w:rPr>
              <w:t xml:space="preserve"> A brand in the Section 100 Growth Hormone Programme under the same conditions under the same conditions for which the </w:t>
            </w:r>
            <w:proofErr w:type="spellStart"/>
            <w:r w:rsidRPr="008161CB">
              <w:rPr>
                <w:rFonts w:cstheme="minorHAnsi"/>
                <w:sz w:val="22"/>
                <w:szCs w:val="22"/>
              </w:rPr>
              <w:t>Omnitrope</w:t>
            </w:r>
            <w:proofErr w:type="spellEnd"/>
            <w:r w:rsidRPr="008161CB">
              <w:rPr>
                <w:rFonts w:cstheme="minorHAnsi"/>
                <w:sz w:val="22"/>
                <w:szCs w:val="22"/>
              </w:rPr>
              <w:t>® brand was l</w:t>
            </w:r>
            <w:r w:rsidR="00702D1F">
              <w:rPr>
                <w:rFonts w:cstheme="minorHAnsi"/>
                <w:sz w:val="22"/>
                <w:szCs w:val="22"/>
              </w:rPr>
              <w:t xml:space="preserve">isted. </w:t>
            </w:r>
            <w:r w:rsidRPr="008161CB">
              <w:rPr>
                <w:rFonts w:cstheme="minorHAnsi"/>
                <w:sz w:val="22"/>
                <w:szCs w:val="22"/>
              </w:rPr>
              <w:t xml:space="preserve">The PBAC noted that this brand of </w:t>
            </w:r>
            <w:proofErr w:type="spellStart"/>
            <w:r w:rsidRPr="008161CB">
              <w:rPr>
                <w:rFonts w:cstheme="minorHAnsi"/>
                <w:sz w:val="22"/>
                <w:szCs w:val="22"/>
              </w:rPr>
              <w:t>somatropin</w:t>
            </w:r>
            <w:proofErr w:type="spellEnd"/>
            <w:r w:rsidRPr="008161CB">
              <w:rPr>
                <w:rFonts w:cstheme="minorHAnsi"/>
                <w:sz w:val="22"/>
                <w:szCs w:val="22"/>
              </w:rPr>
              <w:t xml:space="preserve"> sought the same listing as the previously listed product, </w:t>
            </w:r>
            <w:proofErr w:type="spellStart"/>
            <w:r w:rsidRPr="008161CB">
              <w:rPr>
                <w:rFonts w:cstheme="minorHAnsi"/>
                <w:sz w:val="22"/>
                <w:szCs w:val="22"/>
              </w:rPr>
              <w:t>Omnitrope</w:t>
            </w:r>
            <w:proofErr w:type="spellEnd"/>
            <w:r w:rsidRPr="008161CB">
              <w:rPr>
                <w:rFonts w:cstheme="minorHAnsi"/>
                <w:sz w:val="22"/>
                <w:szCs w:val="22"/>
              </w:rPr>
              <w:t xml:space="preserve">®, which was removed from the PBS on 1 September 2017, and is now re-marketed by </w:t>
            </w:r>
            <w:proofErr w:type="spellStart"/>
            <w:r w:rsidRPr="008161CB">
              <w:rPr>
                <w:rFonts w:cstheme="minorHAnsi"/>
                <w:sz w:val="22"/>
                <w:szCs w:val="22"/>
              </w:rPr>
              <w:t>SciGen</w:t>
            </w:r>
            <w:proofErr w:type="spellEnd"/>
            <w:r w:rsidRPr="008161CB">
              <w:rPr>
                <w:rFonts w:cstheme="minorHAnsi"/>
                <w:sz w:val="22"/>
                <w:szCs w:val="22"/>
              </w:rPr>
              <w:t xml:space="preserve"> (Australia) Pty Ltd under a new brand name, </w:t>
            </w:r>
            <w:proofErr w:type="spellStart"/>
            <w:r w:rsidRPr="008161CB">
              <w:rPr>
                <w:rFonts w:cstheme="minorHAnsi"/>
                <w:sz w:val="22"/>
                <w:szCs w:val="22"/>
              </w:rPr>
              <w:t>SciTropin</w:t>
            </w:r>
            <w:proofErr w:type="spellEnd"/>
            <w:r w:rsidRPr="008161CB">
              <w:rPr>
                <w:rFonts w:cstheme="minorHAnsi"/>
                <w:sz w:val="22"/>
                <w:szCs w:val="22"/>
              </w:rPr>
              <w:t xml:space="preserve"> A.</w:t>
            </w:r>
          </w:p>
          <w:p w14:paraId="4D408FB0" w14:textId="77777777" w:rsidR="00883C8C" w:rsidRPr="008161CB" w:rsidRDefault="00883C8C" w:rsidP="00883C8C">
            <w:pPr>
              <w:autoSpaceDE w:val="0"/>
              <w:autoSpaceDN w:val="0"/>
              <w:adjustRightInd w:val="0"/>
              <w:rPr>
                <w:rFonts w:cstheme="minorHAnsi"/>
                <w:sz w:val="22"/>
                <w:szCs w:val="22"/>
              </w:rPr>
            </w:pPr>
          </w:p>
          <w:p w14:paraId="48A6D3B4" w14:textId="2A13C818" w:rsidR="00883C8C" w:rsidRPr="008161CB" w:rsidRDefault="00883C8C" w:rsidP="00883C8C">
            <w:pPr>
              <w:rPr>
                <w:rFonts w:cstheme="minorHAnsi"/>
                <w:sz w:val="22"/>
                <w:szCs w:val="22"/>
              </w:rPr>
            </w:pPr>
            <w:r w:rsidRPr="008161CB">
              <w:rPr>
                <w:rFonts w:cstheme="minorHAnsi"/>
                <w:sz w:val="22"/>
                <w:szCs w:val="22"/>
              </w:rPr>
              <w:t xml:space="preserve">For further details refer to the </w:t>
            </w:r>
            <w:hyperlink r:id="rId26" w:history="1">
              <w:r w:rsidRPr="008161CB">
                <w:rPr>
                  <w:rStyle w:val="Hyperlink"/>
                  <w:rFonts w:cstheme="minorHAnsi"/>
                  <w:sz w:val="22"/>
                  <w:szCs w:val="22"/>
                </w:rPr>
                <w:t>Public Summary Document</w:t>
              </w:r>
            </w:hyperlink>
            <w:r w:rsidRPr="008161CB">
              <w:rPr>
                <w:rFonts w:cstheme="minorHAnsi"/>
                <w:sz w:val="22"/>
                <w:szCs w:val="22"/>
              </w:rPr>
              <w:t xml:space="preserve"> from the July 2018 PBAC meeting.</w:t>
            </w:r>
          </w:p>
        </w:tc>
      </w:tr>
      <w:tr w:rsidR="00883C8C" w:rsidRPr="008161CB" w14:paraId="739BE0B6" w14:textId="77777777" w:rsidTr="000306D8">
        <w:tc>
          <w:tcPr>
            <w:tcW w:w="1555" w:type="dxa"/>
          </w:tcPr>
          <w:p w14:paraId="1FAB8128" w14:textId="5E571037" w:rsidR="00883C8C" w:rsidRPr="008161CB" w:rsidRDefault="00883C8C" w:rsidP="00883C8C">
            <w:pPr>
              <w:rPr>
                <w:rFonts w:cstheme="minorHAnsi"/>
                <w:sz w:val="22"/>
                <w:szCs w:val="22"/>
              </w:rPr>
            </w:pPr>
            <w:r w:rsidRPr="008161CB">
              <w:rPr>
                <w:rFonts w:cstheme="minorHAnsi"/>
                <w:sz w:val="22"/>
                <w:szCs w:val="22"/>
              </w:rPr>
              <w:t xml:space="preserve">March 2019 </w:t>
            </w:r>
          </w:p>
        </w:tc>
        <w:tc>
          <w:tcPr>
            <w:tcW w:w="7392" w:type="dxa"/>
          </w:tcPr>
          <w:p w14:paraId="71C4E1AB" w14:textId="77777777" w:rsidR="00883C8C" w:rsidRPr="008161CB" w:rsidRDefault="00883C8C" w:rsidP="00883C8C">
            <w:pPr>
              <w:autoSpaceDE w:val="0"/>
              <w:autoSpaceDN w:val="0"/>
              <w:adjustRightInd w:val="0"/>
              <w:rPr>
                <w:rFonts w:cstheme="minorHAnsi"/>
                <w:color w:val="000000"/>
                <w:sz w:val="22"/>
                <w:szCs w:val="22"/>
              </w:rPr>
            </w:pPr>
            <w:r w:rsidRPr="008161CB">
              <w:rPr>
                <w:rFonts w:cstheme="minorHAnsi"/>
                <w:bCs/>
                <w:color w:val="000000"/>
                <w:sz w:val="22"/>
                <w:szCs w:val="22"/>
              </w:rPr>
              <w:t xml:space="preserve">SOMATROPIN, </w:t>
            </w:r>
          </w:p>
          <w:p w14:paraId="29124BCB" w14:textId="03C49D65" w:rsidR="00883C8C" w:rsidRPr="008161CB" w:rsidRDefault="00883C8C" w:rsidP="00883C8C">
            <w:pPr>
              <w:autoSpaceDE w:val="0"/>
              <w:autoSpaceDN w:val="0"/>
              <w:adjustRightInd w:val="0"/>
              <w:rPr>
                <w:rFonts w:cstheme="minorHAnsi"/>
                <w:color w:val="000000"/>
                <w:sz w:val="22"/>
                <w:szCs w:val="22"/>
              </w:rPr>
            </w:pPr>
            <w:r w:rsidRPr="008161CB">
              <w:rPr>
                <w:rFonts w:cstheme="minorHAnsi"/>
                <w:bCs/>
                <w:color w:val="000000"/>
                <w:sz w:val="22"/>
                <w:szCs w:val="22"/>
              </w:rPr>
              <w:t xml:space="preserve">Powder for injection 5 mg (15 </w:t>
            </w:r>
            <w:proofErr w:type="spellStart"/>
            <w:r w:rsidRPr="008161CB">
              <w:rPr>
                <w:rFonts w:cstheme="minorHAnsi"/>
                <w:bCs/>
                <w:color w:val="000000"/>
                <w:sz w:val="22"/>
                <w:szCs w:val="22"/>
              </w:rPr>
              <w:t>i.u</w:t>
            </w:r>
            <w:proofErr w:type="spellEnd"/>
            <w:r w:rsidRPr="008161CB">
              <w:rPr>
                <w:rFonts w:cstheme="minorHAnsi"/>
                <w:bCs/>
                <w:color w:val="000000"/>
                <w:sz w:val="22"/>
                <w:szCs w:val="22"/>
              </w:rPr>
              <w:t xml:space="preserve">.) with </w:t>
            </w:r>
            <w:r w:rsidR="00635658">
              <w:rPr>
                <w:rFonts w:cstheme="minorHAnsi"/>
                <w:bCs/>
                <w:color w:val="000000"/>
                <w:sz w:val="22"/>
                <w:szCs w:val="22"/>
              </w:rPr>
              <w:t xml:space="preserve">diluent in pre-filled pen (with </w:t>
            </w:r>
            <w:r w:rsidRPr="008161CB">
              <w:rPr>
                <w:rFonts w:cstheme="minorHAnsi"/>
                <w:bCs/>
                <w:color w:val="000000"/>
                <w:sz w:val="22"/>
                <w:szCs w:val="22"/>
              </w:rPr>
              <w:t xml:space="preserve">preservative) </w:t>
            </w:r>
          </w:p>
          <w:p w14:paraId="3DF26929" w14:textId="77777777" w:rsidR="00883C8C" w:rsidRPr="008161CB" w:rsidRDefault="00883C8C" w:rsidP="00883C8C">
            <w:pPr>
              <w:autoSpaceDE w:val="0"/>
              <w:autoSpaceDN w:val="0"/>
              <w:adjustRightInd w:val="0"/>
              <w:rPr>
                <w:rFonts w:cstheme="minorHAnsi"/>
                <w:color w:val="000000"/>
                <w:sz w:val="22"/>
                <w:szCs w:val="22"/>
              </w:rPr>
            </w:pPr>
            <w:r w:rsidRPr="008161CB">
              <w:rPr>
                <w:rFonts w:cstheme="minorHAnsi"/>
                <w:bCs/>
                <w:color w:val="000000"/>
                <w:sz w:val="22"/>
                <w:szCs w:val="22"/>
              </w:rPr>
              <w:t xml:space="preserve">Powder for injection 12 mg (36 </w:t>
            </w:r>
            <w:proofErr w:type="spellStart"/>
            <w:r w:rsidRPr="008161CB">
              <w:rPr>
                <w:rFonts w:cstheme="minorHAnsi"/>
                <w:bCs/>
                <w:color w:val="000000"/>
                <w:sz w:val="22"/>
                <w:szCs w:val="22"/>
              </w:rPr>
              <w:t>i.u</w:t>
            </w:r>
            <w:proofErr w:type="spellEnd"/>
            <w:r w:rsidRPr="008161CB">
              <w:rPr>
                <w:rFonts w:cstheme="minorHAnsi"/>
                <w:bCs/>
                <w:color w:val="000000"/>
                <w:sz w:val="22"/>
                <w:szCs w:val="22"/>
              </w:rPr>
              <w:t xml:space="preserve">.) with diluent in pre-filled pen (with preservative) </w:t>
            </w:r>
          </w:p>
          <w:p w14:paraId="17B92F80" w14:textId="77777777" w:rsidR="00883C8C" w:rsidRPr="008161CB" w:rsidRDefault="00883C8C" w:rsidP="00883C8C">
            <w:pPr>
              <w:autoSpaceDE w:val="0"/>
              <w:autoSpaceDN w:val="0"/>
              <w:adjustRightInd w:val="0"/>
              <w:rPr>
                <w:rFonts w:cstheme="minorHAnsi"/>
                <w:color w:val="000000"/>
                <w:sz w:val="22"/>
                <w:szCs w:val="22"/>
              </w:rPr>
            </w:pPr>
            <w:proofErr w:type="spellStart"/>
            <w:r w:rsidRPr="008161CB">
              <w:rPr>
                <w:rFonts w:cstheme="minorHAnsi"/>
                <w:bCs/>
                <w:color w:val="000000"/>
                <w:sz w:val="22"/>
                <w:szCs w:val="22"/>
              </w:rPr>
              <w:t>Genotropin</w:t>
            </w:r>
            <w:proofErr w:type="spellEnd"/>
            <w:r w:rsidRPr="008161CB">
              <w:rPr>
                <w:rFonts w:cstheme="minorHAnsi"/>
                <w:bCs/>
                <w:color w:val="000000"/>
                <w:sz w:val="22"/>
                <w:szCs w:val="22"/>
              </w:rPr>
              <w:t xml:space="preserve"> </w:t>
            </w:r>
            <w:proofErr w:type="spellStart"/>
            <w:r w:rsidRPr="008161CB">
              <w:rPr>
                <w:rFonts w:cstheme="minorHAnsi"/>
                <w:bCs/>
                <w:color w:val="000000"/>
                <w:sz w:val="22"/>
                <w:szCs w:val="22"/>
              </w:rPr>
              <w:t>GoQuick</w:t>
            </w:r>
            <w:proofErr w:type="spellEnd"/>
            <w:r w:rsidRPr="008161CB">
              <w:rPr>
                <w:rFonts w:cstheme="minorHAnsi"/>
                <w:bCs/>
                <w:color w:val="000000"/>
                <w:sz w:val="22"/>
                <w:szCs w:val="22"/>
              </w:rPr>
              <w:t xml:space="preserve">®, Pfizer Australia Pty Ltd </w:t>
            </w:r>
          </w:p>
          <w:p w14:paraId="366000AA" w14:textId="77777777" w:rsidR="00883C8C" w:rsidRPr="008161CB" w:rsidRDefault="00883C8C" w:rsidP="00883C8C">
            <w:pPr>
              <w:autoSpaceDE w:val="0"/>
              <w:autoSpaceDN w:val="0"/>
              <w:adjustRightInd w:val="0"/>
              <w:rPr>
                <w:rFonts w:cstheme="minorHAnsi"/>
                <w:bCs/>
                <w:color w:val="000000"/>
                <w:sz w:val="22"/>
                <w:szCs w:val="22"/>
              </w:rPr>
            </w:pPr>
            <w:r w:rsidRPr="008161CB">
              <w:rPr>
                <w:rFonts w:cstheme="minorHAnsi"/>
                <w:bCs/>
                <w:color w:val="000000"/>
                <w:sz w:val="22"/>
                <w:szCs w:val="22"/>
              </w:rPr>
              <w:t xml:space="preserve">Solution for injection 10 mg (30 </w:t>
            </w:r>
            <w:proofErr w:type="spellStart"/>
            <w:r w:rsidRPr="008161CB">
              <w:rPr>
                <w:rFonts w:cstheme="minorHAnsi"/>
                <w:bCs/>
                <w:color w:val="000000"/>
                <w:sz w:val="22"/>
                <w:szCs w:val="22"/>
              </w:rPr>
              <w:t>i.u</w:t>
            </w:r>
            <w:proofErr w:type="spellEnd"/>
            <w:r w:rsidRPr="008161CB">
              <w:rPr>
                <w:rFonts w:cstheme="minorHAnsi"/>
                <w:bCs/>
                <w:color w:val="000000"/>
                <w:sz w:val="22"/>
                <w:szCs w:val="22"/>
              </w:rPr>
              <w:t xml:space="preserve">.) in 2 mL cartridge (with preservative) </w:t>
            </w:r>
          </w:p>
          <w:p w14:paraId="1C065852" w14:textId="77777777" w:rsidR="00883C8C" w:rsidRPr="008161CB" w:rsidRDefault="00883C8C" w:rsidP="00883C8C">
            <w:pPr>
              <w:autoSpaceDE w:val="0"/>
              <w:autoSpaceDN w:val="0"/>
              <w:adjustRightInd w:val="0"/>
              <w:rPr>
                <w:rFonts w:cstheme="minorHAnsi"/>
                <w:color w:val="000000"/>
                <w:sz w:val="22"/>
                <w:szCs w:val="22"/>
              </w:rPr>
            </w:pPr>
            <w:proofErr w:type="spellStart"/>
            <w:r w:rsidRPr="008161CB">
              <w:rPr>
                <w:rFonts w:cstheme="minorHAnsi"/>
                <w:bCs/>
                <w:color w:val="000000"/>
                <w:sz w:val="22"/>
                <w:szCs w:val="22"/>
              </w:rPr>
              <w:t>NutropinAq</w:t>
            </w:r>
            <w:proofErr w:type="spellEnd"/>
            <w:r w:rsidRPr="008161CB">
              <w:rPr>
                <w:rFonts w:cstheme="minorHAnsi"/>
                <w:bCs/>
                <w:color w:val="000000"/>
                <w:sz w:val="22"/>
                <w:szCs w:val="22"/>
              </w:rPr>
              <w:t xml:space="preserve">®, </w:t>
            </w:r>
            <w:proofErr w:type="spellStart"/>
            <w:r w:rsidRPr="008161CB">
              <w:rPr>
                <w:rFonts w:cstheme="minorHAnsi"/>
                <w:bCs/>
                <w:color w:val="000000"/>
                <w:sz w:val="22"/>
                <w:szCs w:val="22"/>
              </w:rPr>
              <w:t>Ipsen</w:t>
            </w:r>
            <w:proofErr w:type="spellEnd"/>
            <w:r w:rsidRPr="008161CB">
              <w:rPr>
                <w:rFonts w:cstheme="minorHAnsi"/>
                <w:bCs/>
                <w:color w:val="000000"/>
                <w:sz w:val="22"/>
                <w:szCs w:val="22"/>
              </w:rPr>
              <w:t xml:space="preserve"> Pty Ltd</w:t>
            </w:r>
          </w:p>
          <w:p w14:paraId="3A76FE1B" w14:textId="77777777" w:rsidR="00883C8C" w:rsidRPr="008161CB" w:rsidRDefault="00883C8C" w:rsidP="00883C8C">
            <w:pPr>
              <w:autoSpaceDE w:val="0"/>
              <w:autoSpaceDN w:val="0"/>
              <w:adjustRightInd w:val="0"/>
              <w:rPr>
                <w:rFonts w:cstheme="minorHAnsi"/>
                <w:color w:val="000000"/>
                <w:sz w:val="22"/>
                <w:szCs w:val="22"/>
              </w:rPr>
            </w:pPr>
          </w:p>
          <w:p w14:paraId="367F225D" w14:textId="464EE8AB" w:rsidR="00883C8C" w:rsidRPr="008161CB" w:rsidRDefault="00883C8C" w:rsidP="00883C8C">
            <w:pPr>
              <w:autoSpaceDE w:val="0"/>
              <w:autoSpaceDN w:val="0"/>
              <w:adjustRightInd w:val="0"/>
              <w:rPr>
                <w:rFonts w:cstheme="minorHAnsi"/>
                <w:color w:val="000000"/>
                <w:sz w:val="22"/>
                <w:szCs w:val="22"/>
              </w:rPr>
            </w:pPr>
            <w:r w:rsidRPr="008161CB">
              <w:rPr>
                <w:rFonts w:cstheme="minorHAnsi"/>
                <w:color w:val="000000"/>
                <w:sz w:val="22"/>
                <w:szCs w:val="22"/>
              </w:rPr>
              <w:t>The PBAC recommended the removal of the requirement for prescribers to use the Quality of Life in Adult Growth Hormone Deficiency Assessment (</w:t>
            </w:r>
            <w:proofErr w:type="spellStart"/>
            <w:r w:rsidRPr="008161CB">
              <w:rPr>
                <w:rFonts w:cstheme="minorHAnsi"/>
                <w:color w:val="000000"/>
                <w:sz w:val="22"/>
                <w:szCs w:val="22"/>
              </w:rPr>
              <w:t>QoL</w:t>
            </w:r>
            <w:proofErr w:type="spellEnd"/>
            <w:r w:rsidRPr="008161CB">
              <w:rPr>
                <w:rFonts w:cstheme="minorHAnsi"/>
                <w:color w:val="000000"/>
                <w:sz w:val="22"/>
                <w:szCs w:val="22"/>
              </w:rPr>
              <w:t xml:space="preserve">-AGHDA) questionnaire from the current </w:t>
            </w:r>
            <w:proofErr w:type="spellStart"/>
            <w:r w:rsidRPr="008161CB">
              <w:rPr>
                <w:rFonts w:cstheme="minorHAnsi"/>
                <w:color w:val="000000"/>
                <w:sz w:val="22"/>
                <w:szCs w:val="22"/>
              </w:rPr>
              <w:t>somatropin</w:t>
            </w:r>
            <w:proofErr w:type="spellEnd"/>
            <w:r w:rsidRPr="008161CB">
              <w:rPr>
                <w:rFonts w:cstheme="minorHAnsi"/>
                <w:color w:val="000000"/>
                <w:sz w:val="22"/>
                <w:szCs w:val="22"/>
              </w:rPr>
              <w:t xml:space="preserve"> restrictions for the treatment of adults with se</w:t>
            </w:r>
            <w:r w:rsidR="00A97691" w:rsidRPr="008161CB">
              <w:rPr>
                <w:rFonts w:cstheme="minorHAnsi"/>
                <w:color w:val="000000"/>
                <w:sz w:val="22"/>
                <w:szCs w:val="22"/>
              </w:rPr>
              <w:t xml:space="preserve">vere growth hormone deficiency due to issues with accessibility and the uncertain validity and reliability of the questionnaire. </w:t>
            </w:r>
          </w:p>
          <w:p w14:paraId="46561DDB" w14:textId="77777777" w:rsidR="00883C8C" w:rsidRPr="008161CB" w:rsidRDefault="00883C8C" w:rsidP="00883C8C">
            <w:pPr>
              <w:autoSpaceDE w:val="0"/>
              <w:autoSpaceDN w:val="0"/>
              <w:adjustRightInd w:val="0"/>
              <w:rPr>
                <w:rFonts w:cstheme="minorHAnsi"/>
                <w:color w:val="000000"/>
                <w:sz w:val="22"/>
                <w:szCs w:val="22"/>
              </w:rPr>
            </w:pPr>
          </w:p>
          <w:p w14:paraId="118698AD" w14:textId="7A8FFE31" w:rsidR="00883C8C" w:rsidRPr="008161CB" w:rsidRDefault="00883C8C" w:rsidP="00883C8C">
            <w:pPr>
              <w:rPr>
                <w:rFonts w:cstheme="minorHAnsi"/>
                <w:sz w:val="22"/>
                <w:szCs w:val="22"/>
              </w:rPr>
            </w:pPr>
            <w:r w:rsidRPr="008161CB">
              <w:rPr>
                <w:rFonts w:cstheme="minorHAnsi"/>
                <w:sz w:val="22"/>
                <w:szCs w:val="22"/>
              </w:rPr>
              <w:lastRenderedPageBreak/>
              <w:t xml:space="preserve">For further details refer to the </w:t>
            </w:r>
            <w:hyperlink r:id="rId27" w:history="1">
              <w:r w:rsidRPr="008161CB">
                <w:rPr>
                  <w:rStyle w:val="Hyperlink"/>
                  <w:rFonts w:cstheme="minorHAnsi"/>
                  <w:sz w:val="22"/>
                  <w:szCs w:val="22"/>
                </w:rPr>
                <w:t>Public Summary Document</w:t>
              </w:r>
            </w:hyperlink>
            <w:r w:rsidRPr="008161CB">
              <w:rPr>
                <w:rFonts w:cstheme="minorHAnsi"/>
                <w:sz w:val="22"/>
                <w:szCs w:val="22"/>
              </w:rPr>
              <w:t xml:space="preserve"> from the March 2019 PBAC meeting.</w:t>
            </w:r>
          </w:p>
        </w:tc>
      </w:tr>
      <w:tr w:rsidR="00883C8C" w:rsidRPr="008161CB" w14:paraId="621FE360" w14:textId="77777777" w:rsidTr="000306D8">
        <w:tc>
          <w:tcPr>
            <w:tcW w:w="1555" w:type="dxa"/>
          </w:tcPr>
          <w:p w14:paraId="0AC9F6B0" w14:textId="0B9372EA" w:rsidR="00883C8C" w:rsidRPr="008161CB" w:rsidRDefault="00883C8C" w:rsidP="00883C8C">
            <w:pPr>
              <w:rPr>
                <w:rFonts w:cstheme="minorHAnsi"/>
                <w:sz w:val="22"/>
                <w:szCs w:val="22"/>
              </w:rPr>
            </w:pPr>
            <w:r w:rsidRPr="008161CB">
              <w:rPr>
                <w:rFonts w:cstheme="minorHAnsi"/>
                <w:sz w:val="22"/>
                <w:szCs w:val="22"/>
              </w:rPr>
              <w:lastRenderedPageBreak/>
              <w:t>August 2019</w:t>
            </w:r>
          </w:p>
        </w:tc>
        <w:tc>
          <w:tcPr>
            <w:tcW w:w="7392" w:type="dxa"/>
          </w:tcPr>
          <w:p w14:paraId="68B9FD6B" w14:textId="40423950" w:rsidR="00883C8C" w:rsidRPr="003A1C57" w:rsidRDefault="00883C8C" w:rsidP="00883C8C">
            <w:pPr>
              <w:autoSpaceDE w:val="0"/>
              <w:autoSpaceDN w:val="0"/>
              <w:adjustRightInd w:val="0"/>
              <w:rPr>
                <w:sz w:val="22"/>
                <w:szCs w:val="22"/>
              </w:rPr>
            </w:pPr>
            <w:r w:rsidRPr="003A1C57">
              <w:rPr>
                <w:sz w:val="22"/>
                <w:szCs w:val="22"/>
              </w:rPr>
              <w:t>SOMATROPIN All forms and strengths, All brands, Endocrine Society of Australia and Australian Paediatric Endocrine Group</w:t>
            </w:r>
          </w:p>
          <w:p w14:paraId="7D71E79F" w14:textId="77777777" w:rsidR="00883C8C" w:rsidRPr="008161CB" w:rsidRDefault="00883C8C" w:rsidP="00883C8C">
            <w:pPr>
              <w:autoSpaceDE w:val="0"/>
              <w:autoSpaceDN w:val="0"/>
              <w:adjustRightInd w:val="0"/>
              <w:rPr>
                <w:rFonts w:cstheme="minorHAnsi"/>
                <w:color w:val="000000"/>
                <w:sz w:val="22"/>
                <w:szCs w:val="22"/>
              </w:rPr>
            </w:pPr>
          </w:p>
          <w:p w14:paraId="0B5BF2C9" w14:textId="30EC1DD4" w:rsidR="00883C8C" w:rsidRPr="008161CB" w:rsidRDefault="00EA5263" w:rsidP="00883C8C">
            <w:pPr>
              <w:autoSpaceDE w:val="0"/>
              <w:autoSpaceDN w:val="0"/>
              <w:adjustRightInd w:val="0"/>
              <w:rPr>
                <w:rFonts w:cstheme="minorHAnsi"/>
                <w:color w:val="000000"/>
                <w:sz w:val="22"/>
                <w:szCs w:val="22"/>
              </w:rPr>
            </w:pPr>
            <w:r>
              <w:rPr>
                <w:rFonts w:cstheme="minorHAnsi"/>
                <w:color w:val="000000"/>
                <w:sz w:val="22"/>
                <w:szCs w:val="22"/>
              </w:rPr>
              <w:t xml:space="preserve">The PBAC ratified amendments to </w:t>
            </w:r>
            <w:r w:rsidR="00883C8C" w:rsidRPr="008161CB">
              <w:rPr>
                <w:rFonts w:cstheme="minorHAnsi"/>
                <w:color w:val="000000"/>
                <w:sz w:val="22"/>
                <w:szCs w:val="22"/>
              </w:rPr>
              <w:t xml:space="preserve">eligibility criteria for the Section 100 (Growth Hormone) Authority Required listing of adult use </w:t>
            </w:r>
            <w:proofErr w:type="spellStart"/>
            <w:r w:rsidR="00883C8C" w:rsidRPr="008161CB">
              <w:rPr>
                <w:rFonts w:cstheme="minorHAnsi"/>
                <w:color w:val="000000"/>
                <w:sz w:val="22"/>
                <w:szCs w:val="22"/>
              </w:rPr>
              <w:t>somatropin</w:t>
            </w:r>
            <w:proofErr w:type="spellEnd"/>
            <w:r w:rsidR="00883C8C" w:rsidRPr="008161CB">
              <w:rPr>
                <w:rFonts w:cstheme="minorHAnsi"/>
                <w:color w:val="000000"/>
                <w:sz w:val="22"/>
                <w:szCs w:val="22"/>
              </w:rPr>
              <w:t xml:space="preserve"> arising from Endocrine Society of Australia (ESA) feedback following the July 2019 PBAC meeting regarding clarification of PBAC intent around Childhood Onset Growth Hormone Deficiency (CO-GHD) patients transitioning to the adult growth hormone (GH) prog</w:t>
            </w:r>
            <w:r w:rsidR="003A1C57">
              <w:rPr>
                <w:rFonts w:cstheme="minorHAnsi"/>
                <w:color w:val="000000"/>
                <w:sz w:val="22"/>
                <w:szCs w:val="22"/>
              </w:rPr>
              <w:t xml:space="preserve">ram. </w:t>
            </w:r>
            <w:r w:rsidR="003A1C57" w:rsidRPr="008161CB">
              <w:rPr>
                <w:rFonts w:cstheme="minorHAnsi"/>
                <w:color w:val="000000"/>
                <w:sz w:val="22"/>
                <w:szCs w:val="22"/>
              </w:rPr>
              <w:t>T</w:t>
            </w:r>
            <w:r w:rsidR="00883C8C" w:rsidRPr="008161CB">
              <w:rPr>
                <w:rFonts w:cstheme="minorHAnsi"/>
                <w:color w:val="000000"/>
                <w:sz w:val="22"/>
                <w:szCs w:val="22"/>
              </w:rPr>
              <w:t xml:space="preserve">he adult-use </w:t>
            </w:r>
            <w:proofErr w:type="spellStart"/>
            <w:r w:rsidR="00883C8C" w:rsidRPr="008161CB">
              <w:rPr>
                <w:rFonts w:cstheme="minorHAnsi"/>
                <w:color w:val="000000"/>
                <w:sz w:val="22"/>
                <w:szCs w:val="22"/>
              </w:rPr>
              <w:t>somatropin</w:t>
            </w:r>
            <w:proofErr w:type="spellEnd"/>
            <w:r w:rsidR="00883C8C" w:rsidRPr="008161CB">
              <w:rPr>
                <w:rFonts w:cstheme="minorHAnsi"/>
                <w:color w:val="000000"/>
                <w:sz w:val="22"/>
                <w:szCs w:val="22"/>
              </w:rPr>
              <w:t xml:space="preserve"> restrictions</w:t>
            </w:r>
            <w:r w:rsidR="003A1C57">
              <w:rPr>
                <w:rFonts w:cstheme="minorHAnsi"/>
                <w:color w:val="000000"/>
                <w:sz w:val="22"/>
                <w:szCs w:val="22"/>
              </w:rPr>
              <w:t xml:space="preserve"> were amended</w:t>
            </w:r>
            <w:r w:rsidR="00883C8C" w:rsidRPr="008161CB">
              <w:rPr>
                <w:rFonts w:cstheme="minorHAnsi"/>
                <w:color w:val="000000"/>
                <w:sz w:val="22"/>
                <w:szCs w:val="22"/>
              </w:rPr>
              <w:t xml:space="preserve"> for CO-GHD patients with a congenital, genetic or structural cause to commence from when this cohort reaches skeletal maturity rather than the chronological age of 18 years. The PBAC noted that this would remove the potential of a lapse in PBS funded access for patients after reaching skeletal maturity until the age of 18 years. </w:t>
            </w:r>
          </w:p>
          <w:p w14:paraId="617DAF62" w14:textId="77777777" w:rsidR="00883C8C" w:rsidRPr="008161CB" w:rsidRDefault="00883C8C" w:rsidP="00883C8C">
            <w:pPr>
              <w:autoSpaceDE w:val="0"/>
              <w:autoSpaceDN w:val="0"/>
              <w:adjustRightInd w:val="0"/>
              <w:rPr>
                <w:rFonts w:cstheme="minorHAnsi"/>
                <w:color w:val="000000"/>
                <w:sz w:val="22"/>
                <w:szCs w:val="22"/>
              </w:rPr>
            </w:pPr>
          </w:p>
          <w:p w14:paraId="01097025" w14:textId="2DBE1C71" w:rsidR="00883C8C" w:rsidRPr="008161CB" w:rsidRDefault="00883C8C" w:rsidP="00883C8C">
            <w:pPr>
              <w:autoSpaceDE w:val="0"/>
              <w:autoSpaceDN w:val="0"/>
              <w:adjustRightInd w:val="0"/>
              <w:rPr>
                <w:rFonts w:cstheme="minorHAnsi"/>
                <w:bCs/>
                <w:color w:val="000000"/>
                <w:sz w:val="22"/>
                <w:szCs w:val="22"/>
              </w:rPr>
            </w:pPr>
            <w:r w:rsidRPr="008161CB">
              <w:rPr>
                <w:rFonts w:cstheme="minorHAnsi"/>
                <w:sz w:val="22"/>
                <w:szCs w:val="22"/>
              </w:rPr>
              <w:t xml:space="preserve">For further details refer to the </w:t>
            </w:r>
            <w:hyperlink r:id="rId28" w:history="1">
              <w:r w:rsidRPr="008161CB">
                <w:rPr>
                  <w:rStyle w:val="Hyperlink"/>
                  <w:rFonts w:cstheme="minorHAnsi"/>
                  <w:sz w:val="22"/>
                  <w:szCs w:val="22"/>
                </w:rPr>
                <w:t>Public Summary Document</w:t>
              </w:r>
            </w:hyperlink>
            <w:r w:rsidRPr="008161CB">
              <w:rPr>
                <w:rFonts w:cstheme="minorHAnsi"/>
                <w:sz w:val="22"/>
                <w:szCs w:val="22"/>
              </w:rPr>
              <w:t xml:space="preserve"> from the August 2019 PBAC meeting.</w:t>
            </w:r>
          </w:p>
        </w:tc>
      </w:tr>
    </w:tbl>
    <w:p w14:paraId="6A24C4B1" w14:textId="6D669CAC" w:rsidR="003F13CE" w:rsidRPr="00C70F1E" w:rsidRDefault="003F13CE" w:rsidP="001034AD">
      <w:pPr>
        <w:autoSpaceDE w:val="0"/>
        <w:autoSpaceDN w:val="0"/>
        <w:adjustRightInd w:val="0"/>
        <w:spacing w:after="0"/>
        <w:rPr>
          <w:rFonts w:cstheme="minorHAnsi"/>
          <w:color w:val="000000"/>
        </w:rPr>
      </w:pPr>
    </w:p>
    <w:p w14:paraId="52390D20" w14:textId="77777777" w:rsidR="00073747" w:rsidRDefault="00073747">
      <w:pPr>
        <w:spacing w:line="276" w:lineRule="auto"/>
        <w:rPr>
          <w:rFonts w:eastAsiaTheme="majorEastAsia" w:cstheme="majorBidi"/>
          <w:b/>
          <w:bCs/>
          <w:sz w:val="32"/>
          <w:szCs w:val="32"/>
        </w:rPr>
      </w:pPr>
      <w:r>
        <w:br w:type="page"/>
      </w:r>
    </w:p>
    <w:p w14:paraId="0312FFEC" w14:textId="76CDDA35" w:rsidR="00E677DD" w:rsidRPr="005E22C2" w:rsidRDefault="00E677DD" w:rsidP="00CF5E22">
      <w:pPr>
        <w:pStyle w:val="Heading1"/>
      </w:pPr>
      <w:r w:rsidRPr="005E22C2">
        <w:lastRenderedPageBreak/>
        <w:t>Method</w:t>
      </w:r>
      <w:r w:rsidR="001B5D37" w:rsidRPr="005E22C2">
        <w:t>s</w:t>
      </w:r>
    </w:p>
    <w:p w14:paraId="7DCE27A4" w14:textId="410B5109" w:rsidR="00D95EF2" w:rsidRPr="00D95EF2" w:rsidRDefault="00D95EF2" w:rsidP="00A35800">
      <w:r>
        <w:t xml:space="preserve">Data extracted from the PBS </w:t>
      </w:r>
      <w:r w:rsidR="00485499">
        <w:t xml:space="preserve">claims </w:t>
      </w:r>
      <w:r>
        <w:t>data</w:t>
      </w:r>
      <w:r w:rsidR="00485499">
        <w:t>base</w:t>
      </w:r>
      <w:r>
        <w:t xml:space="preserve"> maintained by the Department of Health and processed by Services Australia was used for the analyses. Prescription data wa</w:t>
      </w:r>
      <w:r w:rsidR="00834F87">
        <w:t xml:space="preserve">s extracted from </w:t>
      </w:r>
      <w:r w:rsidR="00635658">
        <w:t xml:space="preserve">1 September 2015, </w:t>
      </w:r>
      <w:r w:rsidR="00834F87">
        <w:t>whe</w:t>
      </w:r>
      <w:r w:rsidR="00635658">
        <w:t>re</w:t>
      </w:r>
      <w:r w:rsidR="00834F87">
        <w:t xml:space="preserve"> changes were made to the Growth Hormone Programme to align with the rest of the PBS</w:t>
      </w:r>
      <w:r>
        <w:t xml:space="preserve">, </w:t>
      </w:r>
      <w:r w:rsidR="005B09E0">
        <w:t xml:space="preserve">up to and including </w:t>
      </w:r>
      <w:r w:rsidR="009421F4">
        <w:t>31 December 2020</w:t>
      </w:r>
      <w:r>
        <w:t xml:space="preserve">. Data was extracted on </w:t>
      </w:r>
      <w:r w:rsidR="009421F4">
        <w:t xml:space="preserve">19 </w:t>
      </w:r>
      <w:r w:rsidR="005B09E0">
        <w:t xml:space="preserve">April </w:t>
      </w:r>
      <w:r>
        <w:t>2021</w:t>
      </w:r>
      <w:r w:rsidR="00485499">
        <w:t xml:space="preserve"> based on the date of supply.</w:t>
      </w:r>
    </w:p>
    <w:p w14:paraId="2E16500C" w14:textId="77AE4EB6" w:rsidR="00D95EF2" w:rsidRDefault="00D95EF2" w:rsidP="00D95EF2">
      <w:r>
        <w:t>Th</w:t>
      </w:r>
      <w:r w:rsidR="004F3F26">
        <w:t>e PBS</w:t>
      </w:r>
      <w:r>
        <w:t xml:space="preserve"> data was used to determine the number of incident and prevalent patients, number of prescriptions supplied and to analyse pa</w:t>
      </w:r>
      <w:r w:rsidR="008047BC">
        <w:t xml:space="preserve">tient demographics such as age, </w:t>
      </w:r>
      <w:r>
        <w:t>gender</w:t>
      </w:r>
      <w:r w:rsidR="008047BC">
        <w:t xml:space="preserve"> and prescriber type</w:t>
      </w:r>
      <w:r>
        <w:t xml:space="preserve">. Initiating and prevalent patients were counted by quarter of supply. An initiating patient was defined based on their first date of supply of </w:t>
      </w:r>
      <w:proofErr w:type="spellStart"/>
      <w:r>
        <w:t>somatropin</w:t>
      </w:r>
      <w:proofErr w:type="spellEnd"/>
      <w:r>
        <w:t xml:space="preserve">. </w:t>
      </w:r>
    </w:p>
    <w:p w14:paraId="33495A74" w14:textId="25B8CB5F" w:rsidR="002C260F" w:rsidRDefault="002C260F" w:rsidP="002C260F">
      <w:r>
        <w:t xml:space="preserve">The treatment duration of </w:t>
      </w:r>
      <w:proofErr w:type="spellStart"/>
      <w:r>
        <w:t>somatropin</w:t>
      </w:r>
      <w:proofErr w:type="spellEnd"/>
      <w:r>
        <w:t xml:space="preserve"> was ascertained and median supply days for </w:t>
      </w:r>
      <w:proofErr w:type="spellStart"/>
      <w:r>
        <w:t>somatropin</w:t>
      </w:r>
      <w:proofErr w:type="spellEnd"/>
      <w:r>
        <w:t xml:space="preserve"> were calculated.  A Kaplan</w:t>
      </w:r>
      <w:r w:rsidR="004F3F26">
        <w:t>-</w:t>
      </w:r>
      <w:r>
        <w:t xml:space="preserve">Meier curve was generated to </w:t>
      </w:r>
      <w:r w:rsidR="00A96B19">
        <w:t>examine the</w:t>
      </w:r>
      <w:r>
        <w:t xml:space="preserve"> treatment duration, </w:t>
      </w:r>
      <w:r w:rsidR="00A96B19">
        <w:t>and</w:t>
      </w:r>
      <w:r>
        <w:t xml:space="preserve"> patients that were </w:t>
      </w:r>
      <w:r w:rsidR="00A96B19">
        <w:t xml:space="preserve">identified as </w:t>
      </w:r>
      <w:r>
        <w:t>still continuing treatment at the analysis end date</w:t>
      </w:r>
      <w:r w:rsidR="00A96B19">
        <w:t xml:space="preserve"> were censored</w:t>
      </w:r>
      <w:r>
        <w:t>. Initiating patients were selected from 1 September 2015 and w</w:t>
      </w:r>
      <w:r w:rsidR="009421F4">
        <w:t>ere followed until 31 December 2020</w:t>
      </w:r>
      <w:r>
        <w:t xml:space="preserve">. </w:t>
      </w:r>
    </w:p>
    <w:p w14:paraId="4F7FE90C" w14:textId="3EAC5AA6" w:rsidR="00D95EF2" w:rsidRPr="00073747" w:rsidRDefault="002C260F" w:rsidP="00A35800">
      <w:r>
        <w:t>Another Kaplan</w:t>
      </w:r>
      <w:r w:rsidR="00B95F4F">
        <w:t>-</w:t>
      </w:r>
      <w:r>
        <w:t>Meier curve was generated accounting for breaks in treatment. A patient was considered to be on a treatment break if they did not receive a supply in more than two sets of standard treatment days. The median standard treatm</w:t>
      </w:r>
      <w:r w:rsidR="009A0B33">
        <w:t>ent days was calculated to be 97</w:t>
      </w:r>
      <w:r>
        <w:t xml:space="preserve"> days. </w:t>
      </w:r>
      <w:r w:rsidRPr="002C260F">
        <w:t xml:space="preserve">Typically, patients are considered to be on </w:t>
      </w:r>
      <w:r w:rsidR="00146A9C">
        <w:t xml:space="preserve">a </w:t>
      </w:r>
      <w:r w:rsidRPr="002C260F">
        <w:t>break</w:t>
      </w:r>
      <w:r w:rsidR="00146A9C">
        <w:t xml:space="preserve"> in therapy</w:t>
      </w:r>
      <w:r w:rsidRPr="002C260F">
        <w:t xml:space="preserve"> if they missed more than three sets of standard treatment days. However, as a </w:t>
      </w:r>
      <w:r>
        <w:t>growth hormone treatment</w:t>
      </w:r>
      <w:r w:rsidRPr="002C260F">
        <w:t xml:space="preserve">, it was assumed that patients taking </w:t>
      </w:r>
      <w:proofErr w:type="spellStart"/>
      <w:r>
        <w:t>somatropin</w:t>
      </w:r>
      <w:proofErr w:type="spellEnd"/>
      <w:r w:rsidRPr="002C260F">
        <w:t xml:space="preserve"> would be more closely managed by their prescribers, increasing treatment adherence and reducing the likelihood for breaks.</w:t>
      </w:r>
    </w:p>
    <w:p w14:paraId="0712D9D5" w14:textId="5B91DCCC" w:rsidR="00524D13" w:rsidRDefault="00E7594B" w:rsidP="00524D13">
      <w:r>
        <w:t xml:space="preserve">As this analysis uses date of supply </w:t>
      </w:r>
      <w:r w:rsidR="005E085C">
        <w:t xml:space="preserve">prescription </w:t>
      </w:r>
      <w:r>
        <w:t>data, there may be small differences compared with publicly available Department of Human Services (DHS) Medicare date of processing data.</w:t>
      </w:r>
      <w:r w:rsidR="00576B18">
        <w:rPr>
          <w:rStyle w:val="FootnoteReference"/>
        </w:rPr>
        <w:footnoteReference w:id="19"/>
      </w:r>
      <w:r w:rsidR="00576B18">
        <w:t xml:space="preserve">  </w:t>
      </w:r>
      <w:r w:rsidR="0090691F">
        <w:t xml:space="preserve">The </w:t>
      </w:r>
      <w:r w:rsidR="00AC5054">
        <w:t xml:space="preserve">publicly available </w:t>
      </w:r>
      <w:r w:rsidR="0090691F">
        <w:t xml:space="preserve">DHS 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The DHS Medicare data used in this report includes under co-payment prescriptions from 1 April 2012.</w:t>
      </w:r>
    </w:p>
    <w:p w14:paraId="7448C741" w14:textId="4DD2E160" w:rsidR="00587541" w:rsidRDefault="00587541" w:rsidP="00A35800">
      <w:r>
        <w:t>Additional data was extracted from the Authorities database maintained by Department of Health and processed by Services Australia. Processed authorities data was extracted from 1 Sep</w:t>
      </w:r>
      <w:r w:rsidR="00190022">
        <w:t xml:space="preserve">tember 2015 up to and including 30 December 2020. Data was extracted on 19 </w:t>
      </w:r>
      <w:r>
        <w:t xml:space="preserve">April 2021. </w:t>
      </w:r>
      <w:r w:rsidR="004F3E6A">
        <w:t>A</w:t>
      </w:r>
      <w:r>
        <w:t xml:space="preserve">uthority applications according to indication were analysed.  </w:t>
      </w:r>
    </w:p>
    <w:p w14:paraId="76CCFC4B" w14:textId="5735CA2C" w:rsidR="00D95EF2" w:rsidRPr="000226B3" w:rsidRDefault="00D95EF2" w:rsidP="00A35800">
      <w:pPr>
        <w:rPr>
          <w:rFonts w:eastAsia="Calibri" w:cs="Times New Roman"/>
        </w:rPr>
      </w:pPr>
      <w:r>
        <w:rPr>
          <w:rFonts w:eastAsia="Calibri" w:cs="Times New Roman"/>
        </w:rPr>
        <w:t xml:space="preserve">Data manipulation was undertaken using SAS. </w:t>
      </w:r>
    </w:p>
    <w:p w14:paraId="78768F76" w14:textId="77777777" w:rsidR="005A5618" w:rsidRDefault="005A5618">
      <w:pPr>
        <w:spacing w:line="276" w:lineRule="auto"/>
        <w:rPr>
          <w:rFonts w:eastAsiaTheme="majorEastAsia" w:cstheme="majorBidi"/>
          <w:b/>
          <w:bCs/>
          <w:sz w:val="32"/>
          <w:szCs w:val="32"/>
        </w:rPr>
      </w:pPr>
      <w:r>
        <w:br w:type="page"/>
      </w:r>
    </w:p>
    <w:p w14:paraId="4F91A98A" w14:textId="76C82D16" w:rsidR="00C714D0" w:rsidRPr="005E22C2" w:rsidRDefault="00C714D0" w:rsidP="00CF5E22">
      <w:pPr>
        <w:pStyle w:val="Heading1"/>
      </w:pPr>
      <w:r w:rsidRPr="005E22C2">
        <w:lastRenderedPageBreak/>
        <w:t>Results</w:t>
      </w:r>
    </w:p>
    <w:p w14:paraId="265F70B6" w14:textId="10D01B26" w:rsidR="00C21F8E" w:rsidRDefault="001B5D37" w:rsidP="006C06DC">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0F548167" w14:textId="71CDF502" w:rsidR="006C06DC" w:rsidRDefault="00736041" w:rsidP="003E3EBC">
      <w:pPr>
        <w:pStyle w:val="Heading3"/>
      </w:pPr>
      <w:r w:rsidRPr="005E22C2">
        <w:t>Overall utilisation</w:t>
      </w:r>
    </w:p>
    <w:p w14:paraId="053D33EF" w14:textId="6938BF8E" w:rsidR="003E3EBC" w:rsidRPr="003E3EBC" w:rsidRDefault="00FA5C7D" w:rsidP="00FA5C7D">
      <w:pPr>
        <w:pStyle w:val="Tabletitle"/>
      </w:pPr>
      <w:r>
        <w:t>Table 4</w:t>
      </w:r>
      <w:r w:rsidRPr="00B76F3E" w:rsidDel="00EE2BBB">
        <w:t xml:space="preserve">: </w:t>
      </w:r>
      <w:proofErr w:type="spellStart"/>
      <w:r w:rsidR="00A974FF">
        <w:t>S</w:t>
      </w:r>
      <w:r>
        <w:t>omatropin</w:t>
      </w:r>
      <w:proofErr w:type="spellEnd"/>
      <w:r w:rsidR="00A974FF">
        <w:t xml:space="preserve"> utilisation</w:t>
      </w:r>
      <w:r>
        <w:t xml:space="preserve"> according to year </w:t>
      </w:r>
      <w:r w:rsidRPr="00B76F3E">
        <w:t xml:space="preserve"> </w:t>
      </w:r>
    </w:p>
    <w:tbl>
      <w:tblPr>
        <w:tblStyle w:val="TableGrid"/>
        <w:tblW w:w="8960" w:type="dxa"/>
        <w:tblLook w:val="04A0" w:firstRow="1" w:lastRow="0" w:firstColumn="1" w:lastColumn="0" w:noHBand="0" w:noVBand="1"/>
        <w:tblCaption w:val="Table 4: Somatropin utilisation according to year  "/>
      </w:tblPr>
      <w:tblGrid>
        <w:gridCol w:w="2245"/>
        <w:gridCol w:w="1341"/>
        <w:gridCol w:w="1332"/>
        <w:gridCol w:w="1332"/>
        <w:gridCol w:w="1378"/>
        <w:gridCol w:w="1332"/>
      </w:tblGrid>
      <w:tr w:rsidR="003E3EBC" w:rsidRPr="006F0A31" w14:paraId="38CA4F48" w14:textId="77777777" w:rsidTr="000B385E">
        <w:trPr>
          <w:trHeight w:val="253"/>
          <w:tblHeader/>
        </w:trPr>
        <w:tc>
          <w:tcPr>
            <w:tcW w:w="2245" w:type="dxa"/>
            <w:shd w:val="clear" w:color="auto" w:fill="D9D9D9" w:themeFill="background1" w:themeFillShade="D9"/>
          </w:tcPr>
          <w:p w14:paraId="3C33FCB4" w14:textId="77777777" w:rsidR="003E3EBC" w:rsidRPr="006F0A31" w:rsidRDefault="003E3EBC" w:rsidP="006C06DC">
            <w:pPr>
              <w:rPr>
                <w:b/>
                <w:sz w:val="20"/>
                <w:szCs w:val="20"/>
              </w:rPr>
            </w:pPr>
          </w:p>
        </w:tc>
        <w:tc>
          <w:tcPr>
            <w:tcW w:w="1341" w:type="dxa"/>
            <w:shd w:val="clear" w:color="auto" w:fill="D9D9D9" w:themeFill="background1" w:themeFillShade="D9"/>
          </w:tcPr>
          <w:p w14:paraId="31726B85" w14:textId="1818C291" w:rsidR="003E3EBC" w:rsidRPr="006F0A31" w:rsidRDefault="003E3EBC" w:rsidP="00516DE5">
            <w:pPr>
              <w:jc w:val="center"/>
              <w:rPr>
                <w:b/>
                <w:sz w:val="20"/>
                <w:szCs w:val="20"/>
              </w:rPr>
            </w:pPr>
            <w:r w:rsidRPr="006F0A31">
              <w:rPr>
                <w:b/>
                <w:sz w:val="20"/>
                <w:szCs w:val="20"/>
              </w:rPr>
              <w:t>2016</w:t>
            </w:r>
          </w:p>
        </w:tc>
        <w:tc>
          <w:tcPr>
            <w:tcW w:w="1332" w:type="dxa"/>
            <w:shd w:val="clear" w:color="auto" w:fill="D9D9D9" w:themeFill="background1" w:themeFillShade="D9"/>
          </w:tcPr>
          <w:p w14:paraId="0D9396E6" w14:textId="7A856E86" w:rsidR="003E3EBC" w:rsidRPr="006F0A31" w:rsidRDefault="003E3EBC" w:rsidP="00516DE5">
            <w:pPr>
              <w:jc w:val="center"/>
              <w:rPr>
                <w:b/>
                <w:sz w:val="20"/>
                <w:szCs w:val="20"/>
              </w:rPr>
            </w:pPr>
            <w:r w:rsidRPr="006F0A31">
              <w:rPr>
                <w:b/>
                <w:sz w:val="20"/>
                <w:szCs w:val="20"/>
              </w:rPr>
              <w:t>2017</w:t>
            </w:r>
          </w:p>
        </w:tc>
        <w:tc>
          <w:tcPr>
            <w:tcW w:w="1332" w:type="dxa"/>
            <w:shd w:val="clear" w:color="auto" w:fill="D9D9D9" w:themeFill="background1" w:themeFillShade="D9"/>
          </w:tcPr>
          <w:p w14:paraId="7210B744" w14:textId="7F9D181E" w:rsidR="003E3EBC" w:rsidRPr="006F0A31" w:rsidRDefault="003E3EBC" w:rsidP="00516DE5">
            <w:pPr>
              <w:jc w:val="center"/>
              <w:rPr>
                <w:b/>
                <w:sz w:val="20"/>
                <w:szCs w:val="20"/>
              </w:rPr>
            </w:pPr>
            <w:r w:rsidRPr="006F0A31">
              <w:rPr>
                <w:b/>
                <w:sz w:val="20"/>
                <w:szCs w:val="20"/>
              </w:rPr>
              <w:t>2018</w:t>
            </w:r>
          </w:p>
        </w:tc>
        <w:tc>
          <w:tcPr>
            <w:tcW w:w="1378" w:type="dxa"/>
            <w:shd w:val="clear" w:color="auto" w:fill="D9D9D9" w:themeFill="background1" w:themeFillShade="D9"/>
          </w:tcPr>
          <w:p w14:paraId="06539103" w14:textId="1F9EDA69" w:rsidR="003E3EBC" w:rsidRPr="006F0A31" w:rsidRDefault="003E3EBC" w:rsidP="00516DE5">
            <w:pPr>
              <w:jc w:val="center"/>
              <w:rPr>
                <w:b/>
                <w:sz w:val="20"/>
                <w:szCs w:val="20"/>
              </w:rPr>
            </w:pPr>
            <w:r w:rsidRPr="006F0A31">
              <w:rPr>
                <w:b/>
                <w:sz w:val="20"/>
                <w:szCs w:val="20"/>
              </w:rPr>
              <w:t>2019</w:t>
            </w:r>
          </w:p>
        </w:tc>
        <w:tc>
          <w:tcPr>
            <w:tcW w:w="1332" w:type="dxa"/>
            <w:shd w:val="clear" w:color="auto" w:fill="D9D9D9" w:themeFill="background1" w:themeFillShade="D9"/>
          </w:tcPr>
          <w:p w14:paraId="4EEEC361" w14:textId="15AD00F2" w:rsidR="003E3EBC" w:rsidRPr="006F0A31" w:rsidRDefault="003E3EBC" w:rsidP="00516DE5">
            <w:pPr>
              <w:jc w:val="center"/>
              <w:rPr>
                <w:b/>
                <w:sz w:val="20"/>
                <w:szCs w:val="20"/>
              </w:rPr>
            </w:pPr>
            <w:r w:rsidRPr="006F0A31">
              <w:rPr>
                <w:b/>
                <w:sz w:val="20"/>
                <w:szCs w:val="20"/>
              </w:rPr>
              <w:t>2020</w:t>
            </w:r>
          </w:p>
        </w:tc>
      </w:tr>
      <w:tr w:rsidR="003E3EBC" w:rsidRPr="006F0A31" w14:paraId="22C74649" w14:textId="77777777" w:rsidTr="003E3EBC">
        <w:trPr>
          <w:trHeight w:val="253"/>
        </w:trPr>
        <w:tc>
          <w:tcPr>
            <w:tcW w:w="2245" w:type="dxa"/>
          </w:tcPr>
          <w:p w14:paraId="44505E57" w14:textId="5B8F6082" w:rsidR="003E3EBC" w:rsidRPr="006F0A31" w:rsidRDefault="003E3EBC" w:rsidP="006C06DC">
            <w:pPr>
              <w:rPr>
                <w:sz w:val="20"/>
                <w:szCs w:val="20"/>
              </w:rPr>
            </w:pPr>
            <w:r w:rsidRPr="006F0A31">
              <w:rPr>
                <w:sz w:val="20"/>
                <w:szCs w:val="20"/>
              </w:rPr>
              <w:t xml:space="preserve">Incident patients </w:t>
            </w:r>
          </w:p>
        </w:tc>
        <w:tc>
          <w:tcPr>
            <w:tcW w:w="1341" w:type="dxa"/>
          </w:tcPr>
          <w:p w14:paraId="5A3FF9A2" w14:textId="15BD4BA1" w:rsidR="003E3EBC" w:rsidRPr="006F0A31" w:rsidRDefault="00516DE5" w:rsidP="00516DE5">
            <w:pPr>
              <w:jc w:val="center"/>
              <w:rPr>
                <w:sz w:val="20"/>
                <w:szCs w:val="20"/>
              </w:rPr>
            </w:pPr>
            <w:r>
              <w:rPr>
                <w:sz w:val="20"/>
                <w:szCs w:val="20"/>
              </w:rPr>
              <w:t>1</w:t>
            </w:r>
            <w:r w:rsidR="005F2963">
              <w:rPr>
                <w:sz w:val="20"/>
                <w:szCs w:val="20"/>
              </w:rPr>
              <w:t>,</w:t>
            </w:r>
            <w:r>
              <w:rPr>
                <w:sz w:val="20"/>
                <w:szCs w:val="20"/>
              </w:rPr>
              <w:t>231</w:t>
            </w:r>
          </w:p>
        </w:tc>
        <w:tc>
          <w:tcPr>
            <w:tcW w:w="1332" w:type="dxa"/>
          </w:tcPr>
          <w:p w14:paraId="6358A75F" w14:textId="37F5E68B" w:rsidR="003E3EBC" w:rsidRPr="006F0A31" w:rsidRDefault="00516DE5" w:rsidP="00516DE5">
            <w:pPr>
              <w:jc w:val="center"/>
              <w:rPr>
                <w:sz w:val="20"/>
                <w:szCs w:val="20"/>
              </w:rPr>
            </w:pPr>
            <w:r>
              <w:rPr>
                <w:sz w:val="20"/>
                <w:szCs w:val="20"/>
              </w:rPr>
              <w:t>345</w:t>
            </w:r>
          </w:p>
        </w:tc>
        <w:tc>
          <w:tcPr>
            <w:tcW w:w="1332" w:type="dxa"/>
          </w:tcPr>
          <w:p w14:paraId="5B19DA73" w14:textId="2D945C74" w:rsidR="003E3EBC" w:rsidRPr="006F0A31" w:rsidRDefault="00516DE5" w:rsidP="00516DE5">
            <w:pPr>
              <w:jc w:val="center"/>
              <w:rPr>
                <w:sz w:val="20"/>
                <w:szCs w:val="20"/>
              </w:rPr>
            </w:pPr>
            <w:r>
              <w:rPr>
                <w:sz w:val="20"/>
                <w:szCs w:val="20"/>
              </w:rPr>
              <w:t>391</w:t>
            </w:r>
          </w:p>
        </w:tc>
        <w:tc>
          <w:tcPr>
            <w:tcW w:w="1378" w:type="dxa"/>
          </w:tcPr>
          <w:p w14:paraId="09DE600C" w14:textId="145B3BCC" w:rsidR="003E3EBC" w:rsidRPr="006F0A31" w:rsidRDefault="00516DE5" w:rsidP="00516DE5">
            <w:pPr>
              <w:jc w:val="center"/>
              <w:rPr>
                <w:sz w:val="20"/>
                <w:szCs w:val="20"/>
              </w:rPr>
            </w:pPr>
            <w:r>
              <w:rPr>
                <w:sz w:val="20"/>
                <w:szCs w:val="20"/>
              </w:rPr>
              <w:t>851</w:t>
            </w:r>
          </w:p>
        </w:tc>
        <w:tc>
          <w:tcPr>
            <w:tcW w:w="1332" w:type="dxa"/>
          </w:tcPr>
          <w:p w14:paraId="33175FE9" w14:textId="7241B392" w:rsidR="003E3EBC" w:rsidRPr="006F0A31" w:rsidRDefault="00516DE5" w:rsidP="00516DE5">
            <w:pPr>
              <w:jc w:val="center"/>
              <w:rPr>
                <w:sz w:val="20"/>
                <w:szCs w:val="20"/>
              </w:rPr>
            </w:pPr>
            <w:r>
              <w:rPr>
                <w:sz w:val="20"/>
                <w:szCs w:val="20"/>
              </w:rPr>
              <w:t>730</w:t>
            </w:r>
          </w:p>
        </w:tc>
      </w:tr>
      <w:tr w:rsidR="003E3EBC" w:rsidRPr="006F0A31" w14:paraId="1C5D7FE3" w14:textId="77777777" w:rsidTr="003E3EBC">
        <w:trPr>
          <w:trHeight w:val="355"/>
        </w:trPr>
        <w:tc>
          <w:tcPr>
            <w:tcW w:w="2245" w:type="dxa"/>
          </w:tcPr>
          <w:p w14:paraId="51E033CA" w14:textId="5A4860BC" w:rsidR="003E3EBC" w:rsidRPr="006F0A31" w:rsidRDefault="003E3EBC" w:rsidP="006C06DC">
            <w:pPr>
              <w:rPr>
                <w:sz w:val="20"/>
                <w:szCs w:val="20"/>
              </w:rPr>
            </w:pPr>
            <w:r w:rsidRPr="006F0A31">
              <w:rPr>
                <w:sz w:val="20"/>
                <w:szCs w:val="20"/>
              </w:rPr>
              <w:t xml:space="preserve">Prevalent patients </w:t>
            </w:r>
          </w:p>
        </w:tc>
        <w:tc>
          <w:tcPr>
            <w:tcW w:w="1341" w:type="dxa"/>
          </w:tcPr>
          <w:p w14:paraId="73729D7B"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2,011</w:t>
            </w:r>
          </w:p>
          <w:p w14:paraId="212F9AFC" w14:textId="77777777" w:rsidR="003E3EBC" w:rsidRPr="006F0A31" w:rsidRDefault="003E3EBC" w:rsidP="00516DE5">
            <w:pPr>
              <w:jc w:val="center"/>
              <w:rPr>
                <w:sz w:val="20"/>
                <w:szCs w:val="20"/>
              </w:rPr>
            </w:pPr>
          </w:p>
        </w:tc>
        <w:tc>
          <w:tcPr>
            <w:tcW w:w="1332" w:type="dxa"/>
          </w:tcPr>
          <w:p w14:paraId="4E8C2AA2"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2,076</w:t>
            </w:r>
          </w:p>
          <w:p w14:paraId="3A597DC7" w14:textId="77777777" w:rsidR="003E3EBC" w:rsidRPr="006F0A31" w:rsidRDefault="003E3EBC" w:rsidP="00516DE5">
            <w:pPr>
              <w:jc w:val="center"/>
              <w:rPr>
                <w:sz w:val="20"/>
                <w:szCs w:val="20"/>
              </w:rPr>
            </w:pPr>
          </w:p>
        </w:tc>
        <w:tc>
          <w:tcPr>
            <w:tcW w:w="1332" w:type="dxa"/>
          </w:tcPr>
          <w:p w14:paraId="3885287B"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2,174</w:t>
            </w:r>
          </w:p>
          <w:p w14:paraId="163B1908" w14:textId="77777777" w:rsidR="003E3EBC" w:rsidRPr="006F0A31" w:rsidRDefault="003E3EBC" w:rsidP="00516DE5">
            <w:pPr>
              <w:jc w:val="center"/>
              <w:rPr>
                <w:sz w:val="20"/>
                <w:szCs w:val="20"/>
              </w:rPr>
            </w:pPr>
          </w:p>
        </w:tc>
        <w:tc>
          <w:tcPr>
            <w:tcW w:w="1378" w:type="dxa"/>
          </w:tcPr>
          <w:p w14:paraId="086E493B"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2,717</w:t>
            </w:r>
          </w:p>
          <w:p w14:paraId="743C044C" w14:textId="77777777" w:rsidR="003E3EBC" w:rsidRPr="006F0A31" w:rsidRDefault="003E3EBC" w:rsidP="00516DE5">
            <w:pPr>
              <w:jc w:val="center"/>
              <w:rPr>
                <w:sz w:val="20"/>
                <w:szCs w:val="20"/>
              </w:rPr>
            </w:pPr>
          </w:p>
        </w:tc>
        <w:tc>
          <w:tcPr>
            <w:tcW w:w="1332" w:type="dxa"/>
          </w:tcPr>
          <w:p w14:paraId="4A08AAEF"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3,178</w:t>
            </w:r>
          </w:p>
          <w:p w14:paraId="3D7DC0E2" w14:textId="77777777" w:rsidR="003E3EBC" w:rsidRPr="006F0A31" w:rsidRDefault="003E3EBC" w:rsidP="00516DE5">
            <w:pPr>
              <w:jc w:val="center"/>
              <w:rPr>
                <w:sz w:val="20"/>
                <w:szCs w:val="20"/>
              </w:rPr>
            </w:pPr>
          </w:p>
        </w:tc>
      </w:tr>
      <w:tr w:rsidR="003E3EBC" w:rsidRPr="006F0A31" w14:paraId="207B0779" w14:textId="77777777" w:rsidTr="003E3EBC">
        <w:trPr>
          <w:trHeight w:val="507"/>
        </w:trPr>
        <w:tc>
          <w:tcPr>
            <w:tcW w:w="2245" w:type="dxa"/>
          </w:tcPr>
          <w:p w14:paraId="49FFDC84" w14:textId="1EAAE64E" w:rsidR="003E3EBC" w:rsidRPr="006F0A31" w:rsidRDefault="003E3EBC" w:rsidP="006C06DC">
            <w:pPr>
              <w:rPr>
                <w:sz w:val="20"/>
                <w:szCs w:val="20"/>
              </w:rPr>
            </w:pPr>
            <w:r w:rsidRPr="006F0A31">
              <w:rPr>
                <w:sz w:val="20"/>
                <w:szCs w:val="20"/>
              </w:rPr>
              <w:t xml:space="preserve">Prescriptions </w:t>
            </w:r>
          </w:p>
        </w:tc>
        <w:tc>
          <w:tcPr>
            <w:tcW w:w="1341" w:type="dxa"/>
          </w:tcPr>
          <w:p w14:paraId="735CB919"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5,973</w:t>
            </w:r>
          </w:p>
          <w:p w14:paraId="77BB7E81" w14:textId="77777777" w:rsidR="003E3EBC" w:rsidRPr="006F0A31" w:rsidRDefault="003E3EBC" w:rsidP="00516DE5">
            <w:pPr>
              <w:jc w:val="center"/>
              <w:rPr>
                <w:sz w:val="20"/>
                <w:szCs w:val="20"/>
              </w:rPr>
            </w:pPr>
          </w:p>
        </w:tc>
        <w:tc>
          <w:tcPr>
            <w:tcW w:w="1332" w:type="dxa"/>
          </w:tcPr>
          <w:p w14:paraId="49D2674D"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6,163</w:t>
            </w:r>
          </w:p>
          <w:p w14:paraId="6EF110CC" w14:textId="77777777" w:rsidR="003E3EBC" w:rsidRPr="006F0A31" w:rsidRDefault="003E3EBC" w:rsidP="00516DE5">
            <w:pPr>
              <w:jc w:val="center"/>
              <w:rPr>
                <w:sz w:val="20"/>
                <w:szCs w:val="20"/>
              </w:rPr>
            </w:pPr>
          </w:p>
        </w:tc>
        <w:tc>
          <w:tcPr>
            <w:tcW w:w="1332" w:type="dxa"/>
          </w:tcPr>
          <w:p w14:paraId="7B53BE61"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6,373</w:t>
            </w:r>
          </w:p>
          <w:p w14:paraId="311E5EB7" w14:textId="77777777" w:rsidR="003E3EBC" w:rsidRPr="006F0A31" w:rsidRDefault="003E3EBC" w:rsidP="00516DE5">
            <w:pPr>
              <w:jc w:val="center"/>
              <w:rPr>
                <w:sz w:val="20"/>
                <w:szCs w:val="20"/>
              </w:rPr>
            </w:pPr>
          </w:p>
        </w:tc>
        <w:tc>
          <w:tcPr>
            <w:tcW w:w="1378" w:type="dxa"/>
          </w:tcPr>
          <w:p w14:paraId="75246F04" w14:textId="5A1F228C" w:rsidR="003E3EBC" w:rsidRPr="006F0A31" w:rsidRDefault="003E3EBC" w:rsidP="00516DE5">
            <w:pPr>
              <w:jc w:val="center"/>
              <w:rPr>
                <w:sz w:val="20"/>
                <w:szCs w:val="20"/>
              </w:rPr>
            </w:pPr>
            <w:r w:rsidRPr="006F0A31">
              <w:rPr>
                <w:rFonts w:ascii="Calibri" w:hAnsi="Calibri" w:cs="Calibri"/>
                <w:color w:val="000000"/>
                <w:sz w:val="20"/>
                <w:szCs w:val="20"/>
              </w:rPr>
              <w:t>8,595</w:t>
            </w:r>
          </w:p>
        </w:tc>
        <w:tc>
          <w:tcPr>
            <w:tcW w:w="1332" w:type="dxa"/>
          </w:tcPr>
          <w:p w14:paraId="639EC7B4" w14:textId="0D73F89D" w:rsidR="003E3EBC" w:rsidRPr="006F0A31" w:rsidRDefault="005F2963" w:rsidP="00516DE5">
            <w:pPr>
              <w:jc w:val="center"/>
              <w:rPr>
                <w:rFonts w:ascii="Calibri" w:hAnsi="Calibri" w:cs="Calibri"/>
                <w:color w:val="000000"/>
                <w:sz w:val="20"/>
                <w:szCs w:val="20"/>
              </w:rPr>
            </w:pPr>
            <w:r>
              <w:rPr>
                <w:rFonts w:ascii="Calibri" w:hAnsi="Calibri" w:cs="Calibri"/>
                <w:color w:val="000000"/>
                <w:sz w:val="20"/>
                <w:szCs w:val="20"/>
              </w:rPr>
              <w:t>12,439</w:t>
            </w:r>
          </w:p>
          <w:p w14:paraId="11C3D2CF" w14:textId="77777777" w:rsidR="003E3EBC" w:rsidRPr="006F0A31" w:rsidRDefault="003E3EBC" w:rsidP="00516DE5">
            <w:pPr>
              <w:jc w:val="center"/>
              <w:rPr>
                <w:sz w:val="20"/>
                <w:szCs w:val="20"/>
              </w:rPr>
            </w:pPr>
          </w:p>
        </w:tc>
      </w:tr>
      <w:tr w:rsidR="003E3EBC" w:rsidRPr="006F0A31" w14:paraId="494603AD" w14:textId="77777777" w:rsidTr="003E3EBC">
        <w:trPr>
          <w:trHeight w:val="480"/>
        </w:trPr>
        <w:tc>
          <w:tcPr>
            <w:tcW w:w="2245" w:type="dxa"/>
          </w:tcPr>
          <w:p w14:paraId="2ADA703F" w14:textId="04CBEEEB" w:rsidR="003E3EBC" w:rsidRPr="006F0A31" w:rsidRDefault="003E3EBC" w:rsidP="003E3EBC">
            <w:pPr>
              <w:rPr>
                <w:sz w:val="20"/>
                <w:szCs w:val="20"/>
              </w:rPr>
            </w:pPr>
            <w:r w:rsidRPr="006F0A31">
              <w:rPr>
                <w:sz w:val="20"/>
                <w:szCs w:val="20"/>
              </w:rPr>
              <w:t>Expenditure</w:t>
            </w:r>
            <w:r w:rsidRPr="006F0A31">
              <w:rPr>
                <w:sz w:val="20"/>
                <w:szCs w:val="20"/>
                <w:vertAlign w:val="superscript"/>
              </w:rPr>
              <w:t>1</w:t>
            </w:r>
            <w:r w:rsidRPr="006F0A31">
              <w:rPr>
                <w:sz w:val="20"/>
                <w:szCs w:val="20"/>
              </w:rPr>
              <w:t xml:space="preserve"> </w:t>
            </w:r>
          </w:p>
        </w:tc>
        <w:tc>
          <w:tcPr>
            <w:tcW w:w="1341" w:type="dxa"/>
          </w:tcPr>
          <w:p w14:paraId="1910D8B6" w14:textId="29EC860D" w:rsidR="003E3EBC" w:rsidRPr="006F0A31" w:rsidRDefault="003E3EBC" w:rsidP="00516DE5">
            <w:pPr>
              <w:jc w:val="center"/>
              <w:rPr>
                <w:sz w:val="20"/>
                <w:szCs w:val="20"/>
              </w:rPr>
            </w:pPr>
            <w:r w:rsidRPr="006F0A31">
              <w:rPr>
                <w:rFonts w:ascii="Calibri" w:hAnsi="Calibri" w:cs="Calibri"/>
                <w:color w:val="000000"/>
                <w:sz w:val="20"/>
                <w:szCs w:val="20"/>
              </w:rPr>
              <w:t>$24,384,835</w:t>
            </w:r>
          </w:p>
        </w:tc>
        <w:tc>
          <w:tcPr>
            <w:tcW w:w="1332" w:type="dxa"/>
          </w:tcPr>
          <w:p w14:paraId="4DB4A471"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$25,991,412</w:t>
            </w:r>
          </w:p>
          <w:p w14:paraId="36567DF5" w14:textId="77777777" w:rsidR="003E3EBC" w:rsidRPr="006F0A31" w:rsidRDefault="003E3EBC" w:rsidP="00516DE5">
            <w:pPr>
              <w:jc w:val="center"/>
              <w:rPr>
                <w:sz w:val="20"/>
                <w:szCs w:val="20"/>
              </w:rPr>
            </w:pPr>
          </w:p>
        </w:tc>
        <w:tc>
          <w:tcPr>
            <w:tcW w:w="1332" w:type="dxa"/>
          </w:tcPr>
          <w:p w14:paraId="7E294265"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$27,588,536</w:t>
            </w:r>
          </w:p>
          <w:p w14:paraId="2F2AF08E" w14:textId="77777777" w:rsidR="003E3EBC" w:rsidRPr="006F0A31" w:rsidRDefault="003E3EBC" w:rsidP="00516DE5">
            <w:pPr>
              <w:jc w:val="center"/>
              <w:rPr>
                <w:sz w:val="20"/>
                <w:szCs w:val="20"/>
              </w:rPr>
            </w:pPr>
          </w:p>
        </w:tc>
        <w:tc>
          <w:tcPr>
            <w:tcW w:w="1378" w:type="dxa"/>
          </w:tcPr>
          <w:p w14:paraId="11CDEBF0" w14:textId="77777777" w:rsidR="003E3EBC" w:rsidRPr="006F0A31" w:rsidRDefault="003E3EBC" w:rsidP="00516DE5">
            <w:pPr>
              <w:jc w:val="center"/>
              <w:rPr>
                <w:rFonts w:ascii="Calibri" w:hAnsi="Calibri" w:cs="Calibri"/>
                <w:color w:val="000000"/>
                <w:sz w:val="20"/>
                <w:szCs w:val="20"/>
              </w:rPr>
            </w:pPr>
            <w:r w:rsidRPr="006F0A31">
              <w:rPr>
                <w:rFonts w:ascii="Calibri" w:hAnsi="Calibri" w:cs="Calibri"/>
                <w:color w:val="000000"/>
                <w:sz w:val="20"/>
                <w:szCs w:val="20"/>
              </w:rPr>
              <w:t>$29,889,145</w:t>
            </w:r>
          </w:p>
          <w:p w14:paraId="1D5B352E" w14:textId="77777777" w:rsidR="003E3EBC" w:rsidRPr="006F0A31" w:rsidRDefault="003E3EBC" w:rsidP="00516DE5">
            <w:pPr>
              <w:jc w:val="center"/>
              <w:rPr>
                <w:sz w:val="20"/>
                <w:szCs w:val="20"/>
              </w:rPr>
            </w:pPr>
          </w:p>
        </w:tc>
        <w:tc>
          <w:tcPr>
            <w:tcW w:w="1332" w:type="dxa"/>
          </w:tcPr>
          <w:p w14:paraId="32E39563" w14:textId="206BEF99" w:rsidR="003E3EBC" w:rsidRPr="006F0A31" w:rsidRDefault="005F2963" w:rsidP="00516DE5">
            <w:pPr>
              <w:jc w:val="center"/>
              <w:rPr>
                <w:rFonts w:ascii="Calibri" w:hAnsi="Calibri" w:cs="Calibri"/>
                <w:color w:val="000000"/>
                <w:sz w:val="20"/>
                <w:szCs w:val="20"/>
              </w:rPr>
            </w:pPr>
            <w:r>
              <w:rPr>
                <w:rFonts w:ascii="Calibri" w:hAnsi="Calibri" w:cs="Calibri"/>
                <w:color w:val="000000"/>
                <w:sz w:val="20"/>
                <w:szCs w:val="20"/>
              </w:rPr>
              <w:t>$33,568,012</w:t>
            </w:r>
          </w:p>
          <w:p w14:paraId="4F13E506" w14:textId="77777777" w:rsidR="003E3EBC" w:rsidRPr="006F0A31" w:rsidRDefault="003E3EBC" w:rsidP="00516DE5">
            <w:pPr>
              <w:jc w:val="center"/>
              <w:rPr>
                <w:sz w:val="20"/>
                <w:szCs w:val="20"/>
              </w:rPr>
            </w:pPr>
          </w:p>
        </w:tc>
      </w:tr>
    </w:tbl>
    <w:p w14:paraId="144F3D2C" w14:textId="797A5ACE" w:rsidR="00EB091B" w:rsidRDefault="003E3EBC" w:rsidP="006C06DC">
      <w:pPr>
        <w:rPr>
          <w:sz w:val="20"/>
          <w:szCs w:val="20"/>
        </w:rPr>
      </w:pPr>
      <w:r w:rsidRPr="003E3EBC">
        <w:rPr>
          <w:sz w:val="20"/>
          <w:szCs w:val="20"/>
        </w:rPr>
        <w:t xml:space="preserve">Note: </w:t>
      </w:r>
      <w:r w:rsidRPr="003E3EBC">
        <w:rPr>
          <w:sz w:val="20"/>
          <w:szCs w:val="20"/>
          <w:vertAlign w:val="superscript"/>
        </w:rPr>
        <w:t>1</w:t>
      </w:r>
      <w:r w:rsidRPr="003E3EBC">
        <w:rPr>
          <w:sz w:val="20"/>
          <w:szCs w:val="20"/>
        </w:rPr>
        <w:t>Based on the published prices.</w:t>
      </w:r>
    </w:p>
    <w:p w14:paraId="65FA9C80" w14:textId="77777777" w:rsidR="00106B62" w:rsidRPr="00EB091B" w:rsidRDefault="00106B62" w:rsidP="006C06DC">
      <w:pPr>
        <w:rPr>
          <w:sz w:val="20"/>
          <w:szCs w:val="20"/>
        </w:rPr>
      </w:pPr>
    </w:p>
    <w:p w14:paraId="14FAA55A" w14:textId="0389819F" w:rsidR="002754C5" w:rsidRDefault="009421F4" w:rsidP="009421F4">
      <w:pPr>
        <w:jc w:val="center"/>
      </w:pPr>
      <w:r>
        <w:rPr>
          <w:noProof/>
        </w:rPr>
        <w:drawing>
          <wp:inline distT="0" distB="0" distL="0" distR="0" wp14:anchorId="1CDE6971" wp14:editId="10C09141">
            <wp:extent cx="5000625" cy="3267075"/>
            <wp:effectExtent l="0" t="0" r="9525" b="9525"/>
            <wp:docPr id="1" name="Chart 1" title="Figure 1: Number of somatropin prescriptions supplied according to suppl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E2F687B" w14:textId="28908CA0" w:rsidR="00D32968" w:rsidRPr="00B76F3E" w:rsidRDefault="00D32968" w:rsidP="00D32968">
      <w:pPr>
        <w:pStyle w:val="Tabletitle"/>
      </w:pPr>
      <w:r w:rsidRPr="00B76F3E">
        <w:t xml:space="preserve">Figure 1: Number of </w:t>
      </w:r>
      <w:proofErr w:type="spellStart"/>
      <w:r>
        <w:t>somatropin</w:t>
      </w:r>
      <w:proofErr w:type="spellEnd"/>
      <w:r w:rsidRPr="00B76F3E">
        <w:t xml:space="preserve"> prescriptions supplied according to supply quarter</w:t>
      </w:r>
    </w:p>
    <w:p w14:paraId="3BC80E46" w14:textId="23C55AC0" w:rsidR="00D32968" w:rsidRDefault="00D32968" w:rsidP="00D32968">
      <w:pPr>
        <w:rPr>
          <w:sz w:val="20"/>
        </w:rPr>
      </w:pPr>
      <w:r w:rsidRPr="008B4BB6">
        <w:rPr>
          <w:sz w:val="20"/>
        </w:rPr>
        <w:t xml:space="preserve">Note: </w:t>
      </w:r>
      <w:r>
        <w:rPr>
          <w:sz w:val="20"/>
        </w:rPr>
        <w:t xml:space="preserve">Quarter 3 of 2015 only includes the month of September. </w:t>
      </w:r>
    </w:p>
    <w:p w14:paraId="0F80D370" w14:textId="4F0880A0" w:rsidR="00D4796E" w:rsidRDefault="00D32968" w:rsidP="00106B62">
      <w:r>
        <w:t>In Figure 1, the number of p</w:t>
      </w:r>
      <w:r w:rsidR="00245109">
        <w:t>rescriptions dispensed averaged approximately 1</w:t>
      </w:r>
      <w:r w:rsidR="00EB7A98">
        <w:t>,</w:t>
      </w:r>
      <w:r w:rsidR="00245109">
        <w:t xml:space="preserve">540 </w:t>
      </w:r>
      <w:r>
        <w:t>prescriptions per supply quarter</w:t>
      </w:r>
      <w:r w:rsidR="00245109">
        <w:t xml:space="preserve"> from quarter 3 </w:t>
      </w:r>
      <w:r w:rsidR="004F3E6A">
        <w:t xml:space="preserve">of </w:t>
      </w:r>
      <w:r w:rsidR="00245109">
        <w:t>2015 to quarter 4 of 2018</w:t>
      </w:r>
      <w:r>
        <w:t xml:space="preserve">. </w:t>
      </w:r>
      <w:r w:rsidR="00245109">
        <w:t xml:space="preserve">The number of prescriptions supplied appeared to </w:t>
      </w:r>
      <w:r w:rsidR="004F3E6A">
        <w:t>stabilise</w:t>
      </w:r>
      <w:r w:rsidR="00245109">
        <w:t xml:space="preserve"> between quarter 1 2016 to quarter 4 2018. </w:t>
      </w:r>
      <w:r>
        <w:t xml:space="preserve">However, from </w:t>
      </w:r>
      <w:r w:rsidR="00245109">
        <w:t>the quarter 1 of 2019, the number of prescriptions have increased with the highest, 3</w:t>
      </w:r>
      <w:r w:rsidR="00D404AD">
        <w:t>,</w:t>
      </w:r>
      <w:r w:rsidR="00A974FF">
        <w:t>370</w:t>
      </w:r>
      <w:r w:rsidR="00245109">
        <w:t xml:space="preserve"> prescriptions being supplied in the </w:t>
      </w:r>
      <w:r w:rsidR="00A974FF">
        <w:t>fourth quarter of 2020</w:t>
      </w:r>
      <w:r w:rsidR="00245109">
        <w:t xml:space="preserve">. </w:t>
      </w:r>
    </w:p>
    <w:p w14:paraId="143B47AE" w14:textId="77777777" w:rsidR="00106B62" w:rsidRDefault="00106B62" w:rsidP="00106B62"/>
    <w:p w14:paraId="1413157F" w14:textId="77777777" w:rsidR="00D34EDD" w:rsidRPr="00635658" w:rsidRDefault="00D34EDD" w:rsidP="00D34EDD">
      <w:pPr>
        <w:rPr>
          <w:b/>
          <w:u w:val="single"/>
        </w:rPr>
      </w:pPr>
      <w:r w:rsidRPr="00635658">
        <w:rPr>
          <w:b/>
          <w:u w:val="single"/>
        </w:rPr>
        <w:lastRenderedPageBreak/>
        <w:t>Committee-in-confidence</w:t>
      </w:r>
    </w:p>
    <w:p w14:paraId="3B2C66E1" w14:textId="77777777" w:rsidR="00D34EDD" w:rsidRPr="00E82BBF" w:rsidRDefault="00D34EDD" w:rsidP="00D34EDD">
      <w:pPr>
        <w:jc w:val="center"/>
      </w:pPr>
      <w:r>
        <w:rPr>
          <w:noProof/>
        </w:rPr>
        <w:drawing>
          <wp:inline distT="0" distB="0" distL="0" distR="0" wp14:anchorId="47E0CC89" wp14:editId="161378D1">
            <wp:extent cx="5143500" cy="3752850"/>
            <wp:effectExtent l="0" t="0" r="0" b="0"/>
            <wp:docPr id="5" name="Picture 5" title="Redacted due to committee-in-confidence nature"/>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30">
                      <a:extLst>
                        <a:ext uri="{28A0092B-C50C-407E-A947-70E740481C1C}">
                          <a14:useLocalDpi xmlns:a14="http://schemas.microsoft.com/office/drawing/2010/main" val="0"/>
                        </a:ext>
                      </a:extLst>
                    </a:blip>
                    <a:stretch>
                      <a:fillRect/>
                    </a:stretch>
                  </pic:blipFill>
                  <pic:spPr>
                    <a:xfrm>
                      <a:off x="0" y="0"/>
                      <a:ext cx="5143500" cy="3752850"/>
                    </a:xfrm>
                    <a:prstGeom prst="rect">
                      <a:avLst/>
                    </a:prstGeom>
                  </pic:spPr>
                </pic:pic>
              </a:graphicData>
            </a:graphic>
          </wp:inline>
        </w:drawing>
      </w:r>
    </w:p>
    <w:p w14:paraId="317392FE" w14:textId="77777777" w:rsidR="00D34EDD" w:rsidRPr="00E82BBF" w:rsidRDefault="00D34EDD" w:rsidP="00D34EDD">
      <w:pPr>
        <w:pStyle w:val="Tabletitle"/>
        <w:rPr>
          <w:highlight w:val="black"/>
        </w:rPr>
      </w:pPr>
      <w:r>
        <w:rPr>
          <w:noProof/>
          <w:color w:val="000000"/>
          <w:highlight w:val="black"/>
        </w:rPr>
        <w:t>'''''''''''' '''' '''''''''''''' ''''' ''''''''''''''''''' ''''''''''''''''''''''' '''''''''''''' ''''''''''''''''' ''''' ''''''''''' ''''''''''' '''''''' ''''''''''''' '''''''''''''''</w:t>
      </w:r>
    </w:p>
    <w:p w14:paraId="39DAD82A" w14:textId="77777777" w:rsidR="00D34EDD" w:rsidRPr="00E82BBF" w:rsidRDefault="00D34EDD" w:rsidP="00D34EDD">
      <w:pPr>
        <w:rPr>
          <w:sz w:val="20"/>
          <w:highlight w:val="black"/>
        </w:rPr>
      </w:pPr>
      <w:r>
        <w:rPr>
          <w:noProof/>
          <w:color w:val="000000"/>
          <w:sz w:val="20"/>
          <w:highlight w:val="black"/>
        </w:rPr>
        <w:t xml:space="preserve">''''''''''' ''''''''''''''' '' '''' '''''''''' '''''''' ''''''''''''''' ''''''' '''''''''''' '''' ''''''''''''''''''''' </w:t>
      </w:r>
    </w:p>
    <w:p w14:paraId="1BA39E73" w14:textId="77777777" w:rsidR="00D34EDD" w:rsidRPr="00E82BBF" w:rsidRDefault="00D34EDD" w:rsidP="00D34EDD">
      <w:pPr>
        <w:rPr>
          <w:highlight w:val="black"/>
        </w:rPr>
      </w:pPr>
      <w:r>
        <w:rPr>
          <w:noProof/>
          <w:color w:val="000000"/>
          <w:highlight w:val="black"/>
        </w:rPr>
        <w:t xml:space="preserve">''''''''''''' ''' ''''''''''''' '''''' '''''''''''''''' ''''' '''''''''''''''''''''''' '''''''''''''''''' '''''''''''''''''''' '''' ''''''' '''''''''''' ''''' '''''''''''''''''''''' ''''''' '''''''''''''''' '''' '''''''''''''''''''''''''' ''''''''''''''''' ''''' '''''''''' ''''''''''' ''''''''''''''''''' '''''''''''' ''''' ''''''''' '''''' '''''''' ''''''''''''' ''''' '''''''''' ''''''''''' ''''''''' ''''''''''''''''' '''''' '''''''''''''''' '''' ''''''''''''''''''''''''''' ''''''''''''''''' ''''''''''''''''' '''''' ''''''''''''''''''' ''''''''''''''''' ''''''''''''''''''''' ''''''''''''' ''''''' '''''''''''''''''''''' ''''''' </w:t>
      </w:r>
    </w:p>
    <w:p w14:paraId="6F02576C" w14:textId="77777777" w:rsidR="00D34EDD" w:rsidRPr="00635658" w:rsidRDefault="00D34EDD" w:rsidP="00D34EDD">
      <w:pPr>
        <w:rPr>
          <w:b/>
          <w:u w:val="single"/>
        </w:rPr>
      </w:pPr>
      <w:r w:rsidRPr="00635658">
        <w:rPr>
          <w:b/>
          <w:u w:val="single"/>
        </w:rPr>
        <w:t>End committee-in-confidence</w:t>
      </w:r>
    </w:p>
    <w:p w14:paraId="44851874" w14:textId="2F6F5773" w:rsidR="00D32968" w:rsidRDefault="00D32968" w:rsidP="00D32968">
      <w:pPr>
        <w:jc w:val="center"/>
      </w:pPr>
    </w:p>
    <w:p w14:paraId="47AA65C1" w14:textId="23BB6AAE" w:rsidR="00682AE9" w:rsidRDefault="00682AE9" w:rsidP="00D32968">
      <w:pPr>
        <w:jc w:val="center"/>
      </w:pPr>
      <w:r>
        <w:rPr>
          <w:noProof/>
        </w:rPr>
        <w:lastRenderedPageBreak/>
        <w:drawing>
          <wp:inline distT="0" distB="0" distL="0" distR="0" wp14:anchorId="67F85AAB" wp14:editId="1892034E">
            <wp:extent cx="5219700" cy="3457575"/>
            <wp:effectExtent l="0" t="0" r="0" b="9525"/>
            <wp:docPr id="11" name="Chart 11" title="Figure 3: Number of incident and prevalent somatropin patients according to supply quart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59453F" w14:textId="45146456" w:rsidR="00D32968" w:rsidRDefault="00DA6402" w:rsidP="00D32968">
      <w:pPr>
        <w:pStyle w:val="Tabletitle"/>
      </w:pPr>
      <w:r>
        <w:t>Figure 3</w:t>
      </w:r>
      <w:r w:rsidR="00D32968" w:rsidRPr="00B76F3E">
        <w:t>: Number of i</w:t>
      </w:r>
      <w:r w:rsidR="00D32968">
        <w:t xml:space="preserve">ncident and prevalent </w:t>
      </w:r>
      <w:proofErr w:type="spellStart"/>
      <w:r w:rsidR="00D32968">
        <w:t>somatropin</w:t>
      </w:r>
      <w:proofErr w:type="spellEnd"/>
      <w:r w:rsidR="00D32968" w:rsidRPr="00B76F3E">
        <w:t xml:space="preserve"> patients according to supply quarter </w:t>
      </w:r>
    </w:p>
    <w:p w14:paraId="5AC27D11" w14:textId="17F76631" w:rsidR="00D32968" w:rsidRDefault="00D32968" w:rsidP="00D32968">
      <w:pPr>
        <w:spacing w:after="0"/>
        <w:rPr>
          <w:sz w:val="20"/>
        </w:rPr>
      </w:pPr>
      <w:r w:rsidRPr="008B4BB6">
        <w:rPr>
          <w:sz w:val="20"/>
        </w:rPr>
        <w:t xml:space="preserve">Note: </w:t>
      </w:r>
      <w:r w:rsidR="00350F4B">
        <w:rPr>
          <w:sz w:val="20"/>
        </w:rPr>
        <w:t>Quarter 3 of 2015 only includes the month of September</w:t>
      </w:r>
      <w:r>
        <w:rPr>
          <w:sz w:val="20"/>
        </w:rPr>
        <w:t xml:space="preserve">. </w:t>
      </w:r>
    </w:p>
    <w:p w14:paraId="7244E6B0" w14:textId="77777777" w:rsidR="00D32968" w:rsidRDefault="00D32968" w:rsidP="00D32968">
      <w:pPr>
        <w:spacing w:after="0"/>
        <w:rPr>
          <w:sz w:val="20"/>
        </w:rPr>
      </w:pPr>
    </w:p>
    <w:p w14:paraId="12D322EC" w14:textId="25C377B6" w:rsidR="00D32968" w:rsidRDefault="00563A42" w:rsidP="00D95EF2">
      <w:r>
        <w:t>Overall</w:t>
      </w:r>
      <w:r w:rsidR="00D32968">
        <w:t xml:space="preserve"> in Fig</w:t>
      </w:r>
      <w:r w:rsidR="004F3E6A">
        <w:t>ure 3,</w:t>
      </w:r>
      <w:r w:rsidR="00D32968">
        <w:t xml:space="preserve"> the number of initiating</w:t>
      </w:r>
      <w:r w:rsidR="00042D6C">
        <w:t xml:space="preserve"> and prevalent</w:t>
      </w:r>
      <w:r w:rsidR="00D32968">
        <w:t xml:space="preserve"> patients appe</w:t>
      </w:r>
      <w:r>
        <w:t>ared to stabilise from quarter 3 of 2016</w:t>
      </w:r>
      <w:r w:rsidR="001079A3">
        <w:t xml:space="preserve"> to quarter 4 of 2018</w:t>
      </w:r>
      <w:r w:rsidR="00D32968">
        <w:t xml:space="preserve"> with an average of approximately </w:t>
      </w:r>
      <w:r w:rsidR="00766BA2">
        <w:t xml:space="preserve">113 </w:t>
      </w:r>
      <w:r w:rsidR="00042D6C">
        <w:t>patients</w:t>
      </w:r>
      <w:r w:rsidR="00D32968">
        <w:t xml:space="preserve"> initiating treatment </w:t>
      </w:r>
      <w:r w:rsidR="001079A3">
        <w:t>and 1</w:t>
      </w:r>
      <w:r w:rsidR="002A49D1">
        <w:t>,</w:t>
      </w:r>
      <w:r w:rsidR="00766BA2">
        <w:t xml:space="preserve">391 </w:t>
      </w:r>
      <w:r w:rsidR="001079A3">
        <w:t xml:space="preserve">prevalent patients </w:t>
      </w:r>
      <w:r w:rsidR="00D32968">
        <w:t xml:space="preserve">each supply quarter. </w:t>
      </w:r>
      <w:r w:rsidR="001079A3">
        <w:t xml:space="preserve">There was an increase in the number of initiating and prevalent patients from 2019 onwards. The number of initiating patients and the number of prevalent patients increased to an average of approximately </w:t>
      </w:r>
      <w:r w:rsidR="00682AE9">
        <w:t>198</w:t>
      </w:r>
      <w:r w:rsidR="001079A3">
        <w:t xml:space="preserve"> patients and </w:t>
      </w:r>
      <w:r w:rsidR="00682AE9">
        <w:t>1,988</w:t>
      </w:r>
      <w:r w:rsidR="001079A3">
        <w:t xml:space="preserve"> patients, respectively. </w:t>
      </w:r>
    </w:p>
    <w:p w14:paraId="1DB9F27B" w14:textId="529EFBC7" w:rsidR="001079A3" w:rsidRPr="00106B62" w:rsidRDefault="00DA6402" w:rsidP="00106B62">
      <w:pPr>
        <w:spacing w:line="276" w:lineRule="auto"/>
      </w:pPr>
      <w:r>
        <w:br w:type="page"/>
      </w:r>
    </w:p>
    <w:p w14:paraId="5BBCB74F" w14:textId="37B01D47" w:rsidR="003346E4" w:rsidRDefault="00736041" w:rsidP="00051FC1">
      <w:pPr>
        <w:pStyle w:val="Heading3"/>
      </w:pPr>
      <w:r w:rsidRPr="005E22C2">
        <w:lastRenderedPageBreak/>
        <w:t>Utilisation by relevant sub-populations/regions</w:t>
      </w:r>
      <w:r w:rsidR="001B5D37" w:rsidRPr="005E22C2">
        <w:t xml:space="preserve"> or patient level analysis</w:t>
      </w:r>
    </w:p>
    <w:p w14:paraId="5604D311" w14:textId="6A133912" w:rsidR="00051FC1" w:rsidRDefault="00051FC1" w:rsidP="00DB332A">
      <w:pPr>
        <w:jc w:val="center"/>
      </w:pPr>
      <w:r>
        <w:rPr>
          <w:noProof/>
        </w:rPr>
        <w:drawing>
          <wp:inline distT="0" distB="0" distL="0" distR="0" wp14:anchorId="7E815AB3" wp14:editId="6CD61A23">
            <wp:extent cx="4994695" cy="3873261"/>
            <wp:effectExtent l="0" t="0" r="15875" b="13335"/>
            <wp:docPr id="3" name="Chart 3" title="Figure 4: Age and gender distribution of initiating somatropin pati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3F1C0D1" w14:textId="59D2C9A5" w:rsidR="00A613D9" w:rsidRDefault="004E50D5" w:rsidP="00A613D9">
      <w:pPr>
        <w:pStyle w:val="Tabletitle"/>
      </w:pPr>
      <w:r>
        <w:t xml:space="preserve">Figure </w:t>
      </w:r>
      <w:r w:rsidR="00B63D64">
        <w:t>4</w:t>
      </w:r>
      <w:r w:rsidR="003346E4" w:rsidRPr="00B76F3E">
        <w:t xml:space="preserve">: Age and gender distribution of initiating </w:t>
      </w:r>
      <w:proofErr w:type="spellStart"/>
      <w:r w:rsidR="003346E4">
        <w:t>somatropin</w:t>
      </w:r>
      <w:proofErr w:type="spellEnd"/>
      <w:r w:rsidR="003346E4" w:rsidRPr="00B76F3E">
        <w:t xml:space="preserve"> patients </w:t>
      </w:r>
    </w:p>
    <w:p w14:paraId="4722213F" w14:textId="77777777" w:rsidR="004F3E6A" w:rsidRPr="004F3E6A" w:rsidRDefault="004F3E6A" w:rsidP="004F3E6A"/>
    <w:p w14:paraId="380C2E93" w14:textId="5480573D" w:rsidR="003346E4" w:rsidRDefault="004E50D5" w:rsidP="003346E4">
      <w:r>
        <w:t xml:space="preserve">In Figure </w:t>
      </w:r>
      <w:r w:rsidR="00B63D64">
        <w:t>4</w:t>
      </w:r>
      <w:r w:rsidR="003346E4">
        <w:t xml:space="preserve">, the age distribution of initiating </w:t>
      </w:r>
      <w:proofErr w:type="spellStart"/>
      <w:r w:rsidR="003346E4">
        <w:t>somatropin</w:t>
      </w:r>
      <w:proofErr w:type="spellEnd"/>
      <w:r w:rsidR="003346E4">
        <w:t xml:space="preserve"> patients is positively skewed, </w:t>
      </w:r>
      <w:r w:rsidR="00381566">
        <w:t>w</w:t>
      </w:r>
      <w:r w:rsidR="00DA1280">
        <w:t>ith the majority of patients (83</w:t>
      </w:r>
      <w:r w:rsidR="003346E4">
        <w:t xml:space="preserve">%) initiating </w:t>
      </w:r>
      <w:proofErr w:type="spellStart"/>
      <w:r w:rsidR="003346E4">
        <w:t>somatropin</w:t>
      </w:r>
      <w:proofErr w:type="spellEnd"/>
      <w:r w:rsidR="003346E4">
        <w:t xml:space="preserve"> treatment aged less than 19 years. The most common age group that initiate on </w:t>
      </w:r>
      <w:proofErr w:type="spellStart"/>
      <w:r w:rsidR="00167E7B">
        <w:t>somatropin</w:t>
      </w:r>
      <w:proofErr w:type="spellEnd"/>
      <w:r w:rsidR="00167E7B">
        <w:t xml:space="preserve"> </w:t>
      </w:r>
      <w:r w:rsidR="003346E4">
        <w:t>are those</w:t>
      </w:r>
      <w:r w:rsidR="003114A6">
        <w:t xml:space="preserve"> </w:t>
      </w:r>
      <w:r w:rsidR="00DA1280">
        <w:t>aged between 10 and 14 years (36</w:t>
      </w:r>
      <w:r w:rsidR="003346E4">
        <w:t xml:space="preserve">% of patients). </w:t>
      </w:r>
    </w:p>
    <w:p w14:paraId="4663A088" w14:textId="41565F0B" w:rsidR="003346E4" w:rsidRDefault="003346E4" w:rsidP="003346E4">
      <w:r>
        <w:t xml:space="preserve">Overall, there was a similar ratio of male and female initiating patients. The mean </w:t>
      </w:r>
      <w:r w:rsidR="00167E7B">
        <w:t>age of initiating patients was 16 years and a median age of 11</w:t>
      </w:r>
      <w:r>
        <w:t xml:space="preserve"> years. The age of pat</w:t>
      </w:r>
      <w:r w:rsidR="00167E7B">
        <w:t>ients ranged from 0 to 89</w:t>
      </w:r>
      <w:r>
        <w:t xml:space="preserve"> years. </w:t>
      </w:r>
    </w:p>
    <w:p w14:paraId="2988ED55" w14:textId="5AB31589" w:rsidR="00273184" w:rsidRDefault="00273184" w:rsidP="003346E4"/>
    <w:p w14:paraId="234E0CF3" w14:textId="77777777" w:rsidR="003114A6" w:rsidRDefault="003114A6" w:rsidP="003346E4"/>
    <w:p w14:paraId="45086F10" w14:textId="57D04570" w:rsidR="003346E4" w:rsidRDefault="003346E4" w:rsidP="007352BF">
      <w:pPr>
        <w:jc w:val="center"/>
      </w:pPr>
    </w:p>
    <w:p w14:paraId="21B89F39" w14:textId="6781CB6B" w:rsidR="00485068" w:rsidRDefault="00485068" w:rsidP="007352BF">
      <w:pPr>
        <w:jc w:val="center"/>
      </w:pPr>
    </w:p>
    <w:p w14:paraId="33FDC904" w14:textId="32BDDD3E" w:rsidR="00485068" w:rsidRDefault="00D42A5A" w:rsidP="007352BF">
      <w:pPr>
        <w:jc w:val="center"/>
      </w:pPr>
      <w:r>
        <w:rPr>
          <w:noProof/>
        </w:rPr>
        <w:lastRenderedPageBreak/>
        <w:drawing>
          <wp:inline distT="0" distB="0" distL="0" distR="0" wp14:anchorId="38DD5310" wp14:editId="63A773E1">
            <wp:extent cx="4856672" cy="3510951"/>
            <wp:effectExtent l="0" t="0" r="1270" b="13335"/>
            <wp:docPr id="4" name="Chart 4" title="Figure 5: Age of initiating somatropin patients according to item code for child vs. adult onset"/>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3934B10" w14:textId="2053ECA9" w:rsidR="007352BF" w:rsidRPr="00B76F3E" w:rsidRDefault="004E50D5" w:rsidP="007352BF">
      <w:pPr>
        <w:pStyle w:val="Tabletitle"/>
      </w:pPr>
      <w:r>
        <w:t xml:space="preserve">Figure </w:t>
      </w:r>
      <w:r w:rsidR="00B63D64">
        <w:t>5</w:t>
      </w:r>
      <w:r w:rsidR="007352BF" w:rsidRPr="00B76F3E">
        <w:t xml:space="preserve">: Age </w:t>
      </w:r>
      <w:r w:rsidR="007352BF">
        <w:t xml:space="preserve">of initiating </w:t>
      </w:r>
      <w:proofErr w:type="spellStart"/>
      <w:r w:rsidR="007352BF">
        <w:t>somatropin</w:t>
      </w:r>
      <w:proofErr w:type="spellEnd"/>
      <w:r w:rsidR="007352BF" w:rsidRPr="00B76F3E">
        <w:t xml:space="preserve"> patients </w:t>
      </w:r>
      <w:r w:rsidR="007352BF">
        <w:t>according to item code</w:t>
      </w:r>
      <w:r w:rsidR="007568B9">
        <w:t xml:space="preserve"> for child vs. adult onset</w:t>
      </w:r>
    </w:p>
    <w:p w14:paraId="24851C50" w14:textId="08357F36" w:rsidR="007352BF" w:rsidRDefault="007352BF" w:rsidP="007352BF">
      <w:pPr>
        <w:rPr>
          <w:sz w:val="20"/>
          <w:szCs w:val="20"/>
        </w:rPr>
      </w:pPr>
      <w:r w:rsidRPr="0028265F">
        <w:rPr>
          <w:sz w:val="20"/>
          <w:szCs w:val="20"/>
        </w:rPr>
        <w:t xml:space="preserve">Note: </w:t>
      </w:r>
      <w:r>
        <w:rPr>
          <w:sz w:val="20"/>
          <w:szCs w:val="20"/>
        </w:rPr>
        <w:t>Item codes for the treatment of adult</w:t>
      </w:r>
      <w:r w:rsidR="00FD4B56">
        <w:rPr>
          <w:sz w:val="20"/>
          <w:szCs w:val="20"/>
        </w:rPr>
        <w:t xml:space="preserve"> onset</w:t>
      </w:r>
      <w:r>
        <w:rPr>
          <w:sz w:val="20"/>
          <w:szCs w:val="20"/>
        </w:rPr>
        <w:t xml:space="preserve"> severe growth hormone deficiency include 1189</w:t>
      </w:r>
      <w:r w:rsidR="00485068">
        <w:rPr>
          <w:sz w:val="20"/>
          <w:szCs w:val="20"/>
        </w:rPr>
        <w:t>5</w:t>
      </w:r>
      <w:r>
        <w:rPr>
          <w:sz w:val="20"/>
          <w:szCs w:val="20"/>
        </w:rPr>
        <w:t>C, 11650E</w:t>
      </w:r>
      <w:r w:rsidR="00E95CAC">
        <w:rPr>
          <w:sz w:val="20"/>
          <w:szCs w:val="20"/>
        </w:rPr>
        <w:t>, 11493X, 11495B</w:t>
      </w:r>
      <w:r w:rsidR="000445DD">
        <w:rPr>
          <w:sz w:val="20"/>
          <w:szCs w:val="20"/>
        </w:rPr>
        <w:t>, 11491T</w:t>
      </w:r>
      <w:r>
        <w:rPr>
          <w:sz w:val="20"/>
          <w:szCs w:val="20"/>
        </w:rPr>
        <w:t xml:space="preserve">. </w:t>
      </w:r>
    </w:p>
    <w:p w14:paraId="4387C38C" w14:textId="7349C427" w:rsidR="005B09E0" w:rsidRDefault="00E95CAC" w:rsidP="007352BF">
      <w:pPr>
        <w:rPr>
          <w:szCs w:val="20"/>
        </w:rPr>
      </w:pPr>
      <w:r>
        <w:rPr>
          <w:szCs w:val="20"/>
        </w:rPr>
        <w:t>In F</w:t>
      </w:r>
      <w:r w:rsidR="000B7E98">
        <w:rPr>
          <w:szCs w:val="20"/>
        </w:rPr>
        <w:t>igure</w:t>
      </w:r>
      <w:r w:rsidR="004E50D5">
        <w:rPr>
          <w:szCs w:val="20"/>
        </w:rPr>
        <w:t xml:space="preserve"> </w:t>
      </w:r>
      <w:r w:rsidR="00B63D64">
        <w:rPr>
          <w:szCs w:val="20"/>
        </w:rPr>
        <w:t>5</w:t>
      </w:r>
      <w:r w:rsidR="000B7E98">
        <w:rPr>
          <w:szCs w:val="20"/>
        </w:rPr>
        <w:t xml:space="preserve">, the majority of patients (99%) aged 0-19 years are initiating </w:t>
      </w:r>
      <w:proofErr w:type="spellStart"/>
      <w:r w:rsidR="000B7E98">
        <w:rPr>
          <w:szCs w:val="20"/>
        </w:rPr>
        <w:t>somatropin</w:t>
      </w:r>
      <w:proofErr w:type="spellEnd"/>
      <w:r w:rsidR="000B7E98">
        <w:rPr>
          <w:szCs w:val="20"/>
        </w:rPr>
        <w:t xml:space="preserve"> treatment according to item codes for paediatric </w:t>
      </w:r>
      <w:proofErr w:type="spellStart"/>
      <w:r w:rsidR="000B7E98">
        <w:rPr>
          <w:szCs w:val="20"/>
        </w:rPr>
        <w:t>somatropin</w:t>
      </w:r>
      <w:proofErr w:type="spellEnd"/>
      <w:r w:rsidR="000B7E98">
        <w:rPr>
          <w:szCs w:val="20"/>
        </w:rPr>
        <w:t xml:space="preserve"> treatment. The majority of patients aged 20 years and over </w:t>
      </w:r>
      <w:r w:rsidR="00F210AE">
        <w:rPr>
          <w:szCs w:val="20"/>
        </w:rPr>
        <w:t>(96.5</w:t>
      </w:r>
      <w:r w:rsidR="00695646">
        <w:rPr>
          <w:szCs w:val="20"/>
        </w:rPr>
        <w:t xml:space="preserve">%) are initiating </w:t>
      </w:r>
      <w:proofErr w:type="spellStart"/>
      <w:r w:rsidR="00695646">
        <w:rPr>
          <w:szCs w:val="20"/>
        </w:rPr>
        <w:t>somatropin</w:t>
      </w:r>
      <w:proofErr w:type="spellEnd"/>
      <w:r w:rsidR="00695646">
        <w:rPr>
          <w:szCs w:val="20"/>
        </w:rPr>
        <w:t xml:space="preserve"> treatment according to item codes for the treatment of adult onset severe growth hormone deficiency. </w:t>
      </w:r>
    </w:p>
    <w:p w14:paraId="4913EB61" w14:textId="77777777" w:rsidR="0053792E" w:rsidRPr="00E95CAC" w:rsidRDefault="0053792E" w:rsidP="007352BF">
      <w:pPr>
        <w:rPr>
          <w:szCs w:val="20"/>
        </w:rPr>
      </w:pPr>
    </w:p>
    <w:p w14:paraId="0AB5B175" w14:textId="60BDC120" w:rsidR="005B09E0" w:rsidRDefault="00D42A5A" w:rsidP="003114A6">
      <w:pPr>
        <w:jc w:val="center"/>
        <w:rPr>
          <w:sz w:val="20"/>
          <w:szCs w:val="20"/>
        </w:rPr>
      </w:pPr>
      <w:r>
        <w:rPr>
          <w:noProof/>
        </w:rPr>
        <w:lastRenderedPageBreak/>
        <w:drawing>
          <wp:inline distT="0" distB="0" distL="0" distR="0" wp14:anchorId="6AA6C04A" wp14:editId="60E7302B">
            <wp:extent cx="4651513" cy="3021496"/>
            <wp:effectExtent l="0" t="0" r="15875" b="7620"/>
            <wp:docPr id="6" name="Chart 6" title="Figure 6: Age and gender distribution of patients who initiated somatropin treatment before the somatropin listing was extended to include with adult onset growth hormone deficiency "/>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47CF9D4" w14:textId="27146E9B" w:rsidR="003114A6" w:rsidRPr="00B76F3E" w:rsidRDefault="004E50D5" w:rsidP="003114A6">
      <w:pPr>
        <w:pStyle w:val="Tabletitle"/>
      </w:pPr>
      <w:r>
        <w:t xml:space="preserve">Figure </w:t>
      </w:r>
      <w:r w:rsidR="00B63D64">
        <w:t>6</w:t>
      </w:r>
      <w:r w:rsidR="003114A6" w:rsidRPr="00B76F3E">
        <w:t xml:space="preserve">: Age and gender distribution of </w:t>
      </w:r>
      <w:r w:rsidR="003114A6">
        <w:t xml:space="preserve">patients who initiated </w:t>
      </w:r>
      <w:proofErr w:type="spellStart"/>
      <w:r w:rsidR="003114A6">
        <w:t>somatropin</w:t>
      </w:r>
      <w:proofErr w:type="spellEnd"/>
      <w:r w:rsidR="003114A6">
        <w:t xml:space="preserve"> treatment before the </w:t>
      </w:r>
      <w:proofErr w:type="spellStart"/>
      <w:r w:rsidR="003114A6">
        <w:t>somatropin</w:t>
      </w:r>
      <w:proofErr w:type="spellEnd"/>
      <w:r w:rsidR="003114A6">
        <w:t xml:space="preserve"> listing was extended to include with adult onset growth hormone deficiency </w:t>
      </w:r>
    </w:p>
    <w:p w14:paraId="1762B769" w14:textId="2BA2ED62" w:rsidR="005B09E0" w:rsidRDefault="005B09E0" w:rsidP="007352BF">
      <w:pPr>
        <w:rPr>
          <w:sz w:val="20"/>
          <w:szCs w:val="20"/>
        </w:rPr>
      </w:pPr>
    </w:p>
    <w:p w14:paraId="247984B2" w14:textId="1FEA4777" w:rsidR="003114A6" w:rsidRPr="003114A6" w:rsidRDefault="004E50D5" w:rsidP="007352BF">
      <w:r>
        <w:t xml:space="preserve">Similar to Figure </w:t>
      </w:r>
      <w:r w:rsidR="00B63D64">
        <w:t>4</w:t>
      </w:r>
      <w:r>
        <w:t xml:space="preserve">, in Figure </w:t>
      </w:r>
      <w:r w:rsidR="002C43E3">
        <w:t>6</w:t>
      </w:r>
      <w:r w:rsidR="003114A6">
        <w:t xml:space="preserve"> the age distribution of patients initiating </w:t>
      </w:r>
      <w:proofErr w:type="spellStart"/>
      <w:r w:rsidR="003114A6">
        <w:t>somatropin</w:t>
      </w:r>
      <w:proofErr w:type="spellEnd"/>
      <w:r w:rsidR="003114A6">
        <w:t xml:space="preserve"> treatment </w:t>
      </w:r>
      <w:r w:rsidR="00CE06D1">
        <w:t>is positively skewed, with the majority of patients init</w:t>
      </w:r>
      <w:r w:rsidR="004F3E6A">
        <w:t xml:space="preserve">iating </w:t>
      </w:r>
      <w:proofErr w:type="spellStart"/>
      <w:r w:rsidR="004F3E6A">
        <w:t>somatropin</w:t>
      </w:r>
      <w:proofErr w:type="spellEnd"/>
      <w:r w:rsidR="004F3E6A">
        <w:t xml:space="preserve"> treatment aged</w:t>
      </w:r>
      <w:r w:rsidR="00CE06D1">
        <w:t xml:space="preserve"> </w:t>
      </w:r>
      <w:r w:rsidR="004F3E6A">
        <w:t>up to</w:t>
      </w:r>
      <w:r w:rsidR="00CE06D1">
        <w:t xml:space="preserve"> 19 years. </w:t>
      </w:r>
    </w:p>
    <w:p w14:paraId="469E9474" w14:textId="62B5F513" w:rsidR="00CE06D1" w:rsidRDefault="00CE06D1" w:rsidP="00CE06D1">
      <w:r>
        <w:t>The mean a</w:t>
      </w:r>
      <w:r w:rsidR="0053792E">
        <w:t>ge of initiating patients was 14</w:t>
      </w:r>
      <w:r>
        <w:t xml:space="preserve"> years and a median age of 10 years. The age of patients ranged from 0 to 89 years. </w:t>
      </w:r>
    </w:p>
    <w:p w14:paraId="3C61D1CB" w14:textId="0E237F66" w:rsidR="009A2ECD" w:rsidRDefault="009A2ECD">
      <w:pPr>
        <w:spacing w:line="276" w:lineRule="auto"/>
        <w:rPr>
          <w:b/>
        </w:rPr>
      </w:pPr>
    </w:p>
    <w:p w14:paraId="02DB2B00" w14:textId="1A715448" w:rsidR="00CE06D1" w:rsidRDefault="00CE06D1">
      <w:pPr>
        <w:spacing w:line="276" w:lineRule="auto"/>
        <w:rPr>
          <w:b/>
        </w:rPr>
      </w:pPr>
    </w:p>
    <w:p w14:paraId="08BB1E68" w14:textId="47750572" w:rsidR="00CE06D1" w:rsidRDefault="00CE06D1">
      <w:pPr>
        <w:spacing w:line="276" w:lineRule="auto"/>
        <w:rPr>
          <w:b/>
        </w:rPr>
      </w:pPr>
    </w:p>
    <w:p w14:paraId="6F5EB3E3" w14:textId="77777777" w:rsidR="00CE06D1" w:rsidRDefault="00CE06D1">
      <w:pPr>
        <w:spacing w:line="276" w:lineRule="auto"/>
        <w:rPr>
          <w:b/>
        </w:rPr>
      </w:pPr>
    </w:p>
    <w:p w14:paraId="7DC24FAD" w14:textId="77777777" w:rsidR="00CE06D1" w:rsidRDefault="00CE06D1">
      <w:pPr>
        <w:spacing w:line="276" w:lineRule="auto"/>
        <w:rPr>
          <w:b/>
        </w:rPr>
      </w:pPr>
      <w:r>
        <w:br w:type="page"/>
      </w:r>
    </w:p>
    <w:p w14:paraId="7D65B540" w14:textId="52CF9091" w:rsidR="009A2ECD" w:rsidRDefault="00EB091B" w:rsidP="009A2ECD">
      <w:pPr>
        <w:pStyle w:val="Tabletitle"/>
      </w:pPr>
      <w:r>
        <w:lastRenderedPageBreak/>
        <w:t>Table 5</w:t>
      </w:r>
      <w:r w:rsidR="009A2ECD">
        <w:t>: Est</w:t>
      </w:r>
      <w:r w:rsidR="00A95B30">
        <w:t xml:space="preserve">imated length of treatment </w:t>
      </w:r>
      <w:r w:rsidR="009A2ECD">
        <w:t xml:space="preserve">in patients who began </w:t>
      </w:r>
      <w:proofErr w:type="spellStart"/>
      <w:r w:rsidR="005F760E">
        <w:t>somatropin</w:t>
      </w:r>
      <w:proofErr w:type="spellEnd"/>
      <w:r w:rsidR="005F760E">
        <w:t xml:space="preserve"> </w:t>
      </w:r>
      <w:r w:rsidR="009A2ECD">
        <w:t xml:space="preserve">treatment from 1 </w:t>
      </w:r>
      <w:r w:rsidR="00A95B30">
        <w:t>September 2015</w:t>
      </w:r>
      <w:r w:rsidR="009A2ECD">
        <w:t xml:space="preserve"> and followed to </w:t>
      </w:r>
      <w:r w:rsidR="00A95B30">
        <w:t xml:space="preserve">31 </w:t>
      </w:r>
      <w:r w:rsidR="009A0B33">
        <w:t>December 2020</w:t>
      </w:r>
      <w:r w:rsidR="009A2ECD">
        <w:t xml:space="preserve"> </w:t>
      </w:r>
    </w:p>
    <w:tbl>
      <w:tblPr>
        <w:tblStyle w:val="TableGrid"/>
        <w:tblW w:w="0" w:type="auto"/>
        <w:tblLook w:val="04A0" w:firstRow="1" w:lastRow="0" w:firstColumn="1" w:lastColumn="0" w:noHBand="0" w:noVBand="1"/>
        <w:tblCaption w:val="Table 5: Estimated length of treatment in patients who began somatropin treatment from 1 September 2015 and followed to 31 December 2020 "/>
      </w:tblPr>
      <w:tblGrid>
        <w:gridCol w:w="1677"/>
        <w:gridCol w:w="1682"/>
        <w:gridCol w:w="1852"/>
        <w:gridCol w:w="1915"/>
        <w:gridCol w:w="1813"/>
      </w:tblGrid>
      <w:tr w:rsidR="00196929" w:rsidRPr="00D52674" w14:paraId="424A3D78" w14:textId="77777777" w:rsidTr="000B385E">
        <w:trPr>
          <w:trHeight w:val="225"/>
          <w:tblHeader/>
        </w:trPr>
        <w:tc>
          <w:tcPr>
            <w:tcW w:w="1677" w:type="dxa"/>
            <w:vMerge w:val="restart"/>
            <w:shd w:val="clear" w:color="auto" w:fill="BFBFBF" w:themeFill="background1" w:themeFillShade="BF"/>
          </w:tcPr>
          <w:p w14:paraId="41E74712" w14:textId="77777777" w:rsidR="00196929" w:rsidRPr="00D52674" w:rsidRDefault="00196929" w:rsidP="002A49D1">
            <w:pPr>
              <w:rPr>
                <w:b/>
                <w:sz w:val="20"/>
                <w:szCs w:val="20"/>
              </w:rPr>
            </w:pPr>
            <w:r w:rsidRPr="00D52674">
              <w:rPr>
                <w:b/>
                <w:sz w:val="20"/>
                <w:szCs w:val="20"/>
              </w:rPr>
              <w:t xml:space="preserve">Number of patients </w:t>
            </w:r>
          </w:p>
        </w:tc>
        <w:tc>
          <w:tcPr>
            <w:tcW w:w="1682" w:type="dxa"/>
            <w:vMerge w:val="restart"/>
            <w:shd w:val="clear" w:color="auto" w:fill="BFBFBF" w:themeFill="background1" w:themeFillShade="BF"/>
          </w:tcPr>
          <w:p w14:paraId="609E49E4" w14:textId="77777777" w:rsidR="00196929" w:rsidRPr="00D52674" w:rsidRDefault="00196929" w:rsidP="002A49D1">
            <w:pPr>
              <w:rPr>
                <w:b/>
                <w:sz w:val="20"/>
                <w:szCs w:val="20"/>
              </w:rPr>
            </w:pPr>
            <w:r w:rsidRPr="00D52674">
              <w:rPr>
                <w:b/>
                <w:sz w:val="20"/>
                <w:szCs w:val="20"/>
              </w:rPr>
              <w:t xml:space="preserve">Censored </w:t>
            </w:r>
          </w:p>
        </w:tc>
        <w:tc>
          <w:tcPr>
            <w:tcW w:w="1852" w:type="dxa"/>
            <w:vMerge w:val="restart"/>
            <w:shd w:val="clear" w:color="auto" w:fill="BFBFBF" w:themeFill="background1" w:themeFillShade="BF"/>
          </w:tcPr>
          <w:p w14:paraId="33858D31" w14:textId="797F85AD" w:rsidR="00196929" w:rsidRPr="00D52674" w:rsidRDefault="00196929" w:rsidP="002A49D1">
            <w:pPr>
              <w:rPr>
                <w:b/>
                <w:sz w:val="20"/>
                <w:szCs w:val="20"/>
              </w:rPr>
            </w:pPr>
            <w:r>
              <w:rPr>
                <w:b/>
                <w:sz w:val="20"/>
                <w:szCs w:val="20"/>
              </w:rPr>
              <w:t>Median</w:t>
            </w:r>
            <w:r w:rsidRPr="00D52674">
              <w:rPr>
                <w:b/>
                <w:sz w:val="20"/>
                <w:szCs w:val="20"/>
              </w:rPr>
              <w:t xml:space="preserve"> (months) </w:t>
            </w:r>
          </w:p>
        </w:tc>
        <w:tc>
          <w:tcPr>
            <w:tcW w:w="3728" w:type="dxa"/>
            <w:gridSpan w:val="2"/>
            <w:shd w:val="clear" w:color="auto" w:fill="BFBFBF" w:themeFill="background1" w:themeFillShade="BF"/>
          </w:tcPr>
          <w:p w14:paraId="2CD35400" w14:textId="77777777" w:rsidR="00196929" w:rsidRPr="00D52674" w:rsidRDefault="00196929" w:rsidP="002A49D1">
            <w:pPr>
              <w:rPr>
                <w:b/>
                <w:sz w:val="20"/>
                <w:szCs w:val="20"/>
              </w:rPr>
            </w:pPr>
            <w:r w:rsidRPr="00D52674">
              <w:rPr>
                <w:b/>
                <w:sz w:val="20"/>
                <w:szCs w:val="20"/>
              </w:rPr>
              <w:t>95% confidence interval (months)</w:t>
            </w:r>
          </w:p>
        </w:tc>
      </w:tr>
      <w:tr w:rsidR="00196929" w:rsidRPr="00D52674" w14:paraId="6D0B6A42" w14:textId="77777777" w:rsidTr="000B385E">
        <w:trPr>
          <w:trHeight w:val="225"/>
          <w:tblHeader/>
        </w:trPr>
        <w:tc>
          <w:tcPr>
            <w:tcW w:w="1677" w:type="dxa"/>
            <w:vMerge/>
            <w:shd w:val="clear" w:color="auto" w:fill="BFBFBF" w:themeFill="background1" w:themeFillShade="BF"/>
          </w:tcPr>
          <w:p w14:paraId="35250AA6" w14:textId="77777777" w:rsidR="00196929" w:rsidRPr="00D52674" w:rsidRDefault="00196929" w:rsidP="002A49D1">
            <w:pPr>
              <w:rPr>
                <w:b/>
                <w:sz w:val="20"/>
                <w:szCs w:val="20"/>
              </w:rPr>
            </w:pPr>
          </w:p>
        </w:tc>
        <w:tc>
          <w:tcPr>
            <w:tcW w:w="1682" w:type="dxa"/>
            <w:vMerge/>
            <w:shd w:val="clear" w:color="auto" w:fill="BFBFBF" w:themeFill="background1" w:themeFillShade="BF"/>
          </w:tcPr>
          <w:p w14:paraId="691644EA" w14:textId="77777777" w:rsidR="00196929" w:rsidRPr="00D52674" w:rsidRDefault="00196929" w:rsidP="002A49D1">
            <w:pPr>
              <w:rPr>
                <w:b/>
                <w:sz w:val="20"/>
                <w:szCs w:val="20"/>
              </w:rPr>
            </w:pPr>
          </w:p>
        </w:tc>
        <w:tc>
          <w:tcPr>
            <w:tcW w:w="1852" w:type="dxa"/>
            <w:vMerge/>
            <w:shd w:val="clear" w:color="auto" w:fill="BFBFBF" w:themeFill="background1" w:themeFillShade="BF"/>
          </w:tcPr>
          <w:p w14:paraId="165EB135" w14:textId="77777777" w:rsidR="00196929" w:rsidRPr="00D52674" w:rsidRDefault="00196929" w:rsidP="002A49D1">
            <w:pPr>
              <w:rPr>
                <w:b/>
                <w:sz w:val="20"/>
                <w:szCs w:val="20"/>
              </w:rPr>
            </w:pPr>
          </w:p>
        </w:tc>
        <w:tc>
          <w:tcPr>
            <w:tcW w:w="1915" w:type="dxa"/>
            <w:shd w:val="clear" w:color="auto" w:fill="BFBFBF" w:themeFill="background1" w:themeFillShade="BF"/>
          </w:tcPr>
          <w:p w14:paraId="0BAFD178" w14:textId="77777777" w:rsidR="00196929" w:rsidRPr="00D52674" w:rsidRDefault="00196929" w:rsidP="002A49D1">
            <w:pPr>
              <w:rPr>
                <w:b/>
                <w:sz w:val="20"/>
                <w:szCs w:val="20"/>
              </w:rPr>
            </w:pPr>
            <w:r w:rsidRPr="00D52674">
              <w:rPr>
                <w:b/>
                <w:sz w:val="20"/>
                <w:szCs w:val="20"/>
              </w:rPr>
              <w:t>Lower Limit</w:t>
            </w:r>
          </w:p>
        </w:tc>
        <w:tc>
          <w:tcPr>
            <w:tcW w:w="1813" w:type="dxa"/>
            <w:shd w:val="clear" w:color="auto" w:fill="BFBFBF" w:themeFill="background1" w:themeFillShade="BF"/>
          </w:tcPr>
          <w:p w14:paraId="73039F83" w14:textId="77777777" w:rsidR="00196929" w:rsidRPr="00D52674" w:rsidRDefault="00196929" w:rsidP="002A49D1">
            <w:pPr>
              <w:rPr>
                <w:b/>
                <w:sz w:val="20"/>
                <w:szCs w:val="20"/>
              </w:rPr>
            </w:pPr>
            <w:r w:rsidRPr="00D52674">
              <w:rPr>
                <w:b/>
                <w:sz w:val="20"/>
                <w:szCs w:val="20"/>
              </w:rPr>
              <w:t>Upper Limit</w:t>
            </w:r>
          </w:p>
        </w:tc>
      </w:tr>
      <w:tr w:rsidR="00196929" w:rsidRPr="00D52674" w14:paraId="6EF149C1" w14:textId="77777777" w:rsidTr="00196929">
        <w:trPr>
          <w:trHeight w:val="296"/>
        </w:trPr>
        <w:tc>
          <w:tcPr>
            <w:tcW w:w="1677" w:type="dxa"/>
          </w:tcPr>
          <w:p w14:paraId="69F867FA" w14:textId="247DAF94" w:rsidR="00196929" w:rsidRPr="00D52674" w:rsidRDefault="00196929" w:rsidP="00D60B86">
            <w:pPr>
              <w:jc w:val="center"/>
              <w:rPr>
                <w:sz w:val="20"/>
                <w:szCs w:val="20"/>
              </w:rPr>
            </w:pPr>
            <w:r>
              <w:rPr>
                <w:sz w:val="20"/>
                <w:szCs w:val="20"/>
              </w:rPr>
              <w:t>4,</w:t>
            </w:r>
            <w:r w:rsidR="00D60B86">
              <w:rPr>
                <w:sz w:val="20"/>
                <w:szCs w:val="20"/>
              </w:rPr>
              <w:t>354</w:t>
            </w:r>
          </w:p>
        </w:tc>
        <w:tc>
          <w:tcPr>
            <w:tcW w:w="1682" w:type="dxa"/>
          </w:tcPr>
          <w:p w14:paraId="79B9C15A" w14:textId="3FBD28FA" w:rsidR="00196929" w:rsidRPr="00D52674" w:rsidRDefault="00D60B86" w:rsidP="00D60B86">
            <w:pPr>
              <w:jc w:val="center"/>
              <w:rPr>
                <w:sz w:val="20"/>
                <w:szCs w:val="20"/>
              </w:rPr>
            </w:pPr>
            <w:r>
              <w:rPr>
                <w:sz w:val="20"/>
                <w:szCs w:val="20"/>
              </w:rPr>
              <w:t>2,482</w:t>
            </w:r>
          </w:p>
        </w:tc>
        <w:tc>
          <w:tcPr>
            <w:tcW w:w="1852" w:type="dxa"/>
          </w:tcPr>
          <w:p w14:paraId="663B8A3C" w14:textId="13F12870" w:rsidR="00196929" w:rsidRPr="00D52674" w:rsidRDefault="00D60B86" w:rsidP="002A49D1">
            <w:pPr>
              <w:jc w:val="center"/>
              <w:rPr>
                <w:sz w:val="20"/>
                <w:szCs w:val="20"/>
              </w:rPr>
            </w:pPr>
            <w:r>
              <w:rPr>
                <w:sz w:val="20"/>
                <w:szCs w:val="20"/>
              </w:rPr>
              <w:t>48.82</w:t>
            </w:r>
          </w:p>
        </w:tc>
        <w:tc>
          <w:tcPr>
            <w:tcW w:w="1915" w:type="dxa"/>
          </w:tcPr>
          <w:p w14:paraId="64627D0D" w14:textId="7BE4C073" w:rsidR="00196929" w:rsidRPr="00D52674" w:rsidRDefault="00D60B86" w:rsidP="002A49D1">
            <w:pPr>
              <w:jc w:val="center"/>
              <w:rPr>
                <w:sz w:val="20"/>
                <w:szCs w:val="20"/>
              </w:rPr>
            </w:pPr>
            <w:r>
              <w:rPr>
                <w:sz w:val="20"/>
                <w:szCs w:val="20"/>
              </w:rPr>
              <w:t>46.91</w:t>
            </w:r>
          </w:p>
        </w:tc>
        <w:tc>
          <w:tcPr>
            <w:tcW w:w="1813" w:type="dxa"/>
          </w:tcPr>
          <w:p w14:paraId="3164467F" w14:textId="1ACA8AC4" w:rsidR="00196929" w:rsidRPr="00D52674" w:rsidRDefault="00D60B86" w:rsidP="002A49D1">
            <w:pPr>
              <w:jc w:val="center"/>
              <w:rPr>
                <w:sz w:val="20"/>
                <w:szCs w:val="20"/>
              </w:rPr>
            </w:pPr>
            <w:r>
              <w:rPr>
                <w:sz w:val="20"/>
                <w:szCs w:val="20"/>
              </w:rPr>
              <w:t>51.02</w:t>
            </w:r>
          </w:p>
        </w:tc>
      </w:tr>
    </w:tbl>
    <w:p w14:paraId="2A927D0E" w14:textId="7D7B20B7" w:rsidR="00620BFE" w:rsidRDefault="00620BFE" w:rsidP="00620BFE"/>
    <w:p w14:paraId="0EEFAD4C" w14:textId="77777777" w:rsidR="00620BFE" w:rsidRDefault="00620BFE" w:rsidP="00620BFE">
      <w:pPr>
        <w:jc w:val="center"/>
      </w:pPr>
    </w:p>
    <w:p w14:paraId="58A39640" w14:textId="1F4FFD21" w:rsidR="00620BFE" w:rsidRDefault="00620BFE" w:rsidP="00620BFE">
      <w:pPr>
        <w:jc w:val="center"/>
      </w:pPr>
      <w:r>
        <w:rPr>
          <w:noProof/>
        </w:rPr>
        <w:drawing>
          <wp:inline distT="0" distB="0" distL="0" distR="0" wp14:anchorId="5AAE944F" wp14:editId="79BF41D0">
            <wp:extent cx="4829339" cy="3621600"/>
            <wp:effectExtent l="0" t="0" r="0" b="0"/>
            <wp:docPr id="21" name="Picture 21" descr="img0.png" title="Figure 7: Kaplan-Meier curve of somatropin treatment duration without accounting for breaks in patients who initiated from 1 September 2015 and followed to 31 Dec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29339" cy="3621600"/>
                    </a:xfrm>
                    <a:prstGeom prst="rect">
                      <a:avLst/>
                    </a:prstGeom>
                    <a:noFill/>
                    <a:ln>
                      <a:noFill/>
                    </a:ln>
                  </pic:spPr>
                </pic:pic>
              </a:graphicData>
            </a:graphic>
          </wp:inline>
        </w:drawing>
      </w:r>
    </w:p>
    <w:p w14:paraId="598217C4" w14:textId="61A9B891" w:rsidR="000F68E7" w:rsidRDefault="004E50D5" w:rsidP="009A2ECD">
      <w:pPr>
        <w:pStyle w:val="Tabletitle"/>
      </w:pPr>
      <w:r>
        <w:t xml:space="preserve">Figure </w:t>
      </w:r>
      <w:r w:rsidR="00B63D64">
        <w:t>7</w:t>
      </w:r>
      <w:r w:rsidR="00885ED1">
        <w:t xml:space="preserve">: </w:t>
      </w:r>
      <w:r w:rsidR="009A2ECD">
        <w:t>Kaplan</w:t>
      </w:r>
      <w:r w:rsidR="00220756">
        <w:t>-</w:t>
      </w:r>
      <w:r w:rsidR="009A2ECD">
        <w:t xml:space="preserve">Meier curve of </w:t>
      </w:r>
      <w:proofErr w:type="spellStart"/>
      <w:r w:rsidR="009A2ECD">
        <w:t>somatropin</w:t>
      </w:r>
      <w:proofErr w:type="spellEnd"/>
      <w:r w:rsidR="009A2ECD">
        <w:t xml:space="preserve"> treatment duration without accounting for breaks in patients who initiated from 1 September 2015 and followed to </w:t>
      </w:r>
      <w:r w:rsidR="009A0B33">
        <w:t>31 De</w:t>
      </w:r>
      <w:r w:rsidR="00D60B86">
        <w:t>cember 2020</w:t>
      </w:r>
    </w:p>
    <w:p w14:paraId="6472D89E" w14:textId="77777777" w:rsidR="000F68E7" w:rsidRDefault="000F68E7">
      <w:pPr>
        <w:spacing w:line="276" w:lineRule="auto"/>
      </w:pPr>
      <w:r>
        <w:rPr>
          <w:b/>
        </w:rPr>
        <w:br w:type="page"/>
      </w:r>
    </w:p>
    <w:p w14:paraId="313A76CA" w14:textId="348AD972" w:rsidR="009A2ECD" w:rsidRPr="0052398A" w:rsidRDefault="00EB091B" w:rsidP="009A2ECD">
      <w:pPr>
        <w:pStyle w:val="Tabletitle"/>
      </w:pPr>
      <w:r>
        <w:lastRenderedPageBreak/>
        <w:t>Table 6</w:t>
      </w:r>
      <w:r w:rsidR="009A2ECD">
        <w:t>: Estimated</w:t>
      </w:r>
      <w:r w:rsidR="00A95B30">
        <w:t xml:space="preserve"> length of treatment from</w:t>
      </w:r>
      <w:r w:rsidR="009A2ECD">
        <w:t xml:space="preserve"> in patients who began </w:t>
      </w:r>
      <w:proofErr w:type="spellStart"/>
      <w:r w:rsidR="005F760E">
        <w:t>somatropin</w:t>
      </w:r>
      <w:proofErr w:type="spellEnd"/>
      <w:r w:rsidR="005F760E">
        <w:t xml:space="preserve"> </w:t>
      </w:r>
      <w:r w:rsidR="009A2ECD">
        <w:t xml:space="preserve">treatment from 1 </w:t>
      </w:r>
      <w:r w:rsidR="00A95B30">
        <w:t>Septemb</w:t>
      </w:r>
      <w:r w:rsidR="000F68E7">
        <w:t>er 2015 and followed to 31 December 2020</w:t>
      </w:r>
      <w:r w:rsidR="009A2ECD">
        <w:t>, accounting for breaks</w:t>
      </w:r>
    </w:p>
    <w:tbl>
      <w:tblPr>
        <w:tblStyle w:val="TableGrid"/>
        <w:tblW w:w="8915" w:type="dxa"/>
        <w:tblLook w:val="04A0" w:firstRow="1" w:lastRow="0" w:firstColumn="1" w:lastColumn="0" w:noHBand="0" w:noVBand="1"/>
        <w:tblCaption w:val="Table 6: Estimated length of treatment from in patients who began somatropin treatment from 1 September 2015 and followed to 31 December 2020, accounting for breaks"/>
      </w:tblPr>
      <w:tblGrid>
        <w:gridCol w:w="1821"/>
        <w:gridCol w:w="1637"/>
        <w:gridCol w:w="1876"/>
        <w:gridCol w:w="1830"/>
        <w:gridCol w:w="1751"/>
      </w:tblGrid>
      <w:tr w:rsidR="00A95B30" w14:paraId="5FF45C07" w14:textId="77777777" w:rsidTr="000B385E">
        <w:trPr>
          <w:trHeight w:val="72"/>
          <w:tblHeader/>
        </w:trPr>
        <w:tc>
          <w:tcPr>
            <w:tcW w:w="1821" w:type="dxa"/>
            <w:vMerge w:val="restart"/>
            <w:shd w:val="clear" w:color="auto" w:fill="BFBFBF" w:themeFill="background1" w:themeFillShade="BF"/>
          </w:tcPr>
          <w:p w14:paraId="2AEBFAAD" w14:textId="77777777" w:rsidR="00A95B30" w:rsidRPr="005F5BA5" w:rsidRDefault="00A95B30" w:rsidP="002A49D1">
            <w:pPr>
              <w:rPr>
                <w:b/>
                <w:sz w:val="20"/>
                <w:szCs w:val="20"/>
              </w:rPr>
            </w:pPr>
            <w:r w:rsidRPr="005F5BA5">
              <w:rPr>
                <w:b/>
                <w:sz w:val="20"/>
                <w:szCs w:val="20"/>
              </w:rPr>
              <w:t xml:space="preserve">Number of patients </w:t>
            </w:r>
          </w:p>
        </w:tc>
        <w:tc>
          <w:tcPr>
            <w:tcW w:w="1637" w:type="dxa"/>
            <w:vMerge w:val="restart"/>
            <w:shd w:val="clear" w:color="auto" w:fill="BFBFBF" w:themeFill="background1" w:themeFillShade="BF"/>
          </w:tcPr>
          <w:p w14:paraId="39FC89C7" w14:textId="77777777" w:rsidR="00A95B30" w:rsidRPr="005F5BA5" w:rsidRDefault="00A95B30" w:rsidP="002A49D1">
            <w:pPr>
              <w:rPr>
                <w:b/>
                <w:sz w:val="20"/>
                <w:szCs w:val="20"/>
              </w:rPr>
            </w:pPr>
            <w:r w:rsidRPr="005F5BA5">
              <w:rPr>
                <w:b/>
                <w:sz w:val="20"/>
                <w:szCs w:val="20"/>
              </w:rPr>
              <w:t xml:space="preserve">Censored </w:t>
            </w:r>
          </w:p>
        </w:tc>
        <w:tc>
          <w:tcPr>
            <w:tcW w:w="1876" w:type="dxa"/>
            <w:vMerge w:val="restart"/>
            <w:shd w:val="clear" w:color="auto" w:fill="BFBFBF" w:themeFill="background1" w:themeFillShade="BF"/>
          </w:tcPr>
          <w:p w14:paraId="283E6359" w14:textId="7823EEEF" w:rsidR="00A95B30" w:rsidRPr="005F5BA5" w:rsidRDefault="00A95B30" w:rsidP="002A49D1">
            <w:pPr>
              <w:rPr>
                <w:b/>
                <w:sz w:val="20"/>
                <w:szCs w:val="20"/>
              </w:rPr>
            </w:pPr>
            <w:r w:rsidRPr="005F5BA5">
              <w:rPr>
                <w:b/>
                <w:sz w:val="20"/>
                <w:szCs w:val="20"/>
              </w:rPr>
              <w:t>Me</w:t>
            </w:r>
            <w:r>
              <w:rPr>
                <w:b/>
                <w:sz w:val="20"/>
                <w:szCs w:val="20"/>
              </w:rPr>
              <w:t>di</w:t>
            </w:r>
            <w:r w:rsidRPr="005F5BA5">
              <w:rPr>
                <w:b/>
                <w:sz w:val="20"/>
                <w:szCs w:val="20"/>
              </w:rPr>
              <w:t xml:space="preserve">an (months) </w:t>
            </w:r>
          </w:p>
        </w:tc>
        <w:tc>
          <w:tcPr>
            <w:tcW w:w="3581" w:type="dxa"/>
            <w:gridSpan w:val="2"/>
            <w:shd w:val="clear" w:color="auto" w:fill="BFBFBF" w:themeFill="background1" w:themeFillShade="BF"/>
          </w:tcPr>
          <w:p w14:paraId="58235EB0" w14:textId="77777777" w:rsidR="00A95B30" w:rsidRPr="005F5BA5" w:rsidRDefault="00A95B30" w:rsidP="002A49D1">
            <w:pPr>
              <w:rPr>
                <w:b/>
                <w:sz w:val="20"/>
                <w:szCs w:val="20"/>
              </w:rPr>
            </w:pPr>
            <w:r w:rsidRPr="005F5BA5">
              <w:rPr>
                <w:b/>
                <w:sz w:val="20"/>
                <w:szCs w:val="20"/>
              </w:rPr>
              <w:t>95% confidence interval (months)</w:t>
            </w:r>
          </w:p>
        </w:tc>
      </w:tr>
      <w:tr w:rsidR="00A95B30" w14:paraId="3BFAC294" w14:textId="77777777" w:rsidTr="000B385E">
        <w:trPr>
          <w:trHeight w:val="243"/>
          <w:tblHeader/>
        </w:trPr>
        <w:tc>
          <w:tcPr>
            <w:tcW w:w="1821" w:type="dxa"/>
            <w:vMerge/>
            <w:shd w:val="clear" w:color="auto" w:fill="BFBFBF" w:themeFill="background1" w:themeFillShade="BF"/>
          </w:tcPr>
          <w:p w14:paraId="3C7B6D6F" w14:textId="77777777" w:rsidR="00A95B30" w:rsidRPr="005F5BA5" w:rsidRDefault="00A95B30" w:rsidP="002A49D1">
            <w:pPr>
              <w:rPr>
                <w:b/>
                <w:sz w:val="20"/>
                <w:szCs w:val="20"/>
              </w:rPr>
            </w:pPr>
          </w:p>
        </w:tc>
        <w:tc>
          <w:tcPr>
            <w:tcW w:w="1637" w:type="dxa"/>
            <w:vMerge/>
            <w:shd w:val="clear" w:color="auto" w:fill="BFBFBF" w:themeFill="background1" w:themeFillShade="BF"/>
          </w:tcPr>
          <w:p w14:paraId="6621FC96" w14:textId="77777777" w:rsidR="00A95B30" w:rsidRPr="005F5BA5" w:rsidRDefault="00A95B30" w:rsidP="002A49D1">
            <w:pPr>
              <w:rPr>
                <w:b/>
                <w:sz w:val="20"/>
                <w:szCs w:val="20"/>
              </w:rPr>
            </w:pPr>
          </w:p>
        </w:tc>
        <w:tc>
          <w:tcPr>
            <w:tcW w:w="1876" w:type="dxa"/>
            <w:vMerge/>
            <w:shd w:val="clear" w:color="auto" w:fill="BFBFBF" w:themeFill="background1" w:themeFillShade="BF"/>
          </w:tcPr>
          <w:p w14:paraId="40E3E859" w14:textId="77777777" w:rsidR="00A95B30" w:rsidRPr="005F5BA5" w:rsidRDefault="00A95B30" w:rsidP="002A49D1">
            <w:pPr>
              <w:rPr>
                <w:b/>
                <w:sz w:val="20"/>
                <w:szCs w:val="20"/>
              </w:rPr>
            </w:pPr>
          </w:p>
        </w:tc>
        <w:tc>
          <w:tcPr>
            <w:tcW w:w="1830" w:type="dxa"/>
            <w:shd w:val="clear" w:color="auto" w:fill="BFBFBF" w:themeFill="background1" w:themeFillShade="BF"/>
          </w:tcPr>
          <w:p w14:paraId="2537B2EA" w14:textId="77777777" w:rsidR="00A95B30" w:rsidRPr="005F5BA5" w:rsidRDefault="00A95B30" w:rsidP="002A49D1">
            <w:pPr>
              <w:rPr>
                <w:b/>
                <w:sz w:val="20"/>
                <w:szCs w:val="20"/>
              </w:rPr>
            </w:pPr>
            <w:r w:rsidRPr="005F5BA5">
              <w:rPr>
                <w:b/>
                <w:sz w:val="20"/>
                <w:szCs w:val="20"/>
              </w:rPr>
              <w:t>Lower Limit</w:t>
            </w:r>
          </w:p>
        </w:tc>
        <w:tc>
          <w:tcPr>
            <w:tcW w:w="1751" w:type="dxa"/>
            <w:shd w:val="clear" w:color="auto" w:fill="BFBFBF" w:themeFill="background1" w:themeFillShade="BF"/>
          </w:tcPr>
          <w:p w14:paraId="64D78AF5" w14:textId="77777777" w:rsidR="00A95B30" w:rsidRPr="005F5BA5" w:rsidRDefault="00A95B30" w:rsidP="002A49D1">
            <w:pPr>
              <w:rPr>
                <w:b/>
                <w:sz w:val="20"/>
                <w:szCs w:val="20"/>
              </w:rPr>
            </w:pPr>
            <w:r w:rsidRPr="005F5BA5">
              <w:rPr>
                <w:b/>
                <w:sz w:val="20"/>
                <w:szCs w:val="20"/>
              </w:rPr>
              <w:t>Upper Limit</w:t>
            </w:r>
          </w:p>
        </w:tc>
      </w:tr>
      <w:tr w:rsidR="00A95B30" w14:paraId="398D5AFA" w14:textId="77777777" w:rsidTr="000F68E7">
        <w:trPr>
          <w:trHeight w:val="272"/>
        </w:trPr>
        <w:tc>
          <w:tcPr>
            <w:tcW w:w="1821" w:type="dxa"/>
          </w:tcPr>
          <w:p w14:paraId="1E077EFC" w14:textId="79FF7080" w:rsidR="00A95B30" w:rsidRPr="00D52674" w:rsidRDefault="000F68E7" w:rsidP="002A49D1">
            <w:pPr>
              <w:jc w:val="center"/>
              <w:rPr>
                <w:sz w:val="20"/>
                <w:szCs w:val="20"/>
              </w:rPr>
            </w:pPr>
            <w:r>
              <w:rPr>
                <w:sz w:val="20"/>
                <w:szCs w:val="20"/>
              </w:rPr>
              <w:t>4,354</w:t>
            </w:r>
          </w:p>
        </w:tc>
        <w:tc>
          <w:tcPr>
            <w:tcW w:w="1637" w:type="dxa"/>
          </w:tcPr>
          <w:p w14:paraId="209F4D82" w14:textId="7263FA29" w:rsidR="00A95B30" w:rsidRPr="00D52674" w:rsidRDefault="000F68E7" w:rsidP="002A49D1">
            <w:pPr>
              <w:jc w:val="center"/>
              <w:rPr>
                <w:sz w:val="20"/>
                <w:szCs w:val="20"/>
              </w:rPr>
            </w:pPr>
            <w:r>
              <w:rPr>
                <w:sz w:val="20"/>
                <w:szCs w:val="20"/>
              </w:rPr>
              <w:t>2,482</w:t>
            </w:r>
          </w:p>
        </w:tc>
        <w:tc>
          <w:tcPr>
            <w:tcW w:w="1876" w:type="dxa"/>
          </w:tcPr>
          <w:p w14:paraId="1A6D4467" w14:textId="4413C08B" w:rsidR="00A95B30" w:rsidRPr="00D52674" w:rsidRDefault="000F68E7" w:rsidP="002A49D1">
            <w:pPr>
              <w:jc w:val="center"/>
              <w:rPr>
                <w:sz w:val="20"/>
                <w:szCs w:val="20"/>
              </w:rPr>
            </w:pPr>
            <w:r>
              <w:rPr>
                <w:sz w:val="20"/>
                <w:szCs w:val="20"/>
              </w:rPr>
              <w:t>44.58</w:t>
            </w:r>
          </w:p>
        </w:tc>
        <w:tc>
          <w:tcPr>
            <w:tcW w:w="1830" w:type="dxa"/>
          </w:tcPr>
          <w:p w14:paraId="4A7D0953" w14:textId="7C8DA067" w:rsidR="00A95B30" w:rsidRPr="00D52674" w:rsidRDefault="000F68E7" w:rsidP="002A49D1">
            <w:pPr>
              <w:jc w:val="center"/>
              <w:rPr>
                <w:sz w:val="20"/>
                <w:szCs w:val="20"/>
              </w:rPr>
            </w:pPr>
            <w:r>
              <w:rPr>
                <w:sz w:val="20"/>
                <w:szCs w:val="20"/>
              </w:rPr>
              <w:t>42.11</w:t>
            </w:r>
          </w:p>
        </w:tc>
        <w:tc>
          <w:tcPr>
            <w:tcW w:w="1751" w:type="dxa"/>
          </w:tcPr>
          <w:p w14:paraId="39DB9FC7" w14:textId="6C837D63" w:rsidR="00A95B30" w:rsidRPr="00D52674" w:rsidRDefault="000F68E7" w:rsidP="002A49D1">
            <w:pPr>
              <w:jc w:val="center"/>
              <w:rPr>
                <w:sz w:val="20"/>
                <w:szCs w:val="20"/>
              </w:rPr>
            </w:pPr>
            <w:r>
              <w:rPr>
                <w:sz w:val="20"/>
                <w:szCs w:val="20"/>
              </w:rPr>
              <w:t>46.91</w:t>
            </w:r>
          </w:p>
        </w:tc>
      </w:tr>
    </w:tbl>
    <w:p w14:paraId="34D69863" w14:textId="5FC256F1" w:rsidR="009A2ECD" w:rsidRDefault="009A2ECD" w:rsidP="00620BFE">
      <w:pPr>
        <w:jc w:val="center"/>
      </w:pPr>
    </w:p>
    <w:p w14:paraId="571F894C" w14:textId="3FB5A432" w:rsidR="004D57C8" w:rsidRDefault="004D57C8" w:rsidP="005270F0">
      <w:pPr>
        <w:jc w:val="center"/>
      </w:pPr>
      <w:r>
        <w:rPr>
          <w:noProof/>
        </w:rPr>
        <w:drawing>
          <wp:inline distT="0" distB="0" distL="0" distR="0" wp14:anchorId="3668E184" wp14:editId="0D842AC6">
            <wp:extent cx="4830792" cy="3623094"/>
            <wp:effectExtent l="0" t="0" r="8255" b="0"/>
            <wp:docPr id="22" name="Picture 22" descr="img0.png" title="Figure 8: Kaplan-Meier curve of somatropin treatment duration accounting for breaks in patients who initiated from 1 September 2015 followed to 31 December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45290" cy="3633967"/>
                    </a:xfrm>
                    <a:prstGeom prst="rect">
                      <a:avLst/>
                    </a:prstGeom>
                    <a:noFill/>
                    <a:ln>
                      <a:noFill/>
                    </a:ln>
                  </pic:spPr>
                </pic:pic>
              </a:graphicData>
            </a:graphic>
          </wp:inline>
        </w:drawing>
      </w:r>
    </w:p>
    <w:p w14:paraId="2FA835A1" w14:textId="6B4D6211" w:rsidR="00286802" w:rsidRDefault="004E50D5" w:rsidP="00885ED1">
      <w:pPr>
        <w:pStyle w:val="Tabletitle"/>
      </w:pPr>
      <w:r>
        <w:t xml:space="preserve">Figure </w:t>
      </w:r>
      <w:r w:rsidR="00B63D64">
        <w:t>8</w:t>
      </w:r>
      <w:r w:rsidR="00885ED1">
        <w:t xml:space="preserve">: </w:t>
      </w:r>
      <w:r w:rsidR="009A2ECD">
        <w:t>Kaplan</w:t>
      </w:r>
      <w:r w:rsidR="00220756">
        <w:t>-</w:t>
      </w:r>
      <w:r w:rsidR="009A2ECD">
        <w:t xml:space="preserve">Meier curve of </w:t>
      </w:r>
      <w:proofErr w:type="spellStart"/>
      <w:r w:rsidR="009A2ECD">
        <w:t>somatropin</w:t>
      </w:r>
      <w:proofErr w:type="spellEnd"/>
      <w:r w:rsidR="009A2ECD">
        <w:t xml:space="preserve"> treatment duration accounting for breaks in </w:t>
      </w:r>
      <w:r w:rsidR="00E055C5">
        <w:t>patients</w:t>
      </w:r>
      <w:r w:rsidR="009A2ECD">
        <w:t xml:space="preserve"> who </w:t>
      </w:r>
      <w:r w:rsidR="00E055C5">
        <w:t>initiated</w:t>
      </w:r>
      <w:r w:rsidR="009A2ECD">
        <w:t xml:space="preserve"> from 1 September 2015 f</w:t>
      </w:r>
      <w:r w:rsidR="00286802">
        <w:t>ollowe</w:t>
      </w:r>
      <w:r w:rsidR="000F68E7">
        <w:t>d to 31 December 2020</w:t>
      </w:r>
      <w:r w:rsidR="00286802">
        <w:t xml:space="preserve"> </w:t>
      </w:r>
    </w:p>
    <w:p w14:paraId="5CAED405" w14:textId="61590A7C" w:rsidR="00D46653" w:rsidRDefault="00D46653" w:rsidP="00286802">
      <w:pPr>
        <w:spacing w:line="276" w:lineRule="auto"/>
      </w:pPr>
    </w:p>
    <w:p w14:paraId="2FF41F33" w14:textId="403E0768" w:rsidR="00D46653" w:rsidRDefault="00D46653" w:rsidP="00286802">
      <w:pPr>
        <w:spacing w:line="276" w:lineRule="auto"/>
      </w:pPr>
    </w:p>
    <w:p w14:paraId="26AEE63E" w14:textId="77777777" w:rsidR="00D46653" w:rsidRDefault="00D46653" w:rsidP="00286802">
      <w:pPr>
        <w:spacing w:line="276" w:lineRule="auto"/>
      </w:pPr>
    </w:p>
    <w:p w14:paraId="7AD5E075" w14:textId="33AD0465" w:rsidR="00D46653" w:rsidRDefault="00D46653" w:rsidP="00286802">
      <w:pPr>
        <w:spacing w:line="276" w:lineRule="auto"/>
      </w:pPr>
    </w:p>
    <w:p w14:paraId="0F8E6BD0" w14:textId="47E3F966" w:rsidR="00D46653" w:rsidRDefault="00D46653" w:rsidP="00286802">
      <w:pPr>
        <w:spacing w:line="276" w:lineRule="auto"/>
      </w:pPr>
    </w:p>
    <w:p w14:paraId="0FE3A47C" w14:textId="26D0D579" w:rsidR="00D46653" w:rsidRDefault="00D46653" w:rsidP="00286802">
      <w:pPr>
        <w:spacing w:line="276" w:lineRule="auto"/>
      </w:pPr>
    </w:p>
    <w:p w14:paraId="5CA75F0A" w14:textId="09455C55" w:rsidR="00D46653" w:rsidRDefault="00D46653" w:rsidP="00286802">
      <w:pPr>
        <w:spacing w:line="276" w:lineRule="auto"/>
        <w:sectPr w:rsidR="00D46653" w:rsidSect="00DD188C">
          <w:headerReference w:type="even" r:id="rId37"/>
          <w:headerReference w:type="default" r:id="rId38"/>
          <w:footerReference w:type="even" r:id="rId39"/>
          <w:footerReference w:type="default" r:id="rId40"/>
          <w:headerReference w:type="first" r:id="rId41"/>
          <w:footerReference w:type="first" r:id="rId42"/>
          <w:pgSz w:w="11906" w:h="16838"/>
          <w:pgMar w:top="1644" w:right="1361" w:bottom="1644" w:left="1588" w:header="709" w:footer="709" w:gutter="0"/>
          <w:cols w:space="708"/>
          <w:docGrid w:linePitch="360"/>
        </w:sectPr>
      </w:pPr>
    </w:p>
    <w:p w14:paraId="02E2EBF1" w14:textId="2255D3F0" w:rsidR="00E055C5" w:rsidRDefault="00E055C5" w:rsidP="003346E4"/>
    <w:p w14:paraId="14A88D12" w14:textId="52D15DB4" w:rsidR="00743415" w:rsidRDefault="00531093" w:rsidP="008047BC">
      <w:pPr>
        <w:jc w:val="center"/>
      </w:pPr>
      <w:r>
        <w:rPr>
          <w:noProof/>
        </w:rPr>
        <w:drawing>
          <wp:inline distT="0" distB="0" distL="0" distR="0" wp14:anchorId="4ACC4EC8" wp14:editId="41ABFE7C">
            <wp:extent cx="5687695" cy="4204970"/>
            <wp:effectExtent l="0" t="0" r="8255" b="5080"/>
            <wp:docPr id="15" name="Chart 15" title="Figure 9: Number of unique authority approvals according to indication from 1 September 2015 followed to 30 Dec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404B851" w14:textId="3F0D5020" w:rsidR="00743415" w:rsidRDefault="00D46653" w:rsidP="00E055C5">
      <w:pPr>
        <w:pStyle w:val="Tabletitle"/>
      </w:pPr>
      <w:r>
        <w:t xml:space="preserve">Figure </w:t>
      </w:r>
      <w:r w:rsidR="00B63D64">
        <w:t>9</w:t>
      </w:r>
      <w:r>
        <w:t xml:space="preserve">: </w:t>
      </w:r>
      <w:r w:rsidR="00E055C5">
        <w:t xml:space="preserve">Number of </w:t>
      </w:r>
      <w:r w:rsidR="00531093">
        <w:t xml:space="preserve">unique </w:t>
      </w:r>
      <w:r w:rsidR="00E055C5">
        <w:t>authority approvals according to indication from</w:t>
      </w:r>
      <w:r>
        <w:t xml:space="preserve"> 1 September 2015 followed to </w:t>
      </w:r>
      <w:r w:rsidR="008047BC">
        <w:t>30 December 2020</w:t>
      </w:r>
    </w:p>
    <w:p w14:paraId="5C93E0E4" w14:textId="77777777" w:rsidR="00827B0E" w:rsidRDefault="00743415" w:rsidP="00BE6515">
      <w:pPr>
        <w:spacing w:line="276" w:lineRule="auto"/>
        <w:rPr>
          <w:sz w:val="20"/>
          <w:szCs w:val="20"/>
        </w:rPr>
      </w:pPr>
      <w:r>
        <w:rPr>
          <w:sz w:val="20"/>
          <w:szCs w:val="20"/>
        </w:rPr>
        <w:t>Note: 0.73% of authority applications did not have an indication.</w:t>
      </w:r>
    </w:p>
    <w:p w14:paraId="3D0A2C9E" w14:textId="7AB8709B" w:rsidR="009C6D60" w:rsidRPr="00827B0E" w:rsidRDefault="002C43E3" w:rsidP="00827B0E">
      <w:pPr>
        <w:spacing w:line="276" w:lineRule="auto"/>
        <w:rPr>
          <w:b/>
        </w:rPr>
      </w:pPr>
      <w:r>
        <w:t>From Figure 9</w:t>
      </w:r>
      <w:r w:rsidR="00827B0E" w:rsidRPr="00827B0E">
        <w:t xml:space="preserve"> based on unique patient’s authority approvals, </w:t>
      </w:r>
      <w:proofErr w:type="spellStart"/>
      <w:r w:rsidR="00827B0E" w:rsidRPr="00827B0E">
        <w:t>somatropin</w:t>
      </w:r>
      <w:proofErr w:type="spellEnd"/>
      <w:r w:rsidR="00827B0E" w:rsidRPr="00827B0E">
        <w:t xml:space="preserve"> was most commonly used as treatment for short stature and slow growth. </w:t>
      </w:r>
      <w:r w:rsidR="000A3C40" w:rsidRPr="00827B0E">
        <w:br w:type="page"/>
      </w:r>
    </w:p>
    <w:p w14:paraId="4C80708C" w14:textId="507C2072" w:rsidR="008E6B80" w:rsidRDefault="008E6B80" w:rsidP="008E6B80">
      <w:pPr>
        <w:jc w:val="center"/>
      </w:pPr>
      <w:r>
        <w:rPr>
          <w:noProof/>
        </w:rPr>
        <w:lastRenderedPageBreak/>
        <w:drawing>
          <wp:inline distT="0" distB="0" distL="0" distR="0" wp14:anchorId="44F584C3" wp14:editId="620C565A">
            <wp:extent cx="5772647" cy="5231765"/>
            <wp:effectExtent l="0" t="0" r="0" b="6985"/>
            <wp:docPr id="16" name="Chart 16" title="Figure 10: Number of patients with authority approvals for initiating patients according to indication and supply quart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526FE29" w14:textId="39F83E6E" w:rsidR="00932738" w:rsidRDefault="008514A3" w:rsidP="00C94AFC">
      <w:pPr>
        <w:pStyle w:val="Tabletitle"/>
      </w:pPr>
      <w:r>
        <w:t>Figure 1</w:t>
      </w:r>
      <w:r w:rsidR="00B63D64">
        <w:t>0</w:t>
      </w:r>
      <w:r>
        <w:t>: Number of patients with authority app</w:t>
      </w:r>
      <w:r w:rsidR="00A64065">
        <w:t>rovals</w:t>
      </w:r>
      <w:r w:rsidR="008E6B80">
        <w:t xml:space="preserve"> for initiating patients</w:t>
      </w:r>
      <w:r>
        <w:t xml:space="preserve"> according to indication and supply quarter </w:t>
      </w:r>
    </w:p>
    <w:p w14:paraId="26B9B187" w14:textId="77777777" w:rsidR="00932738" w:rsidRDefault="00932738" w:rsidP="00932738">
      <w:pPr>
        <w:spacing w:after="0"/>
        <w:rPr>
          <w:sz w:val="20"/>
        </w:rPr>
      </w:pPr>
      <w:r w:rsidRPr="008B4BB6">
        <w:rPr>
          <w:sz w:val="20"/>
        </w:rPr>
        <w:t xml:space="preserve">Note: </w:t>
      </w:r>
      <w:r>
        <w:rPr>
          <w:sz w:val="20"/>
        </w:rPr>
        <w:t xml:space="preserve">Quarter 3 of 2015 only includes the month of September. </w:t>
      </w:r>
    </w:p>
    <w:p w14:paraId="7DC67C63" w14:textId="4A638A39" w:rsidR="00B90D9A" w:rsidRDefault="008E6B80" w:rsidP="002031F6">
      <w:pPr>
        <w:spacing w:after="0"/>
        <w:rPr>
          <w:sz w:val="20"/>
        </w:rPr>
      </w:pPr>
      <w:r>
        <w:rPr>
          <w:sz w:val="20"/>
        </w:rPr>
        <w:t>Note: 1.98</w:t>
      </w:r>
      <w:r w:rsidR="00932738">
        <w:rPr>
          <w:sz w:val="20"/>
        </w:rPr>
        <w:t xml:space="preserve">% of initiating </w:t>
      </w:r>
      <w:r w:rsidR="004F3E6A">
        <w:rPr>
          <w:sz w:val="20"/>
        </w:rPr>
        <w:t>applications</w:t>
      </w:r>
      <w:r w:rsidR="00F0219E">
        <w:rPr>
          <w:sz w:val="20"/>
        </w:rPr>
        <w:t xml:space="preserve"> did not have an indication. </w:t>
      </w:r>
    </w:p>
    <w:p w14:paraId="67BA8199" w14:textId="5CDF8149" w:rsidR="00827B0E" w:rsidRDefault="00827B0E" w:rsidP="002031F6">
      <w:pPr>
        <w:spacing w:after="0"/>
        <w:rPr>
          <w:sz w:val="20"/>
        </w:rPr>
      </w:pPr>
    </w:p>
    <w:p w14:paraId="056FBCF2" w14:textId="543AA9E8" w:rsidR="00827B0E" w:rsidRPr="00827B0E" w:rsidRDefault="005E4A93" w:rsidP="002031F6">
      <w:pPr>
        <w:spacing w:after="0"/>
      </w:pPr>
      <w:r>
        <w:t>In</w:t>
      </w:r>
      <w:r w:rsidR="00827B0E">
        <w:t xml:space="preserve"> Figure 1</w:t>
      </w:r>
      <w:r w:rsidR="00B63D64">
        <w:t>0</w:t>
      </w:r>
      <w:r w:rsidR="00095DC8">
        <w:t>,</w:t>
      </w:r>
      <w:r w:rsidR="00827B0E">
        <w:t xml:space="preserve"> based on patients initiating </w:t>
      </w:r>
      <w:proofErr w:type="spellStart"/>
      <w:r w:rsidR="00827B0E">
        <w:t>somatropin</w:t>
      </w:r>
      <w:proofErr w:type="spellEnd"/>
      <w:r w:rsidR="00827B0E">
        <w:t xml:space="preserve"> treatment, most patients initiated </w:t>
      </w:r>
      <w:proofErr w:type="spellStart"/>
      <w:r w:rsidR="00827B0E">
        <w:t>somatropin</w:t>
      </w:r>
      <w:proofErr w:type="spellEnd"/>
      <w:r w:rsidR="00827B0E">
        <w:t xml:space="preserve"> treatment between 2015 and 2016 for short stature and slow growth, short stature associated with biochemical growth hormone deficiency and short stature and poor body composition due to </w:t>
      </w:r>
      <w:proofErr w:type="spellStart"/>
      <w:r w:rsidR="00827B0E">
        <w:t>Prader</w:t>
      </w:r>
      <w:proofErr w:type="spellEnd"/>
      <w:r w:rsidR="00827B0E">
        <w:t xml:space="preserve">-Willi syndrome. Following on, most patients initiated </w:t>
      </w:r>
      <w:proofErr w:type="spellStart"/>
      <w:r w:rsidR="00827B0E">
        <w:t>somatropin</w:t>
      </w:r>
      <w:proofErr w:type="spellEnd"/>
      <w:r w:rsidR="00827B0E">
        <w:t xml:space="preserve"> treatment for short stature and slow growth. From 2019 onwards, most patient initiated </w:t>
      </w:r>
      <w:proofErr w:type="spellStart"/>
      <w:r w:rsidR="00827B0E">
        <w:t>somatropin</w:t>
      </w:r>
      <w:proofErr w:type="spellEnd"/>
      <w:r w:rsidR="00827B0E">
        <w:t xml:space="preserve"> treatment for short stature and slow growth and severe growth hormone deficiency. </w:t>
      </w:r>
    </w:p>
    <w:p w14:paraId="1FA13093" w14:textId="3ADDB8D5" w:rsidR="001B35FE" w:rsidRDefault="001B35FE" w:rsidP="00620BFE"/>
    <w:p w14:paraId="2BE0F664" w14:textId="550DECC6" w:rsidR="00716225" w:rsidRDefault="00716225" w:rsidP="00620BFE">
      <w:pPr>
        <w:jc w:val="center"/>
      </w:pPr>
    </w:p>
    <w:p w14:paraId="62482861" w14:textId="4D32CBDD" w:rsidR="00095DC8" w:rsidRDefault="00095DC8" w:rsidP="0093144F">
      <w:pPr>
        <w:jc w:val="right"/>
      </w:pPr>
    </w:p>
    <w:p w14:paraId="179E2283" w14:textId="3431E1CA" w:rsidR="003778DE" w:rsidRPr="003778DE" w:rsidRDefault="003778DE" w:rsidP="003778DE">
      <w:r>
        <w:rPr>
          <w:noProof/>
        </w:rPr>
        <w:lastRenderedPageBreak/>
        <w:drawing>
          <wp:inline distT="0" distB="0" distL="0" distR="0" wp14:anchorId="78AFDCAB" wp14:editId="189E6675">
            <wp:extent cx="5676595" cy="5596128"/>
            <wp:effectExtent l="0" t="0" r="635" b="5080"/>
            <wp:docPr id="2" name="Chart 2" title="Figure 11: Number of patients with initial authority approvals according to indication and age "/>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05FC4E5C" w14:textId="4CD37A33" w:rsidR="00A8296C" w:rsidRDefault="00B578BD" w:rsidP="00D47A23">
      <w:pPr>
        <w:pStyle w:val="Tabletitle"/>
      </w:pPr>
      <w:r>
        <w:t>Figure 1</w:t>
      </w:r>
      <w:r w:rsidR="00B63D64">
        <w:t>1</w:t>
      </w:r>
      <w:r>
        <w:t>: Number of patients with initial authority app</w:t>
      </w:r>
      <w:r w:rsidR="003778DE">
        <w:t xml:space="preserve">rovals </w:t>
      </w:r>
      <w:r>
        <w:t xml:space="preserve">according to indication and age </w:t>
      </w:r>
    </w:p>
    <w:p w14:paraId="15D9A362" w14:textId="458D29BC" w:rsidR="00B11A70" w:rsidRDefault="00B11A70" w:rsidP="00B11A70"/>
    <w:p w14:paraId="75645EAE" w14:textId="70D22A4D" w:rsidR="00B11A70" w:rsidRDefault="00B11A70" w:rsidP="00B11A70">
      <w:r>
        <w:t>From Figure 1</w:t>
      </w:r>
      <w:r w:rsidR="00B63D64">
        <w:t>1</w:t>
      </w:r>
      <w:r>
        <w:t xml:space="preserve">, </w:t>
      </w:r>
      <w:r w:rsidR="00A30D44">
        <w:t xml:space="preserve">initiating patients </w:t>
      </w:r>
      <w:r>
        <w:t xml:space="preserve">aged up to 19 years </w:t>
      </w:r>
      <w:r w:rsidR="009A0367">
        <w:t xml:space="preserve">are supplied </w:t>
      </w:r>
      <w:proofErr w:type="spellStart"/>
      <w:r w:rsidR="009A0367">
        <w:t>somatropin</w:t>
      </w:r>
      <w:proofErr w:type="spellEnd"/>
      <w:r w:rsidR="009A0367">
        <w:t xml:space="preserve"> for a greater range of indications compared to those aged 20 years and older where severe growth hormone deficiency is the most common indication. </w:t>
      </w:r>
      <w:r w:rsidR="00DC4687">
        <w:t xml:space="preserve">Short stature and slow growth was the most common indication among patients aged up to 19 years. Of note, the indication short stature and poor body composition due to </w:t>
      </w:r>
      <w:proofErr w:type="spellStart"/>
      <w:r w:rsidR="00DC4687">
        <w:t>Prader</w:t>
      </w:r>
      <w:proofErr w:type="spellEnd"/>
      <w:r w:rsidR="00DC4687">
        <w:t xml:space="preserve">-Willi syndrome was most common in those aged 0-4 </w:t>
      </w:r>
      <w:proofErr w:type="gramStart"/>
      <w:r w:rsidR="00DC4687">
        <w:t>years.</w:t>
      </w:r>
      <w:proofErr w:type="gramEnd"/>
      <w:r w:rsidR="00DC4687">
        <w:t xml:space="preserve"> </w:t>
      </w:r>
      <w:r w:rsidR="00725D8A">
        <w:t xml:space="preserve"> </w:t>
      </w:r>
    </w:p>
    <w:p w14:paraId="6B01944A" w14:textId="629A22AB" w:rsidR="00D47A23" w:rsidRDefault="00D47A23" w:rsidP="00620BFE">
      <w:pPr>
        <w:jc w:val="center"/>
      </w:pPr>
    </w:p>
    <w:p w14:paraId="453E0938" w14:textId="790BF0CC" w:rsidR="0069391D" w:rsidRDefault="0069391D" w:rsidP="004515C7">
      <w:pPr>
        <w:rPr>
          <w:sz w:val="20"/>
          <w:szCs w:val="20"/>
        </w:rPr>
      </w:pPr>
    </w:p>
    <w:p w14:paraId="3DAE95AC" w14:textId="4BE52CD1" w:rsidR="008442FB" w:rsidRDefault="008442FB" w:rsidP="004515C7"/>
    <w:p w14:paraId="71575C53" w14:textId="2BD62AB1" w:rsidR="00F123D9" w:rsidRDefault="00F123D9" w:rsidP="004515C7">
      <w:r>
        <w:rPr>
          <w:noProof/>
        </w:rPr>
        <w:lastRenderedPageBreak/>
        <w:drawing>
          <wp:inline distT="0" distB="0" distL="0" distR="0" wp14:anchorId="523082D2" wp14:editId="553B6205">
            <wp:extent cx="5708650" cy="5597718"/>
            <wp:effectExtent l="0" t="0" r="6350" b="3175"/>
            <wp:docPr id="10" name="Chart 10" title="Figure 12: Number of authority approvals for unique patients for severe growth hormone deficiency according to treatment phase and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6ADFBB72" w14:textId="4EB45674" w:rsidR="00F263CD" w:rsidRDefault="00F263CD" w:rsidP="00F263CD">
      <w:pPr>
        <w:pStyle w:val="Tabletitle"/>
      </w:pPr>
      <w:r>
        <w:t>Figure 1</w:t>
      </w:r>
      <w:r w:rsidR="00B63D64">
        <w:t>2</w:t>
      </w:r>
      <w:r>
        <w:t>: Number of authority app</w:t>
      </w:r>
      <w:r w:rsidR="005E3D7A">
        <w:t>roval</w:t>
      </w:r>
      <w:r>
        <w:t>s for</w:t>
      </w:r>
      <w:r w:rsidR="00EE22CA">
        <w:t xml:space="preserve"> unique patients for</w:t>
      </w:r>
      <w:r>
        <w:t xml:space="preserve"> severe growth hormone deficiency according to treatment phase </w:t>
      </w:r>
      <w:r w:rsidR="00531093">
        <w:t>and year</w:t>
      </w:r>
    </w:p>
    <w:p w14:paraId="4382E726" w14:textId="3DC6F4B6" w:rsidR="00F263CD" w:rsidRDefault="00F263CD" w:rsidP="004515C7"/>
    <w:p w14:paraId="04190A43" w14:textId="2D22E0DA" w:rsidR="00631F08" w:rsidRDefault="00631F08" w:rsidP="00631F08">
      <w:pPr>
        <w:jc w:val="center"/>
        <w:rPr>
          <w:sz w:val="20"/>
          <w:szCs w:val="20"/>
        </w:rPr>
      </w:pPr>
    </w:p>
    <w:p w14:paraId="25EA0D22" w14:textId="700C9693" w:rsidR="00081D75" w:rsidRDefault="00081D75" w:rsidP="00631F08">
      <w:pPr>
        <w:jc w:val="center"/>
        <w:rPr>
          <w:sz w:val="20"/>
          <w:szCs w:val="20"/>
        </w:rPr>
      </w:pPr>
      <w:r w:rsidRPr="00081D75">
        <w:rPr>
          <w:noProof/>
          <w:sz w:val="20"/>
          <w:szCs w:val="20"/>
        </w:rPr>
        <w:lastRenderedPageBreak/>
        <w:drawing>
          <wp:inline distT="0" distB="0" distL="0" distR="0" wp14:anchorId="2DF96636" wp14:editId="43C3D7FF">
            <wp:extent cx="5069434" cy="3642613"/>
            <wp:effectExtent l="0" t="0" r="0" b="0"/>
            <wp:docPr id="13" name="Picture 13" title="Figure 13: Script prescriber type according to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091056" cy="3658149"/>
                    </a:xfrm>
                    <a:prstGeom prst="rect">
                      <a:avLst/>
                    </a:prstGeom>
                  </pic:spPr>
                </pic:pic>
              </a:graphicData>
            </a:graphic>
          </wp:inline>
        </w:drawing>
      </w:r>
    </w:p>
    <w:p w14:paraId="17B5AD2C" w14:textId="2BC74B04" w:rsidR="00631F08" w:rsidRDefault="00D0001B" w:rsidP="00631F08">
      <w:pPr>
        <w:pStyle w:val="Tabletitle"/>
      </w:pPr>
      <w:r>
        <w:t>Figure 1</w:t>
      </w:r>
      <w:r w:rsidR="00B63D64">
        <w:t>3</w:t>
      </w:r>
      <w:r w:rsidR="00631F08">
        <w:t xml:space="preserve">: </w:t>
      </w:r>
      <w:r w:rsidR="00414895">
        <w:t>Script</w:t>
      </w:r>
      <w:r w:rsidR="00631F08">
        <w:t xml:space="preserve"> prescriber type according to </w:t>
      </w:r>
      <w:r w:rsidR="00414895">
        <w:t>year</w:t>
      </w:r>
    </w:p>
    <w:p w14:paraId="2FC12044" w14:textId="77777777" w:rsidR="00631F08" w:rsidRDefault="00631F08" w:rsidP="00631F08">
      <w:pPr>
        <w:spacing w:after="0"/>
        <w:rPr>
          <w:sz w:val="20"/>
          <w:szCs w:val="20"/>
        </w:rPr>
      </w:pPr>
      <w:r>
        <w:rPr>
          <w:sz w:val="20"/>
          <w:szCs w:val="20"/>
        </w:rPr>
        <w:t xml:space="preserve">Note: “GP” defined as including non-vocationally registered GP, vocationally registered GP, trainee GP and GP with unclassified registration status. </w:t>
      </w:r>
    </w:p>
    <w:p w14:paraId="1EFF9BC9" w14:textId="40B569C7" w:rsidR="00631F08" w:rsidRDefault="00631F08" w:rsidP="00631F08">
      <w:pPr>
        <w:spacing w:after="0"/>
        <w:rPr>
          <w:sz w:val="20"/>
          <w:szCs w:val="20"/>
        </w:rPr>
      </w:pPr>
      <w:r>
        <w:rPr>
          <w:sz w:val="20"/>
          <w:szCs w:val="20"/>
        </w:rPr>
        <w:t xml:space="preserve">Note: “Other specialist” defined as </w:t>
      </w:r>
      <w:r w:rsidR="00414895">
        <w:rPr>
          <w:sz w:val="20"/>
          <w:szCs w:val="20"/>
        </w:rPr>
        <w:t xml:space="preserve">including anaesthetics, cardiology, </w:t>
      </w:r>
      <w:r>
        <w:rPr>
          <w:sz w:val="20"/>
          <w:szCs w:val="20"/>
        </w:rPr>
        <w:t xml:space="preserve">college trainee – physician, </w:t>
      </w:r>
      <w:r w:rsidR="00414895">
        <w:rPr>
          <w:sz w:val="20"/>
          <w:szCs w:val="20"/>
        </w:rPr>
        <w:t xml:space="preserve">dermatology, </w:t>
      </w:r>
      <w:r>
        <w:rPr>
          <w:sz w:val="20"/>
          <w:szCs w:val="20"/>
        </w:rPr>
        <w:t xml:space="preserve">gastroenterology and </w:t>
      </w:r>
      <w:proofErr w:type="spellStart"/>
      <w:r>
        <w:rPr>
          <w:sz w:val="20"/>
          <w:szCs w:val="20"/>
        </w:rPr>
        <w:t>hepatology</w:t>
      </w:r>
      <w:proofErr w:type="spellEnd"/>
      <w:r>
        <w:rPr>
          <w:sz w:val="20"/>
          <w:szCs w:val="20"/>
        </w:rPr>
        <w:t xml:space="preserve">, intensive care, nephrology, nuclear medicine, </w:t>
      </w:r>
      <w:r w:rsidR="009A137D">
        <w:rPr>
          <w:sz w:val="20"/>
          <w:szCs w:val="20"/>
        </w:rPr>
        <w:t>obstetrics</w:t>
      </w:r>
      <w:r w:rsidR="009A137D" w:rsidRPr="00414895">
        <w:rPr>
          <w:sz w:val="20"/>
          <w:szCs w:val="20"/>
        </w:rPr>
        <w:t xml:space="preserve"> </w:t>
      </w:r>
      <w:r w:rsidR="009A137D">
        <w:rPr>
          <w:sz w:val="20"/>
          <w:szCs w:val="20"/>
        </w:rPr>
        <w:t>and</w:t>
      </w:r>
      <w:r w:rsidR="00414895">
        <w:rPr>
          <w:sz w:val="20"/>
          <w:szCs w:val="20"/>
        </w:rPr>
        <w:t xml:space="preserve"> gynaecology, ophthalmology, optometrist</w:t>
      </w:r>
      <w:r>
        <w:rPr>
          <w:sz w:val="20"/>
          <w:szCs w:val="20"/>
        </w:rPr>
        <w:t xml:space="preserve"> </w:t>
      </w:r>
      <w:r w:rsidR="009A137D">
        <w:rPr>
          <w:sz w:val="20"/>
          <w:szCs w:val="20"/>
        </w:rPr>
        <w:t>and surgery</w:t>
      </w:r>
      <w:r>
        <w:rPr>
          <w:sz w:val="20"/>
          <w:szCs w:val="20"/>
        </w:rPr>
        <w:t xml:space="preserve">.  </w:t>
      </w:r>
    </w:p>
    <w:p w14:paraId="4F0821A5" w14:textId="1689996D" w:rsidR="00631F08" w:rsidRDefault="00631F08" w:rsidP="00631F08">
      <w:pPr>
        <w:spacing w:after="0"/>
        <w:rPr>
          <w:sz w:val="20"/>
          <w:szCs w:val="20"/>
        </w:rPr>
      </w:pPr>
      <w:r>
        <w:rPr>
          <w:sz w:val="20"/>
          <w:szCs w:val="20"/>
        </w:rPr>
        <w:t xml:space="preserve">Note: </w:t>
      </w:r>
      <w:r w:rsidR="009A137D">
        <w:rPr>
          <w:sz w:val="20"/>
          <w:szCs w:val="20"/>
        </w:rPr>
        <w:t>4.25</w:t>
      </w:r>
      <w:r>
        <w:rPr>
          <w:sz w:val="20"/>
          <w:szCs w:val="20"/>
        </w:rPr>
        <w:t xml:space="preserve">% of </w:t>
      </w:r>
      <w:r w:rsidR="009A137D">
        <w:rPr>
          <w:sz w:val="20"/>
          <w:szCs w:val="20"/>
        </w:rPr>
        <w:t>scripts</w:t>
      </w:r>
      <w:r>
        <w:rPr>
          <w:sz w:val="20"/>
          <w:szCs w:val="20"/>
        </w:rPr>
        <w:t xml:space="preserve"> had an unknown prescriber. </w:t>
      </w:r>
    </w:p>
    <w:p w14:paraId="75C6068A" w14:textId="146E9776" w:rsidR="00631F08" w:rsidRDefault="00631F08" w:rsidP="00631F08">
      <w:pPr>
        <w:jc w:val="center"/>
        <w:rPr>
          <w:sz w:val="20"/>
          <w:szCs w:val="20"/>
        </w:rPr>
      </w:pPr>
    </w:p>
    <w:p w14:paraId="6F28F83F" w14:textId="5A428745" w:rsidR="00BB2AEE" w:rsidRPr="00BB2AEE" w:rsidRDefault="002D650C" w:rsidP="004515C7">
      <w:r>
        <w:t>From Figure 1</w:t>
      </w:r>
      <w:r w:rsidR="00B63D64">
        <w:t>3</w:t>
      </w:r>
      <w:r>
        <w:t>, endocrinologists have increasingly accounted for the majority o</w:t>
      </w:r>
      <w:r w:rsidR="00B94AE6">
        <w:t>f scripts</w:t>
      </w:r>
      <w:r w:rsidR="008F1C06">
        <w:t xml:space="preserve"> prescribed</w:t>
      </w:r>
      <w:r w:rsidR="00B94AE6">
        <w:t>, w</w:t>
      </w:r>
      <w:r>
        <w:t xml:space="preserve">hereas GP and pathology prescribers have decreased in </w:t>
      </w:r>
      <w:r w:rsidR="00B94AE6">
        <w:t xml:space="preserve">the scripts prescribed over time. From 2019 onwards, internal medicine specialists have emerged as a prescriber type accounting for approximately 5% of scripts prescribed.  </w:t>
      </w:r>
    </w:p>
    <w:p w14:paraId="082349D8" w14:textId="1F39AE97" w:rsidR="00BB2AEE" w:rsidRDefault="00BB2AEE" w:rsidP="00BB2AEE">
      <w:pPr>
        <w:spacing w:line="276" w:lineRule="auto"/>
        <w:jc w:val="center"/>
      </w:pPr>
    </w:p>
    <w:p w14:paraId="06201747" w14:textId="6CE94A22" w:rsidR="00566409" w:rsidRDefault="00566409" w:rsidP="00BB2AEE">
      <w:pPr>
        <w:spacing w:line="276" w:lineRule="auto"/>
        <w:jc w:val="center"/>
      </w:pPr>
    </w:p>
    <w:p w14:paraId="7A991375" w14:textId="603E328F" w:rsidR="002E6583" w:rsidRDefault="00081D75" w:rsidP="00081D75">
      <w:pPr>
        <w:spacing w:line="276" w:lineRule="auto"/>
        <w:jc w:val="center"/>
      </w:pPr>
      <w:r w:rsidRPr="00081D75">
        <w:rPr>
          <w:noProof/>
        </w:rPr>
        <w:lastRenderedPageBreak/>
        <w:drawing>
          <wp:inline distT="0" distB="0" distL="0" distR="0" wp14:anchorId="4D266EB7" wp14:editId="563368E8">
            <wp:extent cx="5274538" cy="3335652"/>
            <wp:effectExtent l="0" t="0" r="2540" b="0"/>
            <wp:docPr id="9" name="Picture 9" title="Figure 14: Initiating patient prescriber type according to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l="961"/>
                    <a:stretch/>
                  </pic:blipFill>
                  <pic:spPr bwMode="auto">
                    <a:xfrm>
                      <a:off x="0" y="0"/>
                      <a:ext cx="5281765" cy="3340222"/>
                    </a:xfrm>
                    <a:prstGeom prst="rect">
                      <a:avLst/>
                    </a:prstGeom>
                    <a:ln>
                      <a:noFill/>
                    </a:ln>
                    <a:extLst>
                      <a:ext uri="{53640926-AAD7-44D8-BBD7-CCE9431645EC}">
                        <a14:shadowObscured xmlns:a14="http://schemas.microsoft.com/office/drawing/2010/main"/>
                      </a:ext>
                    </a:extLst>
                  </pic:spPr>
                </pic:pic>
              </a:graphicData>
            </a:graphic>
          </wp:inline>
        </w:drawing>
      </w:r>
    </w:p>
    <w:p w14:paraId="121A1B84" w14:textId="02545814" w:rsidR="00BB2AEE" w:rsidRDefault="00D0001B" w:rsidP="00BB2AEE">
      <w:pPr>
        <w:pStyle w:val="Tabletitle"/>
      </w:pPr>
      <w:r>
        <w:t>Figure 1</w:t>
      </w:r>
      <w:r w:rsidR="00B63D64">
        <w:t>4</w:t>
      </w:r>
      <w:r w:rsidR="00BB2AEE">
        <w:t>: Initiating patient prescriber type according to age</w:t>
      </w:r>
    </w:p>
    <w:p w14:paraId="5EA07A67" w14:textId="77777777" w:rsidR="00562894" w:rsidRDefault="00BB2AEE" w:rsidP="00562894">
      <w:pPr>
        <w:spacing w:after="0"/>
        <w:rPr>
          <w:sz w:val="20"/>
          <w:szCs w:val="20"/>
        </w:rPr>
      </w:pPr>
      <w:r>
        <w:rPr>
          <w:sz w:val="20"/>
          <w:szCs w:val="20"/>
        </w:rPr>
        <w:t xml:space="preserve">Note: “GP” defined as including non-vocationally registered GP, vocationally registered GP, trainee GP and GP with unclassified registration status. </w:t>
      </w:r>
    </w:p>
    <w:p w14:paraId="1364C3A9" w14:textId="59D51556" w:rsidR="00BB2AEE" w:rsidRDefault="00BB2AEE" w:rsidP="00562894">
      <w:pPr>
        <w:spacing w:after="0"/>
        <w:rPr>
          <w:sz w:val="20"/>
          <w:szCs w:val="20"/>
        </w:rPr>
      </w:pPr>
      <w:r>
        <w:rPr>
          <w:sz w:val="20"/>
          <w:szCs w:val="20"/>
        </w:rPr>
        <w:t xml:space="preserve">Note: “Other specialist” defined as including college trainee – physician, gastroenterology and </w:t>
      </w:r>
      <w:proofErr w:type="spellStart"/>
      <w:r>
        <w:rPr>
          <w:sz w:val="20"/>
          <w:szCs w:val="20"/>
        </w:rPr>
        <w:t>hepatology</w:t>
      </w:r>
      <w:proofErr w:type="spellEnd"/>
      <w:r>
        <w:rPr>
          <w:sz w:val="20"/>
          <w:szCs w:val="20"/>
        </w:rPr>
        <w:t xml:space="preserve">, intensive care, nephrology, nuclear medicine, obstetrics and gynaecology and surgeon.  </w:t>
      </w:r>
    </w:p>
    <w:p w14:paraId="1F4365D2" w14:textId="248294B2" w:rsidR="00562894" w:rsidRDefault="00BB2AEE" w:rsidP="00562894">
      <w:pPr>
        <w:spacing w:after="0"/>
        <w:rPr>
          <w:sz w:val="20"/>
          <w:szCs w:val="20"/>
        </w:rPr>
      </w:pPr>
      <w:r>
        <w:rPr>
          <w:sz w:val="20"/>
          <w:szCs w:val="20"/>
        </w:rPr>
        <w:t xml:space="preserve">Note: </w:t>
      </w:r>
      <w:r w:rsidR="00980AB2">
        <w:rPr>
          <w:sz w:val="20"/>
          <w:szCs w:val="20"/>
        </w:rPr>
        <w:t>2.85</w:t>
      </w:r>
      <w:r>
        <w:rPr>
          <w:sz w:val="20"/>
          <w:szCs w:val="20"/>
        </w:rPr>
        <w:t xml:space="preserve">% of </w:t>
      </w:r>
      <w:r w:rsidR="00980AB2">
        <w:rPr>
          <w:sz w:val="20"/>
          <w:szCs w:val="20"/>
        </w:rPr>
        <w:t xml:space="preserve">initiating </w:t>
      </w:r>
      <w:r>
        <w:rPr>
          <w:sz w:val="20"/>
          <w:szCs w:val="20"/>
        </w:rPr>
        <w:t>patients had an unknown prescriber</w:t>
      </w:r>
      <w:r w:rsidR="00562894">
        <w:rPr>
          <w:sz w:val="20"/>
          <w:szCs w:val="20"/>
        </w:rPr>
        <w:t>.</w:t>
      </w:r>
      <w:r>
        <w:rPr>
          <w:sz w:val="20"/>
          <w:szCs w:val="20"/>
        </w:rPr>
        <w:t xml:space="preserve"> </w:t>
      </w:r>
    </w:p>
    <w:p w14:paraId="1710ADAA" w14:textId="77777777" w:rsidR="00EF752B" w:rsidRDefault="00EF752B" w:rsidP="00562894"/>
    <w:p w14:paraId="43E490CE" w14:textId="0F12423A" w:rsidR="00EF752B" w:rsidRPr="0035657B" w:rsidRDefault="00EF752B" w:rsidP="00EF752B">
      <w:r>
        <w:t>From Figure 1</w:t>
      </w:r>
      <w:r w:rsidR="00B63D64">
        <w:t>4</w:t>
      </w:r>
      <w:r>
        <w:t xml:space="preserve">, there is a difference in the prescriber types between children and adult patients. Across all age groups, endocrinologists account for at least 50% and GPs account for approximately 5% of prescribers. In patients aged up to 19 years paediatricians and pathology </w:t>
      </w:r>
      <w:r w:rsidR="008F1C06">
        <w:t xml:space="preserve">specialists </w:t>
      </w:r>
      <w:r>
        <w:t xml:space="preserve">are also included as prescriber types. In contrast, </w:t>
      </w:r>
      <w:r w:rsidR="00534D4F">
        <w:t>in patients 20 years</w:t>
      </w:r>
      <w:r w:rsidR="008F1C06">
        <w:t xml:space="preserve"> and over</w:t>
      </w:r>
      <w:r w:rsidR="00534D4F">
        <w:t>, internal medicine and o</w:t>
      </w:r>
      <w:r w:rsidR="0022574B">
        <w:t>ther specialist prescribers are</w:t>
      </w:r>
      <w:r w:rsidR="008F1C06">
        <w:t xml:space="preserve"> potential </w:t>
      </w:r>
      <w:r w:rsidR="00534D4F">
        <w:t xml:space="preserve">prescribers. </w:t>
      </w:r>
    </w:p>
    <w:p w14:paraId="4C372596" w14:textId="77777777" w:rsidR="00EF752B" w:rsidRDefault="00EF752B">
      <w:pPr>
        <w:spacing w:line="276" w:lineRule="auto"/>
        <w:rPr>
          <w:rFonts w:eastAsiaTheme="majorEastAsia" w:cstheme="majorBidi"/>
          <w:b/>
          <w:bCs/>
          <w:sz w:val="32"/>
          <w:szCs w:val="32"/>
        </w:rPr>
      </w:pPr>
      <w:r>
        <w:br w:type="page"/>
      </w:r>
    </w:p>
    <w:p w14:paraId="22E95540" w14:textId="3D644EFD" w:rsidR="00ED7FBE" w:rsidRDefault="00ED7FBE" w:rsidP="00ED7FBE">
      <w:pPr>
        <w:pStyle w:val="Heading1"/>
      </w:pPr>
      <w:r>
        <w:lastRenderedPageBreak/>
        <w:t>D</w:t>
      </w:r>
      <w:r w:rsidRPr="005E22C2">
        <w:t>iscussion</w:t>
      </w:r>
    </w:p>
    <w:p w14:paraId="6C784460" w14:textId="0C3D3A89" w:rsidR="00ED7FBE" w:rsidRDefault="00D16763" w:rsidP="00ED7FBE">
      <w:proofErr w:type="spellStart"/>
      <w:r>
        <w:t>Somatropin</w:t>
      </w:r>
      <w:proofErr w:type="spellEnd"/>
      <w:r>
        <w:t xml:space="preserve"> utilisation </w:t>
      </w:r>
      <w:r w:rsidR="00ED7FBE">
        <w:t xml:space="preserve">remained stable from September 2015 to the end of 2018. There was an average of approximately 1,489 prescriptions, </w:t>
      </w:r>
      <w:r w:rsidR="00ED7FBE" w:rsidRPr="003F6BFF">
        <w:t>113</w:t>
      </w:r>
      <w:r w:rsidR="00ED7FBE">
        <w:t xml:space="preserve"> patients initiating treatment and </w:t>
      </w:r>
      <w:r w:rsidR="00ED7FBE" w:rsidRPr="003F6BFF">
        <w:t>1,</w:t>
      </w:r>
      <w:r w:rsidR="00766BA2">
        <w:t>391</w:t>
      </w:r>
      <w:r w:rsidR="00766BA2" w:rsidRPr="003F6BFF">
        <w:t xml:space="preserve"> </w:t>
      </w:r>
      <w:r w:rsidR="00ED7FBE">
        <w:t>prevalent patients per supply quarter during this time.</w:t>
      </w:r>
    </w:p>
    <w:p w14:paraId="5CE405B1" w14:textId="09B063E9" w:rsidR="00ED7FBE" w:rsidRDefault="00ED7FBE" w:rsidP="00ED7FBE">
      <w:r>
        <w:t xml:space="preserve">A number of changes were made to the Growth Hormone Program </w:t>
      </w:r>
      <w:r w:rsidR="005F3942">
        <w:t xml:space="preserve">in December 2018, February </w:t>
      </w:r>
      <w:r>
        <w:t>2019</w:t>
      </w:r>
      <w:r w:rsidR="005F3942">
        <w:t xml:space="preserve"> and January 2020</w:t>
      </w:r>
      <w:r>
        <w:t xml:space="preserve">. On 1 December 2018, the </w:t>
      </w:r>
      <w:proofErr w:type="spellStart"/>
      <w:r>
        <w:t>somatropin</w:t>
      </w:r>
      <w:proofErr w:type="spellEnd"/>
      <w:r>
        <w:t xml:space="preserve"> listing was extended to include the treatment of adults with severe growth hormone deficiency. On 1 February 2019, changes were made to the eligibility restrictions in paediatric growth hormone treatment relating to: revised height percentile thresholds, growth velocity percentile for bone age and sex, clarification of definitions within the restrictions and streamlining the way associated growth data requires are specified within the prescriber instructions. These changes translated to an increase in </w:t>
      </w:r>
      <w:proofErr w:type="spellStart"/>
      <w:r>
        <w:t>somatropin</w:t>
      </w:r>
      <w:proofErr w:type="spellEnd"/>
      <w:r>
        <w:t xml:space="preserve"> utilisation. From 2019 there was an </w:t>
      </w:r>
      <w:r w:rsidRPr="003F6BFF">
        <w:t xml:space="preserve">increase from an average per supply quarter of 1,489 to 2,630 prescriptions, 113 to 198 patients initiating </w:t>
      </w:r>
      <w:proofErr w:type="spellStart"/>
      <w:r w:rsidRPr="003F6BFF">
        <w:t>somatropin</w:t>
      </w:r>
      <w:proofErr w:type="spellEnd"/>
      <w:r w:rsidRPr="003F6BFF">
        <w:t xml:space="preserve"> treatment and 1,</w:t>
      </w:r>
      <w:r w:rsidR="00766BA2">
        <w:t>391</w:t>
      </w:r>
      <w:r w:rsidRPr="003F6BFF">
        <w:t>to 1,98</w:t>
      </w:r>
      <w:r w:rsidR="004A4CE3">
        <w:t>8</w:t>
      </w:r>
      <w:r w:rsidRPr="003F6BFF">
        <w:t xml:space="preserve"> prevalent patients.</w:t>
      </w:r>
      <w:r>
        <w:t xml:space="preserve"> </w:t>
      </w:r>
    </w:p>
    <w:p w14:paraId="561358D0" w14:textId="1C58C186" w:rsidR="00ED7FBE" w:rsidRDefault="00ED7FBE" w:rsidP="00ED7FBE">
      <w:r>
        <w:t>The annual expenditure over the life of the program has increased from approximately $24</w:t>
      </w:r>
      <w:r w:rsidR="00EE6508">
        <w:t>.4</w:t>
      </w:r>
      <w:r>
        <w:t xml:space="preserve"> million in 2016 to $33</w:t>
      </w:r>
      <w:r w:rsidR="00EE6508">
        <w:t>.6</w:t>
      </w:r>
      <w:r>
        <w:t xml:space="preserve"> million in 2020</w:t>
      </w:r>
      <w:r w:rsidR="00EA0477">
        <w:t>, based on the published listing prices</w:t>
      </w:r>
      <w:r>
        <w:t>. Expenditure increased steadily between 2016 and 2019 with a large increase observed between 2019 and 2020 of $29 millio</w:t>
      </w:r>
      <w:r w:rsidR="00973DF4">
        <w:t xml:space="preserve">n to $33 million. </w:t>
      </w:r>
    </w:p>
    <w:p w14:paraId="54689773" w14:textId="077790F4" w:rsidR="00EE6508" w:rsidRDefault="00EE6508" w:rsidP="00ED7FBE">
      <w:r>
        <w:t xml:space="preserve">In Figure </w:t>
      </w:r>
      <w:r w:rsidR="00B63D64">
        <w:t>9</w:t>
      </w:r>
      <w:r>
        <w:t xml:space="preserve">, patients are most commonly supplied </w:t>
      </w:r>
      <w:proofErr w:type="spellStart"/>
      <w:r>
        <w:t>somatropin</w:t>
      </w:r>
      <w:proofErr w:type="spellEnd"/>
      <w:r>
        <w:t xml:space="preserve"> for short stature and slow growth, with </w:t>
      </w:r>
      <w:r w:rsidR="00766BA2">
        <w:t>2,107</w:t>
      </w:r>
      <w:r>
        <w:t xml:space="preserve"> </w:t>
      </w:r>
      <w:r w:rsidR="00766BA2">
        <w:t xml:space="preserve">unique </w:t>
      </w:r>
      <w:r>
        <w:t>authority application</w:t>
      </w:r>
      <w:r w:rsidR="00766BA2">
        <w:t>s</w:t>
      </w:r>
      <w:r>
        <w:t xml:space="preserve"> approved for this indication from September 2015 to December 2020. From 2019 onwards following the restriction changes, the treatment of severe growth hormone deficiency has become increasingly prevalent becoming the second most common indication at the end of 2020. In adults initiating </w:t>
      </w:r>
      <w:proofErr w:type="spellStart"/>
      <w:r>
        <w:t>somatropin</w:t>
      </w:r>
      <w:proofErr w:type="spellEnd"/>
      <w:r>
        <w:t xml:space="preserve"> treatment, treatment for severe growth hormone deficiency was the most common indication. </w:t>
      </w:r>
    </w:p>
    <w:p w14:paraId="3F4309D7" w14:textId="1332EB74" w:rsidR="00ED7FBE" w:rsidRDefault="00ED7FBE" w:rsidP="00ED7FBE">
      <w:r>
        <w:t xml:space="preserve">The median treatment duration of </w:t>
      </w:r>
      <w:proofErr w:type="spellStart"/>
      <w:r>
        <w:t>somatropin</w:t>
      </w:r>
      <w:proofErr w:type="spellEnd"/>
      <w:r>
        <w:t xml:space="preserve"> treatment was </w:t>
      </w:r>
      <w:r w:rsidR="00B63D64">
        <w:t>48</w:t>
      </w:r>
      <w:r>
        <w:t>.</w:t>
      </w:r>
      <w:r w:rsidR="00B63D64">
        <w:t>2</w:t>
      </w:r>
      <w:r>
        <w:t xml:space="preserve"> months (95%CI </w:t>
      </w:r>
      <w:r w:rsidR="00B63D64">
        <w:t>46.9</w:t>
      </w:r>
      <w:r>
        <w:t xml:space="preserve"> to </w:t>
      </w:r>
      <w:r w:rsidR="00B63D64">
        <w:t>51</w:t>
      </w:r>
      <w:r>
        <w:t xml:space="preserve"> months). When accounting for breaks in the supply of </w:t>
      </w:r>
      <w:proofErr w:type="spellStart"/>
      <w:r>
        <w:t>somatropin</w:t>
      </w:r>
      <w:proofErr w:type="spellEnd"/>
      <w:r>
        <w:t xml:space="preserve">, this decreased to </w:t>
      </w:r>
      <w:r w:rsidR="00B63D64">
        <w:t>44.6</w:t>
      </w:r>
      <w:r>
        <w:t xml:space="preserve"> months (95%CI </w:t>
      </w:r>
      <w:r w:rsidR="00B63D64">
        <w:t>42.1</w:t>
      </w:r>
      <w:r>
        <w:t xml:space="preserve"> to </w:t>
      </w:r>
      <w:r w:rsidR="00B63D64">
        <w:t>46.9</w:t>
      </w:r>
      <w:r>
        <w:t xml:space="preserve"> months). </w:t>
      </w:r>
      <w:r w:rsidR="003505AE">
        <w:t xml:space="preserve">On 1 January 2020, changes were made to the </w:t>
      </w:r>
      <w:r>
        <w:t xml:space="preserve">restriction </w:t>
      </w:r>
      <w:r w:rsidR="00A84611">
        <w:t xml:space="preserve">allowing </w:t>
      </w:r>
      <w:r w:rsidR="00E735EE">
        <w:t>continued access for patients with</w:t>
      </w:r>
      <w:r>
        <w:t xml:space="preserve"> c</w:t>
      </w:r>
      <w:r w:rsidR="00A84611">
        <w:t xml:space="preserve">hildhood onset </w:t>
      </w:r>
      <w:r w:rsidR="00E735EE">
        <w:t xml:space="preserve">GHD </w:t>
      </w:r>
      <w:r w:rsidR="00D547E4">
        <w:t xml:space="preserve">due to congenital, genetic or structural cause </w:t>
      </w:r>
      <w:r w:rsidR="00A84611">
        <w:t>into adulthood</w:t>
      </w:r>
      <w:r w:rsidR="00D547E4">
        <w:t>.</w:t>
      </w:r>
      <w:r w:rsidR="00703F75" w:rsidRPr="00703F75">
        <w:t xml:space="preserve"> </w:t>
      </w:r>
      <w:r w:rsidR="00703F75">
        <w:t>Due to these restriction changes, additional treatment phases for the severe growth hormone deficiency indication were included, as shown in Figure 13. There was a large increase in the number of approvals for continuing treatment, with the majority for patients continuing treatment with a mature skeleton or aged 18 years or older. Additional authority approvals were made for adult patients initiating treatment for childhood onset growth hormone deficiency who received non-PBS and PBS s</w:t>
      </w:r>
      <w:r w:rsidR="00AC325E">
        <w:t>ubsi</w:t>
      </w:r>
      <w:r w:rsidR="00791C53">
        <w:t>dised treatment as a child.</w:t>
      </w:r>
      <w:r w:rsidR="00AC325E">
        <w:t xml:space="preserve"> </w:t>
      </w:r>
      <w:r w:rsidR="00703F75">
        <w:t>These changes indicate additional patients eligible for ongoing access into adulthood may lead to longer therapy time in future analyses.</w:t>
      </w:r>
    </w:p>
    <w:p w14:paraId="75C993D4" w14:textId="0D36DC17" w:rsidR="00ED7FBE" w:rsidRDefault="00ED7FBE" w:rsidP="00ED7FBE">
      <w:proofErr w:type="spellStart"/>
      <w:r>
        <w:t>Somatropin</w:t>
      </w:r>
      <w:proofErr w:type="spellEnd"/>
      <w:r>
        <w:t xml:space="preserve"> utilisation was most common in those aged </w:t>
      </w:r>
      <w:r w:rsidR="00660E0A">
        <w:t>up to</w:t>
      </w:r>
      <w:r>
        <w:t xml:space="preserve"> 19 years</w:t>
      </w:r>
      <w:r w:rsidR="009F07B4">
        <w:t>, with the highest utilisation observed in those aged 10-14 years</w:t>
      </w:r>
      <w:r>
        <w:t xml:space="preserve">. However, 2.57% of those who initiated </w:t>
      </w:r>
      <w:proofErr w:type="spellStart"/>
      <w:r>
        <w:t>somatropin</w:t>
      </w:r>
      <w:proofErr w:type="spellEnd"/>
      <w:r>
        <w:t xml:space="preserve"> treatment were aged 65 years and over. A number of side effects have found to </w:t>
      </w:r>
      <w:r>
        <w:lastRenderedPageBreak/>
        <w:t xml:space="preserve">be associated with </w:t>
      </w:r>
      <w:proofErr w:type="spellStart"/>
      <w:r>
        <w:t>somatropin</w:t>
      </w:r>
      <w:proofErr w:type="spellEnd"/>
      <w:r>
        <w:t xml:space="preserve"> </w:t>
      </w:r>
      <w:r w:rsidR="00490BAB">
        <w:t xml:space="preserve">in adults, with older patients </w:t>
      </w:r>
      <w:r>
        <w:t xml:space="preserve">more susceptible </w:t>
      </w:r>
      <w:r w:rsidR="00F47C90">
        <w:t xml:space="preserve">to adverse events. These </w:t>
      </w:r>
      <w:r w:rsidR="002C43E3">
        <w:t>include fluid retention</w:t>
      </w:r>
      <w:r>
        <w:t xml:space="preserve"> with peripheral </w:t>
      </w:r>
      <w:r w:rsidR="002C43E3">
        <w:t>oedema</w:t>
      </w:r>
      <w:r>
        <w:t xml:space="preserve">, joint pain, carpal tunnel syndrome, </w:t>
      </w:r>
      <w:r w:rsidR="002C43E3">
        <w:t>paraesthesia</w:t>
      </w:r>
      <w:r>
        <w:t>, and worsening of glucose intolerance.</w:t>
      </w:r>
      <w:r>
        <w:rPr>
          <w:rStyle w:val="FootnoteReference"/>
        </w:rPr>
        <w:footnoteReference w:id="20"/>
      </w:r>
      <w:r>
        <w:t xml:space="preserve"> </w:t>
      </w:r>
      <w:r w:rsidR="00FB3A23">
        <w:t>These side effects can be managed with vigilant dose titration.</w:t>
      </w:r>
      <w:r w:rsidR="00FB3A23">
        <w:rPr>
          <w:rStyle w:val="FootnoteReference"/>
        </w:rPr>
        <w:footnoteReference w:id="21"/>
      </w:r>
      <w:r w:rsidR="00FB3A23">
        <w:t xml:space="preserve"> </w:t>
      </w:r>
    </w:p>
    <w:p w14:paraId="271CD39D" w14:textId="289E6B4A" w:rsidR="006F5551" w:rsidRPr="00F1132C" w:rsidRDefault="0022574B" w:rsidP="003259FA">
      <w:r>
        <w:t xml:space="preserve">A range of specialists are involved in prescribing </w:t>
      </w:r>
      <w:proofErr w:type="spellStart"/>
      <w:r>
        <w:t>somatropin</w:t>
      </w:r>
      <w:proofErr w:type="spellEnd"/>
      <w:r>
        <w:t xml:space="preserve"> to patients. Across all age groups, </w:t>
      </w:r>
      <w:proofErr w:type="spellStart"/>
      <w:r>
        <w:t>somatropin</w:t>
      </w:r>
      <w:proofErr w:type="spellEnd"/>
      <w:r>
        <w:t xml:space="preserve"> is most commonly </w:t>
      </w:r>
      <w:r w:rsidR="005E3D7A">
        <w:t xml:space="preserve">prescribed </w:t>
      </w:r>
      <w:r>
        <w:t>by endocrinologists. In patients aged up to 19 years</w:t>
      </w:r>
      <w:r w:rsidR="00F47C90">
        <w:t>,</w:t>
      </w:r>
      <w:r>
        <w:t xml:space="preserve"> paediatricians and pathology specialists a</w:t>
      </w:r>
      <w:r w:rsidR="003259FA">
        <w:t>re also included as prescribers</w:t>
      </w:r>
      <w:r>
        <w:t xml:space="preserve">. In contrast, in patients 20 years and over, internal medicine and other specialist prescribers are </w:t>
      </w:r>
      <w:r w:rsidR="005E3D7A">
        <w:t>included as</w:t>
      </w:r>
      <w:r>
        <w:t xml:space="preserve"> prescribers. </w:t>
      </w:r>
      <w:r w:rsidR="003259FA">
        <w:t xml:space="preserve">In patients aged 70 years and over, internal medicine </w:t>
      </w:r>
      <w:proofErr w:type="gramStart"/>
      <w:r w:rsidR="003259FA">
        <w:t>physicians</w:t>
      </w:r>
      <w:proofErr w:type="gramEnd"/>
      <w:r w:rsidR="003259FA">
        <w:t xml:space="preserve"> account for a greater proportion</w:t>
      </w:r>
      <w:r w:rsidR="003D3887">
        <w:t xml:space="preserve"> of prescribers</w:t>
      </w:r>
      <w:r w:rsidR="003259FA">
        <w:t xml:space="preserve"> compared to other age groups. </w:t>
      </w:r>
    </w:p>
    <w:p w14:paraId="370CA97E" w14:textId="77777777" w:rsidR="007D322F" w:rsidRDefault="007D322F" w:rsidP="007D322F">
      <w:pPr>
        <w:pStyle w:val="Heading1"/>
      </w:pPr>
      <w:r>
        <w:t>DUSC consideration</w:t>
      </w:r>
    </w:p>
    <w:p w14:paraId="47445C31" w14:textId="26DAF64A" w:rsidR="00B543C9" w:rsidRPr="00560142" w:rsidRDefault="00B543C9" w:rsidP="00B543C9">
      <w:r w:rsidRPr="00560142">
        <w:t xml:space="preserve">DUSC noted that between 2016 and 2020 the number of treated patients increased from 2,011 to 3,178 patients, the number of prescriptions supplied increased from 5,973 to 12,439 prescriptions and expenditure (based on published prices) increased from $24.4 million to $33.6 million. DUSC noted the changes to listing in 2019 and </w:t>
      </w:r>
      <w:proofErr w:type="gramStart"/>
      <w:r w:rsidRPr="00560142">
        <w:t>2020 which</w:t>
      </w:r>
      <w:proofErr w:type="gramEnd"/>
      <w:r w:rsidRPr="00560142">
        <w:t xml:space="preserve"> involved broadening the eligibility criteria for paediatric patients and amendments to the adult listing in relation to continued access for patients when they reach adulthood.  DUSC considered the increased utilisation reflects the changes made to the listing with the addition of new clinical subgroups. </w:t>
      </w:r>
    </w:p>
    <w:p w14:paraId="00177CBD" w14:textId="1D2A412F" w:rsidR="00B543C9" w:rsidRPr="00560142" w:rsidRDefault="00B543C9" w:rsidP="00B543C9">
      <w:r w:rsidRPr="00560142">
        <w:t xml:space="preserve">DUSC noted the majority of patients who initiated </w:t>
      </w:r>
      <w:proofErr w:type="spellStart"/>
      <w:r w:rsidRPr="00560142">
        <w:t>somatropin</w:t>
      </w:r>
      <w:proofErr w:type="spellEnd"/>
      <w:r w:rsidRPr="00560142">
        <w:t xml:space="preserve"> treatment were aged up to 19 years. DUSC noted the majority of initiating patients were supplied </w:t>
      </w:r>
      <w:proofErr w:type="spellStart"/>
      <w:r w:rsidRPr="00560142">
        <w:t>somatropin</w:t>
      </w:r>
      <w:proofErr w:type="spellEnd"/>
      <w:r w:rsidRPr="00560142">
        <w:t xml:space="preserve"> with the appropriate item code, with 99% of patients aged up to 19 years supplied item codes for paediatric </w:t>
      </w:r>
      <w:proofErr w:type="spellStart"/>
      <w:r w:rsidRPr="00560142">
        <w:t>somatropin</w:t>
      </w:r>
      <w:proofErr w:type="spellEnd"/>
      <w:r w:rsidRPr="00560142">
        <w:t xml:space="preserve"> treatment and 96.5% of patients aged 20 years and over initiating </w:t>
      </w:r>
      <w:proofErr w:type="spellStart"/>
      <w:r w:rsidRPr="00560142">
        <w:t>somatropin</w:t>
      </w:r>
      <w:proofErr w:type="spellEnd"/>
      <w:r w:rsidRPr="00560142">
        <w:t xml:space="preserve"> treatment with item codes for adult onset growth hormone deficiency. DUSC noted the small proportion of patients who initiated </w:t>
      </w:r>
      <w:proofErr w:type="spellStart"/>
      <w:r w:rsidRPr="00560142">
        <w:t>somatropin</w:t>
      </w:r>
      <w:proofErr w:type="spellEnd"/>
      <w:r w:rsidRPr="00560142">
        <w:t xml:space="preserve"> treatment were aged over 60 years. </w:t>
      </w:r>
    </w:p>
    <w:p w14:paraId="7CF65917" w14:textId="3F5CDA0C" w:rsidR="00B543C9" w:rsidRPr="00560142" w:rsidRDefault="00B543C9" w:rsidP="00B543C9">
      <w:r w:rsidRPr="00560142">
        <w:t>DUSC noted the requirement for prescribers to use the Quality of Life Assessment of Growth Hormone Deficiency in Adults (</w:t>
      </w:r>
      <w:proofErr w:type="spellStart"/>
      <w:r w:rsidRPr="00560142">
        <w:t>QoL</w:t>
      </w:r>
      <w:proofErr w:type="spellEnd"/>
      <w:r w:rsidRPr="00560142">
        <w:t xml:space="preserve">-AGHDA) questionnaire for the treatment of adults with severe growth hormone deficiency </w:t>
      </w:r>
      <w:proofErr w:type="gramStart"/>
      <w:r w:rsidRPr="00560142">
        <w:t>was removed</w:t>
      </w:r>
      <w:proofErr w:type="gramEnd"/>
      <w:r w:rsidRPr="00560142">
        <w:t xml:space="preserve"> from the </w:t>
      </w:r>
      <w:proofErr w:type="spellStart"/>
      <w:r w:rsidRPr="00560142">
        <w:t>somatropin</w:t>
      </w:r>
      <w:proofErr w:type="spellEnd"/>
      <w:r w:rsidRPr="00560142">
        <w:t xml:space="preserve"> restrictions in September 2019 due to issues with accessibility and uncertain validity and reliability of the questionnaire. DUSC considered how quality of life </w:t>
      </w:r>
      <w:proofErr w:type="gramStart"/>
      <w:r w:rsidRPr="00560142">
        <w:t>could be measured</w:t>
      </w:r>
      <w:proofErr w:type="gramEnd"/>
      <w:r w:rsidRPr="00560142">
        <w:t xml:space="preserve"> as the lack of information on patient’s quality of life could affect cost effectiveness.  </w:t>
      </w:r>
      <w:bookmarkStart w:id="0" w:name="_GoBack"/>
      <w:bookmarkEnd w:id="0"/>
    </w:p>
    <w:p w14:paraId="46B538D9" w14:textId="28E5DF49" w:rsidR="00B543C9" w:rsidRPr="00560142" w:rsidRDefault="00B543C9" w:rsidP="00B543C9">
      <w:r w:rsidRPr="00560142">
        <w:t xml:space="preserve">DUSC noted weight-based dosing and flat dosing regimens were available for adults with growth hormone deficiency. DUSC considered the script per patient ratio between children </w:t>
      </w:r>
      <w:r w:rsidRPr="00560142">
        <w:lastRenderedPageBreak/>
        <w:t xml:space="preserve">and adults over time. DUSC commented that the script ratio for children remained relatively stable over time. However, the script ratio for adults appeared to be increasing, particularly between 2019 and 2020 when the restriction changes </w:t>
      </w:r>
      <w:proofErr w:type="gramStart"/>
      <w:r w:rsidRPr="00560142">
        <w:t>were made</w:t>
      </w:r>
      <w:proofErr w:type="gramEnd"/>
      <w:r w:rsidRPr="00560142">
        <w:t xml:space="preserve">. DUSC considered the different dosing regimens of flat and weight-based dosing </w:t>
      </w:r>
      <w:proofErr w:type="gramStart"/>
      <w:r w:rsidRPr="00560142">
        <w:t>may</w:t>
      </w:r>
      <w:proofErr w:type="gramEnd"/>
      <w:r w:rsidRPr="00560142">
        <w:t xml:space="preserve"> have contributed to the increased script ratio in adult patients.</w:t>
      </w:r>
    </w:p>
    <w:p w14:paraId="165C8720" w14:textId="537825C5" w:rsidR="00476423" w:rsidRPr="00560142" w:rsidRDefault="00B543C9" w:rsidP="007D322F">
      <w:r w:rsidRPr="00560142">
        <w:t xml:space="preserve">DUSC noted paediatric patients </w:t>
      </w:r>
      <w:proofErr w:type="gramStart"/>
      <w:r w:rsidRPr="00560142">
        <w:t>were most commonly treated</w:t>
      </w:r>
      <w:proofErr w:type="gramEnd"/>
      <w:r w:rsidRPr="00560142">
        <w:t xml:space="preserve"> with </w:t>
      </w:r>
      <w:proofErr w:type="spellStart"/>
      <w:r w:rsidRPr="00560142">
        <w:t>somatropin</w:t>
      </w:r>
      <w:proofErr w:type="spellEnd"/>
      <w:r w:rsidRPr="00560142">
        <w:t xml:space="preserve"> for short stature and slow growth whilst adults were most commonly treated with </w:t>
      </w:r>
      <w:proofErr w:type="spellStart"/>
      <w:r w:rsidRPr="00560142">
        <w:t>somatropin</w:t>
      </w:r>
      <w:proofErr w:type="spellEnd"/>
      <w:r w:rsidRPr="00560142">
        <w:t xml:space="preserve"> for severe growth hormone deficiency. DUSC noted the provocation tests required to support an authority application to initiate </w:t>
      </w:r>
      <w:proofErr w:type="spellStart"/>
      <w:r w:rsidRPr="00560142">
        <w:t>somatropin</w:t>
      </w:r>
      <w:proofErr w:type="spellEnd"/>
      <w:r w:rsidRPr="00560142">
        <w:t xml:space="preserve"> treatment. DUSC considered adult patients receiving </w:t>
      </w:r>
      <w:proofErr w:type="spellStart"/>
      <w:r w:rsidRPr="00560142">
        <w:t>somatropin</w:t>
      </w:r>
      <w:proofErr w:type="spellEnd"/>
      <w:r w:rsidRPr="00560142">
        <w:t xml:space="preserve"> treatment </w:t>
      </w:r>
      <w:proofErr w:type="gramStart"/>
      <w:r w:rsidRPr="00560142">
        <w:t>would likely be appropriately indicated</w:t>
      </w:r>
      <w:proofErr w:type="gramEnd"/>
      <w:r w:rsidRPr="00560142">
        <w:t xml:space="preserve"> for treatment. DUSC sought endocrinologist input. The response did not raise concern of use in adults outside of expectations.</w:t>
      </w:r>
    </w:p>
    <w:p w14:paraId="7206A27E" w14:textId="586D06B5" w:rsidR="007D322F" w:rsidRDefault="007D322F" w:rsidP="007D322F">
      <w:pPr>
        <w:pStyle w:val="Heading1"/>
      </w:pPr>
      <w:r>
        <w:t>DUSC actions</w:t>
      </w:r>
    </w:p>
    <w:p w14:paraId="69A72378" w14:textId="68008A26" w:rsidR="007D322F" w:rsidRPr="007D322F" w:rsidRDefault="007D322F" w:rsidP="007D322F">
      <w:r>
        <w:t>DUSC requested that the report be provided to the PBAC for consideration.</w:t>
      </w:r>
    </w:p>
    <w:p w14:paraId="1D390B05" w14:textId="66FF7A60" w:rsidR="007D322F" w:rsidRDefault="007D322F" w:rsidP="007D322F">
      <w:pPr>
        <w:pStyle w:val="Heading1"/>
      </w:pPr>
      <w:r w:rsidRPr="0092516A">
        <w:t>Context for analysis</w:t>
      </w:r>
    </w:p>
    <w:p w14:paraId="30687C09" w14:textId="77777777" w:rsidR="007D322F" w:rsidRDefault="007D322F" w:rsidP="007D322F">
      <w:r>
        <w:t>The DUSC is a Sub Committee of the Pharmaceutical Benefits Advisory Committee (PBAC). The DUSC assesses estimates on projected usage and financial cost of medicines.</w:t>
      </w:r>
    </w:p>
    <w:p w14:paraId="336B281B" w14:textId="77777777" w:rsidR="007D322F" w:rsidRDefault="007D322F" w:rsidP="007D322F">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30EE6E8C" w14:textId="77777777" w:rsidR="007D322F" w:rsidRDefault="007D322F" w:rsidP="007D322F">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4613C96D" w14:textId="77777777" w:rsidR="007D322F" w:rsidRDefault="007D322F" w:rsidP="007D322F">
      <w:r>
        <w:t>The utilisation analysis report was provided to the pharmaceutical sponsors of each drug and comments on the report were provided to DUSC prior to its consideration of the analysis.</w:t>
      </w:r>
    </w:p>
    <w:p w14:paraId="7BCE5D44" w14:textId="77777777" w:rsidR="00E757D0" w:rsidRDefault="00E757D0">
      <w:pPr>
        <w:spacing w:line="276" w:lineRule="auto"/>
        <w:rPr>
          <w:rFonts w:eastAsiaTheme="majorEastAsia" w:cstheme="majorBidi"/>
          <w:b/>
          <w:bCs/>
          <w:sz w:val="32"/>
          <w:szCs w:val="32"/>
        </w:rPr>
      </w:pPr>
      <w:r>
        <w:br w:type="page"/>
      </w:r>
    </w:p>
    <w:p w14:paraId="002328E7" w14:textId="5D9016FA" w:rsidR="007D322F" w:rsidRDefault="007D322F" w:rsidP="007D322F">
      <w:pPr>
        <w:pStyle w:val="Heading1"/>
      </w:pPr>
      <w:r>
        <w:lastRenderedPageBreak/>
        <w:t>Sponsor</w:t>
      </w:r>
      <w:r w:rsidRPr="0092516A">
        <w:t>s</w:t>
      </w:r>
      <w:r>
        <w:t>’</w:t>
      </w:r>
      <w:r w:rsidRPr="0092516A">
        <w:t xml:space="preserve"> comments</w:t>
      </w:r>
    </w:p>
    <w:p w14:paraId="761C1D2E" w14:textId="7F5BAD06" w:rsidR="00893D06" w:rsidRDefault="00893D06" w:rsidP="00893D06">
      <w:r>
        <w:t>Eli Lilly Australia Pty Ltd:</w:t>
      </w:r>
      <w:r w:rsidR="00E757D0">
        <w:t xml:space="preserve"> The sponsor has no comment. </w:t>
      </w:r>
    </w:p>
    <w:p w14:paraId="5BAD9401" w14:textId="4712688B" w:rsidR="00893D06" w:rsidRDefault="00893D06" w:rsidP="00893D06">
      <w:proofErr w:type="spellStart"/>
      <w:r>
        <w:t>Ferring</w:t>
      </w:r>
      <w:proofErr w:type="spellEnd"/>
      <w:r>
        <w:t xml:space="preserve"> Pharmaceuticals Pty Ltd:</w:t>
      </w:r>
      <w:r w:rsidR="00E757D0">
        <w:t xml:space="preserve"> The sponsor has no comment.</w:t>
      </w:r>
    </w:p>
    <w:p w14:paraId="175C03BA" w14:textId="0D4211CA" w:rsidR="00893D06" w:rsidRDefault="00893D06" w:rsidP="00893D06">
      <w:proofErr w:type="spellStart"/>
      <w:r>
        <w:t>Ispen</w:t>
      </w:r>
      <w:proofErr w:type="spellEnd"/>
      <w:r>
        <w:t xml:space="preserve"> Pty Ltd:</w:t>
      </w:r>
      <w:r w:rsidR="00E757D0">
        <w:t xml:space="preserve"> The sponsor has no comment.</w:t>
      </w:r>
    </w:p>
    <w:p w14:paraId="36AEE582" w14:textId="46F3C3CF" w:rsidR="00893D06" w:rsidRDefault="00893D06" w:rsidP="00893D06">
      <w:r>
        <w:t>Merck Healthcare Pty Ltd:</w:t>
      </w:r>
      <w:r w:rsidR="00E757D0">
        <w:t xml:space="preserve"> The sponsor has no comment.</w:t>
      </w:r>
    </w:p>
    <w:p w14:paraId="477A6EF3" w14:textId="732F0A0F" w:rsidR="00893D06" w:rsidRDefault="00893D06" w:rsidP="007D322F">
      <w:r>
        <w:t>Novo Nordisk Pharmaceuticals Pty Ltd:</w:t>
      </w:r>
      <w:r w:rsidR="00E757D0">
        <w:t xml:space="preserve"> The sponsor has no comment.</w:t>
      </w:r>
    </w:p>
    <w:p w14:paraId="79B88FAA" w14:textId="64E7AAFE" w:rsidR="00893D06" w:rsidRDefault="00893D06" w:rsidP="00893D06">
      <w:r>
        <w:t xml:space="preserve">Pfizer Australia Pty Ltd: </w:t>
      </w:r>
      <w:r w:rsidR="00E757D0">
        <w:t>The sponsor has no comment.</w:t>
      </w:r>
    </w:p>
    <w:p w14:paraId="6D86FD56" w14:textId="79D7A1EA" w:rsidR="00893D06" w:rsidRDefault="00893D06" w:rsidP="00893D06">
      <w:r>
        <w:t>Sandoz Pty Ltd:</w:t>
      </w:r>
      <w:r w:rsidR="00E757D0">
        <w:t xml:space="preserve"> The sponsor has no comment.</w:t>
      </w:r>
    </w:p>
    <w:p w14:paraId="5B3B1881" w14:textId="6D73E422" w:rsidR="00853F12" w:rsidRPr="00476423" w:rsidRDefault="00893D06" w:rsidP="00476423">
      <w:proofErr w:type="spellStart"/>
      <w:r>
        <w:t>SciGen</w:t>
      </w:r>
      <w:proofErr w:type="spellEnd"/>
      <w:r>
        <w:t xml:space="preserve"> (Australia) Pty Ltd:</w:t>
      </w:r>
      <w:r w:rsidR="00E757D0">
        <w:t xml:space="preserve"> The sponsor has no comment.</w:t>
      </w:r>
    </w:p>
    <w:p w14:paraId="4CD1E535" w14:textId="77777777" w:rsidR="00476423" w:rsidRDefault="00476423" w:rsidP="00476423">
      <w:pPr>
        <w:pStyle w:val="Heading1"/>
      </w:pPr>
      <w:r w:rsidRPr="00A4020E">
        <w:t>Disclaimer</w:t>
      </w:r>
    </w:p>
    <w:p w14:paraId="2B53107A" w14:textId="77777777" w:rsidR="00476423" w:rsidRDefault="00476423" w:rsidP="00476423">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2CABD337" w14:textId="77777777" w:rsidR="00476423" w:rsidRDefault="00476423" w:rsidP="00476423">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6D2B5FA" w14:textId="77777777" w:rsidR="00476423" w:rsidRDefault="00476423" w:rsidP="00476423">
      <w:r>
        <w:t xml:space="preserve">To the extent provided by law, </w:t>
      </w:r>
      <w:proofErr w:type="spellStart"/>
      <w:r>
        <w:t>DoH</w:t>
      </w:r>
      <w:proofErr w:type="spellEnd"/>
      <w:r>
        <w:t xml:space="preserve"> makes no warranties or representations as to accuracy or completeness of information contained in this report. </w:t>
      </w:r>
    </w:p>
    <w:p w14:paraId="6C9C1F38" w14:textId="77777777" w:rsidR="00476423" w:rsidRDefault="00476423" w:rsidP="00476423">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0285A42" w14:textId="77777777" w:rsidR="00476423" w:rsidRDefault="00476423">
      <w:pPr>
        <w:spacing w:line="276" w:lineRule="auto"/>
        <w:rPr>
          <w:rFonts w:eastAsiaTheme="majorEastAsia" w:cstheme="majorBidi"/>
          <w:b/>
          <w:bCs/>
          <w:sz w:val="32"/>
          <w:szCs w:val="32"/>
        </w:rPr>
      </w:pPr>
    </w:p>
    <w:p w14:paraId="3A9B880A" w14:textId="32A31489" w:rsidR="00853F12" w:rsidRPr="00EC0766" w:rsidRDefault="00853F12" w:rsidP="00EC0766">
      <w:pPr>
        <w:spacing w:line="276" w:lineRule="auto"/>
        <w:rPr>
          <w:rFonts w:eastAsiaTheme="majorEastAsia" w:cstheme="majorBidi"/>
          <w:b/>
          <w:bCs/>
          <w:sz w:val="32"/>
          <w:szCs w:val="32"/>
        </w:rPr>
      </w:pPr>
    </w:p>
    <w:p w14:paraId="524DBE70" w14:textId="56B7C3D2" w:rsidR="003A7852" w:rsidRDefault="003A7852">
      <w:pPr>
        <w:spacing w:line="276" w:lineRule="auto"/>
        <w:rPr>
          <w:rFonts w:eastAsiaTheme="majorEastAsia" w:cstheme="majorBidi"/>
          <w:b/>
          <w:bCs/>
          <w:sz w:val="32"/>
          <w:szCs w:val="32"/>
        </w:rPr>
      </w:pPr>
    </w:p>
    <w:p w14:paraId="5D30A16F" w14:textId="5DBA61FB" w:rsidR="00F60E07" w:rsidRDefault="00F60E07" w:rsidP="00F60E07">
      <w:pPr>
        <w:pStyle w:val="Heading1"/>
      </w:pPr>
      <w:r>
        <w:lastRenderedPageBreak/>
        <w:t>Appendi</w:t>
      </w:r>
      <w:r w:rsidR="00353DD1">
        <w:t>ces</w:t>
      </w:r>
    </w:p>
    <w:p w14:paraId="6EC22BBC" w14:textId="77777777" w:rsidR="00F60E07" w:rsidRPr="00D23863" w:rsidRDefault="00F60E07" w:rsidP="00F60E07">
      <w:pPr>
        <w:rPr>
          <w:b/>
        </w:rPr>
      </w:pPr>
      <w:r>
        <w:rPr>
          <w:b/>
        </w:rPr>
        <w:t>Appendix A</w:t>
      </w:r>
      <w:r w:rsidRPr="00D23863">
        <w:rPr>
          <w:b/>
        </w:rPr>
        <w:t xml:space="preserve">: Dosage and administration of </w:t>
      </w:r>
      <w:proofErr w:type="spellStart"/>
      <w:r w:rsidRPr="00D23863">
        <w:rPr>
          <w:b/>
        </w:rPr>
        <w:t>somatropin</w:t>
      </w:r>
      <w:proofErr w:type="spellEnd"/>
      <w:r w:rsidRPr="00D23863">
        <w:rPr>
          <w:b/>
        </w:rPr>
        <w:t xml:space="preserve"> according to indication</w:t>
      </w:r>
      <w:r>
        <w:rPr>
          <w:b/>
        </w:rPr>
        <w:t xml:space="preserve"> and brand </w:t>
      </w:r>
    </w:p>
    <w:tbl>
      <w:tblPr>
        <w:tblStyle w:val="TableGrid"/>
        <w:tblW w:w="0" w:type="auto"/>
        <w:tblLook w:val="04A0" w:firstRow="1" w:lastRow="0" w:firstColumn="1" w:lastColumn="0" w:noHBand="0" w:noVBand="1"/>
        <w:tblCaption w:val="Appendix A: Dosage and administration of somatropin according to indication and brand "/>
      </w:tblPr>
      <w:tblGrid>
        <w:gridCol w:w="1127"/>
        <w:gridCol w:w="1553"/>
        <w:gridCol w:w="6267"/>
      </w:tblGrid>
      <w:tr w:rsidR="00F60E07" w:rsidRPr="00000F3C" w14:paraId="1F4F647B" w14:textId="77777777" w:rsidTr="000B385E">
        <w:trPr>
          <w:tblHeader/>
        </w:trPr>
        <w:tc>
          <w:tcPr>
            <w:tcW w:w="1129" w:type="dxa"/>
            <w:shd w:val="clear" w:color="auto" w:fill="BFBFBF" w:themeFill="background1" w:themeFillShade="BF"/>
          </w:tcPr>
          <w:p w14:paraId="2A14AC41" w14:textId="77777777" w:rsidR="00F60E07" w:rsidRPr="00000F3C" w:rsidRDefault="00F60E07" w:rsidP="006C06DC">
            <w:pPr>
              <w:rPr>
                <w:rFonts w:cstheme="minorHAnsi"/>
                <w:b/>
                <w:sz w:val="20"/>
                <w:szCs w:val="20"/>
              </w:rPr>
            </w:pPr>
            <w:r w:rsidRPr="00000F3C">
              <w:rPr>
                <w:rFonts w:cstheme="minorHAnsi"/>
                <w:b/>
                <w:sz w:val="20"/>
                <w:szCs w:val="20"/>
              </w:rPr>
              <w:t xml:space="preserve">Indication </w:t>
            </w:r>
          </w:p>
        </w:tc>
        <w:tc>
          <w:tcPr>
            <w:tcW w:w="993" w:type="dxa"/>
            <w:shd w:val="clear" w:color="auto" w:fill="BFBFBF" w:themeFill="background1" w:themeFillShade="BF"/>
          </w:tcPr>
          <w:p w14:paraId="7621153F" w14:textId="77777777" w:rsidR="00F60E07" w:rsidRPr="00000F3C" w:rsidRDefault="00F60E07" w:rsidP="006C06DC">
            <w:pPr>
              <w:rPr>
                <w:rFonts w:cstheme="minorHAnsi"/>
                <w:b/>
                <w:sz w:val="20"/>
                <w:szCs w:val="20"/>
              </w:rPr>
            </w:pPr>
            <w:r w:rsidRPr="00000F3C">
              <w:rPr>
                <w:rFonts w:cstheme="minorHAnsi"/>
                <w:b/>
                <w:sz w:val="20"/>
                <w:szCs w:val="20"/>
              </w:rPr>
              <w:t xml:space="preserve">Brand name, sponsor </w:t>
            </w:r>
          </w:p>
        </w:tc>
        <w:tc>
          <w:tcPr>
            <w:tcW w:w="6825" w:type="dxa"/>
            <w:shd w:val="clear" w:color="auto" w:fill="BFBFBF" w:themeFill="background1" w:themeFillShade="BF"/>
          </w:tcPr>
          <w:p w14:paraId="6E3917B5" w14:textId="77777777" w:rsidR="00F60E07" w:rsidRPr="00000F3C" w:rsidRDefault="00F60E07" w:rsidP="006C06DC">
            <w:pPr>
              <w:rPr>
                <w:rFonts w:cstheme="minorHAnsi"/>
                <w:b/>
                <w:sz w:val="20"/>
                <w:szCs w:val="20"/>
              </w:rPr>
            </w:pPr>
            <w:r w:rsidRPr="00000F3C">
              <w:rPr>
                <w:rFonts w:cstheme="minorHAnsi"/>
                <w:b/>
                <w:sz w:val="20"/>
                <w:szCs w:val="20"/>
              </w:rPr>
              <w:t xml:space="preserve">Dosage and administration </w:t>
            </w:r>
          </w:p>
        </w:tc>
      </w:tr>
      <w:tr w:rsidR="00F60E07" w:rsidRPr="00000F3C" w14:paraId="3AA03139" w14:textId="77777777" w:rsidTr="006C06DC">
        <w:tc>
          <w:tcPr>
            <w:tcW w:w="1129" w:type="dxa"/>
            <w:vMerge w:val="restart"/>
          </w:tcPr>
          <w:p w14:paraId="43CE818C" w14:textId="77777777" w:rsidR="00F60E07" w:rsidRPr="00000F3C" w:rsidRDefault="00F60E07" w:rsidP="006C06DC">
            <w:pPr>
              <w:rPr>
                <w:rFonts w:cstheme="minorHAnsi"/>
                <w:sz w:val="20"/>
                <w:szCs w:val="20"/>
              </w:rPr>
            </w:pPr>
            <w:r w:rsidRPr="00000F3C">
              <w:rPr>
                <w:rFonts w:cstheme="minorHAnsi"/>
                <w:sz w:val="20"/>
                <w:szCs w:val="20"/>
              </w:rPr>
              <w:t xml:space="preserve">Growth hormone deficiency </w:t>
            </w:r>
          </w:p>
        </w:tc>
        <w:tc>
          <w:tcPr>
            <w:tcW w:w="993" w:type="dxa"/>
          </w:tcPr>
          <w:p w14:paraId="644CC0E8" w14:textId="77777777" w:rsidR="00F60E07" w:rsidRPr="00000F3C" w:rsidRDefault="00F60E07" w:rsidP="006C06DC">
            <w:pPr>
              <w:rPr>
                <w:rFonts w:cstheme="minorHAnsi"/>
                <w:sz w:val="20"/>
                <w:szCs w:val="20"/>
              </w:rPr>
            </w:pPr>
            <w:proofErr w:type="spellStart"/>
            <w:r w:rsidRPr="00000F3C">
              <w:rPr>
                <w:rFonts w:cstheme="minorHAnsi"/>
                <w:sz w:val="20"/>
                <w:szCs w:val="20"/>
              </w:rPr>
              <w:t>Genotropin</w:t>
            </w:r>
            <w:proofErr w:type="spellEnd"/>
            <w:r w:rsidRPr="00000F3C">
              <w:rPr>
                <w:rFonts w:cstheme="minorHAnsi"/>
                <w:sz w:val="20"/>
                <w:szCs w:val="20"/>
              </w:rPr>
              <w:t xml:space="preserve"> Pfizer Australia Pty Ltd </w:t>
            </w:r>
          </w:p>
        </w:tc>
        <w:tc>
          <w:tcPr>
            <w:tcW w:w="6825" w:type="dxa"/>
          </w:tcPr>
          <w:p w14:paraId="6F917772" w14:textId="77777777" w:rsidR="00F60E07" w:rsidRPr="00000F3C" w:rsidRDefault="00F60E07" w:rsidP="006C06DC">
            <w:pPr>
              <w:rPr>
                <w:rFonts w:cstheme="minorHAnsi"/>
                <w:sz w:val="20"/>
                <w:szCs w:val="20"/>
              </w:rPr>
            </w:pPr>
            <w:r w:rsidRPr="00000F3C">
              <w:rPr>
                <w:rFonts w:cstheme="minorHAnsi"/>
                <w:sz w:val="20"/>
                <w:szCs w:val="20"/>
              </w:rPr>
              <w:t>The diagnosis of growth hormone deficiency should be verified before the preparation is administered. This requires a thorough investigation of the pituitary function, including proper provocation tests. The dosage is individual and gradually titrated, generally an initial dose of 0.175 to 0.245 mg/kg body weight per week is recommended.</w:t>
            </w:r>
          </w:p>
        </w:tc>
      </w:tr>
      <w:tr w:rsidR="00F60E07" w:rsidRPr="00000F3C" w14:paraId="4901FD5A" w14:textId="77777777" w:rsidTr="006C06DC">
        <w:tc>
          <w:tcPr>
            <w:tcW w:w="1129" w:type="dxa"/>
            <w:vMerge/>
          </w:tcPr>
          <w:p w14:paraId="2E8D2542" w14:textId="77777777" w:rsidR="00F60E07" w:rsidRPr="00000F3C" w:rsidRDefault="00F60E07" w:rsidP="006C06DC">
            <w:pPr>
              <w:rPr>
                <w:rFonts w:cstheme="minorHAnsi"/>
                <w:sz w:val="20"/>
                <w:szCs w:val="20"/>
              </w:rPr>
            </w:pPr>
          </w:p>
        </w:tc>
        <w:tc>
          <w:tcPr>
            <w:tcW w:w="993" w:type="dxa"/>
          </w:tcPr>
          <w:p w14:paraId="77DB2EBD" w14:textId="77777777" w:rsidR="00F60E07" w:rsidRPr="00000F3C" w:rsidRDefault="00F60E07" w:rsidP="006C06DC">
            <w:pPr>
              <w:rPr>
                <w:rFonts w:cstheme="minorHAnsi"/>
                <w:sz w:val="20"/>
                <w:szCs w:val="20"/>
              </w:rPr>
            </w:pPr>
            <w:proofErr w:type="spellStart"/>
            <w:r w:rsidRPr="00000F3C">
              <w:rPr>
                <w:rFonts w:cstheme="minorHAnsi"/>
                <w:sz w:val="20"/>
                <w:szCs w:val="20"/>
              </w:rPr>
              <w:t>Humatrope</w:t>
            </w:r>
            <w:proofErr w:type="spellEnd"/>
          </w:p>
          <w:p w14:paraId="2E9CF9BA" w14:textId="77777777" w:rsidR="00F60E07" w:rsidRPr="00000F3C" w:rsidRDefault="00F60E07" w:rsidP="006C06DC">
            <w:pPr>
              <w:rPr>
                <w:rFonts w:cstheme="minorHAnsi"/>
                <w:sz w:val="20"/>
                <w:szCs w:val="20"/>
              </w:rPr>
            </w:pPr>
            <w:r w:rsidRPr="00000F3C">
              <w:rPr>
                <w:rFonts w:cstheme="minorHAnsi"/>
                <w:sz w:val="20"/>
                <w:szCs w:val="20"/>
              </w:rPr>
              <w:t xml:space="preserve">Eli Lilly Australia Pty Ltd  </w:t>
            </w:r>
          </w:p>
        </w:tc>
        <w:tc>
          <w:tcPr>
            <w:tcW w:w="6825" w:type="dxa"/>
          </w:tcPr>
          <w:p w14:paraId="57253228" w14:textId="77777777" w:rsidR="00F60E07" w:rsidRPr="00000F3C" w:rsidRDefault="00F60E07" w:rsidP="006C06DC">
            <w:pPr>
              <w:rPr>
                <w:rFonts w:cstheme="minorHAnsi"/>
                <w:sz w:val="20"/>
                <w:szCs w:val="20"/>
              </w:rPr>
            </w:pPr>
            <w:r w:rsidRPr="00000F3C">
              <w:rPr>
                <w:rFonts w:cstheme="minorHAnsi"/>
                <w:sz w:val="20"/>
                <w:szCs w:val="20"/>
              </w:rPr>
              <w:t>The dosage and administration schedule should be individualised for each patient. Generally, the recommended weekly dosage is 0.177-0.255 mg/kg (0.53-0.765 IU/kg) of body weight. The maximal replacement weekly dosage is 0.26 mg/kg (0.78 IU/kg) of bodyweight. It should be divided into equal doses given on 3 alternate days, 6 times per week or daily. The subcutaneous route of administration is preferable; intramuscular injection is also acceptable.</w:t>
            </w:r>
          </w:p>
        </w:tc>
      </w:tr>
      <w:tr w:rsidR="00F60E07" w:rsidRPr="00000F3C" w14:paraId="2E77C995" w14:textId="77777777" w:rsidTr="006C06DC">
        <w:tc>
          <w:tcPr>
            <w:tcW w:w="1129" w:type="dxa"/>
            <w:vMerge/>
          </w:tcPr>
          <w:p w14:paraId="6C6130D9" w14:textId="77777777" w:rsidR="00F60E07" w:rsidRPr="00000F3C" w:rsidRDefault="00F60E07" w:rsidP="006C06DC">
            <w:pPr>
              <w:rPr>
                <w:rFonts w:cstheme="minorHAnsi"/>
                <w:sz w:val="20"/>
                <w:szCs w:val="20"/>
              </w:rPr>
            </w:pPr>
          </w:p>
        </w:tc>
        <w:tc>
          <w:tcPr>
            <w:tcW w:w="993" w:type="dxa"/>
          </w:tcPr>
          <w:p w14:paraId="679BD5CA" w14:textId="77777777" w:rsidR="00F60E07" w:rsidRPr="00000F3C" w:rsidRDefault="00F60E07" w:rsidP="006C06DC">
            <w:pPr>
              <w:rPr>
                <w:sz w:val="20"/>
                <w:szCs w:val="20"/>
              </w:rPr>
            </w:pPr>
            <w:proofErr w:type="spellStart"/>
            <w:r w:rsidRPr="00000F3C">
              <w:rPr>
                <w:sz w:val="20"/>
                <w:szCs w:val="20"/>
              </w:rPr>
              <w:t>Norditropin</w:t>
            </w:r>
            <w:proofErr w:type="spellEnd"/>
          </w:p>
          <w:p w14:paraId="60658205" w14:textId="77777777" w:rsidR="00F60E07" w:rsidRPr="00000F3C" w:rsidRDefault="00F60E07" w:rsidP="006C06DC">
            <w:pPr>
              <w:rPr>
                <w:rFonts w:cstheme="minorHAnsi"/>
                <w:sz w:val="20"/>
                <w:szCs w:val="20"/>
              </w:rPr>
            </w:pPr>
            <w:r w:rsidRPr="00000F3C">
              <w:rPr>
                <w:sz w:val="20"/>
                <w:szCs w:val="20"/>
              </w:rPr>
              <w:t xml:space="preserve">Novo Nordisk Pharmaceuticals Pty Ltd </w:t>
            </w:r>
          </w:p>
        </w:tc>
        <w:tc>
          <w:tcPr>
            <w:tcW w:w="6825" w:type="dxa"/>
          </w:tcPr>
          <w:p w14:paraId="3139D947"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25-35 </w:t>
            </w:r>
            <w:proofErr w:type="spellStart"/>
            <w:r w:rsidRPr="00000F3C">
              <w:rPr>
                <w:rFonts w:cstheme="minorHAnsi"/>
                <w:color w:val="000000"/>
                <w:sz w:val="20"/>
                <w:szCs w:val="20"/>
              </w:rPr>
              <w:t>μg</w:t>
            </w:r>
            <w:proofErr w:type="spellEnd"/>
            <w:r w:rsidRPr="00000F3C">
              <w:rPr>
                <w:rFonts w:cstheme="minorHAnsi"/>
                <w:color w:val="000000"/>
                <w:sz w:val="20"/>
                <w:szCs w:val="20"/>
              </w:rPr>
              <w:t xml:space="preserve">/kg/day </w:t>
            </w:r>
          </w:p>
          <w:p w14:paraId="13513C02" w14:textId="77777777" w:rsidR="00F60E07" w:rsidRPr="00000F3C" w:rsidRDefault="00F60E07" w:rsidP="006C06DC">
            <w:pPr>
              <w:rPr>
                <w:rFonts w:cstheme="minorHAnsi"/>
                <w:sz w:val="20"/>
                <w:szCs w:val="20"/>
              </w:rPr>
            </w:pPr>
            <w:r w:rsidRPr="00000F3C">
              <w:rPr>
                <w:rFonts w:cstheme="minorHAnsi"/>
                <w:color w:val="000000"/>
                <w:sz w:val="20"/>
                <w:szCs w:val="20"/>
              </w:rPr>
              <w:t>Equal to: 0.7 – 1.0 mg/m</w:t>
            </w:r>
            <w:r w:rsidRPr="00000F3C">
              <w:rPr>
                <w:rFonts w:cstheme="minorHAnsi"/>
                <w:color w:val="000000"/>
                <w:sz w:val="20"/>
                <w:szCs w:val="20"/>
                <w:vertAlign w:val="superscript"/>
              </w:rPr>
              <w:t>2</w:t>
            </w:r>
            <w:r w:rsidRPr="00000F3C">
              <w:rPr>
                <w:rFonts w:cstheme="minorHAnsi"/>
                <w:color w:val="000000"/>
                <w:sz w:val="20"/>
                <w:szCs w:val="20"/>
              </w:rPr>
              <w:t>/day</w:t>
            </w:r>
          </w:p>
        </w:tc>
      </w:tr>
      <w:tr w:rsidR="00F60E07" w:rsidRPr="00000F3C" w14:paraId="75970B6B" w14:textId="77777777" w:rsidTr="006C06DC">
        <w:tc>
          <w:tcPr>
            <w:tcW w:w="1129" w:type="dxa"/>
            <w:vMerge/>
          </w:tcPr>
          <w:p w14:paraId="447D1D17" w14:textId="77777777" w:rsidR="00F60E07" w:rsidRPr="00000F3C" w:rsidRDefault="00F60E07" w:rsidP="006C06DC">
            <w:pPr>
              <w:rPr>
                <w:rFonts w:cstheme="minorHAnsi"/>
                <w:sz w:val="20"/>
                <w:szCs w:val="20"/>
              </w:rPr>
            </w:pPr>
          </w:p>
        </w:tc>
        <w:tc>
          <w:tcPr>
            <w:tcW w:w="993" w:type="dxa"/>
          </w:tcPr>
          <w:p w14:paraId="0ED1CB88" w14:textId="77777777" w:rsidR="00F60E07" w:rsidRPr="00000F3C" w:rsidRDefault="00F60E07" w:rsidP="006C06DC">
            <w:pPr>
              <w:rPr>
                <w:sz w:val="20"/>
                <w:szCs w:val="20"/>
              </w:rPr>
            </w:pPr>
            <w:proofErr w:type="spellStart"/>
            <w:r w:rsidRPr="00000F3C">
              <w:rPr>
                <w:sz w:val="20"/>
                <w:szCs w:val="20"/>
              </w:rPr>
              <w:t>Nutritropin</w:t>
            </w:r>
            <w:proofErr w:type="spellEnd"/>
          </w:p>
          <w:p w14:paraId="2179E185" w14:textId="77777777" w:rsidR="00F60E07" w:rsidRPr="00000F3C" w:rsidRDefault="00F60E07" w:rsidP="006C06DC">
            <w:pPr>
              <w:rPr>
                <w:rFonts w:cstheme="minorHAnsi"/>
                <w:sz w:val="20"/>
                <w:szCs w:val="20"/>
              </w:rPr>
            </w:pPr>
            <w:proofErr w:type="spellStart"/>
            <w:r w:rsidRPr="00000F3C">
              <w:rPr>
                <w:sz w:val="20"/>
                <w:szCs w:val="20"/>
              </w:rPr>
              <w:t>Ispen</w:t>
            </w:r>
            <w:proofErr w:type="spellEnd"/>
            <w:r w:rsidRPr="00000F3C">
              <w:rPr>
                <w:sz w:val="20"/>
                <w:szCs w:val="20"/>
              </w:rPr>
              <w:t xml:space="preserve"> Pty Ltd</w:t>
            </w:r>
          </w:p>
        </w:tc>
        <w:tc>
          <w:tcPr>
            <w:tcW w:w="6825" w:type="dxa"/>
          </w:tcPr>
          <w:p w14:paraId="5BCD7F3C" w14:textId="77777777" w:rsidR="00F60E07" w:rsidRPr="00000F3C" w:rsidRDefault="00F60E07" w:rsidP="006C06DC">
            <w:pPr>
              <w:rPr>
                <w:rFonts w:cstheme="minorHAnsi"/>
                <w:sz w:val="20"/>
                <w:szCs w:val="20"/>
              </w:rPr>
            </w:pPr>
            <w:r w:rsidRPr="00000F3C">
              <w:rPr>
                <w:rFonts w:cstheme="minorHAnsi"/>
                <w:sz w:val="20"/>
                <w:szCs w:val="20"/>
              </w:rPr>
              <w:t>0.025 - 0.035 mg/kg bodyweight given as a daily subcutaneous injection.</w:t>
            </w:r>
          </w:p>
        </w:tc>
      </w:tr>
      <w:tr w:rsidR="00F60E07" w:rsidRPr="00000F3C" w14:paraId="380EDD5B" w14:textId="77777777" w:rsidTr="006C06DC">
        <w:tc>
          <w:tcPr>
            <w:tcW w:w="1129" w:type="dxa"/>
            <w:vMerge/>
          </w:tcPr>
          <w:p w14:paraId="3E9DF3EB" w14:textId="77777777" w:rsidR="00F60E07" w:rsidRPr="00000F3C" w:rsidRDefault="00F60E07" w:rsidP="006C06DC">
            <w:pPr>
              <w:rPr>
                <w:rFonts w:cstheme="minorHAnsi"/>
                <w:sz w:val="20"/>
                <w:szCs w:val="20"/>
              </w:rPr>
            </w:pPr>
          </w:p>
        </w:tc>
        <w:tc>
          <w:tcPr>
            <w:tcW w:w="993" w:type="dxa"/>
          </w:tcPr>
          <w:p w14:paraId="4CA35583" w14:textId="77777777" w:rsidR="00F60E07" w:rsidRPr="00000F3C" w:rsidRDefault="00F60E07" w:rsidP="006C06DC">
            <w:pPr>
              <w:rPr>
                <w:sz w:val="20"/>
                <w:szCs w:val="20"/>
              </w:rPr>
            </w:pPr>
            <w:proofErr w:type="spellStart"/>
            <w:r w:rsidRPr="00000F3C">
              <w:rPr>
                <w:sz w:val="20"/>
                <w:szCs w:val="20"/>
              </w:rPr>
              <w:t>Omnitrope</w:t>
            </w:r>
            <w:proofErr w:type="spellEnd"/>
          </w:p>
          <w:p w14:paraId="311465F2" w14:textId="77777777" w:rsidR="00F60E07" w:rsidRPr="00000F3C" w:rsidRDefault="00F60E07" w:rsidP="006C06DC">
            <w:pPr>
              <w:rPr>
                <w:rFonts w:cstheme="minorHAnsi"/>
                <w:sz w:val="20"/>
                <w:szCs w:val="20"/>
              </w:rPr>
            </w:pPr>
            <w:r w:rsidRPr="00000F3C">
              <w:rPr>
                <w:sz w:val="20"/>
                <w:szCs w:val="20"/>
              </w:rPr>
              <w:t>Sandoz Pty Ltd</w:t>
            </w:r>
          </w:p>
        </w:tc>
        <w:tc>
          <w:tcPr>
            <w:tcW w:w="6825" w:type="dxa"/>
          </w:tcPr>
          <w:p w14:paraId="7697C935" w14:textId="77777777" w:rsidR="00F60E07" w:rsidRPr="00000F3C" w:rsidRDefault="00F60E07" w:rsidP="006C06DC">
            <w:pPr>
              <w:rPr>
                <w:rFonts w:cstheme="minorHAnsi"/>
                <w:sz w:val="20"/>
                <w:szCs w:val="20"/>
              </w:rPr>
            </w:pPr>
            <w:r w:rsidRPr="00000F3C">
              <w:rPr>
                <w:rFonts w:cstheme="minorHAnsi"/>
                <w:sz w:val="20"/>
                <w:szCs w:val="20"/>
              </w:rPr>
              <w:t>Generally, a dose of 0.025 to 0.035mg/kg body weight per day or 0.7 to 1.0 mg/m2 body surface area per day is recommended. If the response to therapy is not satisfactory in the following years, the dose can be increased, as higher doses have been used.</w:t>
            </w:r>
          </w:p>
        </w:tc>
      </w:tr>
      <w:tr w:rsidR="00F60E07" w:rsidRPr="00000F3C" w14:paraId="799174DB" w14:textId="77777777" w:rsidTr="006C06DC">
        <w:tc>
          <w:tcPr>
            <w:tcW w:w="1129" w:type="dxa"/>
            <w:vMerge/>
          </w:tcPr>
          <w:p w14:paraId="2D4EC380" w14:textId="77777777" w:rsidR="00F60E07" w:rsidRPr="00000F3C" w:rsidRDefault="00F60E07" w:rsidP="006C06DC">
            <w:pPr>
              <w:rPr>
                <w:rFonts w:cstheme="minorHAnsi"/>
                <w:sz w:val="20"/>
                <w:szCs w:val="20"/>
              </w:rPr>
            </w:pPr>
          </w:p>
        </w:tc>
        <w:tc>
          <w:tcPr>
            <w:tcW w:w="993" w:type="dxa"/>
          </w:tcPr>
          <w:p w14:paraId="41AEDE5D" w14:textId="77777777" w:rsidR="00F60E07" w:rsidRPr="00000F3C" w:rsidRDefault="00F60E07" w:rsidP="006C06DC">
            <w:pPr>
              <w:rPr>
                <w:sz w:val="20"/>
                <w:szCs w:val="20"/>
              </w:rPr>
            </w:pPr>
            <w:proofErr w:type="spellStart"/>
            <w:r w:rsidRPr="00000F3C">
              <w:rPr>
                <w:sz w:val="20"/>
                <w:szCs w:val="20"/>
              </w:rPr>
              <w:t>Saizen</w:t>
            </w:r>
            <w:proofErr w:type="spellEnd"/>
          </w:p>
          <w:p w14:paraId="6C957FF5" w14:textId="77777777" w:rsidR="00F60E07" w:rsidRPr="00000F3C" w:rsidRDefault="00F60E07" w:rsidP="006C06DC">
            <w:pPr>
              <w:rPr>
                <w:rFonts w:cstheme="minorHAnsi"/>
                <w:sz w:val="20"/>
                <w:szCs w:val="20"/>
              </w:rPr>
            </w:pPr>
            <w:r w:rsidRPr="00000F3C">
              <w:rPr>
                <w:sz w:val="20"/>
                <w:szCs w:val="20"/>
              </w:rPr>
              <w:t>Merck Healthcare Pty Ltd</w:t>
            </w:r>
          </w:p>
        </w:tc>
        <w:tc>
          <w:tcPr>
            <w:tcW w:w="6825" w:type="dxa"/>
          </w:tcPr>
          <w:p w14:paraId="3E5AC29B" w14:textId="0F1996B1"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The recommended weekly dose is as </w:t>
            </w:r>
            <w:r w:rsidR="009078C4">
              <w:rPr>
                <w:rFonts w:cstheme="minorHAnsi"/>
                <w:color w:val="000000"/>
                <w:sz w:val="20"/>
                <w:szCs w:val="20"/>
              </w:rPr>
              <w:t xml:space="preserve">follows: 0.2 mg/kg body weight </w:t>
            </w:r>
            <w:r w:rsidRPr="00000F3C">
              <w:rPr>
                <w:rFonts w:cstheme="minorHAnsi"/>
                <w:color w:val="000000"/>
                <w:sz w:val="20"/>
                <w:szCs w:val="20"/>
              </w:rPr>
              <w:t>or 4 mg/m</w:t>
            </w:r>
            <w:r w:rsidRPr="00000F3C">
              <w:rPr>
                <w:rFonts w:cstheme="minorHAnsi"/>
                <w:color w:val="000000"/>
                <w:sz w:val="20"/>
                <w:szCs w:val="20"/>
                <w:vertAlign w:val="superscript"/>
              </w:rPr>
              <w:t>2</w:t>
            </w:r>
            <w:r w:rsidRPr="00000F3C">
              <w:rPr>
                <w:rFonts w:cstheme="minorHAnsi"/>
                <w:color w:val="000000"/>
                <w:sz w:val="20"/>
                <w:szCs w:val="20"/>
              </w:rPr>
              <w:t xml:space="preserve"> BSA (Body Surface Area) </w:t>
            </w:r>
          </w:p>
          <w:p w14:paraId="3AE87DAA"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The weekly dose may be divided as shown below and is expressed per injection:</w:t>
            </w:r>
          </w:p>
          <w:tbl>
            <w:tblPr>
              <w:tblW w:w="0" w:type="auto"/>
              <w:tblBorders>
                <w:top w:val="nil"/>
                <w:left w:val="nil"/>
                <w:bottom w:val="nil"/>
                <w:right w:val="nil"/>
              </w:tblBorders>
              <w:tblLook w:val="0000" w:firstRow="0" w:lastRow="0" w:firstColumn="0" w:lastColumn="0" w:noHBand="0" w:noVBand="0"/>
            </w:tblPr>
            <w:tblGrid>
              <w:gridCol w:w="2163"/>
              <w:gridCol w:w="3888"/>
            </w:tblGrid>
            <w:tr w:rsidR="00F60E07" w:rsidRPr="00000F3C" w14:paraId="4782C5BC" w14:textId="77777777" w:rsidTr="006C06DC">
              <w:trPr>
                <w:trHeight w:val="247"/>
              </w:trPr>
              <w:tc>
                <w:tcPr>
                  <w:tcW w:w="2163" w:type="dxa"/>
                </w:tcPr>
                <w:p w14:paraId="0429B5EF"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3 single doses </w:t>
                  </w:r>
                </w:p>
              </w:tc>
              <w:tc>
                <w:tcPr>
                  <w:tcW w:w="3888" w:type="dxa"/>
                </w:tcPr>
                <w:p w14:paraId="4F3536C3"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0.07 mg/kg body weight 1.3 mg/m</w:t>
                  </w:r>
                  <w:r w:rsidRPr="00000F3C">
                    <w:rPr>
                      <w:rFonts w:cstheme="minorHAnsi"/>
                      <w:color w:val="000000"/>
                      <w:sz w:val="20"/>
                      <w:szCs w:val="20"/>
                      <w:vertAlign w:val="superscript"/>
                    </w:rPr>
                    <w:t>2</w:t>
                  </w:r>
                  <w:r w:rsidRPr="00000F3C">
                    <w:rPr>
                      <w:rFonts w:cstheme="minorHAnsi"/>
                      <w:color w:val="000000"/>
                      <w:sz w:val="20"/>
                      <w:szCs w:val="20"/>
                    </w:rPr>
                    <w:t xml:space="preserve"> BSA </w:t>
                  </w:r>
                </w:p>
              </w:tc>
            </w:tr>
            <w:tr w:rsidR="00F60E07" w:rsidRPr="00000F3C" w14:paraId="3BF0A820" w14:textId="77777777" w:rsidTr="006C06DC">
              <w:trPr>
                <w:trHeight w:val="247"/>
              </w:trPr>
              <w:tc>
                <w:tcPr>
                  <w:tcW w:w="2163" w:type="dxa"/>
                </w:tcPr>
                <w:p w14:paraId="7EE8908A"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6 single doses </w:t>
                  </w:r>
                </w:p>
              </w:tc>
              <w:tc>
                <w:tcPr>
                  <w:tcW w:w="3888" w:type="dxa"/>
                </w:tcPr>
                <w:p w14:paraId="3AFDF6C5"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0.03 mg/kg body weight 0.7 mg/m</w:t>
                  </w:r>
                  <w:r w:rsidRPr="00000F3C">
                    <w:rPr>
                      <w:rFonts w:cstheme="minorHAnsi"/>
                      <w:color w:val="000000"/>
                      <w:sz w:val="20"/>
                      <w:szCs w:val="20"/>
                      <w:vertAlign w:val="superscript"/>
                    </w:rPr>
                    <w:t>2</w:t>
                  </w:r>
                  <w:r w:rsidRPr="00000F3C">
                    <w:rPr>
                      <w:rFonts w:cstheme="minorHAnsi"/>
                      <w:color w:val="000000"/>
                      <w:sz w:val="20"/>
                      <w:szCs w:val="20"/>
                    </w:rPr>
                    <w:t xml:space="preserve"> BSA </w:t>
                  </w:r>
                </w:p>
              </w:tc>
            </w:tr>
            <w:tr w:rsidR="00F60E07" w:rsidRPr="00000F3C" w14:paraId="69E9350B" w14:textId="77777777" w:rsidTr="006C06DC">
              <w:trPr>
                <w:trHeight w:val="247"/>
              </w:trPr>
              <w:tc>
                <w:tcPr>
                  <w:tcW w:w="2163" w:type="dxa"/>
                </w:tcPr>
                <w:p w14:paraId="1A6EB52F"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7 single doses </w:t>
                  </w:r>
                </w:p>
              </w:tc>
              <w:tc>
                <w:tcPr>
                  <w:tcW w:w="3888" w:type="dxa"/>
                </w:tcPr>
                <w:p w14:paraId="24299295"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0.03 mg/kg body weight 0.6 mg/m</w:t>
                  </w:r>
                  <w:r w:rsidRPr="00000F3C">
                    <w:rPr>
                      <w:rFonts w:cstheme="minorHAnsi"/>
                      <w:color w:val="000000"/>
                      <w:sz w:val="20"/>
                      <w:szCs w:val="20"/>
                      <w:vertAlign w:val="superscript"/>
                    </w:rPr>
                    <w:t>2</w:t>
                  </w:r>
                  <w:r w:rsidRPr="00000F3C">
                    <w:rPr>
                      <w:rFonts w:cstheme="minorHAnsi"/>
                      <w:color w:val="000000"/>
                      <w:sz w:val="20"/>
                      <w:szCs w:val="20"/>
                    </w:rPr>
                    <w:t xml:space="preserve"> BSA </w:t>
                  </w:r>
                </w:p>
              </w:tc>
            </w:tr>
          </w:tbl>
          <w:p w14:paraId="32A4DBCF" w14:textId="77777777" w:rsidR="00F60E07" w:rsidRPr="00000F3C" w:rsidRDefault="00F60E07" w:rsidP="006C06DC">
            <w:pPr>
              <w:rPr>
                <w:rFonts w:cstheme="minorHAnsi"/>
                <w:sz w:val="20"/>
                <w:szCs w:val="20"/>
              </w:rPr>
            </w:pPr>
          </w:p>
        </w:tc>
      </w:tr>
      <w:tr w:rsidR="00F60E07" w:rsidRPr="00000F3C" w14:paraId="4A4044F3" w14:textId="77777777" w:rsidTr="006C06DC">
        <w:tc>
          <w:tcPr>
            <w:tcW w:w="1129" w:type="dxa"/>
            <w:vMerge/>
          </w:tcPr>
          <w:p w14:paraId="5C3CDB89" w14:textId="77777777" w:rsidR="00F60E07" w:rsidRPr="00000F3C" w:rsidRDefault="00F60E07" w:rsidP="006C06DC">
            <w:pPr>
              <w:rPr>
                <w:rFonts w:cstheme="minorHAnsi"/>
                <w:sz w:val="20"/>
                <w:szCs w:val="20"/>
              </w:rPr>
            </w:pPr>
          </w:p>
        </w:tc>
        <w:tc>
          <w:tcPr>
            <w:tcW w:w="993" w:type="dxa"/>
          </w:tcPr>
          <w:p w14:paraId="25BEF8DA" w14:textId="77777777" w:rsidR="00F60E07" w:rsidRPr="00000F3C" w:rsidRDefault="00F60E07" w:rsidP="006C06DC">
            <w:pPr>
              <w:rPr>
                <w:sz w:val="20"/>
                <w:szCs w:val="20"/>
              </w:rPr>
            </w:pPr>
            <w:proofErr w:type="spellStart"/>
            <w:r w:rsidRPr="00000F3C">
              <w:rPr>
                <w:sz w:val="20"/>
                <w:szCs w:val="20"/>
              </w:rPr>
              <w:t>SciTropinA</w:t>
            </w:r>
            <w:proofErr w:type="spellEnd"/>
          </w:p>
          <w:p w14:paraId="2A5D941F" w14:textId="77777777" w:rsidR="00F60E07" w:rsidRPr="00000F3C" w:rsidRDefault="00F60E07" w:rsidP="006C06DC">
            <w:pPr>
              <w:rPr>
                <w:rFonts w:cstheme="minorHAnsi"/>
                <w:sz w:val="20"/>
                <w:szCs w:val="20"/>
              </w:rPr>
            </w:pPr>
            <w:proofErr w:type="spellStart"/>
            <w:r w:rsidRPr="00000F3C">
              <w:rPr>
                <w:sz w:val="20"/>
                <w:szCs w:val="20"/>
              </w:rPr>
              <w:t>SciGen</w:t>
            </w:r>
            <w:proofErr w:type="spellEnd"/>
            <w:r w:rsidRPr="00000F3C">
              <w:rPr>
                <w:sz w:val="20"/>
                <w:szCs w:val="20"/>
              </w:rPr>
              <w:t xml:space="preserve"> (Australia) Pty Ltd</w:t>
            </w:r>
          </w:p>
        </w:tc>
        <w:tc>
          <w:tcPr>
            <w:tcW w:w="6825" w:type="dxa"/>
          </w:tcPr>
          <w:p w14:paraId="63082354" w14:textId="77777777" w:rsidR="00F60E07" w:rsidRPr="00000F3C" w:rsidRDefault="00F60E07" w:rsidP="006C06DC">
            <w:pPr>
              <w:rPr>
                <w:rFonts w:cstheme="minorHAnsi"/>
                <w:sz w:val="20"/>
                <w:szCs w:val="20"/>
              </w:rPr>
            </w:pPr>
            <w:r w:rsidRPr="00000F3C">
              <w:rPr>
                <w:rFonts w:cstheme="minorHAnsi"/>
                <w:sz w:val="20"/>
                <w:szCs w:val="20"/>
              </w:rPr>
              <w:t>Generally, a dose of 0.025 to 0.035 mg/kg body weight per day or 0.7 to 1.0 mg/m</w:t>
            </w:r>
            <w:r w:rsidRPr="00000F3C">
              <w:rPr>
                <w:rFonts w:cstheme="minorHAnsi"/>
                <w:sz w:val="20"/>
                <w:szCs w:val="20"/>
                <w:vertAlign w:val="superscript"/>
              </w:rPr>
              <w:t>2</w:t>
            </w:r>
            <w:r w:rsidRPr="00000F3C">
              <w:rPr>
                <w:rFonts w:cstheme="minorHAnsi"/>
                <w:sz w:val="20"/>
                <w:szCs w:val="20"/>
              </w:rPr>
              <w:t xml:space="preserve"> body surface area per day is recommended. If the response to therapy is not satisfactory in the following years, the dose can be increased, as higher doses have been used.</w:t>
            </w:r>
          </w:p>
        </w:tc>
      </w:tr>
      <w:tr w:rsidR="00F60E07" w:rsidRPr="00000F3C" w14:paraId="69965BBE" w14:textId="77777777" w:rsidTr="006C06DC">
        <w:tc>
          <w:tcPr>
            <w:tcW w:w="1129" w:type="dxa"/>
            <w:vMerge w:val="restart"/>
          </w:tcPr>
          <w:p w14:paraId="1EA20CA6" w14:textId="77777777" w:rsidR="00F60E07" w:rsidRPr="00000F3C" w:rsidRDefault="00F60E07" w:rsidP="006C06DC">
            <w:pPr>
              <w:rPr>
                <w:rFonts w:cstheme="minorHAnsi"/>
                <w:sz w:val="20"/>
                <w:szCs w:val="20"/>
              </w:rPr>
            </w:pPr>
            <w:r w:rsidRPr="00000F3C">
              <w:rPr>
                <w:rFonts w:cstheme="minorHAnsi"/>
                <w:sz w:val="20"/>
                <w:szCs w:val="20"/>
              </w:rPr>
              <w:t>Turner syndrome</w:t>
            </w:r>
          </w:p>
        </w:tc>
        <w:tc>
          <w:tcPr>
            <w:tcW w:w="993" w:type="dxa"/>
          </w:tcPr>
          <w:p w14:paraId="49CC0522" w14:textId="77777777" w:rsidR="00F60E07" w:rsidRPr="00000F3C" w:rsidRDefault="00F60E07" w:rsidP="006C06DC">
            <w:pPr>
              <w:rPr>
                <w:rFonts w:cstheme="minorHAnsi"/>
                <w:sz w:val="20"/>
                <w:szCs w:val="20"/>
              </w:rPr>
            </w:pPr>
            <w:proofErr w:type="spellStart"/>
            <w:r w:rsidRPr="00000F3C">
              <w:rPr>
                <w:rFonts w:cstheme="minorHAnsi"/>
                <w:sz w:val="20"/>
                <w:szCs w:val="20"/>
              </w:rPr>
              <w:t>Genotropin</w:t>
            </w:r>
            <w:proofErr w:type="spellEnd"/>
            <w:r w:rsidRPr="00000F3C">
              <w:rPr>
                <w:rFonts w:cstheme="minorHAnsi"/>
                <w:sz w:val="20"/>
                <w:szCs w:val="20"/>
              </w:rPr>
              <w:t xml:space="preserve"> Pfizer Australia Pty Ltd</w:t>
            </w:r>
          </w:p>
        </w:tc>
        <w:tc>
          <w:tcPr>
            <w:tcW w:w="6825" w:type="dxa"/>
          </w:tcPr>
          <w:p w14:paraId="32EDD879" w14:textId="77777777" w:rsidR="00F60E07" w:rsidRPr="00000F3C" w:rsidRDefault="00F60E07" w:rsidP="006C06DC">
            <w:pPr>
              <w:rPr>
                <w:rFonts w:cstheme="minorHAnsi"/>
                <w:sz w:val="20"/>
                <w:szCs w:val="20"/>
              </w:rPr>
            </w:pPr>
            <w:r w:rsidRPr="00000F3C">
              <w:rPr>
                <w:rFonts w:cstheme="minorHAnsi"/>
                <w:sz w:val="20"/>
                <w:szCs w:val="20"/>
              </w:rPr>
              <w:t xml:space="preserve">A dose of 0.3 to 0.35 mg/kg body weight per week is recommended </w:t>
            </w:r>
          </w:p>
        </w:tc>
      </w:tr>
      <w:tr w:rsidR="00F60E07" w:rsidRPr="00000F3C" w14:paraId="2D9AD869" w14:textId="77777777" w:rsidTr="006C06DC">
        <w:trPr>
          <w:trHeight w:val="1368"/>
        </w:trPr>
        <w:tc>
          <w:tcPr>
            <w:tcW w:w="1129" w:type="dxa"/>
            <w:vMerge/>
          </w:tcPr>
          <w:p w14:paraId="484A744B" w14:textId="77777777" w:rsidR="00F60E07" w:rsidRPr="00000F3C" w:rsidRDefault="00F60E07" w:rsidP="006C06DC">
            <w:pPr>
              <w:rPr>
                <w:rFonts w:cstheme="minorHAnsi"/>
                <w:sz w:val="20"/>
                <w:szCs w:val="20"/>
              </w:rPr>
            </w:pPr>
          </w:p>
        </w:tc>
        <w:tc>
          <w:tcPr>
            <w:tcW w:w="993" w:type="dxa"/>
          </w:tcPr>
          <w:p w14:paraId="6B5C4D24" w14:textId="77777777" w:rsidR="00F60E07" w:rsidRPr="00000F3C" w:rsidRDefault="00F60E07" w:rsidP="006C06DC">
            <w:pPr>
              <w:rPr>
                <w:rFonts w:cstheme="minorHAnsi"/>
                <w:sz w:val="20"/>
                <w:szCs w:val="20"/>
              </w:rPr>
            </w:pPr>
            <w:proofErr w:type="spellStart"/>
            <w:r w:rsidRPr="00000F3C">
              <w:rPr>
                <w:rFonts w:cstheme="minorHAnsi"/>
                <w:sz w:val="20"/>
                <w:szCs w:val="20"/>
              </w:rPr>
              <w:t>Humatrope</w:t>
            </w:r>
            <w:proofErr w:type="spellEnd"/>
          </w:p>
          <w:p w14:paraId="4F084D7F" w14:textId="77777777" w:rsidR="00F60E07" w:rsidRPr="00000F3C" w:rsidRDefault="00F60E07" w:rsidP="006C06DC">
            <w:pPr>
              <w:rPr>
                <w:rFonts w:cstheme="minorHAnsi"/>
                <w:sz w:val="20"/>
                <w:szCs w:val="20"/>
              </w:rPr>
            </w:pPr>
            <w:r w:rsidRPr="00000F3C">
              <w:rPr>
                <w:rFonts w:cstheme="minorHAnsi"/>
                <w:sz w:val="20"/>
                <w:szCs w:val="20"/>
              </w:rPr>
              <w:t xml:space="preserve">Eli Lilly Australia Pty Ltd  </w:t>
            </w:r>
          </w:p>
        </w:tc>
        <w:tc>
          <w:tcPr>
            <w:tcW w:w="6825" w:type="dxa"/>
          </w:tcPr>
          <w:tbl>
            <w:tblPr>
              <w:tblpPr w:leftFromText="180" w:rightFromText="180" w:vertAnchor="text" w:horzAnchor="margin" w:tblpY="-128"/>
              <w:tblOverlap w:val="never"/>
              <w:tblW w:w="3673" w:type="dxa"/>
              <w:tblBorders>
                <w:top w:val="nil"/>
                <w:left w:val="nil"/>
                <w:bottom w:val="nil"/>
                <w:right w:val="nil"/>
              </w:tblBorders>
              <w:tblLook w:val="0000" w:firstRow="0" w:lastRow="0" w:firstColumn="0" w:lastColumn="0" w:noHBand="0" w:noVBand="0"/>
            </w:tblPr>
            <w:tblGrid>
              <w:gridCol w:w="1795"/>
              <w:gridCol w:w="1878"/>
            </w:tblGrid>
            <w:tr w:rsidR="00F60E07" w:rsidRPr="00000F3C" w14:paraId="531FF3C4" w14:textId="77777777" w:rsidTr="006C06DC">
              <w:trPr>
                <w:trHeight w:val="113"/>
              </w:trPr>
              <w:tc>
                <w:tcPr>
                  <w:tcW w:w="0" w:type="auto"/>
                  <w:gridSpan w:val="2"/>
                </w:tcPr>
                <w:p w14:paraId="0C91DEE0" w14:textId="77777777" w:rsidR="00F60E07" w:rsidRPr="00C607EE" w:rsidRDefault="00F60E07" w:rsidP="006C06DC">
                  <w:pPr>
                    <w:autoSpaceDE w:val="0"/>
                    <w:autoSpaceDN w:val="0"/>
                    <w:adjustRightInd w:val="0"/>
                    <w:spacing w:after="0"/>
                    <w:rPr>
                      <w:rFonts w:cstheme="minorHAnsi"/>
                      <w:i/>
                      <w:color w:val="000000"/>
                      <w:sz w:val="20"/>
                      <w:szCs w:val="20"/>
                    </w:rPr>
                  </w:pPr>
                  <w:r w:rsidRPr="00C607EE">
                    <w:rPr>
                      <w:rFonts w:cstheme="minorHAnsi"/>
                      <w:i/>
                      <w:color w:val="000000"/>
                      <w:sz w:val="20"/>
                      <w:szCs w:val="20"/>
                    </w:rPr>
                    <w:t xml:space="preserve">Weekly Dosing </w:t>
                  </w:r>
                </w:p>
              </w:tc>
            </w:tr>
            <w:tr w:rsidR="00F60E07" w:rsidRPr="00000F3C" w14:paraId="376E69FD" w14:textId="77777777" w:rsidTr="006C06DC">
              <w:trPr>
                <w:trHeight w:val="113"/>
              </w:trPr>
              <w:tc>
                <w:tcPr>
                  <w:tcW w:w="0" w:type="auto"/>
                </w:tcPr>
                <w:p w14:paraId="0BD78F7B"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mg/kg/week </w:t>
                  </w:r>
                </w:p>
              </w:tc>
              <w:tc>
                <w:tcPr>
                  <w:tcW w:w="0" w:type="auto"/>
                </w:tcPr>
                <w:p w14:paraId="67A81D06"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0.17 to 0.375 </w:t>
                  </w:r>
                </w:p>
              </w:tc>
            </w:tr>
            <w:tr w:rsidR="00F60E07" w:rsidRPr="00000F3C" w14:paraId="2AA969EB" w14:textId="77777777" w:rsidTr="006C06DC">
              <w:trPr>
                <w:trHeight w:val="113"/>
              </w:trPr>
              <w:tc>
                <w:tcPr>
                  <w:tcW w:w="0" w:type="auto"/>
                </w:tcPr>
                <w:p w14:paraId="21E4DD96"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IU/kg/week </w:t>
                  </w:r>
                </w:p>
              </w:tc>
              <w:tc>
                <w:tcPr>
                  <w:tcW w:w="0" w:type="auto"/>
                </w:tcPr>
                <w:p w14:paraId="641592B1"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0.5 to 1.125 </w:t>
                  </w:r>
                </w:p>
              </w:tc>
            </w:tr>
            <w:tr w:rsidR="00F60E07" w:rsidRPr="00000F3C" w14:paraId="282F7DB2" w14:textId="77777777" w:rsidTr="006C06DC">
              <w:trPr>
                <w:trHeight w:val="113"/>
              </w:trPr>
              <w:tc>
                <w:tcPr>
                  <w:tcW w:w="0" w:type="auto"/>
                </w:tcPr>
                <w:p w14:paraId="40511923"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mg/M2/week </w:t>
                  </w:r>
                </w:p>
              </w:tc>
              <w:tc>
                <w:tcPr>
                  <w:tcW w:w="0" w:type="auto"/>
                </w:tcPr>
                <w:p w14:paraId="023E3979"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5 to 11 </w:t>
                  </w:r>
                </w:p>
              </w:tc>
            </w:tr>
            <w:tr w:rsidR="00F60E07" w:rsidRPr="00000F3C" w14:paraId="6383DD98" w14:textId="77777777" w:rsidTr="006C06DC">
              <w:trPr>
                <w:trHeight w:val="113"/>
              </w:trPr>
              <w:tc>
                <w:tcPr>
                  <w:tcW w:w="0" w:type="auto"/>
                </w:tcPr>
                <w:p w14:paraId="40F5EBFC"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IU/M2/week </w:t>
                  </w:r>
                </w:p>
              </w:tc>
              <w:tc>
                <w:tcPr>
                  <w:tcW w:w="0" w:type="auto"/>
                </w:tcPr>
                <w:p w14:paraId="356AF69E"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15 to 34 </w:t>
                  </w:r>
                </w:p>
              </w:tc>
            </w:tr>
            <w:tr w:rsidR="00F60E07" w:rsidRPr="00000F3C" w14:paraId="221661EC" w14:textId="77777777" w:rsidTr="006C06DC">
              <w:trPr>
                <w:trHeight w:val="113"/>
              </w:trPr>
              <w:tc>
                <w:tcPr>
                  <w:tcW w:w="0" w:type="auto"/>
                  <w:gridSpan w:val="2"/>
                </w:tcPr>
                <w:p w14:paraId="54D8F406" w14:textId="77777777" w:rsidR="00F60E07" w:rsidRPr="00C607EE" w:rsidRDefault="00F60E07" w:rsidP="006C06DC">
                  <w:pPr>
                    <w:autoSpaceDE w:val="0"/>
                    <w:autoSpaceDN w:val="0"/>
                    <w:adjustRightInd w:val="0"/>
                    <w:spacing w:after="0"/>
                    <w:rPr>
                      <w:rFonts w:cstheme="minorHAnsi"/>
                      <w:i/>
                      <w:color w:val="000000"/>
                      <w:sz w:val="20"/>
                      <w:szCs w:val="20"/>
                    </w:rPr>
                  </w:pPr>
                  <w:r w:rsidRPr="00C607EE">
                    <w:rPr>
                      <w:rFonts w:cstheme="minorHAnsi"/>
                      <w:i/>
                      <w:color w:val="000000"/>
                      <w:sz w:val="20"/>
                      <w:szCs w:val="20"/>
                    </w:rPr>
                    <w:t xml:space="preserve">Daily Dosing </w:t>
                  </w:r>
                </w:p>
              </w:tc>
            </w:tr>
            <w:tr w:rsidR="00F60E07" w:rsidRPr="00000F3C" w14:paraId="4E875205" w14:textId="77777777" w:rsidTr="006C06DC">
              <w:trPr>
                <w:trHeight w:val="113"/>
              </w:trPr>
              <w:tc>
                <w:tcPr>
                  <w:tcW w:w="0" w:type="auto"/>
                </w:tcPr>
                <w:p w14:paraId="4FB7691C"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Mg/kg/day </w:t>
                  </w:r>
                </w:p>
              </w:tc>
              <w:tc>
                <w:tcPr>
                  <w:tcW w:w="0" w:type="auto"/>
                </w:tcPr>
                <w:p w14:paraId="4A4830DC" w14:textId="77777777" w:rsidR="00F60E07" w:rsidRPr="00000F3C" w:rsidRDefault="00F60E07" w:rsidP="006C06DC">
                  <w:pPr>
                    <w:autoSpaceDE w:val="0"/>
                    <w:autoSpaceDN w:val="0"/>
                    <w:adjustRightInd w:val="0"/>
                    <w:spacing w:after="0"/>
                    <w:rPr>
                      <w:rFonts w:cstheme="minorHAnsi"/>
                      <w:color w:val="000000"/>
                      <w:sz w:val="20"/>
                      <w:szCs w:val="20"/>
                    </w:rPr>
                  </w:pPr>
                  <w:r w:rsidRPr="00000F3C">
                    <w:rPr>
                      <w:rFonts w:cstheme="minorHAnsi"/>
                      <w:color w:val="000000"/>
                      <w:sz w:val="20"/>
                      <w:szCs w:val="20"/>
                    </w:rPr>
                    <w:t xml:space="preserve">0.024 to 0.054 </w:t>
                  </w:r>
                </w:p>
              </w:tc>
            </w:tr>
          </w:tbl>
          <w:p w14:paraId="38626B73" w14:textId="77777777" w:rsidR="00F60E07" w:rsidRPr="00000F3C" w:rsidRDefault="00F60E07" w:rsidP="006C06DC">
            <w:pPr>
              <w:autoSpaceDE w:val="0"/>
              <w:autoSpaceDN w:val="0"/>
              <w:adjustRightInd w:val="0"/>
              <w:rPr>
                <w:rFonts w:cstheme="minorHAnsi"/>
                <w:color w:val="000000"/>
                <w:sz w:val="20"/>
                <w:szCs w:val="20"/>
              </w:rPr>
            </w:pPr>
          </w:p>
          <w:p w14:paraId="32C0E841" w14:textId="77777777" w:rsidR="00F60E07" w:rsidRPr="00000F3C" w:rsidRDefault="00F60E07" w:rsidP="006C06DC">
            <w:pPr>
              <w:rPr>
                <w:rFonts w:cstheme="minorHAnsi"/>
                <w:sz w:val="20"/>
                <w:szCs w:val="20"/>
              </w:rPr>
            </w:pPr>
          </w:p>
        </w:tc>
      </w:tr>
      <w:tr w:rsidR="00F60E07" w:rsidRPr="00000F3C" w14:paraId="27B35FD6" w14:textId="77777777" w:rsidTr="006C06DC">
        <w:tc>
          <w:tcPr>
            <w:tcW w:w="1129" w:type="dxa"/>
            <w:vMerge/>
          </w:tcPr>
          <w:p w14:paraId="286D02F9" w14:textId="77777777" w:rsidR="00F60E07" w:rsidRPr="00000F3C" w:rsidRDefault="00F60E07" w:rsidP="006C06DC">
            <w:pPr>
              <w:rPr>
                <w:rFonts w:cstheme="minorHAnsi"/>
                <w:sz w:val="20"/>
                <w:szCs w:val="20"/>
              </w:rPr>
            </w:pPr>
          </w:p>
        </w:tc>
        <w:tc>
          <w:tcPr>
            <w:tcW w:w="993" w:type="dxa"/>
          </w:tcPr>
          <w:p w14:paraId="7917C13A" w14:textId="77777777" w:rsidR="00F60E07" w:rsidRPr="00000F3C" w:rsidRDefault="00F60E07" w:rsidP="006C06DC">
            <w:pPr>
              <w:rPr>
                <w:sz w:val="20"/>
                <w:szCs w:val="20"/>
              </w:rPr>
            </w:pPr>
            <w:proofErr w:type="spellStart"/>
            <w:r w:rsidRPr="00000F3C">
              <w:rPr>
                <w:sz w:val="20"/>
                <w:szCs w:val="20"/>
              </w:rPr>
              <w:t>Norditropin</w:t>
            </w:r>
            <w:proofErr w:type="spellEnd"/>
          </w:p>
          <w:p w14:paraId="1F5CC5CF" w14:textId="77777777" w:rsidR="00F60E07" w:rsidRPr="00000F3C" w:rsidRDefault="00F60E07" w:rsidP="006C06DC">
            <w:pPr>
              <w:rPr>
                <w:rFonts w:cstheme="minorHAnsi"/>
                <w:sz w:val="20"/>
                <w:szCs w:val="20"/>
              </w:rPr>
            </w:pPr>
            <w:r w:rsidRPr="00000F3C">
              <w:rPr>
                <w:sz w:val="20"/>
                <w:szCs w:val="20"/>
              </w:rPr>
              <w:t xml:space="preserve">Novo Nordisk Pharmaceuticals Pty Ltd </w:t>
            </w:r>
          </w:p>
        </w:tc>
        <w:tc>
          <w:tcPr>
            <w:tcW w:w="6825" w:type="dxa"/>
          </w:tcPr>
          <w:p w14:paraId="451D53DD"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50 </w:t>
            </w:r>
            <w:proofErr w:type="spellStart"/>
            <w:r w:rsidRPr="00000F3C">
              <w:rPr>
                <w:rFonts w:cstheme="minorHAnsi"/>
                <w:color w:val="000000"/>
                <w:sz w:val="20"/>
                <w:szCs w:val="20"/>
              </w:rPr>
              <w:t>μg</w:t>
            </w:r>
            <w:proofErr w:type="spellEnd"/>
            <w:r w:rsidRPr="00000F3C">
              <w:rPr>
                <w:rFonts w:cstheme="minorHAnsi"/>
                <w:color w:val="000000"/>
                <w:sz w:val="20"/>
                <w:szCs w:val="20"/>
              </w:rPr>
              <w:t xml:space="preserve">/kg/day </w:t>
            </w:r>
          </w:p>
          <w:p w14:paraId="62F510DB" w14:textId="77777777" w:rsidR="00F60E07" w:rsidRDefault="00F60E07" w:rsidP="006C06DC">
            <w:pPr>
              <w:rPr>
                <w:rFonts w:cstheme="minorHAnsi"/>
                <w:color w:val="000000"/>
                <w:sz w:val="20"/>
                <w:szCs w:val="20"/>
              </w:rPr>
            </w:pPr>
            <w:r w:rsidRPr="00000F3C">
              <w:rPr>
                <w:rFonts w:cstheme="minorHAnsi"/>
                <w:color w:val="000000"/>
                <w:sz w:val="20"/>
                <w:szCs w:val="20"/>
              </w:rPr>
              <w:t>Equal to: 1.4 mg/m</w:t>
            </w:r>
            <w:r w:rsidRPr="00000F3C">
              <w:rPr>
                <w:rFonts w:cstheme="minorHAnsi"/>
                <w:color w:val="000000"/>
                <w:sz w:val="20"/>
                <w:szCs w:val="20"/>
                <w:vertAlign w:val="superscript"/>
              </w:rPr>
              <w:t>2</w:t>
            </w:r>
            <w:r w:rsidRPr="00000F3C">
              <w:rPr>
                <w:rFonts w:cstheme="minorHAnsi"/>
                <w:color w:val="000000"/>
                <w:sz w:val="20"/>
                <w:szCs w:val="20"/>
              </w:rPr>
              <w:t>/day</w:t>
            </w:r>
          </w:p>
          <w:p w14:paraId="10B4A0E8" w14:textId="77777777" w:rsidR="009078C4" w:rsidRDefault="009078C4" w:rsidP="006C06DC">
            <w:pPr>
              <w:rPr>
                <w:rFonts w:cstheme="minorHAnsi"/>
                <w:color w:val="000000"/>
                <w:sz w:val="20"/>
                <w:szCs w:val="20"/>
              </w:rPr>
            </w:pPr>
          </w:p>
          <w:p w14:paraId="6B1A1656" w14:textId="77777777" w:rsidR="009078C4" w:rsidRDefault="009078C4" w:rsidP="006C06DC">
            <w:pPr>
              <w:rPr>
                <w:rFonts w:cstheme="minorHAnsi"/>
                <w:color w:val="000000"/>
                <w:sz w:val="20"/>
                <w:szCs w:val="20"/>
              </w:rPr>
            </w:pPr>
          </w:p>
          <w:p w14:paraId="112731EF" w14:textId="3AD3D188" w:rsidR="009078C4" w:rsidRPr="00000F3C" w:rsidRDefault="009078C4" w:rsidP="006C06DC">
            <w:pPr>
              <w:rPr>
                <w:rFonts w:cstheme="minorHAnsi"/>
                <w:sz w:val="20"/>
                <w:szCs w:val="20"/>
              </w:rPr>
            </w:pPr>
          </w:p>
        </w:tc>
      </w:tr>
      <w:tr w:rsidR="00F60E07" w:rsidRPr="00000F3C" w14:paraId="7AE77923" w14:textId="77777777" w:rsidTr="006C06DC">
        <w:tc>
          <w:tcPr>
            <w:tcW w:w="1129" w:type="dxa"/>
            <w:vMerge/>
          </w:tcPr>
          <w:p w14:paraId="27706F8F" w14:textId="77777777" w:rsidR="00F60E07" w:rsidRPr="00000F3C" w:rsidRDefault="00F60E07" w:rsidP="006C06DC">
            <w:pPr>
              <w:rPr>
                <w:rFonts w:cstheme="minorHAnsi"/>
                <w:sz w:val="20"/>
                <w:szCs w:val="20"/>
              </w:rPr>
            </w:pPr>
          </w:p>
        </w:tc>
        <w:tc>
          <w:tcPr>
            <w:tcW w:w="993" w:type="dxa"/>
          </w:tcPr>
          <w:p w14:paraId="1F747A1F" w14:textId="77777777" w:rsidR="00F60E07" w:rsidRPr="00000F3C" w:rsidRDefault="00F60E07" w:rsidP="006C06DC">
            <w:pPr>
              <w:rPr>
                <w:sz w:val="20"/>
                <w:szCs w:val="20"/>
              </w:rPr>
            </w:pPr>
            <w:proofErr w:type="spellStart"/>
            <w:r w:rsidRPr="00000F3C">
              <w:rPr>
                <w:sz w:val="20"/>
                <w:szCs w:val="20"/>
              </w:rPr>
              <w:t>Nutritropin</w:t>
            </w:r>
            <w:proofErr w:type="spellEnd"/>
            <w:r w:rsidRPr="00000F3C">
              <w:rPr>
                <w:sz w:val="20"/>
                <w:szCs w:val="20"/>
              </w:rPr>
              <w:t xml:space="preserve"> </w:t>
            </w:r>
          </w:p>
          <w:p w14:paraId="527DC171" w14:textId="77777777" w:rsidR="00F60E07" w:rsidRPr="00000F3C" w:rsidRDefault="00F60E07" w:rsidP="006C06DC">
            <w:pPr>
              <w:rPr>
                <w:rFonts w:cstheme="minorHAnsi"/>
                <w:sz w:val="20"/>
                <w:szCs w:val="20"/>
              </w:rPr>
            </w:pPr>
            <w:proofErr w:type="spellStart"/>
            <w:r w:rsidRPr="00000F3C">
              <w:rPr>
                <w:sz w:val="20"/>
                <w:szCs w:val="20"/>
              </w:rPr>
              <w:t>Ispen</w:t>
            </w:r>
            <w:proofErr w:type="spellEnd"/>
            <w:r w:rsidRPr="00000F3C">
              <w:rPr>
                <w:sz w:val="20"/>
                <w:szCs w:val="20"/>
              </w:rPr>
              <w:t xml:space="preserve"> Pty Ltd</w:t>
            </w:r>
          </w:p>
        </w:tc>
        <w:tc>
          <w:tcPr>
            <w:tcW w:w="6825" w:type="dxa"/>
          </w:tcPr>
          <w:p w14:paraId="3D72DF26" w14:textId="77777777" w:rsidR="00F60E07" w:rsidRPr="00000F3C" w:rsidRDefault="00F60E07" w:rsidP="006C06DC">
            <w:pPr>
              <w:rPr>
                <w:rFonts w:cstheme="minorHAnsi"/>
                <w:sz w:val="20"/>
                <w:szCs w:val="20"/>
              </w:rPr>
            </w:pPr>
            <w:r w:rsidRPr="00000F3C">
              <w:rPr>
                <w:rFonts w:cstheme="minorHAnsi"/>
                <w:sz w:val="20"/>
                <w:szCs w:val="20"/>
              </w:rPr>
              <w:t>Up to 0.05 mg/kg bodyweight given as a daily subcutaneous injection.</w:t>
            </w:r>
          </w:p>
        </w:tc>
      </w:tr>
      <w:tr w:rsidR="00F60E07" w:rsidRPr="00000F3C" w14:paraId="64497DD0" w14:textId="77777777" w:rsidTr="006C06DC">
        <w:tc>
          <w:tcPr>
            <w:tcW w:w="1129" w:type="dxa"/>
            <w:vMerge/>
          </w:tcPr>
          <w:p w14:paraId="1D1F26BB" w14:textId="77777777" w:rsidR="00F60E07" w:rsidRPr="00000F3C" w:rsidRDefault="00F60E07" w:rsidP="006C06DC">
            <w:pPr>
              <w:rPr>
                <w:rFonts w:cstheme="minorHAnsi"/>
                <w:sz w:val="20"/>
                <w:szCs w:val="20"/>
              </w:rPr>
            </w:pPr>
          </w:p>
        </w:tc>
        <w:tc>
          <w:tcPr>
            <w:tcW w:w="993" w:type="dxa"/>
          </w:tcPr>
          <w:p w14:paraId="4F1DA6E1" w14:textId="77777777" w:rsidR="00F60E07" w:rsidRPr="00000F3C" w:rsidRDefault="00F60E07" w:rsidP="006C06DC">
            <w:pPr>
              <w:rPr>
                <w:sz w:val="20"/>
                <w:szCs w:val="20"/>
              </w:rPr>
            </w:pPr>
            <w:proofErr w:type="spellStart"/>
            <w:r w:rsidRPr="00000F3C">
              <w:rPr>
                <w:sz w:val="20"/>
                <w:szCs w:val="20"/>
              </w:rPr>
              <w:t>Omnitrope</w:t>
            </w:r>
            <w:proofErr w:type="spellEnd"/>
          </w:p>
          <w:p w14:paraId="3F97E280" w14:textId="77777777" w:rsidR="00F60E07" w:rsidRPr="00000F3C" w:rsidRDefault="00F60E07" w:rsidP="006C06DC">
            <w:pPr>
              <w:rPr>
                <w:rFonts w:cstheme="minorHAnsi"/>
                <w:sz w:val="20"/>
                <w:szCs w:val="20"/>
              </w:rPr>
            </w:pPr>
            <w:r w:rsidRPr="00000F3C">
              <w:rPr>
                <w:sz w:val="20"/>
                <w:szCs w:val="20"/>
              </w:rPr>
              <w:t>Sandoz Pty Ltd</w:t>
            </w:r>
          </w:p>
        </w:tc>
        <w:tc>
          <w:tcPr>
            <w:tcW w:w="6825" w:type="dxa"/>
          </w:tcPr>
          <w:p w14:paraId="40D91D65" w14:textId="77777777" w:rsidR="00F60E07" w:rsidRPr="00000F3C" w:rsidRDefault="00F60E07" w:rsidP="006C06DC">
            <w:pPr>
              <w:rPr>
                <w:rFonts w:cstheme="minorHAnsi"/>
                <w:sz w:val="20"/>
                <w:szCs w:val="20"/>
              </w:rPr>
            </w:pPr>
            <w:r w:rsidRPr="00000F3C">
              <w:rPr>
                <w:rFonts w:cstheme="minorHAnsi"/>
                <w:sz w:val="20"/>
                <w:szCs w:val="20"/>
              </w:rPr>
              <w:t>A dose of 0.045 to 0.05 mg/kg body weight per day or 1.4 mg/m</w:t>
            </w:r>
            <w:r w:rsidRPr="00000F3C">
              <w:rPr>
                <w:rFonts w:cstheme="minorHAnsi"/>
                <w:sz w:val="20"/>
                <w:szCs w:val="20"/>
                <w:vertAlign w:val="superscript"/>
              </w:rPr>
              <w:t>2</w:t>
            </w:r>
            <w:r w:rsidRPr="00000F3C">
              <w:rPr>
                <w:rFonts w:cstheme="minorHAnsi"/>
                <w:sz w:val="20"/>
                <w:szCs w:val="20"/>
              </w:rPr>
              <w:t xml:space="preserve"> body surface area per day is recommended. If the response to therapy is not satisfactory in the following years, the dose can be increased.</w:t>
            </w:r>
          </w:p>
        </w:tc>
      </w:tr>
      <w:tr w:rsidR="00F60E07" w:rsidRPr="00000F3C" w14:paraId="39545C54" w14:textId="77777777" w:rsidTr="006C06DC">
        <w:tc>
          <w:tcPr>
            <w:tcW w:w="1129" w:type="dxa"/>
            <w:vMerge/>
          </w:tcPr>
          <w:p w14:paraId="726C7165" w14:textId="77777777" w:rsidR="00F60E07" w:rsidRPr="00000F3C" w:rsidRDefault="00F60E07" w:rsidP="006C06DC">
            <w:pPr>
              <w:rPr>
                <w:rFonts w:cstheme="minorHAnsi"/>
                <w:sz w:val="20"/>
                <w:szCs w:val="20"/>
              </w:rPr>
            </w:pPr>
          </w:p>
        </w:tc>
        <w:tc>
          <w:tcPr>
            <w:tcW w:w="993" w:type="dxa"/>
          </w:tcPr>
          <w:p w14:paraId="454731EB" w14:textId="77777777" w:rsidR="00F60E07" w:rsidRPr="00000F3C" w:rsidRDefault="00F60E07" w:rsidP="006C06DC">
            <w:pPr>
              <w:rPr>
                <w:sz w:val="20"/>
                <w:szCs w:val="20"/>
              </w:rPr>
            </w:pPr>
            <w:proofErr w:type="spellStart"/>
            <w:r w:rsidRPr="00000F3C">
              <w:rPr>
                <w:sz w:val="20"/>
                <w:szCs w:val="20"/>
              </w:rPr>
              <w:t>Saizen</w:t>
            </w:r>
            <w:proofErr w:type="spellEnd"/>
          </w:p>
          <w:p w14:paraId="5752D285" w14:textId="77777777" w:rsidR="00F60E07" w:rsidRPr="00000F3C" w:rsidRDefault="00F60E07" w:rsidP="006C06DC">
            <w:pPr>
              <w:rPr>
                <w:rFonts w:cstheme="minorHAnsi"/>
                <w:sz w:val="20"/>
                <w:szCs w:val="20"/>
              </w:rPr>
            </w:pPr>
            <w:r w:rsidRPr="00000F3C">
              <w:rPr>
                <w:sz w:val="20"/>
                <w:szCs w:val="20"/>
              </w:rPr>
              <w:t>Merck Healthcare Pty Ltd</w:t>
            </w:r>
            <w:r w:rsidRPr="00000F3C">
              <w:rPr>
                <w:rFonts w:cstheme="minorHAnsi"/>
                <w:sz w:val="20"/>
                <w:szCs w:val="20"/>
              </w:rPr>
              <w:t xml:space="preserve"> </w:t>
            </w:r>
          </w:p>
        </w:tc>
        <w:tc>
          <w:tcPr>
            <w:tcW w:w="6825" w:type="dxa"/>
          </w:tcPr>
          <w:p w14:paraId="1F632377"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The recommended daily dose is:  0.045 – 0.05 mg/kg body weight or 1.4 mg/m</w:t>
            </w:r>
            <w:r w:rsidRPr="00000F3C">
              <w:rPr>
                <w:rFonts w:cstheme="minorHAnsi"/>
                <w:color w:val="000000"/>
                <w:sz w:val="20"/>
                <w:szCs w:val="20"/>
                <w:vertAlign w:val="superscript"/>
              </w:rPr>
              <w:t>2</w:t>
            </w:r>
            <w:r w:rsidRPr="00000F3C">
              <w:rPr>
                <w:rFonts w:cstheme="minorHAnsi"/>
                <w:color w:val="000000"/>
                <w:sz w:val="20"/>
                <w:szCs w:val="20"/>
              </w:rPr>
              <w:t xml:space="preserve"> body surface area</w:t>
            </w:r>
          </w:p>
        </w:tc>
      </w:tr>
      <w:tr w:rsidR="00F60E07" w:rsidRPr="00000F3C" w14:paraId="08081BBA" w14:textId="77777777" w:rsidTr="006C06DC">
        <w:tc>
          <w:tcPr>
            <w:tcW w:w="1129" w:type="dxa"/>
            <w:vMerge/>
          </w:tcPr>
          <w:p w14:paraId="7466E305" w14:textId="77777777" w:rsidR="00F60E07" w:rsidRPr="00000F3C" w:rsidRDefault="00F60E07" w:rsidP="006C06DC">
            <w:pPr>
              <w:rPr>
                <w:rFonts w:cstheme="minorHAnsi"/>
                <w:sz w:val="20"/>
                <w:szCs w:val="20"/>
              </w:rPr>
            </w:pPr>
          </w:p>
        </w:tc>
        <w:tc>
          <w:tcPr>
            <w:tcW w:w="993" w:type="dxa"/>
          </w:tcPr>
          <w:p w14:paraId="2A203539" w14:textId="77777777" w:rsidR="00F60E07" w:rsidRPr="00000F3C" w:rsidRDefault="00F60E07" w:rsidP="006C06DC">
            <w:pPr>
              <w:rPr>
                <w:sz w:val="20"/>
                <w:szCs w:val="20"/>
              </w:rPr>
            </w:pPr>
            <w:proofErr w:type="spellStart"/>
            <w:r w:rsidRPr="00000F3C">
              <w:rPr>
                <w:sz w:val="20"/>
                <w:szCs w:val="20"/>
              </w:rPr>
              <w:t>SciTropinA</w:t>
            </w:r>
            <w:proofErr w:type="spellEnd"/>
          </w:p>
          <w:p w14:paraId="30A68FAB" w14:textId="77777777" w:rsidR="00F60E07" w:rsidRPr="00000F3C" w:rsidRDefault="00F60E07" w:rsidP="006C06DC">
            <w:pPr>
              <w:rPr>
                <w:rFonts w:cstheme="minorHAnsi"/>
                <w:sz w:val="20"/>
                <w:szCs w:val="20"/>
              </w:rPr>
            </w:pPr>
            <w:proofErr w:type="spellStart"/>
            <w:r w:rsidRPr="00000F3C">
              <w:rPr>
                <w:sz w:val="20"/>
                <w:szCs w:val="20"/>
              </w:rPr>
              <w:t>SciGen</w:t>
            </w:r>
            <w:proofErr w:type="spellEnd"/>
            <w:r w:rsidRPr="00000F3C">
              <w:rPr>
                <w:sz w:val="20"/>
                <w:szCs w:val="20"/>
              </w:rPr>
              <w:t xml:space="preserve"> (Australia) Pty Ltd</w:t>
            </w:r>
          </w:p>
        </w:tc>
        <w:tc>
          <w:tcPr>
            <w:tcW w:w="6825" w:type="dxa"/>
          </w:tcPr>
          <w:p w14:paraId="00E2634C" w14:textId="77777777" w:rsidR="00F60E07" w:rsidRPr="00000F3C" w:rsidRDefault="00F60E07" w:rsidP="006C06DC">
            <w:pPr>
              <w:rPr>
                <w:rFonts w:cstheme="minorHAnsi"/>
                <w:sz w:val="20"/>
                <w:szCs w:val="20"/>
              </w:rPr>
            </w:pPr>
            <w:r w:rsidRPr="00000F3C">
              <w:rPr>
                <w:rFonts w:cstheme="minorHAnsi"/>
                <w:sz w:val="20"/>
                <w:szCs w:val="20"/>
              </w:rPr>
              <w:t>A dose of 0.045 to 0.05 mg/kg body weight per day or 1.4 mg/m</w:t>
            </w:r>
            <w:r w:rsidRPr="00000F3C">
              <w:rPr>
                <w:rFonts w:cstheme="minorHAnsi"/>
                <w:sz w:val="20"/>
                <w:szCs w:val="20"/>
                <w:vertAlign w:val="superscript"/>
              </w:rPr>
              <w:t>2</w:t>
            </w:r>
            <w:r w:rsidRPr="00000F3C">
              <w:rPr>
                <w:rFonts w:cstheme="minorHAnsi"/>
                <w:sz w:val="20"/>
                <w:szCs w:val="20"/>
              </w:rPr>
              <w:t xml:space="preserve"> body surface area per day is recommended. If the response to therapy is not satisfactory in the following years, the dose can be increased.</w:t>
            </w:r>
          </w:p>
        </w:tc>
      </w:tr>
      <w:tr w:rsidR="00F60E07" w:rsidRPr="00000F3C" w14:paraId="1FE5B41F" w14:textId="77777777" w:rsidTr="006C06DC">
        <w:tc>
          <w:tcPr>
            <w:tcW w:w="1129" w:type="dxa"/>
            <w:vMerge w:val="restart"/>
          </w:tcPr>
          <w:p w14:paraId="3A1C5C21" w14:textId="77777777" w:rsidR="00F60E07" w:rsidRPr="00000F3C" w:rsidRDefault="00F60E07" w:rsidP="006C06DC">
            <w:pPr>
              <w:rPr>
                <w:rFonts w:cstheme="minorHAnsi"/>
                <w:sz w:val="20"/>
                <w:szCs w:val="20"/>
              </w:rPr>
            </w:pPr>
            <w:r w:rsidRPr="00000F3C">
              <w:rPr>
                <w:rFonts w:cstheme="minorHAnsi"/>
                <w:sz w:val="20"/>
                <w:szCs w:val="20"/>
              </w:rPr>
              <w:t>Chronic renal disease</w:t>
            </w:r>
          </w:p>
        </w:tc>
        <w:tc>
          <w:tcPr>
            <w:tcW w:w="993" w:type="dxa"/>
          </w:tcPr>
          <w:p w14:paraId="6D072DBF" w14:textId="77777777" w:rsidR="00F60E07" w:rsidRPr="00000F3C" w:rsidRDefault="00F60E07" w:rsidP="006C06DC">
            <w:pPr>
              <w:rPr>
                <w:rFonts w:cstheme="minorHAnsi"/>
                <w:sz w:val="20"/>
                <w:szCs w:val="20"/>
              </w:rPr>
            </w:pPr>
            <w:proofErr w:type="spellStart"/>
            <w:r w:rsidRPr="00000F3C">
              <w:rPr>
                <w:rFonts w:cstheme="minorHAnsi"/>
                <w:sz w:val="20"/>
                <w:szCs w:val="20"/>
              </w:rPr>
              <w:t>Genotropin</w:t>
            </w:r>
            <w:proofErr w:type="spellEnd"/>
            <w:r w:rsidRPr="00000F3C">
              <w:rPr>
                <w:rFonts w:cstheme="minorHAnsi"/>
                <w:sz w:val="20"/>
                <w:szCs w:val="20"/>
              </w:rPr>
              <w:t xml:space="preserve"> Pfizer Australia Pty Ltd</w:t>
            </w:r>
          </w:p>
        </w:tc>
        <w:tc>
          <w:tcPr>
            <w:tcW w:w="6825" w:type="dxa"/>
          </w:tcPr>
          <w:p w14:paraId="4772F31F" w14:textId="77777777" w:rsidR="00F60E07" w:rsidRPr="00000F3C" w:rsidRDefault="00F60E07" w:rsidP="006C06DC">
            <w:pPr>
              <w:rPr>
                <w:rFonts w:cstheme="minorHAnsi"/>
                <w:sz w:val="20"/>
                <w:szCs w:val="20"/>
              </w:rPr>
            </w:pPr>
            <w:r w:rsidRPr="00000F3C">
              <w:rPr>
                <w:rFonts w:cstheme="minorHAnsi"/>
                <w:sz w:val="20"/>
                <w:szCs w:val="20"/>
              </w:rPr>
              <w:t>A dose of 0.3 to 0.35 mg/kg body weight per week is recommended</w:t>
            </w:r>
          </w:p>
        </w:tc>
      </w:tr>
      <w:tr w:rsidR="00F60E07" w:rsidRPr="00000F3C" w14:paraId="025CB989" w14:textId="77777777" w:rsidTr="006C06DC">
        <w:tc>
          <w:tcPr>
            <w:tcW w:w="1129" w:type="dxa"/>
            <w:vMerge/>
          </w:tcPr>
          <w:p w14:paraId="4A3BC428" w14:textId="77777777" w:rsidR="00F60E07" w:rsidRPr="00000F3C" w:rsidRDefault="00F60E07" w:rsidP="006C06DC">
            <w:pPr>
              <w:rPr>
                <w:rFonts w:cstheme="minorHAnsi"/>
                <w:sz w:val="20"/>
                <w:szCs w:val="20"/>
              </w:rPr>
            </w:pPr>
          </w:p>
        </w:tc>
        <w:tc>
          <w:tcPr>
            <w:tcW w:w="993" w:type="dxa"/>
          </w:tcPr>
          <w:p w14:paraId="71E10387" w14:textId="77777777" w:rsidR="00F60E07" w:rsidRPr="00000F3C" w:rsidRDefault="00F60E07" w:rsidP="006C06DC">
            <w:pPr>
              <w:rPr>
                <w:rFonts w:cstheme="minorHAnsi"/>
                <w:sz w:val="20"/>
                <w:szCs w:val="20"/>
              </w:rPr>
            </w:pPr>
            <w:proofErr w:type="spellStart"/>
            <w:r w:rsidRPr="00000F3C">
              <w:rPr>
                <w:rFonts w:cstheme="minorHAnsi"/>
                <w:sz w:val="20"/>
                <w:szCs w:val="20"/>
              </w:rPr>
              <w:t>Humatrope</w:t>
            </w:r>
            <w:proofErr w:type="spellEnd"/>
          </w:p>
          <w:p w14:paraId="60513971" w14:textId="77777777" w:rsidR="00F60E07" w:rsidRPr="00000F3C" w:rsidRDefault="00F60E07" w:rsidP="006C06DC">
            <w:pPr>
              <w:rPr>
                <w:rFonts w:cstheme="minorHAnsi"/>
                <w:sz w:val="20"/>
                <w:szCs w:val="20"/>
              </w:rPr>
            </w:pPr>
            <w:r w:rsidRPr="00000F3C">
              <w:rPr>
                <w:rFonts w:cstheme="minorHAnsi"/>
                <w:sz w:val="20"/>
                <w:szCs w:val="20"/>
              </w:rPr>
              <w:t xml:space="preserve">Eli Lilly Australia Pty Ltd  </w:t>
            </w:r>
          </w:p>
        </w:tc>
        <w:tc>
          <w:tcPr>
            <w:tcW w:w="6825" w:type="dxa"/>
          </w:tcPr>
          <w:p w14:paraId="2715975E" w14:textId="77777777" w:rsidR="00F60E07" w:rsidRPr="00000F3C" w:rsidRDefault="00F60E07" w:rsidP="006C06DC">
            <w:pPr>
              <w:rPr>
                <w:rFonts w:cstheme="minorHAnsi"/>
                <w:sz w:val="20"/>
                <w:szCs w:val="20"/>
              </w:rPr>
            </w:pPr>
            <w:r w:rsidRPr="00000F3C">
              <w:rPr>
                <w:rFonts w:cstheme="minorHAnsi"/>
                <w:sz w:val="20"/>
                <w:szCs w:val="20"/>
              </w:rPr>
              <w:t>The recommended dose is 0.045 mg/kg – 0.050 mg/kg (approximately 0.14 IU/kg) of body weight per day, given as a daily subcutaneous injection.</w:t>
            </w:r>
          </w:p>
        </w:tc>
      </w:tr>
      <w:tr w:rsidR="00F60E07" w:rsidRPr="00000F3C" w14:paraId="4BE2B537" w14:textId="77777777" w:rsidTr="006C06DC">
        <w:tc>
          <w:tcPr>
            <w:tcW w:w="1129" w:type="dxa"/>
            <w:vMerge/>
          </w:tcPr>
          <w:p w14:paraId="3A465BB7" w14:textId="77777777" w:rsidR="00F60E07" w:rsidRPr="00000F3C" w:rsidRDefault="00F60E07" w:rsidP="006C06DC">
            <w:pPr>
              <w:rPr>
                <w:rFonts w:cstheme="minorHAnsi"/>
                <w:sz w:val="20"/>
                <w:szCs w:val="20"/>
              </w:rPr>
            </w:pPr>
          </w:p>
        </w:tc>
        <w:tc>
          <w:tcPr>
            <w:tcW w:w="993" w:type="dxa"/>
          </w:tcPr>
          <w:p w14:paraId="383955FF" w14:textId="77777777" w:rsidR="00F60E07" w:rsidRPr="00000F3C" w:rsidRDefault="00F60E07" w:rsidP="006C06DC">
            <w:pPr>
              <w:rPr>
                <w:sz w:val="20"/>
                <w:szCs w:val="20"/>
              </w:rPr>
            </w:pPr>
            <w:proofErr w:type="spellStart"/>
            <w:r w:rsidRPr="00000F3C">
              <w:rPr>
                <w:sz w:val="20"/>
                <w:szCs w:val="20"/>
              </w:rPr>
              <w:t>Norditropin</w:t>
            </w:r>
            <w:proofErr w:type="spellEnd"/>
          </w:p>
          <w:p w14:paraId="0AA4F24E" w14:textId="77777777" w:rsidR="00F60E07" w:rsidRPr="00000F3C" w:rsidRDefault="00F60E07" w:rsidP="006C06DC">
            <w:pPr>
              <w:rPr>
                <w:rFonts w:cstheme="minorHAnsi"/>
                <w:sz w:val="20"/>
                <w:szCs w:val="20"/>
              </w:rPr>
            </w:pPr>
            <w:r w:rsidRPr="00000F3C">
              <w:rPr>
                <w:sz w:val="20"/>
                <w:szCs w:val="20"/>
              </w:rPr>
              <w:t>Novo Nordisk Pharmaceuticals Pty Ltd</w:t>
            </w:r>
          </w:p>
        </w:tc>
        <w:tc>
          <w:tcPr>
            <w:tcW w:w="6825" w:type="dxa"/>
          </w:tcPr>
          <w:p w14:paraId="74F04591"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50 </w:t>
            </w:r>
            <w:proofErr w:type="spellStart"/>
            <w:r w:rsidRPr="00000F3C">
              <w:rPr>
                <w:rFonts w:cstheme="minorHAnsi"/>
                <w:color w:val="000000"/>
                <w:sz w:val="20"/>
                <w:szCs w:val="20"/>
              </w:rPr>
              <w:t>μg</w:t>
            </w:r>
            <w:proofErr w:type="spellEnd"/>
            <w:r w:rsidRPr="00000F3C">
              <w:rPr>
                <w:rFonts w:cstheme="minorHAnsi"/>
                <w:color w:val="000000"/>
                <w:sz w:val="20"/>
                <w:szCs w:val="20"/>
              </w:rPr>
              <w:t xml:space="preserve">/kg/day </w:t>
            </w:r>
          </w:p>
          <w:p w14:paraId="40A9C476" w14:textId="77777777" w:rsidR="00F60E07" w:rsidRPr="00000F3C" w:rsidRDefault="00F60E07" w:rsidP="006C06DC">
            <w:pPr>
              <w:rPr>
                <w:rFonts w:cstheme="minorHAnsi"/>
                <w:sz w:val="20"/>
                <w:szCs w:val="20"/>
              </w:rPr>
            </w:pPr>
            <w:r w:rsidRPr="00000F3C">
              <w:rPr>
                <w:rFonts w:cstheme="minorHAnsi"/>
                <w:color w:val="000000"/>
                <w:sz w:val="20"/>
                <w:szCs w:val="20"/>
              </w:rPr>
              <w:t>Equal to: 1.4 mg/m</w:t>
            </w:r>
            <w:r w:rsidRPr="00000F3C">
              <w:rPr>
                <w:rFonts w:cstheme="minorHAnsi"/>
                <w:color w:val="000000"/>
                <w:sz w:val="20"/>
                <w:szCs w:val="20"/>
                <w:vertAlign w:val="superscript"/>
              </w:rPr>
              <w:t>2</w:t>
            </w:r>
            <w:r w:rsidRPr="00000F3C">
              <w:rPr>
                <w:rFonts w:cstheme="minorHAnsi"/>
                <w:color w:val="000000"/>
                <w:sz w:val="20"/>
                <w:szCs w:val="20"/>
              </w:rPr>
              <w:t>/day</w:t>
            </w:r>
          </w:p>
        </w:tc>
      </w:tr>
      <w:tr w:rsidR="00F60E07" w:rsidRPr="00000F3C" w14:paraId="10ED71EE" w14:textId="77777777" w:rsidTr="006C06DC">
        <w:tc>
          <w:tcPr>
            <w:tcW w:w="1129" w:type="dxa"/>
            <w:vMerge/>
          </w:tcPr>
          <w:p w14:paraId="534ECA5C" w14:textId="77777777" w:rsidR="00F60E07" w:rsidRPr="00000F3C" w:rsidRDefault="00F60E07" w:rsidP="006C06DC">
            <w:pPr>
              <w:rPr>
                <w:rFonts w:cstheme="minorHAnsi"/>
                <w:sz w:val="20"/>
                <w:szCs w:val="20"/>
              </w:rPr>
            </w:pPr>
          </w:p>
        </w:tc>
        <w:tc>
          <w:tcPr>
            <w:tcW w:w="993" w:type="dxa"/>
          </w:tcPr>
          <w:p w14:paraId="10B5FAED" w14:textId="77777777" w:rsidR="00F60E07" w:rsidRPr="00000F3C" w:rsidRDefault="00F60E07" w:rsidP="006C06DC">
            <w:pPr>
              <w:rPr>
                <w:sz w:val="20"/>
                <w:szCs w:val="20"/>
              </w:rPr>
            </w:pPr>
            <w:proofErr w:type="spellStart"/>
            <w:r w:rsidRPr="00000F3C">
              <w:rPr>
                <w:sz w:val="20"/>
                <w:szCs w:val="20"/>
              </w:rPr>
              <w:t>Nutritropin</w:t>
            </w:r>
            <w:proofErr w:type="spellEnd"/>
            <w:r w:rsidRPr="00000F3C">
              <w:rPr>
                <w:sz w:val="20"/>
                <w:szCs w:val="20"/>
              </w:rPr>
              <w:t xml:space="preserve"> </w:t>
            </w:r>
          </w:p>
          <w:p w14:paraId="3067FEDC" w14:textId="77777777" w:rsidR="00F60E07" w:rsidRPr="00000F3C" w:rsidRDefault="00F60E07" w:rsidP="006C06DC">
            <w:pPr>
              <w:rPr>
                <w:rFonts w:cstheme="minorHAnsi"/>
                <w:sz w:val="20"/>
                <w:szCs w:val="20"/>
              </w:rPr>
            </w:pPr>
            <w:proofErr w:type="spellStart"/>
            <w:r w:rsidRPr="00000F3C">
              <w:rPr>
                <w:sz w:val="20"/>
                <w:szCs w:val="20"/>
              </w:rPr>
              <w:t>Ispen</w:t>
            </w:r>
            <w:proofErr w:type="spellEnd"/>
            <w:r w:rsidRPr="00000F3C">
              <w:rPr>
                <w:sz w:val="20"/>
                <w:szCs w:val="20"/>
              </w:rPr>
              <w:t xml:space="preserve"> Pty Ltd</w:t>
            </w:r>
          </w:p>
        </w:tc>
        <w:tc>
          <w:tcPr>
            <w:tcW w:w="6825" w:type="dxa"/>
          </w:tcPr>
          <w:p w14:paraId="20A91092"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sz w:val="20"/>
                <w:szCs w:val="20"/>
              </w:rPr>
              <w:t xml:space="preserve">Up to 0.05 mg/kg bodyweight given as a daily subcutaneous injection. </w:t>
            </w:r>
            <w:proofErr w:type="spellStart"/>
            <w:r w:rsidRPr="00000F3C">
              <w:rPr>
                <w:rFonts w:cstheme="minorHAnsi"/>
                <w:sz w:val="20"/>
                <w:szCs w:val="20"/>
              </w:rPr>
              <w:t>Somatropin</w:t>
            </w:r>
            <w:proofErr w:type="spellEnd"/>
            <w:r w:rsidRPr="00000F3C">
              <w:rPr>
                <w:rFonts w:cstheme="minorHAnsi"/>
                <w:sz w:val="20"/>
                <w:szCs w:val="20"/>
              </w:rPr>
              <w:t xml:space="preserve"> therapy may be continued up to the time of renal transplantation.</w:t>
            </w:r>
          </w:p>
        </w:tc>
      </w:tr>
      <w:tr w:rsidR="00F60E07" w:rsidRPr="00000F3C" w14:paraId="5652EAC1" w14:textId="77777777" w:rsidTr="006C06DC">
        <w:tc>
          <w:tcPr>
            <w:tcW w:w="1129" w:type="dxa"/>
            <w:vMerge/>
          </w:tcPr>
          <w:p w14:paraId="0038767B" w14:textId="77777777" w:rsidR="00F60E07" w:rsidRPr="00000F3C" w:rsidRDefault="00F60E07" w:rsidP="006C06DC">
            <w:pPr>
              <w:rPr>
                <w:rFonts w:cstheme="minorHAnsi"/>
                <w:sz w:val="20"/>
                <w:szCs w:val="20"/>
              </w:rPr>
            </w:pPr>
          </w:p>
        </w:tc>
        <w:tc>
          <w:tcPr>
            <w:tcW w:w="993" w:type="dxa"/>
          </w:tcPr>
          <w:p w14:paraId="1125F6F2" w14:textId="77777777" w:rsidR="00F60E07" w:rsidRPr="00000F3C" w:rsidRDefault="00F60E07" w:rsidP="006C06DC">
            <w:pPr>
              <w:rPr>
                <w:sz w:val="20"/>
                <w:szCs w:val="20"/>
              </w:rPr>
            </w:pPr>
            <w:proofErr w:type="spellStart"/>
            <w:r w:rsidRPr="00000F3C">
              <w:rPr>
                <w:sz w:val="20"/>
                <w:szCs w:val="20"/>
              </w:rPr>
              <w:t>Omnitrope</w:t>
            </w:r>
            <w:proofErr w:type="spellEnd"/>
          </w:p>
          <w:p w14:paraId="787F6679" w14:textId="77777777" w:rsidR="00F60E07" w:rsidRPr="00000F3C" w:rsidRDefault="00F60E07" w:rsidP="006C06DC">
            <w:pPr>
              <w:rPr>
                <w:rFonts w:cstheme="minorHAnsi"/>
                <w:sz w:val="20"/>
                <w:szCs w:val="20"/>
              </w:rPr>
            </w:pPr>
            <w:r w:rsidRPr="00000F3C">
              <w:rPr>
                <w:sz w:val="20"/>
                <w:szCs w:val="20"/>
              </w:rPr>
              <w:t>Sandoz Pty Ltd</w:t>
            </w:r>
          </w:p>
        </w:tc>
        <w:tc>
          <w:tcPr>
            <w:tcW w:w="6825" w:type="dxa"/>
          </w:tcPr>
          <w:p w14:paraId="4A8B1FE1" w14:textId="77777777" w:rsidR="00F60E07" w:rsidRPr="00000F3C" w:rsidRDefault="00F60E07" w:rsidP="006C06DC">
            <w:pPr>
              <w:autoSpaceDE w:val="0"/>
              <w:autoSpaceDN w:val="0"/>
              <w:adjustRightInd w:val="0"/>
              <w:rPr>
                <w:rFonts w:cstheme="minorHAnsi"/>
                <w:sz w:val="20"/>
                <w:szCs w:val="20"/>
              </w:rPr>
            </w:pPr>
            <w:r w:rsidRPr="00000F3C">
              <w:rPr>
                <w:rFonts w:cstheme="minorHAnsi"/>
                <w:sz w:val="20"/>
                <w:szCs w:val="20"/>
              </w:rPr>
              <w:t>A dose of 0.045 to 0.05 mg/kg body weight per day or 1.4 mg/m</w:t>
            </w:r>
            <w:r w:rsidRPr="00000F3C">
              <w:rPr>
                <w:rFonts w:cstheme="minorHAnsi"/>
                <w:sz w:val="20"/>
                <w:szCs w:val="20"/>
                <w:vertAlign w:val="superscript"/>
              </w:rPr>
              <w:t>2</w:t>
            </w:r>
            <w:r w:rsidRPr="00000F3C">
              <w:rPr>
                <w:rFonts w:cstheme="minorHAnsi"/>
                <w:sz w:val="20"/>
                <w:szCs w:val="20"/>
              </w:rPr>
              <w:t xml:space="preserve"> body surface area per day is recommended. A dosage adjustment may be necessary after 6 months. If the response to therapy is not satisfactory, the dose can be increased.</w:t>
            </w:r>
          </w:p>
        </w:tc>
      </w:tr>
      <w:tr w:rsidR="00F60E07" w:rsidRPr="00000F3C" w14:paraId="46753AC9" w14:textId="77777777" w:rsidTr="006C06DC">
        <w:tc>
          <w:tcPr>
            <w:tcW w:w="1129" w:type="dxa"/>
            <w:vMerge/>
          </w:tcPr>
          <w:p w14:paraId="4604DD28" w14:textId="77777777" w:rsidR="00F60E07" w:rsidRPr="00000F3C" w:rsidRDefault="00F60E07" w:rsidP="006C06DC">
            <w:pPr>
              <w:rPr>
                <w:rFonts w:cstheme="minorHAnsi"/>
                <w:sz w:val="20"/>
                <w:szCs w:val="20"/>
              </w:rPr>
            </w:pPr>
          </w:p>
        </w:tc>
        <w:tc>
          <w:tcPr>
            <w:tcW w:w="993" w:type="dxa"/>
          </w:tcPr>
          <w:p w14:paraId="43A528B7" w14:textId="77777777" w:rsidR="00F60E07" w:rsidRPr="00000F3C" w:rsidRDefault="00F60E07" w:rsidP="006C06DC">
            <w:pPr>
              <w:rPr>
                <w:sz w:val="20"/>
                <w:szCs w:val="20"/>
              </w:rPr>
            </w:pPr>
            <w:proofErr w:type="spellStart"/>
            <w:r w:rsidRPr="00000F3C">
              <w:rPr>
                <w:sz w:val="20"/>
                <w:szCs w:val="20"/>
              </w:rPr>
              <w:t>Saizen</w:t>
            </w:r>
            <w:proofErr w:type="spellEnd"/>
          </w:p>
          <w:p w14:paraId="3217BE83" w14:textId="77777777" w:rsidR="00F60E07" w:rsidRPr="00000F3C" w:rsidRDefault="00F60E07" w:rsidP="006C06DC">
            <w:pPr>
              <w:rPr>
                <w:rFonts w:cstheme="minorHAnsi"/>
                <w:sz w:val="20"/>
                <w:szCs w:val="20"/>
              </w:rPr>
            </w:pPr>
            <w:r w:rsidRPr="00000F3C">
              <w:rPr>
                <w:sz w:val="20"/>
                <w:szCs w:val="20"/>
              </w:rPr>
              <w:t>Merck Healthcare Pty Ltd</w:t>
            </w:r>
          </w:p>
        </w:tc>
        <w:tc>
          <w:tcPr>
            <w:tcW w:w="6825" w:type="dxa"/>
          </w:tcPr>
          <w:p w14:paraId="53F46CBF"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The recommended daily dose is: </w:t>
            </w:r>
          </w:p>
          <w:p w14:paraId="62FCCE53"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0.045 – 0.05 mg/kg body weight </w:t>
            </w:r>
          </w:p>
          <w:p w14:paraId="1784386C" w14:textId="77777777" w:rsidR="00F60E07" w:rsidRPr="00000F3C" w:rsidRDefault="00F60E07" w:rsidP="006C06DC">
            <w:pPr>
              <w:autoSpaceDE w:val="0"/>
              <w:autoSpaceDN w:val="0"/>
              <w:adjustRightInd w:val="0"/>
              <w:rPr>
                <w:rFonts w:cstheme="minorHAnsi"/>
                <w:sz w:val="20"/>
                <w:szCs w:val="20"/>
              </w:rPr>
            </w:pPr>
            <w:r w:rsidRPr="00000F3C">
              <w:rPr>
                <w:rFonts w:cstheme="minorHAnsi"/>
                <w:color w:val="000000"/>
                <w:sz w:val="20"/>
                <w:szCs w:val="20"/>
              </w:rPr>
              <w:t>1.4 mg/m</w:t>
            </w:r>
            <w:r w:rsidRPr="00000F3C">
              <w:rPr>
                <w:rFonts w:cstheme="minorHAnsi"/>
                <w:color w:val="000000"/>
                <w:sz w:val="20"/>
                <w:szCs w:val="20"/>
                <w:vertAlign w:val="superscript"/>
              </w:rPr>
              <w:t>2</w:t>
            </w:r>
            <w:r w:rsidRPr="00000F3C">
              <w:rPr>
                <w:rFonts w:cstheme="minorHAnsi"/>
                <w:color w:val="000000"/>
                <w:sz w:val="20"/>
                <w:szCs w:val="20"/>
              </w:rPr>
              <w:t xml:space="preserve"> body surface area </w:t>
            </w:r>
          </w:p>
        </w:tc>
      </w:tr>
      <w:tr w:rsidR="00F60E07" w:rsidRPr="00000F3C" w14:paraId="151E1A47" w14:textId="77777777" w:rsidTr="006C06DC">
        <w:tc>
          <w:tcPr>
            <w:tcW w:w="1129" w:type="dxa"/>
            <w:vMerge/>
          </w:tcPr>
          <w:p w14:paraId="1A5D09AA" w14:textId="77777777" w:rsidR="00F60E07" w:rsidRPr="00000F3C" w:rsidRDefault="00F60E07" w:rsidP="006C06DC">
            <w:pPr>
              <w:rPr>
                <w:rFonts w:cstheme="minorHAnsi"/>
                <w:sz w:val="20"/>
                <w:szCs w:val="20"/>
              </w:rPr>
            </w:pPr>
          </w:p>
        </w:tc>
        <w:tc>
          <w:tcPr>
            <w:tcW w:w="993" w:type="dxa"/>
          </w:tcPr>
          <w:p w14:paraId="7E486DA9" w14:textId="77777777" w:rsidR="00F60E07" w:rsidRPr="00000F3C" w:rsidRDefault="00F60E07" w:rsidP="006C06DC">
            <w:pPr>
              <w:rPr>
                <w:sz w:val="20"/>
                <w:szCs w:val="20"/>
              </w:rPr>
            </w:pPr>
            <w:proofErr w:type="spellStart"/>
            <w:r w:rsidRPr="00000F3C">
              <w:rPr>
                <w:sz w:val="20"/>
                <w:szCs w:val="20"/>
              </w:rPr>
              <w:t>SciTropinA</w:t>
            </w:r>
            <w:proofErr w:type="spellEnd"/>
          </w:p>
          <w:p w14:paraId="3BA3E15C" w14:textId="77777777" w:rsidR="00F60E07" w:rsidRPr="00000F3C" w:rsidRDefault="00F60E07" w:rsidP="006C06DC">
            <w:pPr>
              <w:rPr>
                <w:rFonts w:cstheme="minorHAnsi"/>
                <w:sz w:val="20"/>
                <w:szCs w:val="20"/>
              </w:rPr>
            </w:pPr>
            <w:proofErr w:type="spellStart"/>
            <w:r w:rsidRPr="00000F3C">
              <w:rPr>
                <w:sz w:val="20"/>
                <w:szCs w:val="20"/>
              </w:rPr>
              <w:t>SciGen</w:t>
            </w:r>
            <w:proofErr w:type="spellEnd"/>
            <w:r w:rsidRPr="00000F3C">
              <w:rPr>
                <w:sz w:val="20"/>
                <w:szCs w:val="20"/>
              </w:rPr>
              <w:t xml:space="preserve"> (Australia) Pty Ltd</w:t>
            </w:r>
          </w:p>
        </w:tc>
        <w:tc>
          <w:tcPr>
            <w:tcW w:w="6825" w:type="dxa"/>
          </w:tcPr>
          <w:p w14:paraId="19094EBB" w14:textId="77777777" w:rsidR="00F60E07" w:rsidRPr="00000F3C" w:rsidRDefault="00F60E07" w:rsidP="006C06DC">
            <w:pPr>
              <w:autoSpaceDE w:val="0"/>
              <w:autoSpaceDN w:val="0"/>
              <w:adjustRightInd w:val="0"/>
              <w:rPr>
                <w:rFonts w:cstheme="minorHAnsi"/>
                <w:sz w:val="20"/>
                <w:szCs w:val="20"/>
              </w:rPr>
            </w:pPr>
            <w:r w:rsidRPr="00000F3C">
              <w:rPr>
                <w:rFonts w:cstheme="minorHAnsi"/>
                <w:sz w:val="20"/>
                <w:szCs w:val="20"/>
              </w:rPr>
              <w:t>A dose of 0.045 to 0.05 mg/kg body weight per day or 1.4 mg/m</w:t>
            </w:r>
            <w:r w:rsidRPr="00000F3C">
              <w:rPr>
                <w:rFonts w:cstheme="minorHAnsi"/>
                <w:sz w:val="20"/>
                <w:szCs w:val="20"/>
                <w:vertAlign w:val="superscript"/>
              </w:rPr>
              <w:t>2</w:t>
            </w:r>
            <w:r w:rsidRPr="00000F3C">
              <w:rPr>
                <w:rFonts w:cstheme="minorHAnsi"/>
                <w:sz w:val="20"/>
                <w:szCs w:val="20"/>
              </w:rPr>
              <w:t xml:space="preserve"> body surface area per day is recommended. A dosage adjustment may be necessary after 6 months. If the response to therapy is not satisfactory, the dose can be increased.</w:t>
            </w:r>
          </w:p>
        </w:tc>
      </w:tr>
      <w:tr w:rsidR="00F60E07" w:rsidRPr="00000F3C" w14:paraId="21CB3AA6" w14:textId="77777777" w:rsidTr="006C06DC">
        <w:tc>
          <w:tcPr>
            <w:tcW w:w="1129" w:type="dxa"/>
            <w:vMerge w:val="restart"/>
          </w:tcPr>
          <w:p w14:paraId="3EE2CE11" w14:textId="77777777" w:rsidR="00F60E07" w:rsidRPr="00000F3C" w:rsidRDefault="00F60E07" w:rsidP="006C06DC">
            <w:pPr>
              <w:rPr>
                <w:rFonts w:cstheme="minorHAnsi"/>
                <w:sz w:val="20"/>
                <w:szCs w:val="20"/>
              </w:rPr>
            </w:pPr>
            <w:r w:rsidRPr="00000F3C">
              <w:rPr>
                <w:rFonts w:cstheme="minorHAnsi"/>
                <w:sz w:val="20"/>
                <w:szCs w:val="20"/>
              </w:rPr>
              <w:t xml:space="preserve">Small for gestational age </w:t>
            </w:r>
          </w:p>
        </w:tc>
        <w:tc>
          <w:tcPr>
            <w:tcW w:w="993" w:type="dxa"/>
          </w:tcPr>
          <w:p w14:paraId="1E082577" w14:textId="77777777" w:rsidR="00F60E07" w:rsidRPr="00000F3C" w:rsidRDefault="00F60E07" w:rsidP="006C06DC">
            <w:pPr>
              <w:rPr>
                <w:rFonts w:cstheme="minorHAnsi"/>
                <w:sz w:val="20"/>
                <w:szCs w:val="20"/>
              </w:rPr>
            </w:pPr>
            <w:proofErr w:type="spellStart"/>
            <w:r w:rsidRPr="00000F3C">
              <w:rPr>
                <w:rFonts w:cstheme="minorHAnsi"/>
                <w:sz w:val="20"/>
                <w:szCs w:val="20"/>
              </w:rPr>
              <w:t>Humatrope</w:t>
            </w:r>
            <w:proofErr w:type="spellEnd"/>
          </w:p>
          <w:p w14:paraId="3991FE0E" w14:textId="77777777" w:rsidR="00F60E07" w:rsidRPr="00000F3C" w:rsidRDefault="00F60E07" w:rsidP="006C06DC">
            <w:pPr>
              <w:rPr>
                <w:rFonts w:cstheme="minorHAnsi"/>
                <w:sz w:val="20"/>
                <w:szCs w:val="20"/>
              </w:rPr>
            </w:pPr>
            <w:r w:rsidRPr="00000F3C">
              <w:rPr>
                <w:rFonts w:cstheme="minorHAnsi"/>
                <w:sz w:val="20"/>
                <w:szCs w:val="20"/>
              </w:rPr>
              <w:t xml:space="preserve">Eli Lilly Australia Pty Ltd  </w:t>
            </w:r>
          </w:p>
        </w:tc>
        <w:tc>
          <w:tcPr>
            <w:tcW w:w="6825" w:type="dxa"/>
          </w:tcPr>
          <w:p w14:paraId="454616E5" w14:textId="77777777" w:rsidR="00F60E07" w:rsidRDefault="00F60E07" w:rsidP="006C06DC">
            <w:pPr>
              <w:rPr>
                <w:rFonts w:cstheme="minorHAnsi"/>
                <w:sz w:val="20"/>
                <w:szCs w:val="20"/>
              </w:rPr>
            </w:pPr>
            <w:r w:rsidRPr="00000F3C">
              <w:rPr>
                <w:rFonts w:cstheme="minorHAnsi"/>
                <w:sz w:val="20"/>
                <w:szCs w:val="20"/>
              </w:rPr>
              <w:t xml:space="preserve">The recommended dosage is 0.033 to 0.067 mg/kg body weight per day given as a subcutaneous injection. Very short children (i.e., height SDS &lt;–3) and/or older pubertal children: it is recommended to start treatment with larger doses of </w:t>
            </w:r>
            <w:proofErr w:type="spellStart"/>
            <w:r w:rsidRPr="00000F3C">
              <w:rPr>
                <w:rFonts w:cstheme="minorHAnsi"/>
                <w:sz w:val="20"/>
                <w:szCs w:val="20"/>
              </w:rPr>
              <w:t>somatropin</w:t>
            </w:r>
            <w:proofErr w:type="spellEnd"/>
            <w:r w:rsidRPr="00000F3C">
              <w:rPr>
                <w:rFonts w:cstheme="minorHAnsi"/>
                <w:sz w:val="20"/>
                <w:szCs w:val="20"/>
              </w:rPr>
              <w:t xml:space="preserve"> (</w:t>
            </w:r>
            <w:proofErr w:type="spellStart"/>
            <w:r w:rsidRPr="00000F3C">
              <w:rPr>
                <w:rFonts w:cstheme="minorHAnsi"/>
                <w:sz w:val="20"/>
                <w:szCs w:val="20"/>
              </w:rPr>
              <w:t>e</w:t>
            </w:r>
            <w:r w:rsidR="009078C4">
              <w:rPr>
                <w:rFonts w:cstheme="minorHAnsi"/>
                <w:sz w:val="20"/>
                <w:szCs w:val="20"/>
              </w:rPr>
              <w:t>.</w:t>
            </w:r>
            <w:r w:rsidRPr="00000F3C">
              <w:rPr>
                <w:rFonts w:cstheme="minorHAnsi"/>
                <w:sz w:val="20"/>
                <w:szCs w:val="20"/>
              </w:rPr>
              <w:t>g</w:t>
            </w:r>
            <w:proofErr w:type="spellEnd"/>
            <w:r w:rsidRPr="00000F3C">
              <w:rPr>
                <w:rFonts w:cstheme="minorHAnsi"/>
                <w:sz w:val="20"/>
                <w:szCs w:val="20"/>
              </w:rPr>
              <w:t xml:space="preserve"> 0.067 mg/kg/day), and to reduce the dosage gradually towards 0.033 mg/kg/day if substantial catch-up growth is observed during the first few years of therapy. Younger SGA children (</w:t>
            </w:r>
            <w:proofErr w:type="spellStart"/>
            <w:r w:rsidRPr="00000F3C">
              <w:rPr>
                <w:rFonts w:cstheme="minorHAnsi"/>
                <w:sz w:val="20"/>
                <w:szCs w:val="20"/>
              </w:rPr>
              <w:t>e</w:t>
            </w:r>
            <w:r w:rsidR="009078C4">
              <w:rPr>
                <w:rFonts w:cstheme="minorHAnsi"/>
                <w:sz w:val="20"/>
                <w:szCs w:val="20"/>
              </w:rPr>
              <w:t>.</w:t>
            </w:r>
            <w:r w:rsidRPr="00000F3C">
              <w:rPr>
                <w:rFonts w:cstheme="minorHAnsi"/>
                <w:sz w:val="20"/>
                <w:szCs w:val="20"/>
              </w:rPr>
              <w:t>g</w:t>
            </w:r>
            <w:proofErr w:type="spellEnd"/>
            <w:r w:rsidRPr="00000F3C">
              <w:rPr>
                <w:rFonts w:cstheme="minorHAnsi"/>
                <w:sz w:val="20"/>
                <w:szCs w:val="20"/>
              </w:rPr>
              <w:t>, approximately &lt;4 years) with less severe short stature (baseline height SDS values between -2 and -3): it is recommended to start treatment at a lower dose (</w:t>
            </w:r>
            <w:proofErr w:type="spellStart"/>
            <w:r w:rsidRPr="00000F3C">
              <w:rPr>
                <w:rFonts w:cstheme="minorHAnsi"/>
                <w:sz w:val="20"/>
                <w:szCs w:val="20"/>
              </w:rPr>
              <w:t>e</w:t>
            </w:r>
            <w:r w:rsidR="009078C4">
              <w:rPr>
                <w:rFonts w:cstheme="minorHAnsi"/>
                <w:sz w:val="20"/>
                <w:szCs w:val="20"/>
              </w:rPr>
              <w:t>.</w:t>
            </w:r>
            <w:r w:rsidRPr="00000F3C">
              <w:rPr>
                <w:rFonts w:cstheme="minorHAnsi"/>
                <w:sz w:val="20"/>
                <w:szCs w:val="20"/>
              </w:rPr>
              <w:t>g</w:t>
            </w:r>
            <w:proofErr w:type="spellEnd"/>
            <w:r w:rsidRPr="00000F3C">
              <w:rPr>
                <w:rFonts w:cstheme="minorHAnsi"/>
                <w:sz w:val="20"/>
                <w:szCs w:val="20"/>
              </w:rPr>
              <w:t xml:space="preserve">, 0.033 mg/kg/day) and titrate the dose as needed over time. In all children, clinicians should carefully monitor the growth response, and adjust the </w:t>
            </w:r>
            <w:proofErr w:type="spellStart"/>
            <w:r w:rsidRPr="00000F3C">
              <w:rPr>
                <w:rFonts w:cstheme="minorHAnsi"/>
                <w:sz w:val="20"/>
                <w:szCs w:val="20"/>
              </w:rPr>
              <w:t>somatropin</w:t>
            </w:r>
            <w:proofErr w:type="spellEnd"/>
            <w:r w:rsidRPr="00000F3C">
              <w:rPr>
                <w:rFonts w:cstheme="minorHAnsi"/>
                <w:sz w:val="20"/>
                <w:szCs w:val="20"/>
              </w:rPr>
              <w:t xml:space="preserve"> dose as necessary.</w:t>
            </w:r>
          </w:p>
          <w:p w14:paraId="05A292AA" w14:textId="77777777" w:rsidR="009078C4" w:rsidRDefault="009078C4" w:rsidP="006C06DC">
            <w:pPr>
              <w:rPr>
                <w:rFonts w:cstheme="minorHAnsi"/>
                <w:sz w:val="20"/>
                <w:szCs w:val="20"/>
              </w:rPr>
            </w:pPr>
          </w:p>
          <w:p w14:paraId="396E1F07" w14:textId="77777777" w:rsidR="009078C4" w:rsidRDefault="009078C4" w:rsidP="006C06DC">
            <w:pPr>
              <w:rPr>
                <w:rFonts w:cstheme="minorHAnsi"/>
                <w:sz w:val="20"/>
                <w:szCs w:val="20"/>
              </w:rPr>
            </w:pPr>
          </w:p>
          <w:p w14:paraId="30CC1EED" w14:textId="706DA55F" w:rsidR="009078C4" w:rsidRPr="00000F3C" w:rsidRDefault="009078C4" w:rsidP="006C06DC">
            <w:pPr>
              <w:rPr>
                <w:rFonts w:cstheme="minorHAnsi"/>
                <w:sz w:val="20"/>
                <w:szCs w:val="20"/>
              </w:rPr>
            </w:pPr>
          </w:p>
        </w:tc>
      </w:tr>
      <w:tr w:rsidR="00F60E07" w:rsidRPr="00000F3C" w14:paraId="14F5BF61" w14:textId="77777777" w:rsidTr="006C06DC">
        <w:tc>
          <w:tcPr>
            <w:tcW w:w="1129" w:type="dxa"/>
            <w:vMerge/>
          </w:tcPr>
          <w:p w14:paraId="0C95AFE6" w14:textId="77777777" w:rsidR="00F60E07" w:rsidRPr="00000F3C" w:rsidRDefault="00F60E07" w:rsidP="006C06DC">
            <w:pPr>
              <w:rPr>
                <w:rFonts w:cstheme="minorHAnsi"/>
                <w:sz w:val="20"/>
                <w:szCs w:val="20"/>
              </w:rPr>
            </w:pPr>
          </w:p>
        </w:tc>
        <w:tc>
          <w:tcPr>
            <w:tcW w:w="993" w:type="dxa"/>
          </w:tcPr>
          <w:p w14:paraId="6589C9DE" w14:textId="77777777" w:rsidR="00F60E07" w:rsidRPr="00000F3C" w:rsidRDefault="00F60E07" w:rsidP="006C06DC">
            <w:pPr>
              <w:rPr>
                <w:sz w:val="20"/>
                <w:szCs w:val="20"/>
              </w:rPr>
            </w:pPr>
            <w:proofErr w:type="spellStart"/>
            <w:r w:rsidRPr="00000F3C">
              <w:rPr>
                <w:sz w:val="20"/>
                <w:szCs w:val="20"/>
              </w:rPr>
              <w:t>Norditropin</w:t>
            </w:r>
            <w:proofErr w:type="spellEnd"/>
            <w:r w:rsidRPr="00000F3C">
              <w:rPr>
                <w:sz w:val="20"/>
                <w:szCs w:val="20"/>
              </w:rPr>
              <w:t xml:space="preserve"> </w:t>
            </w:r>
          </w:p>
          <w:p w14:paraId="72123624" w14:textId="77777777" w:rsidR="00F60E07" w:rsidRPr="00000F3C" w:rsidRDefault="00F60E07" w:rsidP="006C06DC">
            <w:pPr>
              <w:rPr>
                <w:rFonts w:cstheme="minorHAnsi"/>
                <w:sz w:val="20"/>
                <w:szCs w:val="20"/>
              </w:rPr>
            </w:pPr>
            <w:r w:rsidRPr="00000F3C">
              <w:rPr>
                <w:sz w:val="20"/>
                <w:szCs w:val="20"/>
              </w:rPr>
              <w:t>Novo Nordisk Pharmaceuticals Pty Ltd</w:t>
            </w:r>
          </w:p>
        </w:tc>
        <w:tc>
          <w:tcPr>
            <w:tcW w:w="6825" w:type="dxa"/>
          </w:tcPr>
          <w:p w14:paraId="3FB403E1"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33-67 </w:t>
            </w:r>
            <w:proofErr w:type="spellStart"/>
            <w:r w:rsidRPr="00000F3C">
              <w:rPr>
                <w:rFonts w:cstheme="minorHAnsi"/>
                <w:color w:val="000000"/>
                <w:sz w:val="20"/>
                <w:szCs w:val="20"/>
              </w:rPr>
              <w:t>μg</w:t>
            </w:r>
            <w:proofErr w:type="spellEnd"/>
            <w:r w:rsidRPr="00000F3C">
              <w:rPr>
                <w:rFonts w:cstheme="minorHAnsi"/>
                <w:color w:val="000000"/>
                <w:sz w:val="20"/>
                <w:szCs w:val="20"/>
              </w:rPr>
              <w:t xml:space="preserve">/kg/day </w:t>
            </w:r>
          </w:p>
          <w:p w14:paraId="7805B1DE"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Equal to: 1-2 mg/m</w:t>
            </w:r>
            <w:r w:rsidRPr="00000F3C">
              <w:rPr>
                <w:rFonts w:cstheme="minorHAnsi"/>
                <w:color w:val="000000"/>
                <w:sz w:val="20"/>
                <w:szCs w:val="20"/>
                <w:vertAlign w:val="superscript"/>
              </w:rPr>
              <w:t>2</w:t>
            </w:r>
            <w:r w:rsidRPr="00000F3C">
              <w:rPr>
                <w:rFonts w:cstheme="minorHAnsi"/>
                <w:color w:val="000000"/>
                <w:sz w:val="20"/>
                <w:szCs w:val="20"/>
              </w:rPr>
              <w:t xml:space="preserve">/day </w:t>
            </w:r>
          </w:p>
          <w:p w14:paraId="0D857768"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The dosage must be adjusted to the need of the individual patient. It is recommended to start treatment with 33μg/kg/day. If catch-up growth has not commenced after 6 months of observation (and verification of compliance by increase in IGF1 and/or IGFBP3) then the physician may increase the dose up to 67μg/kg/day according to the patient’s needs. </w:t>
            </w:r>
          </w:p>
          <w:p w14:paraId="544277AB" w14:textId="77777777" w:rsidR="00F60E07" w:rsidRPr="00000F3C" w:rsidRDefault="00F60E07" w:rsidP="006C06DC">
            <w:pPr>
              <w:rPr>
                <w:rFonts w:cstheme="minorHAnsi"/>
                <w:sz w:val="20"/>
                <w:szCs w:val="20"/>
              </w:rPr>
            </w:pPr>
            <w:r w:rsidRPr="00000F3C">
              <w:rPr>
                <w:rFonts w:cstheme="minorHAnsi"/>
                <w:color w:val="000000"/>
                <w:sz w:val="20"/>
                <w:szCs w:val="20"/>
              </w:rPr>
              <w:t xml:space="preserve">It is recommended that the treating physician advise the parents/guardians that their children are not being treated for growth hormone deficiency, and that treatment with </w:t>
            </w:r>
            <w:proofErr w:type="spellStart"/>
            <w:r w:rsidRPr="00000F3C">
              <w:rPr>
                <w:rFonts w:cstheme="minorHAnsi"/>
                <w:color w:val="000000"/>
                <w:sz w:val="20"/>
                <w:szCs w:val="20"/>
              </w:rPr>
              <w:t>Norditropin</w:t>
            </w:r>
            <w:proofErr w:type="spellEnd"/>
            <w:r w:rsidRPr="00000F3C">
              <w:rPr>
                <w:rFonts w:cstheme="minorHAnsi"/>
                <w:color w:val="000000"/>
                <w:sz w:val="20"/>
                <w:szCs w:val="20"/>
              </w:rPr>
              <w:t xml:space="preserve"> induces catch-up growth during childhood and increases adult height. It is also recommended that parents/guardians be advised that long term treatment with </w:t>
            </w:r>
            <w:proofErr w:type="spellStart"/>
            <w:r w:rsidRPr="00000F3C">
              <w:rPr>
                <w:rFonts w:cstheme="minorHAnsi"/>
                <w:color w:val="000000"/>
                <w:sz w:val="20"/>
                <w:szCs w:val="20"/>
              </w:rPr>
              <w:t>somatropin</w:t>
            </w:r>
            <w:proofErr w:type="spellEnd"/>
            <w:r w:rsidRPr="00000F3C">
              <w:rPr>
                <w:rFonts w:cstheme="minorHAnsi"/>
                <w:color w:val="000000"/>
                <w:sz w:val="20"/>
                <w:szCs w:val="20"/>
              </w:rPr>
              <w:t xml:space="preserve"> has been associated with impaired glucose tolerance and malignancies. However, causality has not been established and there is no evidence that </w:t>
            </w:r>
            <w:proofErr w:type="spellStart"/>
            <w:r w:rsidRPr="00000F3C">
              <w:rPr>
                <w:rFonts w:cstheme="minorHAnsi"/>
                <w:color w:val="000000"/>
                <w:sz w:val="20"/>
                <w:szCs w:val="20"/>
              </w:rPr>
              <w:t>somatropin</w:t>
            </w:r>
            <w:proofErr w:type="spellEnd"/>
            <w:r w:rsidRPr="00000F3C">
              <w:rPr>
                <w:rFonts w:cstheme="minorHAnsi"/>
                <w:color w:val="000000"/>
                <w:sz w:val="20"/>
                <w:szCs w:val="20"/>
              </w:rPr>
              <w:t xml:space="preserve"> treatment is associated with an increased incidence of persistent impaired glucose tolerance or malignancies.</w:t>
            </w:r>
          </w:p>
        </w:tc>
      </w:tr>
      <w:tr w:rsidR="00F60E07" w:rsidRPr="00000F3C" w14:paraId="5BD0F5D3" w14:textId="77777777" w:rsidTr="006C06DC">
        <w:tc>
          <w:tcPr>
            <w:tcW w:w="1129" w:type="dxa"/>
          </w:tcPr>
          <w:p w14:paraId="32BBA110" w14:textId="77777777" w:rsidR="00F60E07" w:rsidRPr="00000F3C" w:rsidRDefault="00F60E07" w:rsidP="006C06DC">
            <w:pPr>
              <w:rPr>
                <w:rFonts w:cstheme="minorHAnsi"/>
                <w:sz w:val="20"/>
                <w:szCs w:val="20"/>
              </w:rPr>
            </w:pPr>
            <w:proofErr w:type="spellStart"/>
            <w:r w:rsidRPr="00000F3C">
              <w:rPr>
                <w:rFonts w:cstheme="minorHAnsi"/>
                <w:sz w:val="20"/>
                <w:szCs w:val="20"/>
              </w:rPr>
              <w:t>Prader</w:t>
            </w:r>
            <w:proofErr w:type="spellEnd"/>
            <w:r w:rsidRPr="00000F3C">
              <w:rPr>
                <w:rFonts w:cstheme="minorHAnsi"/>
                <w:sz w:val="20"/>
                <w:szCs w:val="20"/>
              </w:rPr>
              <w:t xml:space="preserve"> Willi syndrome </w:t>
            </w:r>
          </w:p>
        </w:tc>
        <w:tc>
          <w:tcPr>
            <w:tcW w:w="993" w:type="dxa"/>
          </w:tcPr>
          <w:p w14:paraId="631EBED3" w14:textId="77777777" w:rsidR="00F60E07" w:rsidRPr="00000F3C" w:rsidRDefault="00F60E07" w:rsidP="006C06DC">
            <w:pPr>
              <w:rPr>
                <w:rFonts w:cstheme="minorHAnsi"/>
                <w:sz w:val="20"/>
                <w:szCs w:val="20"/>
              </w:rPr>
            </w:pPr>
            <w:proofErr w:type="spellStart"/>
            <w:r w:rsidRPr="00000F3C">
              <w:rPr>
                <w:rFonts w:cstheme="minorHAnsi"/>
                <w:sz w:val="20"/>
                <w:szCs w:val="20"/>
              </w:rPr>
              <w:t>Genotropin</w:t>
            </w:r>
            <w:proofErr w:type="spellEnd"/>
            <w:r w:rsidRPr="00000F3C">
              <w:rPr>
                <w:rFonts w:cstheme="minorHAnsi"/>
                <w:sz w:val="20"/>
                <w:szCs w:val="20"/>
              </w:rPr>
              <w:t xml:space="preserve"> Pfizer Australia Pty Ltd</w:t>
            </w:r>
          </w:p>
        </w:tc>
        <w:tc>
          <w:tcPr>
            <w:tcW w:w="6825" w:type="dxa"/>
          </w:tcPr>
          <w:p w14:paraId="2D8B8097" w14:textId="77777777" w:rsidR="00F60E07" w:rsidRPr="00000F3C" w:rsidRDefault="00F60E07" w:rsidP="006C06DC">
            <w:pPr>
              <w:rPr>
                <w:rFonts w:cstheme="minorHAnsi"/>
                <w:sz w:val="20"/>
                <w:szCs w:val="20"/>
              </w:rPr>
            </w:pPr>
            <w:r w:rsidRPr="00000F3C">
              <w:rPr>
                <w:rFonts w:cstheme="minorHAnsi"/>
                <w:sz w:val="20"/>
                <w:szCs w:val="20"/>
              </w:rPr>
              <w:t xml:space="preserve">The diagnosis of PWS should be confirmed by appropriate genetic testing. Generally a dose of 0.245 to 0.35 mg/kg body weight per week is recommended. </w:t>
            </w:r>
          </w:p>
        </w:tc>
      </w:tr>
      <w:tr w:rsidR="00F60E07" w:rsidRPr="00000F3C" w14:paraId="5B37E908" w14:textId="77777777" w:rsidTr="006C06DC">
        <w:tc>
          <w:tcPr>
            <w:tcW w:w="1129" w:type="dxa"/>
            <w:vMerge w:val="restart"/>
          </w:tcPr>
          <w:p w14:paraId="7A7378BD" w14:textId="77777777" w:rsidR="00F60E07" w:rsidRPr="00000F3C" w:rsidRDefault="00F60E07" w:rsidP="006C06DC">
            <w:pPr>
              <w:rPr>
                <w:rFonts w:cstheme="minorHAnsi"/>
                <w:sz w:val="20"/>
                <w:szCs w:val="20"/>
              </w:rPr>
            </w:pPr>
            <w:r w:rsidRPr="00000F3C">
              <w:rPr>
                <w:rFonts w:cstheme="minorHAnsi"/>
                <w:sz w:val="20"/>
                <w:szCs w:val="20"/>
              </w:rPr>
              <w:t xml:space="preserve">Adult  growth hormone deficiency </w:t>
            </w:r>
          </w:p>
        </w:tc>
        <w:tc>
          <w:tcPr>
            <w:tcW w:w="993" w:type="dxa"/>
          </w:tcPr>
          <w:p w14:paraId="3AEBE9BD" w14:textId="77777777" w:rsidR="00F60E07" w:rsidRPr="00000F3C" w:rsidRDefault="00F60E07" w:rsidP="006C06DC">
            <w:pPr>
              <w:rPr>
                <w:rFonts w:cstheme="minorHAnsi"/>
                <w:sz w:val="20"/>
                <w:szCs w:val="20"/>
              </w:rPr>
            </w:pPr>
            <w:proofErr w:type="spellStart"/>
            <w:r w:rsidRPr="00000F3C">
              <w:rPr>
                <w:rFonts w:cstheme="minorHAnsi"/>
                <w:sz w:val="20"/>
                <w:szCs w:val="20"/>
              </w:rPr>
              <w:t>Genotropin</w:t>
            </w:r>
            <w:proofErr w:type="spellEnd"/>
            <w:r w:rsidRPr="00000F3C">
              <w:rPr>
                <w:rFonts w:cstheme="minorHAnsi"/>
                <w:sz w:val="20"/>
                <w:szCs w:val="20"/>
              </w:rPr>
              <w:t xml:space="preserve"> Pfizer Australia Pty Ltd</w:t>
            </w:r>
          </w:p>
        </w:tc>
        <w:tc>
          <w:tcPr>
            <w:tcW w:w="6825" w:type="dxa"/>
          </w:tcPr>
          <w:p w14:paraId="0772D3E7" w14:textId="77777777" w:rsidR="00F60E07" w:rsidRPr="00000F3C" w:rsidRDefault="00F60E07" w:rsidP="006C06DC">
            <w:pPr>
              <w:rPr>
                <w:rFonts w:cstheme="minorHAnsi"/>
                <w:sz w:val="20"/>
                <w:szCs w:val="20"/>
              </w:rPr>
            </w:pPr>
            <w:r w:rsidRPr="00000F3C">
              <w:rPr>
                <w:rFonts w:cstheme="minorHAnsi"/>
                <w:sz w:val="20"/>
                <w:szCs w:val="20"/>
              </w:rPr>
              <w:t>The recommended dosage at the start of therapy is 0.04 mg/kg/week divided into 7 daily subcutaneous injections. This dose should be gradually increased according to individual patient requirements to a maximum of 0.08 mg/kg/week. Women may require higher doses than men. This means that there is a risk that women, especially those on oral oestrogen replacement may be under-treated. Dose titration is based on the development of side effects and determination of serum levels of insulin-like growth factor-I (IGF-I). Dose requirements may decline with increasing age.</w:t>
            </w:r>
          </w:p>
        </w:tc>
      </w:tr>
      <w:tr w:rsidR="00F60E07" w:rsidRPr="00000F3C" w14:paraId="198C2F64" w14:textId="77777777" w:rsidTr="006C06DC">
        <w:tc>
          <w:tcPr>
            <w:tcW w:w="1129" w:type="dxa"/>
            <w:vMerge/>
          </w:tcPr>
          <w:p w14:paraId="0AF3C6E1" w14:textId="77777777" w:rsidR="00F60E07" w:rsidRPr="00000F3C" w:rsidRDefault="00F60E07" w:rsidP="006C06DC">
            <w:pPr>
              <w:rPr>
                <w:rFonts w:cstheme="minorHAnsi"/>
                <w:sz w:val="20"/>
                <w:szCs w:val="20"/>
              </w:rPr>
            </w:pPr>
          </w:p>
        </w:tc>
        <w:tc>
          <w:tcPr>
            <w:tcW w:w="993" w:type="dxa"/>
          </w:tcPr>
          <w:p w14:paraId="45215997" w14:textId="77777777" w:rsidR="00F60E07" w:rsidRPr="00000F3C" w:rsidRDefault="00F60E07" w:rsidP="006C06DC">
            <w:pPr>
              <w:rPr>
                <w:rFonts w:cstheme="minorHAnsi"/>
                <w:sz w:val="20"/>
                <w:szCs w:val="20"/>
              </w:rPr>
            </w:pPr>
            <w:proofErr w:type="spellStart"/>
            <w:r w:rsidRPr="00000F3C">
              <w:rPr>
                <w:rFonts w:cstheme="minorHAnsi"/>
                <w:sz w:val="20"/>
                <w:szCs w:val="20"/>
              </w:rPr>
              <w:t>Humatrope</w:t>
            </w:r>
            <w:proofErr w:type="spellEnd"/>
          </w:p>
          <w:p w14:paraId="2B76C402" w14:textId="77777777" w:rsidR="00F60E07" w:rsidRPr="00000F3C" w:rsidRDefault="00F60E07" w:rsidP="006C06DC">
            <w:pPr>
              <w:rPr>
                <w:rFonts w:cstheme="minorHAnsi"/>
                <w:sz w:val="20"/>
                <w:szCs w:val="20"/>
              </w:rPr>
            </w:pPr>
            <w:r w:rsidRPr="00000F3C">
              <w:rPr>
                <w:rFonts w:cstheme="minorHAnsi"/>
                <w:sz w:val="20"/>
                <w:szCs w:val="20"/>
              </w:rPr>
              <w:t xml:space="preserve">Eli Lilly Australia Pty Ltd  </w:t>
            </w:r>
          </w:p>
        </w:tc>
        <w:tc>
          <w:tcPr>
            <w:tcW w:w="6825" w:type="dxa"/>
          </w:tcPr>
          <w:p w14:paraId="064A4584"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Either a non-weight based or a weight-based dosing regimen may be followed, with doses adjusted based on treatment response, side effects and serum insulin-like growth factor I (IGF-I) concentrations. Dose requirements may decline with increasing age and may differ between male and female patients. </w:t>
            </w:r>
          </w:p>
          <w:p w14:paraId="6A5982B0"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The dosage of </w:t>
            </w:r>
            <w:proofErr w:type="spellStart"/>
            <w:r w:rsidRPr="00000F3C">
              <w:rPr>
                <w:rFonts w:cstheme="minorHAnsi"/>
                <w:color w:val="000000"/>
                <w:sz w:val="20"/>
                <w:szCs w:val="20"/>
              </w:rPr>
              <w:t>somatropin</w:t>
            </w:r>
            <w:proofErr w:type="spellEnd"/>
            <w:r w:rsidRPr="00000F3C">
              <w:rPr>
                <w:rFonts w:cstheme="minorHAnsi"/>
                <w:color w:val="000000"/>
                <w:sz w:val="20"/>
                <w:szCs w:val="20"/>
              </w:rPr>
              <w:t xml:space="preserve"> should be decreased in cases of persistent oedema or severe paraesthesia, in order to avoid the development of carpal tunnel syndrome. </w:t>
            </w:r>
          </w:p>
          <w:p w14:paraId="06F77A73"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Non-weight based dosing: A starting dose of approximately 0.2 mg/day (range, 0.15 – 0.30 mg/day) may be used without consideration of body weight, and increased gradually every 1 – 2 months by increments of approximately 0.1 - 0.2 mg/day. </w:t>
            </w:r>
          </w:p>
          <w:p w14:paraId="5F213F74" w14:textId="77777777" w:rsidR="00F60E07" w:rsidRPr="00000F3C" w:rsidRDefault="00F60E07" w:rsidP="006C06DC">
            <w:pPr>
              <w:rPr>
                <w:rFonts w:cstheme="minorHAnsi"/>
                <w:sz w:val="20"/>
                <w:szCs w:val="20"/>
              </w:rPr>
            </w:pPr>
            <w:r w:rsidRPr="00000F3C">
              <w:rPr>
                <w:rFonts w:cstheme="minorHAnsi"/>
                <w:color w:val="000000"/>
                <w:sz w:val="20"/>
                <w:szCs w:val="20"/>
              </w:rPr>
              <w:t xml:space="preserve">Weight-based dosing: The recommended starting dosage is not more than 0.006 mg/kg (6 </w:t>
            </w:r>
            <w:proofErr w:type="spellStart"/>
            <w:r w:rsidRPr="00000F3C">
              <w:rPr>
                <w:rFonts w:cstheme="minorHAnsi"/>
                <w:color w:val="000000"/>
                <w:sz w:val="20"/>
                <w:szCs w:val="20"/>
              </w:rPr>
              <w:t>μg</w:t>
            </w:r>
            <w:proofErr w:type="spellEnd"/>
            <w:r w:rsidRPr="00000F3C">
              <w:rPr>
                <w:rFonts w:cstheme="minorHAnsi"/>
                <w:color w:val="000000"/>
                <w:sz w:val="20"/>
                <w:szCs w:val="20"/>
              </w:rPr>
              <w:t xml:space="preserve">/kg) daily. The dosage may be increased according to individual patient requirements to a maximum of 0.0125 mg/kg (12.5 </w:t>
            </w:r>
            <w:proofErr w:type="spellStart"/>
            <w:r w:rsidRPr="00000F3C">
              <w:rPr>
                <w:rFonts w:cstheme="minorHAnsi"/>
                <w:color w:val="000000"/>
                <w:sz w:val="20"/>
                <w:szCs w:val="20"/>
              </w:rPr>
              <w:t>μg</w:t>
            </w:r>
            <w:proofErr w:type="spellEnd"/>
            <w:r w:rsidRPr="00000F3C">
              <w:rPr>
                <w:rFonts w:cstheme="minorHAnsi"/>
                <w:color w:val="000000"/>
                <w:sz w:val="20"/>
                <w:szCs w:val="20"/>
              </w:rPr>
              <w:t>/kg) daily.</w:t>
            </w:r>
          </w:p>
        </w:tc>
      </w:tr>
      <w:tr w:rsidR="00F60E07" w:rsidRPr="00000F3C" w14:paraId="6ADB2066" w14:textId="77777777" w:rsidTr="006C06DC">
        <w:tc>
          <w:tcPr>
            <w:tcW w:w="1129" w:type="dxa"/>
            <w:vMerge/>
          </w:tcPr>
          <w:p w14:paraId="3202D889" w14:textId="77777777" w:rsidR="00F60E07" w:rsidRPr="00000F3C" w:rsidRDefault="00F60E07" w:rsidP="006C06DC">
            <w:pPr>
              <w:rPr>
                <w:rFonts w:cstheme="minorHAnsi"/>
                <w:sz w:val="20"/>
                <w:szCs w:val="20"/>
              </w:rPr>
            </w:pPr>
          </w:p>
        </w:tc>
        <w:tc>
          <w:tcPr>
            <w:tcW w:w="993" w:type="dxa"/>
          </w:tcPr>
          <w:p w14:paraId="3239C501" w14:textId="77777777" w:rsidR="00F60E07" w:rsidRPr="00000F3C" w:rsidRDefault="00F60E07" w:rsidP="006C06DC">
            <w:pPr>
              <w:rPr>
                <w:sz w:val="20"/>
                <w:szCs w:val="20"/>
              </w:rPr>
            </w:pPr>
            <w:proofErr w:type="spellStart"/>
            <w:r w:rsidRPr="00000F3C">
              <w:rPr>
                <w:sz w:val="20"/>
                <w:szCs w:val="20"/>
              </w:rPr>
              <w:t>Norditropin</w:t>
            </w:r>
            <w:proofErr w:type="spellEnd"/>
          </w:p>
          <w:p w14:paraId="6D478AE8" w14:textId="77777777" w:rsidR="00F60E07" w:rsidRPr="00000F3C" w:rsidRDefault="00F60E07" w:rsidP="006C06DC">
            <w:pPr>
              <w:rPr>
                <w:rFonts w:cstheme="minorHAnsi"/>
                <w:sz w:val="20"/>
                <w:szCs w:val="20"/>
              </w:rPr>
            </w:pPr>
            <w:r w:rsidRPr="00000F3C">
              <w:rPr>
                <w:sz w:val="20"/>
                <w:szCs w:val="20"/>
              </w:rPr>
              <w:t>Novo Nordisk Pharmaceuticals Pty Ltd</w:t>
            </w:r>
          </w:p>
        </w:tc>
        <w:tc>
          <w:tcPr>
            <w:tcW w:w="6825" w:type="dxa"/>
          </w:tcPr>
          <w:p w14:paraId="6CA8D46C"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The dosage must be adjusted to the need of the individual patient. It is recommended to start treatment with a low dose of 0.15-0.3 mg/day and to increase the dosage gradually at monthly intervals based on clinical response. Serum insulin-like growth factor 1 (IGF-1) can be used to guide dose titration. </w:t>
            </w:r>
          </w:p>
          <w:p w14:paraId="23EA340A"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Dose requirements decline with age. Maintenance dosages vary from patient to patient, but seldom exceeds 1.0 mg.</w:t>
            </w:r>
          </w:p>
        </w:tc>
      </w:tr>
      <w:tr w:rsidR="00F60E07" w:rsidRPr="00000F3C" w14:paraId="370FD65A" w14:textId="77777777" w:rsidTr="006C06DC">
        <w:tc>
          <w:tcPr>
            <w:tcW w:w="1129" w:type="dxa"/>
            <w:vMerge/>
          </w:tcPr>
          <w:p w14:paraId="7376CECE" w14:textId="77777777" w:rsidR="00F60E07" w:rsidRPr="00000F3C" w:rsidRDefault="00F60E07" w:rsidP="006C06DC">
            <w:pPr>
              <w:rPr>
                <w:rFonts w:cstheme="minorHAnsi"/>
                <w:sz w:val="20"/>
                <w:szCs w:val="20"/>
              </w:rPr>
            </w:pPr>
          </w:p>
        </w:tc>
        <w:tc>
          <w:tcPr>
            <w:tcW w:w="993" w:type="dxa"/>
          </w:tcPr>
          <w:p w14:paraId="2FE8A874" w14:textId="77777777" w:rsidR="00F60E07" w:rsidRPr="00000F3C" w:rsidRDefault="00F60E07" w:rsidP="006C06DC">
            <w:pPr>
              <w:rPr>
                <w:sz w:val="20"/>
                <w:szCs w:val="20"/>
              </w:rPr>
            </w:pPr>
            <w:proofErr w:type="spellStart"/>
            <w:r w:rsidRPr="00000F3C">
              <w:rPr>
                <w:sz w:val="20"/>
                <w:szCs w:val="20"/>
              </w:rPr>
              <w:t>Nutritropin</w:t>
            </w:r>
            <w:proofErr w:type="spellEnd"/>
            <w:r w:rsidRPr="00000F3C">
              <w:rPr>
                <w:sz w:val="20"/>
                <w:szCs w:val="20"/>
              </w:rPr>
              <w:t xml:space="preserve"> </w:t>
            </w:r>
          </w:p>
          <w:p w14:paraId="0B93281C" w14:textId="77777777" w:rsidR="00F60E07" w:rsidRPr="00000F3C" w:rsidRDefault="00F60E07" w:rsidP="006C06DC">
            <w:pPr>
              <w:rPr>
                <w:rFonts w:cstheme="minorHAnsi"/>
                <w:sz w:val="20"/>
                <w:szCs w:val="20"/>
              </w:rPr>
            </w:pPr>
            <w:proofErr w:type="spellStart"/>
            <w:r w:rsidRPr="00000F3C">
              <w:rPr>
                <w:sz w:val="20"/>
                <w:szCs w:val="20"/>
              </w:rPr>
              <w:t>Ispen</w:t>
            </w:r>
            <w:proofErr w:type="spellEnd"/>
            <w:r w:rsidRPr="00000F3C">
              <w:rPr>
                <w:sz w:val="20"/>
                <w:szCs w:val="20"/>
              </w:rPr>
              <w:t xml:space="preserve"> Pty Ltd</w:t>
            </w:r>
          </w:p>
        </w:tc>
        <w:tc>
          <w:tcPr>
            <w:tcW w:w="6825" w:type="dxa"/>
          </w:tcPr>
          <w:p w14:paraId="277675F7" w14:textId="77777777"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At the start of </w:t>
            </w:r>
            <w:proofErr w:type="spellStart"/>
            <w:r w:rsidRPr="00000F3C">
              <w:rPr>
                <w:rFonts w:cstheme="minorHAnsi"/>
                <w:color w:val="000000"/>
                <w:sz w:val="20"/>
                <w:szCs w:val="20"/>
              </w:rPr>
              <w:t>somatropin</w:t>
            </w:r>
            <w:proofErr w:type="spellEnd"/>
            <w:r w:rsidRPr="00000F3C">
              <w:rPr>
                <w:rFonts w:cstheme="minorHAnsi"/>
                <w:color w:val="000000"/>
                <w:sz w:val="20"/>
                <w:szCs w:val="20"/>
              </w:rPr>
              <w:t xml:space="preserve"> therapy, low initial doses of 0.15 - 0.3 mg are recommended, given as a daily subcutaneous injection. The dose should be adjusted stepwise, controlled by serum Insulin-Like Growth Factor-1 (IGF-1) values. The recommended final dose seldom exceeds 1.0 mg/day. In general, the lowest efficacious dose should be administered. In older or overweight patients, lower doses may be necessary. </w:t>
            </w:r>
          </w:p>
          <w:p w14:paraId="06985CA0" w14:textId="41A647B5"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Women may require higher doses than men, with men showing an increasing IGF-I sensitivity over time. This means that there is a risk that women, especially those on oral </w:t>
            </w:r>
            <w:r w:rsidR="009078C4" w:rsidRPr="00000F3C">
              <w:rPr>
                <w:rFonts w:cstheme="minorHAnsi"/>
                <w:color w:val="000000"/>
                <w:sz w:val="20"/>
                <w:szCs w:val="20"/>
              </w:rPr>
              <w:t>oestrogen</w:t>
            </w:r>
            <w:r w:rsidRPr="00000F3C">
              <w:rPr>
                <w:rFonts w:cstheme="minorHAnsi"/>
                <w:color w:val="000000"/>
                <w:sz w:val="20"/>
                <w:szCs w:val="20"/>
              </w:rPr>
              <w:t xml:space="preserve"> therapy are under-treated while men are over-treated. </w:t>
            </w:r>
          </w:p>
          <w:p w14:paraId="1E261C13" w14:textId="0C1E16A3" w:rsidR="00F60E07" w:rsidRPr="00000F3C" w:rsidRDefault="00F60E07" w:rsidP="006C06DC">
            <w:pPr>
              <w:autoSpaceDE w:val="0"/>
              <w:autoSpaceDN w:val="0"/>
              <w:adjustRightInd w:val="0"/>
              <w:rPr>
                <w:rFonts w:cstheme="minorHAnsi"/>
                <w:color w:val="000000"/>
                <w:sz w:val="20"/>
                <w:szCs w:val="20"/>
              </w:rPr>
            </w:pPr>
            <w:r w:rsidRPr="00000F3C">
              <w:rPr>
                <w:rFonts w:cstheme="minorHAnsi"/>
                <w:color w:val="000000"/>
                <w:sz w:val="20"/>
                <w:szCs w:val="20"/>
              </w:rPr>
              <w:t xml:space="preserve">In women on oral </w:t>
            </w:r>
            <w:r w:rsidR="009078C4" w:rsidRPr="00000F3C">
              <w:rPr>
                <w:rFonts w:cstheme="minorHAnsi"/>
                <w:color w:val="000000"/>
                <w:sz w:val="20"/>
                <w:szCs w:val="20"/>
              </w:rPr>
              <w:t>oestrogen</w:t>
            </w:r>
            <w:r w:rsidRPr="00000F3C">
              <w:rPr>
                <w:rFonts w:cstheme="minorHAnsi"/>
                <w:color w:val="000000"/>
                <w:sz w:val="20"/>
                <w:szCs w:val="20"/>
              </w:rPr>
              <w:t xml:space="preserve"> replacement, a higher dose of growth hormone may be required to achieve the treatment goal</w:t>
            </w:r>
          </w:p>
        </w:tc>
      </w:tr>
      <w:tr w:rsidR="00F60E07" w:rsidRPr="00000F3C" w14:paraId="6350B724" w14:textId="77777777" w:rsidTr="006C06DC">
        <w:tc>
          <w:tcPr>
            <w:tcW w:w="1129" w:type="dxa"/>
            <w:vMerge/>
          </w:tcPr>
          <w:p w14:paraId="759EFF2D" w14:textId="77777777" w:rsidR="00F60E07" w:rsidRPr="00000F3C" w:rsidRDefault="00F60E07" w:rsidP="006C06DC">
            <w:pPr>
              <w:rPr>
                <w:rFonts w:cstheme="minorHAnsi"/>
                <w:sz w:val="20"/>
                <w:szCs w:val="20"/>
              </w:rPr>
            </w:pPr>
          </w:p>
        </w:tc>
        <w:tc>
          <w:tcPr>
            <w:tcW w:w="993" w:type="dxa"/>
          </w:tcPr>
          <w:p w14:paraId="6FB0624C" w14:textId="77777777" w:rsidR="00F60E07" w:rsidRPr="00000F3C" w:rsidRDefault="00F60E07" w:rsidP="006C06DC">
            <w:pPr>
              <w:rPr>
                <w:sz w:val="20"/>
                <w:szCs w:val="20"/>
              </w:rPr>
            </w:pPr>
            <w:proofErr w:type="spellStart"/>
            <w:r w:rsidRPr="00000F3C">
              <w:rPr>
                <w:sz w:val="20"/>
                <w:szCs w:val="20"/>
              </w:rPr>
              <w:t>Saizen</w:t>
            </w:r>
            <w:proofErr w:type="spellEnd"/>
          </w:p>
          <w:p w14:paraId="5CB7EEAD" w14:textId="77777777" w:rsidR="00F60E07" w:rsidRPr="00000F3C" w:rsidRDefault="00F60E07" w:rsidP="006C06DC">
            <w:pPr>
              <w:rPr>
                <w:rFonts w:cstheme="minorHAnsi"/>
                <w:sz w:val="20"/>
                <w:szCs w:val="20"/>
              </w:rPr>
            </w:pPr>
            <w:r w:rsidRPr="00000F3C">
              <w:rPr>
                <w:sz w:val="20"/>
                <w:szCs w:val="20"/>
              </w:rPr>
              <w:t>Merck Healthcare Pty Ltd</w:t>
            </w:r>
          </w:p>
        </w:tc>
        <w:tc>
          <w:tcPr>
            <w:tcW w:w="6825" w:type="dxa"/>
          </w:tcPr>
          <w:p w14:paraId="174C4070" w14:textId="6D95A4D6" w:rsidR="00F60E07" w:rsidRPr="00000F3C" w:rsidRDefault="00F60E07" w:rsidP="006C06DC">
            <w:pPr>
              <w:autoSpaceDE w:val="0"/>
              <w:autoSpaceDN w:val="0"/>
              <w:adjustRightInd w:val="0"/>
              <w:rPr>
                <w:rFonts w:cstheme="minorHAnsi"/>
                <w:color w:val="000000"/>
                <w:sz w:val="20"/>
                <w:szCs w:val="20"/>
              </w:rPr>
            </w:pPr>
            <w:r w:rsidRPr="00000F3C">
              <w:rPr>
                <w:rFonts w:cstheme="minorHAnsi"/>
                <w:sz w:val="20"/>
                <w:szCs w:val="20"/>
              </w:rPr>
              <w:t xml:space="preserve">At the start of therapy, low doses of 0.15 – 0.3 mg are recommended, given as a daily subcutaneous injection. The dose should be titrated carefully guided by IGF-1 age-adjusted normal values and on the basis of clinical effect and adverse events. The recommended final dose seldom exceeds 1.0 mg/day. In general, the lowest efficacious dose should be administered. With women showing an increasing IGF-1 sensitivity over time, dose adjustment may be required for women, especially for those on oral </w:t>
            </w:r>
            <w:r w:rsidR="009078C4" w:rsidRPr="00000F3C">
              <w:rPr>
                <w:rFonts w:cstheme="minorHAnsi"/>
                <w:sz w:val="20"/>
                <w:szCs w:val="20"/>
              </w:rPr>
              <w:t>oestrogen</w:t>
            </w:r>
            <w:r w:rsidRPr="00000F3C">
              <w:rPr>
                <w:rFonts w:cstheme="minorHAnsi"/>
                <w:sz w:val="20"/>
                <w:szCs w:val="20"/>
              </w:rPr>
              <w:t xml:space="preserve"> replacement. In older or overweight patients, lower doses may be necessary.</w:t>
            </w:r>
          </w:p>
        </w:tc>
      </w:tr>
    </w:tbl>
    <w:p w14:paraId="0D8B009E" w14:textId="77777777" w:rsidR="00F60E07" w:rsidRPr="00A95B30" w:rsidRDefault="00F60E07" w:rsidP="00F965EB">
      <w:pPr>
        <w:spacing w:line="276" w:lineRule="auto"/>
      </w:pPr>
    </w:p>
    <w:sectPr w:rsidR="00F60E07" w:rsidRPr="00A95B30"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50FC2" w14:textId="77777777" w:rsidR="007D322F" w:rsidRDefault="007D322F" w:rsidP="00A35800">
      <w:r>
        <w:separator/>
      </w:r>
    </w:p>
  </w:endnote>
  <w:endnote w:type="continuationSeparator" w:id="0">
    <w:p w14:paraId="45A4A8C8" w14:textId="77777777" w:rsidR="007D322F" w:rsidRDefault="007D322F"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2287" w:usb1="00000060" w:usb2="00000008" w:usb3="00000000" w:csb0="00000093"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Arial+FPEF">
    <w:altName w:val="MS Mincho"/>
    <w:panose1 w:val="00000000000000000000"/>
    <w:charset w:val="80"/>
    <w:family w:val="auto"/>
    <w:notTrueType/>
    <w:pitch w:val="default"/>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9D5E5" w14:textId="77777777" w:rsidR="007D322F" w:rsidRDefault="007D322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7D322F" w:rsidRDefault="007D322F"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2AE6D4FA" w:rsidR="007D322F" w:rsidRPr="000E72C6" w:rsidRDefault="007D322F" w:rsidP="000E72C6">
            <w:pPr>
              <w:pStyle w:val="Footer"/>
              <w:jc w:val="center"/>
              <w:rPr>
                <w:i/>
                <w:sz w:val="20"/>
              </w:rPr>
            </w:pPr>
            <w:r>
              <w:rPr>
                <w:i/>
                <w:sz w:val="20"/>
              </w:rPr>
              <w:t>Public Release Document, June 2021 DUSC Meeting</w:t>
            </w:r>
          </w:p>
          <w:p w14:paraId="10292A9A" w14:textId="0AE31687" w:rsidR="007D322F" w:rsidRDefault="007D322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2B0751">
              <w:rPr>
                <w:bCs/>
                <w:i/>
                <w:noProof/>
                <w:sz w:val="20"/>
              </w:rPr>
              <w:t>36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2B0751">
              <w:rPr>
                <w:bCs/>
                <w:i/>
                <w:noProof/>
                <w:sz w:val="20"/>
              </w:rPr>
              <w:t>41</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22E1F" w14:textId="77777777" w:rsidR="007D322F" w:rsidRDefault="007D322F" w:rsidP="007A5733">
    <w:pPr>
      <w:pStyle w:val="Footer"/>
      <w:jc w:val="center"/>
      <w:rPr>
        <w:rStyle w:val="PageNumber"/>
      </w:rPr>
    </w:pPr>
    <w:r>
      <w:rPr>
        <w:rStyle w:val="PageNumber"/>
      </w:rPr>
      <w:t>Committee-in-Confidence</w:t>
    </w:r>
  </w:p>
  <w:p w14:paraId="3CE6880B" w14:textId="77777777" w:rsidR="007D322F" w:rsidRDefault="007D322F"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5EEDE" w14:textId="77777777" w:rsidR="007D322F" w:rsidRDefault="007D322F" w:rsidP="00A35800">
      <w:r>
        <w:separator/>
      </w:r>
    </w:p>
  </w:footnote>
  <w:footnote w:type="continuationSeparator" w:id="0">
    <w:p w14:paraId="7E2CA1E4" w14:textId="77777777" w:rsidR="007D322F" w:rsidRDefault="007D322F" w:rsidP="00A35800">
      <w:r>
        <w:continuationSeparator/>
      </w:r>
    </w:p>
  </w:footnote>
  <w:footnote w:id="1">
    <w:p w14:paraId="0AFD0D4B" w14:textId="77777777" w:rsidR="007D322F" w:rsidRDefault="007D322F" w:rsidP="006B63A4">
      <w:pPr>
        <w:pStyle w:val="FootnoteText"/>
      </w:pPr>
      <w:r>
        <w:rPr>
          <w:rStyle w:val="FootnoteReference"/>
        </w:rPr>
        <w:footnoteRef/>
      </w:r>
      <w:r>
        <w:t xml:space="preserve"> </w:t>
      </w:r>
      <w:proofErr w:type="spellStart"/>
      <w:r>
        <w:t>Ohlsson</w:t>
      </w:r>
      <w:proofErr w:type="spellEnd"/>
      <w:r>
        <w:t xml:space="preserve"> C, </w:t>
      </w:r>
      <w:proofErr w:type="spellStart"/>
      <w:r>
        <w:t>Bengtsson</w:t>
      </w:r>
      <w:proofErr w:type="spellEnd"/>
      <w:r>
        <w:t xml:space="preserve"> B, Isaksson O.G.P, </w:t>
      </w:r>
      <w:proofErr w:type="spellStart"/>
      <w:r>
        <w:t>Andreassen</w:t>
      </w:r>
      <w:proofErr w:type="spellEnd"/>
      <w:r>
        <w:t xml:space="preserve"> T.T, </w:t>
      </w:r>
      <w:proofErr w:type="spellStart"/>
      <w:r>
        <w:t>Slootweg</w:t>
      </w:r>
      <w:proofErr w:type="spellEnd"/>
      <w:r>
        <w:t xml:space="preserve"> M.C. Growth Hormone and Bone. Endocrine Reviews 1998, 1: 55-79. </w:t>
      </w:r>
    </w:p>
  </w:footnote>
  <w:footnote w:id="2">
    <w:p w14:paraId="28F3BA48" w14:textId="77777777" w:rsidR="007D322F" w:rsidRDefault="007D322F" w:rsidP="006B63A4">
      <w:pPr>
        <w:pStyle w:val="FootnoteText"/>
      </w:pPr>
      <w:r>
        <w:rPr>
          <w:rStyle w:val="FootnoteReference"/>
        </w:rPr>
        <w:footnoteRef/>
      </w:r>
      <w:r>
        <w:t xml:space="preserve"> </w:t>
      </w:r>
      <w:proofErr w:type="spellStart"/>
      <w:r>
        <w:t>Florini</w:t>
      </w:r>
      <w:proofErr w:type="spellEnd"/>
      <w:r>
        <w:t xml:space="preserve"> J.R, </w:t>
      </w:r>
      <w:proofErr w:type="spellStart"/>
      <w:r>
        <w:t>Ewton</w:t>
      </w:r>
      <w:proofErr w:type="spellEnd"/>
      <w:r>
        <w:t xml:space="preserve"> D.Z, </w:t>
      </w:r>
      <w:proofErr w:type="spellStart"/>
      <w:r>
        <w:t>Coolican</w:t>
      </w:r>
      <w:proofErr w:type="spellEnd"/>
      <w:r>
        <w:t xml:space="preserve"> S.A, Growth hormone and the insulin-like growth factor system in </w:t>
      </w:r>
      <w:proofErr w:type="spellStart"/>
      <w:r>
        <w:t>myogenesis</w:t>
      </w:r>
      <w:proofErr w:type="spellEnd"/>
      <w:r>
        <w:t>. Endocrine Reviews, 1996. 1: 481:517.</w:t>
      </w:r>
    </w:p>
  </w:footnote>
  <w:footnote w:id="3">
    <w:p w14:paraId="293E334D" w14:textId="77777777" w:rsidR="007D322F" w:rsidRDefault="007D322F" w:rsidP="006B63A4">
      <w:pPr>
        <w:pStyle w:val="FootnoteText"/>
      </w:pPr>
      <w:r>
        <w:rPr>
          <w:rStyle w:val="FootnoteReference"/>
        </w:rPr>
        <w:footnoteRef/>
      </w:r>
      <w:r>
        <w:t xml:space="preserve"> Feld S, Hirschberg R. Growth Hormone, the Insulin-Like Growth Factor System, and the Kidney. Endocrine Reviews, 1996. 5: 423-480. </w:t>
      </w:r>
    </w:p>
  </w:footnote>
  <w:footnote w:id="4">
    <w:p w14:paraId="7EE15D84" w14:textId="4E4EC187" w:rsidR="007D322F" w:rsidRPr="008A6B80" w:rsidRDefault="007D322F">
      <w:pPr>
        <w:pStyle w:val="FootnoteText"/>
        <w:rPr>
          <w:szCs w:val="18"/>
        </w:rPr>
      </w:pPr>
      <w:r>
        <w:rPr>
          <w:rStyle w:val="FootnoteReference"/>
        </w:rPr>
        <w:footnoteRef/>
      </w:r>
      <w:r>
        <w:t xml:space="preserve"> Australian Government Department of Health Therapeutic Goods Administration. Too much of a good thing: the health risks of human growth hormone, 2019. &lt;</w:t>
      </w:r>
      <w:r w:rsidRPr="005D43E3">
        <w:t>https://www.tga.gov.au/blogs/tga-topics/too-much-good-thing-health-risks-</w:t>
      </w:r>
      <w:r w:rsidRPr="008A6B80">
        <w:rPr>
          <w:szCs w:val="18"/>
        </w:rPr>
        <w:t>human-growth-hormone&gt;</w:t>
      </w:r>
    </w:p>
  </w:footnote>
  <w:footnote w:id="5">
    <w:p w14:paraId="116F70BF" w14:textId="77777777" w:rsidR="007D322F" w:rsidRPr="008A6B80" w:rsidRDefault="007D322F" w:rsidP="00F2261D">
      <w:pPr>
        <w:pStyle w:val="FootnoteText"/>
        <w:rPr>
          <w:szCs w:val="18"/>
        </w:rPr>
      </w:pPr>
      <w:r w:rsidRPr="008A6B80">
        <w:rPr>
          <w:rStyle w:val="FootnoteReference"/>
          <w:szCs w:val="18"/>
        </w:rPr>
        <w:footnoteRef/>
      </w:r>
      <w:r w:rsidRPr="008A6B80">
        <w:rPr>
          <w:szCs w:val="18"/>
        </w:rPr>
        <w:t xml:space="preserve"> Hormones Australia- Endocrine Society of Australia. GH Deficiency Fact Sheet, 2009. &lt;https://www.hormones-australia.org.au/wp-content/uploads/2019/10/Fact-Sheet-GH-Deficiency-20191031.pdf&gt;</w:t>
      </w:r>
    </w:p>
  </w:footnote>
  <w:footnote w:id="6">
    <w:p w14:paraId="3771CE52" w14:textId="77777777" w:rsidR="007D322F" w:rsidRDefault="007D322F" w:rsidP="00660E0A">
      <w:pPr>
        <w:pStyle w:val="FootnoteText"/>
      </w:pPr>
      <w:r>
        <w:rPr>
          <w:rStyle w:val="FootnoteReference"/>
        </w:rPr>
        <w:footnoteRef/>
      </w:r>
      <w:r>
        <w:t xml:space="preserve"> </w:t>
      </w:r>
      <w:proofErr w:type="spellStart"/>
      <w:r>
        <w:t>Ayyar</w:t>
      </w:r>
      <w:proofErr w:type="spellEnd"/>
      <w:r>
        <w:t xml:space="preserve"> V.S. History of growth hormone therapy. Indian Journal of Endocrinology and Metabolism 2011. 15(3): s162-165.</w:t>
      </w:r>
      <w:r w:rsidRPr="006A45A4">
        <w:rPr>
          <w:rFonts w:ascii="Arial" w:hAnsi="Arial" w:cs="Arial"/>
          <w:color w:val="000000"/>
          <w:sz w:val="20"/>
          <w:shd w:val="clear" w:color="auto" w:fill="FFFFFF"/>
        </w:rPr>
        <w:t xml:space="preserve"> </w:t>
      </w:r>
      <w:proofErr w:type="spellStart"/>
      <w:r w:rsidRPr="006A45A4">
        <w:rPr>
          <w:rFonts w:ascii="Arial" w:hAnsi="Arial" w:cs="Arial"/>
          <w:color w:val="000000"/>
          <w:szCs w:val="18"/>
          <w:shd w:val="clear" w:color="auto" w:fill="FFFFFF"/>
        </w:rPr>
        <w:t>do</w:t>
      </w:r>
      <w:r w:rsidRPr="006A45A4">
        <w:rPr>
          <w:rFonts w:cstheme="minorHAnsi"/>
          <w:color w:val="000000"/>
          <w:szCs w:val="18"/>
          <w:shd w:val="clear" w:color="auto" w:fill="FFFFFF"/>
        </w:rPr>
        <w:t>i</w:t>
      </w:r>
      <w:proofErr w:type="spellEnd"/>
      <w:r w:rsidRPr="006A45A4">
        <w:rPr>
          <w:rFonts w:cstheme="minorHAnsi"/>
          <w:color w:val="000000"/>
          <w:szCs w:val="18"/>
          <w:shd w:val="clear" w:color="auto" w:fill="FFFFFF"/>
        </w:rPr>
        <w:t>: </w:t>
      </w:r>
      <w:hyperlink r:id="rId1" w:history="1">
        <w:r w:rsidRPr="006A45A4">
          <w:rPr>
            <w:rStyle w:val="Hyperlink"/>
            <w:rFonts w:cstheme="minorHAnsi"/>
            <w:color w:val="2F4A8B"/>
            <w:szCs w:val="18"/>
            <w:shd w:val="clear" w:color="auto" w:fill="FFFFFF"/>
          </w:rPr>
          <w:t>10.4103/2230-8210.84852</w:t>
        </w:r>
      </w:hyperlink>
    </w:p>
  </w:footnote>
  <w:footnote w:id="7">
    <w:p w14:paraId="39CD8461" w14:textId="77777777" w:rsidR="007D322F" w:rsidRPr="00FE3DB4" w:rsidRDefault="007D322F" w:rsidP="008465AB">
      <w:pPr>
        <w:pStyle w:val="FootnoteText"/>
        <w:rPr>
          <w:rFonts w:cstheme="minorHAnsi"/>
          <w:szCs w:val="18"/>
        </w:rPr>
      </w:pPr>
      <w:r w:rsidRPr="008A6B80">
        <w:rPr>
          <w:rStyle w:val="FootnoteReference"/>
          <w:szCs w:val="18"/>
        </w:rPr>
        <w:footnoteRef/>
      </w:r>
      <w:r w:rsidRPr="008A6B80">
        <w:rPr>
          <w:szCs w:val="18"/>
        </w:rPr>
        <w:t xml:space="preserve"> </w:t>
      </w:r>
      <w:r w:rsidRPr="00FE3DB4">
        <w:rPr>
          <w:rFonts w:cstheme="minorHAnsi"/>
          <w:szCs w:val="18"/>
        </w:rPr>
        <w:t xml:space="preserve">Ross J.L, Long L.M, </w:t>
      </w:r>
      <w:proofErr w:type="spellStart"/>
      <w:r w:rsidRPr="00FE3DB4">
        <w:rPr>
          <w:rFonts w:cstheme="minorHAnsi"/>
          <w:szCs w:val="18"/>
        </w:rPr>
        <w:t>Loriaux</w:t>
      </w:r>
      <w:proofErr w:type="spellEnd"/>
      <w:r w:rsidRPr="00FE3DB4">
        <w:rPr>
          <w:rFonts w:cstheme="minorHAnsi"/>
          <w:szCs w:val="18"/>
        </w:rPr>
        <w:t xml:space="preserve"> L, Cutler Jr G.B. Growth hormone secretory dynamics in Turner syndrome. The Journal of </w:t>
      </w:r>
      <w:proofErr w:type="spellStart"/>
      <w:r w:rsidRPr="00FE3DB4">
        <w:rPr>
          <w:rFonts w:cstheme="minorHAnsi"/>
          <w:szCs w:val="18"/>
        </w:rPr>
        <w:t>Pediatrics</w:t>
      </w:r>
      <w:proofErr w:type="spellEnd"/>
      <w:r w:rsidRPr="00FE3DB4">
        <w:rPr>
          <w:rFonts w:cstheme="minorHAnsi"/>
          <w:szCs w:val="18"/>
        </w:rPr>
        <w:t xml:space="preserve"> 1985. 106 (2): 202-206 </w:t>
      </w:r>
      <w:hyperlink r:id="rId2" w:tgtFrame="_blank" w:tooltip="Persistent link using digital object identifier" w:history="1">
        <w:r w:rsidRPr="00FE3DB4">
          <w:rPr>
            <w:rStyle w:val="Hyperlink"/>
            <w:rFonts w:cstheme="minorHAnsi"/>
            <w:color w:val="0C7DBB"/>
            <w:szCs w:val="18"/>
          </w:rPr>
          <w:t>https://doi.org/10.1016/S0022-3476(85)80287-0</w:t>
        </w:r>
      </w:hyperlink>
    </w:p>
  </w:footnote>
  <w:footnote w:id="8">
    <w:p w14:paraId="354C7710" w14:textId="6F6AA863" w:rsidR="007D322F" w:rsidRPr="00FE3DB4" w:rsidRDefault="007D322F">
      <w:pPr>
        <w:pStyle w:val="FootnoteText"/>
        <w:rPr>
          <w:rFonts w:cstheme="minorHAnsi"/>
        </w:rPr>
      </w:pPr>
      <w:r w:rsidRPr="00FE3DB4">
        <w:rPr>
          <w:rStyle w:val="FootnoteReference"/>
          <w:rFonts w:cstheme="minorHAnsi"/>
          <w:szCs w:val="18"/>
        </w:rPr>
        <w:footnoteRef/>
      </w:r>
      <w:r w:rsidRPr="00FE3DB4">
        <w:rPr>
          <w:rFonts w:cstheme="minorHAnsi"/>
          <w:szCs w:val="18"/>
        </w:rPr>
        <w:t xml:space="preserve"> Gupta V, Lee M. Growth hormone in chronic renal disease. Indian Journal of Endocrinology and Metabolism 2012. 16(2): 195-203. </w:t>
      </w:r>
      <w:proofErr w:type="spellStart"/>
      <w:r w:rsidRPr="00FE3DB4">
        <w:rPr>
          <w:rFonts w:cstheme="minorHAnsi"/>
          <w:color w:val="000000"/>
          <w:szCs w:val="18"/>
          <w:shd w:val="clear" w:color="auto" w:fill="FFFFFF"/>
        </w:rPr>
        <w:t>doi</w:t>
      </w:r>
      <w:proofErr w:type="spellEnd"/>
      <w:r w:rsidRPr="00FE3DB4">
        <w:rPr>
          <w:rFonts w:cstheme="minorHAnsi"/>
          <w:color w:val="000000"/>
          <w:szCs w:val="18"/>
          <w:shd w:val="clear" w:color="auto" w:fill="FFFFFF"/>
        </w:rPr>
        <w:t>: </w:t>
      </w:r>
      <w:hyperlink r:id="rId3" w:history="1">
        <w:r w:rsidRPr="00FE3DB4">
          <w:rPr>
            <w:rStyle w:val="Hyperlink"/>
            <w:rFonts w:cstheme="minorHAnsi"/>
            <w:color w:val="2F4A8B"/>
            <w:szCs w:val="18"/>
            <w:shd w:val="clear" w:color="auto" w:fill="FFFFFF"/>
          </w:rPr>
          <w:t>10.4103/2230-8210.93736</w:t>
        </w:r>
      </w:hyperlink>
    </w:p>
  </w:footnote>
  <w:footnote w:id="9">
    <w:p w14:paraId="5CA1131F" w14:textId="1BB6A154" w:rsidR="007D322F" w:rsidRDefault="007D322F">
      <w:pPr>
        <w:pStyle w:val="FootnoteText"/>
      </w:pPr>
      <w:r w:rsidRPr="00FE3DB4">
        <w:rPr>
          <w:rStyle w:val="FootnoteReference"/>
          <w:rFonts w:cstheme="minorHAnsi"/>
        </w:rPr>
        <w:footnoteRef/>
      </w:r>
      <w:r w:rsidRPr="00FE3DB4">
        <w:rPr>
          <w:rFonts w:cstheme="minorHAnsi"/>
        </w:rPr>
        <w:t xml:space="preserve"> Cassidy S.B, Driscoll D.J. </w:t>
      </w:r>
      <w:proofErr w:type="spellStart"/>
      <w:r w:rsidRPr="00FE3DB4">
        <w:rPr>
          <w:rFonts w:cstheme="minorHAnsi"/>
        </w:rPr>
        <w:t>Prader</w:t>
      </w:r>
      <w:proofErr w:type="spellEnd"/>
      <w:r w:rsidRPr="00FE3DB4">
        <w:rPr>
          <w:rFonts w:cstheme="minorHAnsi"/>
        </w:rPr>
        <w:t xml:space="preserve">-Willi syndrome. European Journal of Human Genetics 2009. 17: 3-13. </w:t>
      </w:r>
      <w:r w:rsidRPr="00FE3DB4">
        <w:rPr>
          <w:rFonts w:cstheme="minorHAnsi"/>
          <w:color w:val="222222"/>
          <w:shd w:val="clear" w:color="auto" w:fill="FFFFFF"/>
        </w:rPr>
        <w:t>https://doi.org/10.1038/ejhg.2008.165</w:t>
      </w:r>
    </w:p>
  </w:footnote>
  <w:footnote w:id="10">
    <w:p w14:paraId="5D310901" w14:textId="77777777" w:rsidR="007D322F" w:rsidRPr="0019664D" w:rsidRDefault="007D322F" w:rsidP="001B28D4">
      <w:pPr>
        <w:spacing w:after="0"/>
        <w:rPr>
          <w:sz w:val="18"/>
          <w:szCs w:val="18"/>
        </w:rPr>
      </w:pPr>
      <w:r w:rsidRPr="0019664D">
        <w:rPr>
          <w:rStyle w:val="FootnoteReference"/>
          <w:sz w:val="18"/>
          <w:szCs w:val="18"/>
        </w:rPr>
        <w:footnoteRef/>
      </w:r>
      <w:r w:rsidRPr="0019664D">
        <w:rPr>
          <w:sz w:val="18"/>
          <w:szCs w:val="18"/>
        </w:rPr>
        <w:t xml:space="preserve"> Australian Medicines Handbook. Adelaide: Australian Medicines Handbook Pt</w:t>
      </w:r>
      <w:r>
        <w:rPr>
          <w:sz w:val="18"/>
          <w:szCs w:val="18"/>
        </w:rPr>
        <w:t>y Ltd; 2021</w:t>
      </w:r>
      <w:r w:rsidRPr="0019664D">
        <w:rPr>
          <w:sz w:val="18"/>
          <w:szCs w:val="18"/>
        </w:rPr>
        <w:t>.</w:t>
      </w:r>
    </w:p>
  </w:footnote>
  <w:footnote w:id="11">
    <w:p w14:paraId="79BD9A65" w14:textId="00D15FB8" w:rsidR="007D322F" w:rsidRDefault="007D322F" w:rsidP="00175018">
      <w:pPr>
        <w:pStyle w:val="FootnoteText"/>
      </w:pPr>
      <w:r>
        <w:rPr>
          <w:rStyle w:val="FootnoteReference"/>
        </w:rPr>
        <w:footnoteRef/>
      </w:r>
      <w:r>
        <w:t xml:space="preserve"> </w:t>
      </w:r>
      <w:proofErr w:type="spellStart"/>
      <w:r>
        <w:rPr>
          <w:szCs w:val="18"/>
        </w:rPr>
        <w:t>Genotropin</w:t>
      </w:r>
      <w:proofErr w:type="spellEnd"/>
      <w:r>
        <w:rPr>
          <w:szCs w:val="18"/>
        </w:rPr>
        <w:t>. Australian Approved Product Information. Sydney: Pfizer Australia Pty Ltd. Approved 2 December 1991, updated 26 February 2020. 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12">
    <w:p w14:paraId="01659D29" w14:textId="12466A4A" w:rsidR="007D322F" w:rsidRDefault="007D322F">
      <w:pPr>
        <w:pStyle w:val="FootnoteText"/>
      </w:pPr>
      <w:r>
        <w:rPr>
          <w:rStyle w:val="FootnoteReference"/>
        </w:rPr>
        <w:footnoteRef/>
      </w:r>
      <w:r>
        <w:t xml:space="preserve"> </w:t>
      </w:r>
      <w:proofErr w:type="spellStart"/>
      <w:r>
        <w:rPr>
          <w:szCs w:val="18"/>
        </w:rPr>
        <w:t>Humatrope</w:t>
      </w:r>
      <w:proofErr w:type="spellEnd"/>
      <w:r>
        <w:rPr>
          <w:szCs w:val="18"/>
        </w:rPr>
        <w:t>. Australian Approved Product Information. West Ryde: Eli Lilly Australia Pty. Limited. Approved 24 October 1995, updated 9 January 2019. 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13">
    <w:p w14:paraId="37B02020" w14:textId="429C0922" w:rsidR="007D322F" w:rsidRDefault="007D322F">
      <w:pPr>
        <w:pStyle w:val="FootnoteText"/>
      </w:pPr>
      <w:r>
        <w:rPr>
          <w:rStyle w:val="FootnoteReference"/>
        </w:rPr>
        <w:footnoteRef/>
      </w:r>
      <w:r>
        <w:t xml:space="preserve"> </w:t>
      </w:r>
      <w:proofErr w:type="spellStart"/>
      <w:r>
        <w:rPr>
          <w:szCs w:val="18"/>
        </w:rPr>
        <w:t>Norditropin</w:t>
      </w:r>
      <w:proofErr w:type="spellEnd"/>
      <w:r>
        <w:rPr>
          <w:szCs w:val="18"/>
        </w:rPr>
        <w:t>. Australian Approved Product Information. Baulkham Hills: Novo Nordisk Pharmaceuticals Pty. Ltd. Approved 17 January 2001 (</w:t>
      </w:r>
      <w:proofErr w:type="spellStart"/>
      <w:r>
        <w:rPr>
          <w:szCs w:val="18"/>
        </w:rPr>
        <w:t>Norditropin</w:t>
      </w:r>
      <w:proofErr w:type="spellEnd"/>
      <w:r>
        <w:rPr>
          <w:szCs w:val="18"/>
        </w:rPr>
        <w:t xml:space="preserve"> </w:t>
      </w:r>
      <w:proofErr w:type="spellStart"/>
      <w:r>
        <w:rPr>
          <w:szCs w:val="18"/>
        </w:rPr>
        <w:t>SimpleXx</w:t>
      </w:r>
      <w:proofErr w:type="spellEnd"/>
      <w:r>
        <w:rPr>
          <w:szCs w:val="18"/>
        </w:rPr>
        <w:t xml:space="preserve"> 5 mg, 10 mg, 15 mg presentations), 19 May 2004 (</w:t>
      </w:r>
      <w:proofErr w:type="spellStart"/>
      <w:r>
        <w:rPr>
          <w:szCs w:val="18"/>
        </w:rPr>
        <w:t>Norditropin</w:t>
      </w:r>
      <w:proofErr w:type="spellEnd"/>
      <w:r>
        <w:rPr>
          <w:szCs w:val="18"/>
        </w:rPr>
        <w:t xml:space="preserve"> </w:t>
      </w:r>
      <w:proofErr w:type="spellStart"/>
      <w:r>
        <w:rPr>
          <w:szCs w:val="18"/>
        </w:rPr>
        <w:t>NordiFlex</w:t>
      </w:r>
      <w:proofErr w:type="spellEnd"/>
      <w:r>
        <w:rPr>
          <w:szCs w:val="18"/>
        </w:rPr>
        <w:t xml:space="preserve"> 5 mg, 10 mg, 15 mg presentations), 9 May 2011 (</w:t>
      </w:r>
      <w:proofErr w:type="spellStart"/>
      <w:r>
        <w:rPr>
          <w:szCs w:val="18"/>
        </w:rPr>
        <w:t>Norditropin</w:t>
      </w:r>
      <w:proofErr w:type="spellEnd"/>
      <w:r>
        <w:rPr>
          <w:szCs w:val="18"/>
        </w:rPr>
        <w:t xml:space="preserve"> </w:t>
      </w:r>
      <w:proofErr w:type="spellStart"/>
      <w:r>
        <w:rPr>
          <w:szCs w:val="18"/>
        </w:rPr>
        <w:t>FlexPro</w:t>
      </w:r>
      <w:proofErr w:type="spellEnd"/>
      <w:r>
        <w:rPr>
          <w:szCs w:val="18"/>
        </w:rPr>
        <w:t xml:space="preserve"> 5 mg, 10 mg, 15 mg presentations), updated 26 August 2020. 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14">
    <w:p w14:paraId="073FBDFB" w14:textId="1BD1E934" w:rsidR="007D322F" w:rsidRDefault="007D322F">
      <w:pPr>
        <w:pStyle w:val="FootnoteText"/>
      </w:pPr>
      <w:r>
        <w:rPr>
          <w:rStyle w:val="FootnoteReference"/>
        </w:rPr>
        <w:footnoteRef/>
      </w:r>
      <w:proofErr w:type="spellStart"/>
      <w:r>
        <w:t>Nutritropin</w:t>
      </w:r>
      <w:proofErr w:type="spellEnd"/>
      <w:r>
        <w:rPr>
          <w:szCs w:val="18"/>
        </w:rPr>
        <w:t xml:space="preserve">. Australian Approved Product Information. Glen Waverley: </w:t>
      </w:r>
      <w:proofErr w:type="spellStart"/>
      <w:r>
        <w:rPr>
          <w:szCs w:val="18"/>
        </w:rPr>
        <w:t>Ipsen</w:t>
      </w:r>
      <w:proofErr w:type="spellEnd"/>
      <w:r>
        <w:rPr>
          <w:szCs w:val="18"/>
        </w:rPr>
        <w:t xml:space="preserve"> Pty Ltd. Approved 10 July 2006, updated 23 April 2019. 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15">
    <w:p w14:paraId="0BAEE218" w14:textId="77777777" w:rsidR="007D322F" w:rsidRDefault="007D322F" w:rsidP="00EC43D0">
      <w:pPr>
        <w:pStyle w:val="FootnoteText"/>
      </w:pPr>
      <w:r>
        <w:rPr>
          <w:rStyle w:val="FootnoteReference"/>
        </w:rPr>
        <w:footnoteRef/>
      </w:r>
      <w:r>
        <w:t xml:space="preserve"> </w:t>
      </w:r>
      <w:proofErr w:type="spellStart"/>
      <w:r>
        <w:rPr>
          <w:szCs w:val="18"/>
        </w:rPr>
        <w:t>Omnitrope</w:t>
      </w:r>
      <w:proofErr w:type="spellEnd"/>
      <w:r>
        <w:rPr>
          <w:szCs w:val="18"/>
        </w:rPr>
        <w:t xml:space="preserve">. Australian Approved Product Information. Macquarie Park: Sandoz Pty Ltd. Approved 11 October 2004 (1.33 mg </w:t>
      </w:r>
      <w:proofErr w:type="spellStart"/>
      <w:r>
        <w:rPr>
          <w:szCs w:val="18"/>
        </w:rPr>
        <w:t>p.f.i</w:t>
      </w:r>
      <w:proofErr w:type="spellEnd"/>
      <w:r>
        <w:rPr>
          <w:szCs w:val="18"/>
        </w:rPr>
        <w:t>, 5 mg/1.5 mL s.f.i.</w:t>
      </w:r>
      <w:proofErr w:type="gramStart"/>
      <w:r>
        <w:rPr>
          <w:szCs w:val="18"/>
        </w:rPr>
        <w:t>,10</w:t>
      </w:r>
      <w:proofErr w:type="gramEnd"/>
      <w:r>
        <w:rPr>
          <w:szCs w:val="18"/>
        </w:rPr>
        <w:t xml:space="preserve"> mg/1.5 mL </w:t>
      </w:r>
      <w:proofErr w:type="spellStart"/>
      <w:r>
        <w:rPr>
          <w:szCs w:val="18"/>
        </w:rPr>
        <w:t>s.f.i</w:t>
      </w:r>
      <w:proofErr w:type="spellEnd"/>
      <w:r>
        <w:rPr>
          <w:szCs w:val="18"/>
        </w:rPr>
        <w:t xml:space="preserve">.), 16 December 2013 (15 mg/1.5 mL </w:t>
      </w:r>
      <w:proofErr w:type="spellStart"/>
      <w:r>
        <w:rPr>
          <w:szCs w:val="18"/>
        </w:rPr>
        <w:t>s.f.i</w:t>
      </w:r>
      <w:proofErr w:type="spellEnd"/>
      <w:r>
        <w:rPr>
          <w:szCs w:val="18"/>
        </w:rPr>
        <w:t xml:space="preserve">), 28 October 2014 (5 mg/1.5 mL </w:t>
      </w:r>
      <w:proofErr w:type="spellStart"/>
      <w:r>
        <w:rPr>
          <w:szCs w:val="18"/>
        </w:rPr>
        <w:t>s.f.i</w:t>
      </w:r>
      <w:proofErr w:type="spellEnd"/>
      <w:r>
        <w:rPr>
          <w:szCs w:val="18"/>
        </w:rPr>
        <w:t xml:space="preserve">., 10 mg/1.5 mL </w:t>
      </w:r>
      <w:proofErr w:type="spellStart"/>
      <w:r>
        <w:rPr>
          <w:szCs w:val="18"/>
        </w:rPr>
        <w:t>s.f.u</w:t>
      </w:r>
      <w:proofErr w:type="spellEnd"/>
      <w:r>
        <w:rPr>
          <w:szCs w:val="18"/>
        </w:rPr>
        <w:t>. with pre-assembled cartridge holder), updated 9 June 2020. 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16">
    <w:p w14:paraId="3F68AF85" w14:textId="1CC7D66D" w:rsidR="007D322F" w:rsidRDefault="007D322F">
      <w:pPr>
        <w:pStyle w:val="FootnoteText"/>
      </w:pPr>
      <w:r>
        <w:rPr>
          <w:rStyle w:val="FootnoteReference"/>
        </w:rPr>
        <w:footnoteRef/>
      </w:r>
      <w:r>
        <w:t xml:space="preserve"> </w:t>
      </w:r>
      <w:proofErr w:type="spellStart"/>
      <w:r>
        <w:rPr>
          <w:szCs w:val="18"/>
        </w:rPr>
        <w:t>Saizen</w:t>
      </w:r>
      <w:proofErr w:type="spellEnd"/>
      <w:r>
        <w:rPr>
          <w:szCs w:val="18"/>
        </w:rPr>
        <w:t>. Australian Approved Product Information. Macquarie Park: Merck Healthcare Pty Ltd. Approved 22 August 2011, updated 10 October 2019. 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17">
    <w:p w14:paraId="510E7572" w14:textId="04141EE7" w:rsidR="007D322F" w:rsidRDefault="007D322F">
      <w:pPr>
        <w:pStyle w:val="FootnoteText"/>
      </w:pPr>
      <w:r>
        <w:rPr>
          <w:rStyle w:val="FootnoteReference"/>
        </w:rPr>
        <w:footnoteRef/>
      </w:r>
      <w:r>
        <w:t xml:space="preserve"> </w:t>
      </w:r>
      <w:proofErr w:type="spellStart"/>
      <w:r>
        <w:rPr>
          <w:szCs w:val="18"/>
        </w:rPr>
        <w:t>SciTropinA</w:t>
      </w:r>
      <w:proofErr w:type="spellEnd"/>
      <w:r>
        <w:rPr>
          <w:szCs w:val="18"/>
        </w:rPr>
        <w:t xml:space="preserve">. Australian Approved Product Information. Billinudgel: </w:t>
      </w:r>
      <w:proofErr w:type="spellStart"/>
      <w:r>
        <w:rPr>
          <w:szCs w:val="18"/>
        </w:rPr>
        <w:t>SciGen</w:t>
      </w:r>
      <w:proofErr w:type="spellEnd"/>
      <w:r>
        <w:rPr>
          <w:szCs w:val="18"/>
        </w:rPr>
        <w:t xml:space="preserve"> (Australia) Pty Ltd. Approved 8 September, updated 21 October 2020. Available from &lt;</w:t>
      </w:r>
      <w:r w:rsidRPr="00CD4486">
        <w:t xml:space="preserve"> </w:t>
      </w:r>
      <w:r w:rsidRPr="00CD4486">
        <w:rPr>
          <w:szCs w:val="18"/>
        </w:rPr>
        <w:t>https</w:t>
      </w:r>
      <w:proofErr w:type="gramStart"/>
      <w:r w:rsidRPr="00CD4486">
        <w:rPr>
          <w:szCs w:val="18"/>
        </w:rPr>
        <w:t>:/</w:t>
      </w:r>
      <w:proofErr w:type="gramEnd"/>
      <w:r w:rsidRPr="00CD4486">
        <w:rPr>
          <w:szCs w:val="18"/>
        </w:rPr>
        <w:t>/www.tga.gov.au/product-information-pi</w:t>
      </w:r>
      <w:r>
        <w:rPr>
          <w:szCs w:val="18"/>
        </w:rPr>
        <w:t>.&gt;</w:t>
      </w:r>
    </w:p>
  </w:footnote>
  <w:footnote w:id="18">
    <w:p w14:paraId="612AFA31" w14:textId="512A04EA" w:rsidR="007D322F" w:rsidRDefault="007D322F">
      <w:pPr>
        <w:pStyle w:val="FootnoteText"/>
      </w:pPr>
      <w:r>
        <w:rPr>
          <w:rStyle w:val="FootnoteReference"/>
        </w:rPr>
        <w:footnoteRef/>
      </w:r>
      <w:r>
        <w:t xml:space="preserve"> Public Summary Document, </w:t>
      </w:r>
      <w:proofErr w:type="spellStart"/>
      <w:r>
        <w:t>somatropin</w:t>
      </w:r>
      <w:proofErr w:type="spellEnd"/>
      <w:r>
        <w:t xml:space="preserve">, July 2011. Accessed at: </w:t>
      </w:r>
      <w:r w:rsidRPr="00EB091B">
        <w:t>https://www.pbs.gov.au/info/industry/listing/elements/pbac-meetings/psd/2011-07/pbac-psd-somatropin-july11</w:t>
      </w:r>
    </w:p>
  </w:footnote>
  <w:footnote w:id="19">
    <w:p w14:paraId="0A4DD767" w14:textId="77777777" w:rsidR="007D322F" w:rsidRPr="00BC5AE2" w:rsidRDefault="007D322F"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4" w:history="1">
        <w:r>
          <w:rPr>
            <w:rStyle w:val="Hyperlink"/>
            <w:sz w:val="20"/>
          </w:rPr>
          <w:t>http://www.medicareaustralia.gov.au/provider/pbs/stats.jsp</w:t>
        </w:r>
      </w:hyperlink>
      <w:r>
        <w:rPr>
          <w:sz w:val="20"/>
        </w:rPr>
        <w:t>&gt;.</w:t>
      </w:r>
    </w:p>
  </w:footnote>
  <w:footnote w:id="20">
    <w:p w14:paraId="154BE12B" w14:textId="77777777" w:rsidR="007D322F" w:rsidRDefault="007D322F" w:rsidP="00ED7FBE">
      <w:pPr>
        <w:pStyle w:val="FootnoteText"/>
      </w:pPr>
      <w:r>
        <w:rPr>
          <w:rStyle w:val="FootnoteReference"/>
        </w:rPr>
        <w:footnoteRef/>
      </w:r>
      <w:r>
        <w:t xml:space="preserve"> Reed M.L, Merriam G.R, </w:t>
      </w:r>
      <w:proofErr w:type="spellStart"/>
      <w:r>
        <w:t>Kargi</w:t>
      </w:r>
      <w:proofErr w:type="spellEnd"/>
      <w:r>
        <w:t xml:space="preserve"> A.Y. Adult growth hormone deficiency-benefits, side effects, and risks of growth hormone replacement. Frontiers of Endocrinology. 2013, 4(64) </w:t>
      </w:r>
      <w:proofErr w:type="spellStart"/>
      <w:r w:rsidRPr="00560142">
        <w:rPr>
          <w:szCs w:val="13"/>
        </w:rPr>
        <w:t>doi</w:t>
      </w:r>
      <w:proofErr w:type="spellEnd"/>
      <w:r w:rsidRPr="00560142">
        <w:rPr>
          <w:szCs w:val="13"/>
        </w:rPr>
        <w:t>: 10.3389/fendo.2013.00064</w:t>
      </w:r>
    </w:p>
  </w:footnote>
  <w:footnote w:id="21">
    <w:p w14:paraId="7D49FD66" w14:textId="38A76A50" w:rsidR="007D322F" w:rsidRPr="00FB3A23" w:rsidRDefault="007D322F" w:rsidP="00FB3A23">
      <w:pPr>
        <w:rPr>
          <w:rFonts w:cstheme="minorHAnsi"/>
          <w:sz w:val="18"/>
          <w:szCs w:val="18"/>
        </w:rPr>
      </w:pPr>
      <w:r w:rsidRPr="00FB3A23">
        <w:rPr>
          <w:rStyle w:val="FootnoteReference"/>
          <w:sz w:val="18"/>
          <w:szCs w:val="18"/>
        </w:rPr>
        <w:footnoteRef/>
      </w:r>
      <w:r w:rsidRPr="00FB3A23">
        <w:rPr>
          <w:sz w:val="18"/>
          <w:szCs w:val="18"/>
        </w:rPr>
        <w:t xml:space="preserve"> </w:t>
      </w:r>
      <w:r w:rsidRPr="00FB3A23">
        <w:rPr>
          <w:rFonts w:cstheme="minorHAnsi"/>
          <w:color w:val="222222"/>
          <w:sz w:val="18"/>
          <w:szCs w:val="18"/>
          <w:shd w:val="clear" w:color="auto" w:fill="FFFFFF"/>
        </w:rPr>
        <w:t xml:space="preserve">Garcia JM, Merriam GR, </w:t>
      </w:r>
      <w:proofErr w:type="spellStart"/>
      <w:r w:rsidRPr="00FB3A23">
        <w:rPr>
          <w:rFonts w:cstheme="minorHAnsi"/>
          <w:color w:val="222222"/>
          <w:sz w:val="18"/>
          <w:szCs w:val="18"/>
          <w:shd w:val="clear" w:color="auto" w:fill="FFFFFF"/>
        </w:rPr>
        <w:t>Kargi</w:t>
      </w:r>
      <w:proofErr w:type="spellEnd"/>
      <w:r w:rsidRPr="00FB3A23">
        <w:rPr>
          <w:rFonts w:cstheme="minorHAnsi"/>
          <w:color w:val="222222"/>
          <w:sz w:val="18"/>
          <w:szCs w:val="18"/>
          <w:shd w:val="clear" w:color="auto" w:fill="FFFFFF"/>
        </w:rPr>
        <w:t xml:space="preserve"> AY. Growth Hormone</w:t>
      </w:r>
      <w:r>
        <w:rPr>
          <w:rFonts w:cstheme="minorHAnsi"/>
          <w:color w:val="222222"/>
          <w:sz w:val="18"/>
          <w:szCs w:val="18"/>
          <w:shd w:val="clear" w:color="auto" w:fill="FFFFFF"/>
        </w:rPr>
        <w:t xml:space="preserve"> in Aging. </w:t>
      </w:r>
      <w:proofErr w:type="spellStart"/>
      <w:r w:rsidRPr="00FB3A23">
        <w:rPr>
          <w:rFonts w:cstheme="minorHAnsi"/>
          <w:color w:val="222222"/>
          <w:sz w:val="18"/>
          <w:szCs w:val="18"/>
          <w:shd w:val="clear" w:color="auto" w:fill="FFFFFF"/>
        </w:rPr>
        <w:t>Endotext</w:t>
      </w:r>
      <w:proofErr w:type="spellEnd"/>
      <w:r w:rsidRPr="00FB3A23">
        <w:rPr>
          <w:rFonts w:cstheme="minorHAnsi"/>
          <w:color w:val="222222"/>
          <w:sz w:val="18"/>
          <w:szCs w:val="18"/>
          <w:shd w:val="clear" w:color="auto" w:fill="FFFFFF"/>
        </w:rPr>
        <w:t xml:space="preserve"> [Internet]. South Da</w:t>
      </w:r>
      <w:r>
        <w:rPr>
          <w:rFonts w:cstheme="minorHAnsi"/>
          <w:color w:val="222222"/>
          <w:sz w:val="18"/>
          <w:szCs w:val="18"/>
          <w:shd w:val="clear" w:color="auto" w:fill="FFFFFF"/>
        </w:rPr>
        <w:t>rtmouth (MA): MDText.com, Inc. 2019.</w:t>
      </w:r>
      <w:r w:rsidRPr="00FB3A23">
        <w:rPr>
          <w:rFonts w:cstheme="minorHAnsi"/>
          <w:color w:val="222222"/>
          <w:sz w:val="18"/>
          <w:szCs w:val="18"/>
          <w:shd w:val="clear" w:color="auto" w:fill="FFFFFF"/>
        </w:rPr>
        <w:t> </w:t>
      </w:r>
      <w:r w:rsidRPr="00FB3A23">
        <w:rPr>
          <w:rStyle w:val="bkciteavail"/>
          <w:rFonts w:cstheme="minorHAnsi"/>
          <w:color w:val="222222"/>
          <w:sz w:val="18"/>
          <w:szCs w:val="18"/>
          <w:shd w:val="clear" w:color="auto" w:fill="FFFFFF"/>
        </w:rPr>
        <w:t>Available from: https://www.ncbi.nlm.nih.gov/books/NBK279163/</w:t>
      </w:r>
    </w:p>
    <w:p w14:paraId="36F11B89" w14:textId="340FE089" w:rsidR="007D322F" w:rsidRDefault="007D32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0A577" w14:textId="77777777" w:rsidR="007D322F" w:rsidRDefault="007D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F15D" w14:textId="77777777" w:rsidR="007D322F" w:rsidRDefault="007D32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4F26" w14:textId="77777777" w:rsidR="007D322F" w:rsidRDefault="007D32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AC0A6A"/>
    <w:multiLevelType w:val="hybridMultilevel"/>
    <w:tmpl w:val="005F6C1A"/>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C70BED"/>
    <w:multiLevelType w:val="hybridMultilevel"/>
    <w:tmpl w:val="73A04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FE4739"/>
    <w:multiLevelType w:val="hybridMultilevel"/>
    <w:tmpl w:val="499C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D019F6"/>
    <w:multiLevelType w:val="hybridMultilevel"/>
    <w:tmpl w:val="5EF8D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15A2D"/>
    <w:multiLevelType w:val="hybridMultilevel"/>
    <w:tmpl w:val="51D24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8A5748"/>
    <w:multiLevelType w:val="hybridMultilevel"/>
    <w:tmpl w:val="FD7884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E43735"/>
    <w:multiLevelType w:val="hybridMultilevel"/>
    <w:tmpl w:val="2FECB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4B9DB"/>
    <w:multiLevelType w:val="hybridMultilevel"/>
    <w:tmpl w:val="4E23C06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5B7F14"/>
    <w:multiLevelType w:val="hybridMultilevel"/>
    <w:tmpl w:val="F998D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B607F"/>
    <w:multiLevelType w:val="hybridMultilevel"/>
    <w:tmpl w:val="545E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C43C44"/>
    <w:multiLevelType w:val="hybridMultilevel"/>
    <w:tmpl w:val="5ABF6B4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55C7A0B"/>
    <w:multiLevelType w:val="hybridMultilevel"/>
    <w:tmpl w:val="7DDAA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DE3785"/>
    <w:multiLevelType w:val="hybridMultilevel"/>
    <w:tmpl w:val="37B0D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B570C0"/>
    <w:multiLevelType w:val="hybridMultilevel"/>
    <w:tmpl w:val="6D8C22CA"/>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15" w15:restartNumberingAfterBreak="0">
    <w:nsid w:val="2FDC560E"/>
    <w:multiLevelType w:val="hybridMultilevel"/>
    <w:tmpl w:val="39F61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D64777"/>
    <w:multiLevelType w:val="hybridMultilevel"/>
    <w:tmpl w:val="B25E4C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9E51E0"/>
    <w:multiLevelType w:val="hybridMultilevel"/>
    <w:tmpl w:val="AA0C0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FB5F2F"/>
    <w:multiLevelType w:val="hybridMultilevel"/>
    <w:tmpl w:val="8B84BC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8752DA"/>
    <w:multiLevelType w:val="hybridMultilevel"/>
    <w:tmpl w:val="8CE0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249B6"/>
    <w:multiLevelType w:val="hybridMultilevel"/>
    <w:tmpl w:val="502AB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41F60"/>
    <w:multiLevelType w:val="hybridMultilevel"/>
    <w:tmpl w:val="B6C06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1D3C3F"/>
    <w:multiLevelType w:val="hybridMultilevel"/>
    <w:tmpl w:val="08E21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F83029"/>
    <w:multiLevelType w:val="hybridMultilevel"/>
    <w:tmpl w:val="7E143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5871D4F"/>
    <w:multiLevelType w:val="hybridMultilevel"/>
    <w:tmpl w:val="28AF193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63C5BFD"/>
    <w:multiLevelType w:val="hybridMultilevel"/>
    <w:tmpl w:val="749E5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730037"/>
    <w:multiLevelType w:val="hybridMultilevel"/>
    <w:tmpl w:val="C8E8E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C52E8"/>
    <w:multiLevelType w:val="hybridMultilevel"/>
    <w:tmpl w:val="A8E4B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880EB7"/>
    <w:multiLevelType w:val="hybridMultilevel"/>
    <w:tmpl w:val="6BBC7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5017326"/>
    <w:multiLevelType w:val="hybridMultilevel"/>
    <w:tmpl w:val="A08A47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2D6FD8"/>
    <w:multiLevelType w:val="hybridMultilevel"/>
    <w:tmpl w:val="F9E69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9843D7"/>
    <w:multiLevelType w:val="hybridMultilevel"/>
    <w:tmpl w:val="9522C9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90E578F"/>
    <w:multiLevelType w:val="hybridMultilevel"/>
    <w:tmpl w:val="8A845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211C5A"/>
    <w:multiLevelType w:val="hybridMultilevel"/>
    <w:tmpl w:val="AD00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E94FDB"/>
    <w:multiLevelType w:val="hybridMultilevel"/>
    <w:tmpl w:val="B50C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4"/>
  </w:num>
  <w:num w:numId="3">
    <w:abstractNumId w:val="12"/>
  </w:num>
  <w:num w:numId="4">
    <w:abstractNumId w:val="5"/>
  </w:num>
  <w:num w:numId="5">
    <w:abstractNumId w:val="22"/>
  </w:num>
  <w:num w:numId="6">
    <w:abstractNumId w:val="4"/>
  </w:num>
  <w:num w:numId="7">
    <w:abstractNumId w:val="14"/>
  </w:num>
  <w:num w:numId="8">
    <w:abstractNumId w:val="21"/>
  </w:num>
  <w:num w:numId="9">
    <w:abstractNumId w:val="20"/>
  </w:num>
  <w:num w:numId="10">
    <w:abstractNumId w:val="17"/>
  </w:num>
  <w:num w:numId="11">
    <w:abstractNumId w:val="15"/>
  </w:num>
  <w:num w:numId="12">
    <w:abstractNumId w:val="2"/>
  </w:num>
  <w:num w:numId="13">
    <w:abstractNumId w:val="35"/>
  </w:num>
  <w:num w:numId="14">
    <w:abstractNumId w:val="34"/>
  </w:num>
  <w:num w:numId="15">
    <w:abstractNumId w:val="28"/>
  </w:num>
  <w:num w:numId="16">
    <w:abstractNumId w:val="33"/>
  </w:num>
  <w:num w:numId="17">
    <w:abstractNumId w:val="27"/>
  </w:num>
  <w:num w:numId="18">
    <w:abstractNumId w:val="3"/>
  </w:num>
  <w:num w:numId="19">
    <w:abstractNumId w:val="11"/>
  </w:num>
  <w:num w:numId="20">
    <w:abstractNumId w:val="30"/>
  </w:num>
  <w:num w:numId="21">
    <w:abstractNumId w:val="8"/>
  </w:num>
  <w:num w:numId="22">
    <w:abstractNumId w:val="18"/>
  </w:num>
  <w:num w:numId="23">
    <w:abstractNumId w:val="1"/>
  </w:num>
  <w:num w:numId="24">
    <w:abstractNumId w:val="13"/>
  </w:num>
  <w:num w:numId="25">
    <w:abstractNumId w:val="7"/>
  </w:num>
  <w:num w:numId="26">
    <w:abstractNumId w:val="25"/>
  </w:num>
  <w:num w:numId="27">
    <w:abstractNumId w:val="0"/>
  </w:num>
  <w:num w:numId="28">
    <w:abstractNumId w:val="10"/>
  </w:num>
  <w:num w:numId="29">
    <w:abstractNumId w:val="9"/>
  </w:num>
  <w:num w:numId="30">
    <w:abstractNumId w:val="23"/>
  </w:num>
  <w:num w:numId="31">
    <w:abstractNumId w:val="6"/>
  </w:num>
  <w:num w:numId="32">
    <w:abstractNumId w:val="16"/>
  </w:num>
  <w:num w:numId="33">
    <w:abstractNumId w:val="31"/>
  </w:num>
  <w:num w:numId="34">
    <w:abstractNumId w:val="19"/>
  </w:num>
  <w:num w:numId="35">
    <w:abstractNumId w:val="2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20"/>
  <w:characterSpacingControl w:val="doNotCompress"/>
  <w:hdrShapeDefaults>
    <o:shapedefaults v:ext="edit" spidmax="1904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0F3C"/>
    <w:rsid w:val="00005F2B"/>
    <w:rsid w:val="00007E85"/>
    <w:rsid w:val="00011DF1"/>
    <w:rsid w:val="00013465"/>
    <w:rsid w:val="000226B3"/>
    <w:rsid w:val="000226FB"/>
    <w:rsid w:val="00024549"/>
    <w:rsid w:val="000306D8"/>
    <w:rsid w:val="00042D6C"/>
    <w:rsid w:val="000445DD"/>
    <w:rsid w:val="00051FC1"/>
    <w:rsid w:val="000544B6"/>
    <w:rsid w:val="00057A6E"/>
    <w:rsid w:val="000604AF"/>
    <w:rsid w:val="000717A7"/>
    <w:rsid w:val="000722D0"/>
    <w:rsid w:val="00073747"/>
    <w:rsid w:val="00081D75"/>
    <w:rsid w:val="00083CCF"/>
    <w:rsid w:val="00086C11"/>
    <w:rsid w:val="000906C2"/>
    <w:rsid w:val="00094DCF"/>
    <w:rsid w:val="00095DC8"/>
    <w:rsid w:val="000A16C6"/>
    <w:rsid w:val="000A3C40"/>
    <w:rsid w:val="000A6CFD"/>
    <w:rsid w:val="000A7919"/>
    <w:rsid w:val="000B0982"/>
    <w:rsid w:val="000B11B8"/>
    <w:rsid w:val="000B385E"/>
    <w:rsid w:val="000B4EF4"/>
    <w:rsid w:val="000B796C"/>
    <w:rsid w:val="000B7E98"/>
    <w:rsid w:val="000C46BB"/>
    <w:rsid w:val="000C4D9D"/>
    <w:rsid w:val="000C7C4B"/>
    <w:rsid w:val="000C7D8B"/>
    <w:rsid w:val="000D7F8B"/>
    <w:rsid w:val="000E4806"/>
    <w:rsid w:val="000E485D"/>
    <w:rsid w:val="000E72C6"/>
    <w:rsid w:val="000E72FC"/>
    <w:rsid w:val="000F1893"/>
    <w:rsid w:val="000F2656"/>
    <w:rsid w:val="000F2F51"/>
    <w:rsid w:val="000F3D49"/>
    <w:rsid w:val="000F649D"/>
    <w:rsid w:val="000F68E7"/>
    <w:rsid w:val="00101AE3"/>
    <w:rsid w:val="00102005"/>
    <w:rsid w:val="00102834"/>
    <w:rsid w:val="001034AD"/>
    <w:rsid w:val="00106B62"/>
    <w:rsid w:val="001079A3"/>
    <w:rsid w:val="00113CF8"/>
    <w:rsid w:val="00113D74"/>
    <w:rsid w:val="00117C5C"/>
    <w:rsid w:val="0012070B"/>
    <w:rsid w:val="001232E7"/>
    <w:rsid w:val="001275AF"/>
    <w:rsid w:val="001310AE"/>
    <w:rsid w:val="00131BF5"/>
    <w:rsid w:val="0013656B"/>
    <w:rsid w:val="0014161E"/>
    <w:rsid w:val="001420B3"/>
    <w:rsid w:val="001460C4"/>
    <w:rsid w:val="00146A9C"/>
    <w:rsid w:val="001513FF"/>
    <w:rsid w:val="0015691C"/>
    <w:rsid w:val="001621F7"/>
    <w:rsid w:val="001624D7"/>
    <w:rsid w:val="00167E7B"/>
    <w:rsid w:val="00171757"/>
    <w:rsid w:val="00175018"/>
    <w:rsid w:val="00177B86"/>
    <w:rsid w:val="0018227D"/>
    <w:rsid w:val="00182585"/>
    <w:rsid w:val="0018347C"/>
    <w:rsid w:val="00184EBB"/>
    <w:rsid w:val="00190022"/>
    <w:rsid w:val="00191182"/>
    <w:rsid w:val="00192EFF"/>
    <w:rsid w:val="0019664D"/>
    <w:rsid w:val="00196929"/>
    <w:rsid w:val="001A5157"/>
    <w:rsid w:val="001A6103"/>
    <w:rsid w:val="001B0933"/>
    <w:rsid w:val="001B1123"/>
    <w:rsid w:val="001B28D4"/>
    <w:rsid w:val="001B2A30"/>
    <w:rsid w:val="001B35FE"/>
    <w:rsid w:val="001B5D37"/>
    <w:rsid w:val="001C2940"/>
    <w:rsid w:val="001C4016"/>
    <w:rsid w:val="001C548D"/>
    <w:rsid w:val="001C6A5D"/>
    <w:rsid w:val="001D0732"/>
    <w:rsid w:val="001D0F1D"/>
    <w:rsid w:val="001D105A"/>
    <w:rsid w:val="001D5FCB"/>
    <w:rsid w:val="001E0CC7"/>
    <w:rsid w:val="001E31A6"/>
    <w:rsid w:val="001E3946"/>
    <w:rsid w:val="001E42C7"/>
    <w:rsid w:val="001E4610"/>
    <w:rsid w:val="001E4CAB"/>
    <w:rsid w:val="001F0A4E"/>
    <w:rsid w:val="001F22A2"/>
    <w:rsid w:val="001F2F3E"/>
    <w:rsid w:val="001F4906"/>
    <w:rsid w:val="001F7655"/>
    <w:rsid w:val="001F7C4A"/>
    <w:rsid w:val="002031F6"/>
    <w:rsid w:val="0020578A"/>
    <w:rsid w:val="00207631"/>
    <w:rsid w:val="00214013"/>
    <w:rsid w:val="00220756"/>
    <w:rsid w:val="00220FC1"/>
    <w:rsid w:val="00222E9A"/>
    <w:rsid w:val="00225478"/>
    <w:rsid w:val="0022574B"/>
    <w:rsid w:val="0023179D"/>
    <w:rsid w:val="00242C92"/>
    <w:rsid w:val="00242ED0"/>
    <w:rsid w:val="00245109"/>
    <w:rsid w:val="0025389D"/>
    <w:rsid w:val="00254E02"/>
    <w:rsid w:val="00255E4D"/>
    <w:rsid w:val="00255F34"/>
    <w:rsid w:val="0026265F"/>
    <w:rsid w:val="00273184"/>
    <w:rsid w:val="002754C5"/>
    <w:rsid w:val="00275CFF"/>
    <w:rsid w:val="00286802"/>
    <w:rsid w:val="00286C3A"/>
    <w:rsid w:val="002930F5"/>
    <w:rsid w:val="00296A49"/>
    <w:rsid w:val="00297D2C"/>
    <w:rsid w:val="002A06B7"/>
    <w:rsid w:val="002A0DC8"/>
    <w:rsid w:val="002A190C"/>
    <w:rsid w:val="002A49D1"/>
    <w:rsid w:val="002B03C2"/>
    <w:rsid w:val="002B0751"/>
    <w:rsid w:val="002B4B08"/>
    <w:rsid w:val="002B5389"/>
    <w:rsid w:val="002C260F"/>
    <w:rsid w:val="002C3C60"/>
    <w:rsid w:val="002C43E3"/>
    <w:rsid w:val="002C4C1B"/>
    <w:rsid w:val="002C6E0C"/>
    <w:rsid w:val="002D144A"/>
    <w:rsid w:val="002D650C"/>
    <w:rsid w:val="002E19A3"/>
    <w:rsid w:val="002E212B"/>
    <w:rsid w:val="002E2E8F"/>
    <w:rsid w:val="002E3337"/>
    <w:rsid w:val="002E4EBE"/>
    <w:rsid w:val="002E6583"/>
    <w:rsid w:val="002E6D03"/>
    <w:rsid w:val="002F426D"/>
    <w:rsid w:val="002F49A8"/>
    <w:rsid w:val="002F5E66"/>
    <w:rsid w:val="002F61CA"/>
    <w:rsid w:val="0030010D"/>
    <w:rsid w:val="00304C5E"/>
    <w:rsid w:val="003114A6"/>
    <w:rsid w:val="003120EF"/>
    <w:rsid w:val="00312533"/>
    <w:rsid w:val="00317E97"/>
    <w:rsid w:val="00323BF3"/>
    <w:rsid w:val="00323E3C"/>
    <w:rsid w:val="0032534C"/>
    <w:rsid w:val="003259FA"/>
    <w:rsid w:val="00330D7D"/>
    <w:rsid w:val="003325DF"/>
    <w:rsid w:val="003346E4"/>
    <w:rsid w:val="0033504C"/>
    <w:rsid w:val="00336816"/>
    <w:rsid w:val="003370D0"/>
    <w:rsid w:val="00337355"/>
    <w:rsid w:val="003402E4"/>
    <w:rsid w:val="00340CCF"/>
    <w:rsid w:val="00340F95"/>
    <w:rsid w:val="00346D24"/>
    <w:rsid w:val="003505AE"/>
    <w:rsid w:val="00350F4B"/>
    <w:rsid w:val="00350FF1"/>
    <w:rsid w:val="003531ED"/>
    <w:rsid w:val="00353DD1"/>
    <w:rsid w:val="003545E7"/>
    <w:rsid w:val="0035479C"/>
    <w:rsid w:val="0035657B"/>
    <w:rsid w:val="00360B9A"/>
    <w:rsid w:val="00361954"/>
    <w:rsid w:val="00377059"/>
    <w:rsid w:val="003778DE"/>
    <w:rsid w:val="00381566"/>
    <w:rsid w:val="0039017F"/>
    <w:rsid w:val="00394AEE"/>
    <w:rsid w:val="003A1C57"/>
    <w:rsid w:val="003A500F"/>
    <w:rsid w:val="003A7852"/>
    <w:rsid w:val="003B3FD2"/>
    <w:rsid w:val="003C2D98"/>
    <w:rsid w:val="003C3126"/>
    <w:rsid w:val="003C6ADF"/>
    <w:rsid w:val="003C79D1"/>
    <w:rsid w:val="003D3887"/>
    <w:rsid w:val="003D3A96"/>
    <w:rsid w:val="003D3B9C"/>
    <w:rsid w:val="003E2BBB"/>
    <w:rsid w:val="003E3D80"/>
    <w:rsid w:val="003E3EBC"/>
    <w:rsid w:val="003E6B02"/>
    <w:rsid w:val="003F13CE"/>
    <w:rsid w:val="003F467C"/>
    <w:rsid w:val="003F6BFF"/>
    <w:rsid w:val="003F7BF4"/>
    <w:rsid w:val="003F7D81"/>
    <w:rsid w:val="004013CD"/>
    <w:rsid w:val="0040427A"/>
    <w:rsid w:val="00404F03"/>
    <w:rsid w:val="00405140"/>
    <w:rsid w:val="004077B9"/>
    <w:rsid w:val="00407C98"/>
    <w:rsid w:val="0041018E"/>
    <w:rsid w:val="00412051"/>
    <w:rsid w:val="00412C85"/>
    <w:rsid w:val="00414895"/>
    <w:rsid w:val="00416C82"/>
    <w:rsid w:val="00420466"/>
    <w:rsid w:val="00423B94"/>
    <w:rsid w:val="00427038"/>
    <w:rsid w:val="00433E52"/>
    <w:rsid w:val="0043561D"/>
    <w:rsid w:val="00436A48"/>
    <w:rsid w:val="0044585A"/>
    <w:rsid w:val="00451192"/>
    <w:rsid w:val="004515C7"/>
    <w:rsid w:val="00455100"/>
    <w:rsid w:val="004601A5"/>
    <w:rsid w:val="00462965"/>
    <w:rsid w:val="00463731"/>
    <w:rsid w:val="0046400A"/>
    <w:rsid w:val="00465215"/>
    <w:rsid w:val="0046645D"/>
    <w:rsid w:val="00467B25"/>
    <w:rsid w:val="00475E49"/>
    <w:rsid w:val="00476423"/>
    <w:rsid w:val="00481108"/>
    <w:rsid w:val="00485068"/>
    <w:rsid w:val="00485499"/>
    <w:rsid w:val="0049042B"/>
    <w:rsid w:val="00490BAB"/>
    <w:rsid w:val="00492C78"/>
    <w:rsid w:val="00495473"/>
    <w:rsid w:val="004A458E"/>
    <w:rsid w:val="004A4CE3"/>
    <w:rsid w:val="004A6172"/>
    <w:rsid w:val="004B23E7"/>
    <w:rsid w:val="004B306F"/>
    <w:rsid w:val="004C3186"/>
    <w:rsid w:val="004C37C2"/>
    <w:rsid w:val="004C5042"/>
    <w:rsid w:val="004C60BB"/>
    <w:rsid w:val="004D2D24"/>
    <w:rsid w:val="004D57C8"/>
    <w:rsid w:val="004D5C72"/>
    <w:rsid w:val="004E4422"/>
    <w:rsid w:val="004E50D5"/>
    <w:rsid w:val="004F135D"/>
    <w:rsid w:val="004F3E6A"/>
    <w:rsid w:val="004F3F26"/>
    <w:rsid w:val="00503998"/>
    <w:rsid w:val="0050623B"/>
    <w:rsid w:val="005137FB"/>
    <w:rsid w:val="005155E1"/>
    <w:rsid w:val="005168A8"/>
    <w:rsid w:val="00516DE5"/>
    <w:rsid w:val="00523181"/>
    <w:rsid w:val="005248EC"/>
    <w:rsid w:val="00524D13"/>
    <w:rsid w:val="005270F0"/>
    <w:rsid w:val="00531093"/>
    <w:rsid w:val="005339F6"/>
    <w:rsid w:val="00534D4F"/>
    <w:rsid w:val="00535484"/>
    <w:rsid w:val="0053792E"/>
    <w:rsid w:val="00557B61"/>
    <w:rsid w:val="00560142"/>
    <w:rsid w:val="00562894"/>
    <w:rsid w:val="00563A42"/>
    <w:rsid w:val="00563C3C"/>
    <w:rsid w:val="00564FC0"/>
    <w:rsid w:val="00566409"/>
    <w:rsid w:val="005669D6"/>
    <w:rsid w:val="00571FDD"/>
    <w:rsid w:val="00576B18"/>
    <w:rsid w:val="00577914"/>
    <w:rsid w:val="005870A9"/>
    <w:rsid w:val="00587541"/>
    <w:rsid w:val="00587724"/>
    <w:rsid w:val="00590DD2"/>
    <w:rsid w:val="00591512"/>
    <w:rsid w:val="00593565"/>
    <w:rsid w:val="00593992"/>
    <w:rsid w:val="005A0039"/>
    <w:rsid w:val="005A5618"/>
    <w:rsid w:val="005B09E0"/>
    <w:rsid w:val="005B2D91"/>
    <w:rsid w:val="005B381B"/>
    <w:rsid w:val="005B48B4"/>
    <w:rsid w:val="005B54BE"/>
    <w:rsid w:val="005B675F"/>
    <w:rsid w:val="005C6661"/>
    <w:rsid w:val="005C6E3B"/>
    <w:rsid w:val="005D15B1"/>
    <w:rsid w:val="005D43E3"/>
    <w:rsid w:val="005D474B"/>
    <w:rsid w:val="005E085C"/>
    <w:rsid w:val="005E1133"/>
    <w:rsid w:val="005E147D"/>
    <w:rsid w:val="005E16F0"/>
    <w:rsid w:val="005E22C2"/>
    <w:rsid w:val="005E3D7A"/>
    <w:rsid w:val="005E4A93"/>
    <w:rsid w:val="005E57BB"/>
    <w:rsid w:val="005F0017"/>
    <w:rsid w:val="005F0A4D"/>
    <w:rsid w:val="005F2963"/>
    <w:rsid w:val="005F3298"/>
    <w:rsid w:val="005F3942"/>
    <w:rsid w:val="005F760E"/>
    <w:rsid w:val="006014F1"/>
    <w:rsid w:val="0061357B"/>
    <w:rsid w:val="00614A7D"/>
    <w:rsid w:val="00615EA4"/>
    <w:rsid w:val="00620BFE"/>
    <w:rsid w:val="00622320"/>
    <w:rsid w:val="0062554C"/>
    <w:rsid w:val="00631F08"/>
    <w:rsid w:val="0063432F"/>
    <w:rsid w:val="00635658"/>
    <w:rsid w:val="0063631C"/>
    <w:rsid w:val="0063757B"/>
    <w:rsid w:val="006377CE"/>
    <w:rsid w:val="0064120C"/>
    <w:rsid w:val="0064234D"/>
    <w:rsid w:val="006537D9"/>
    <w:rsid w:val="00653B3C"/>
    <w:rsid w:val="00660E0A"/>
    <w:rsid w:val="00664A48"/>
    <w:rsid w:val="00665DEF"/>
    <w:rsid w:val="00670BA9"/>
    <w:rsid w:val="00675BB1"/>
    <w:rsid w:val="006775F1"/>
    <w:rsid w:val="00682AE9"/>
    <w:rsid w:val="006916C3"/>
    <w:rsid w:val="00692AA7"/>
    <w:rsid w:val="0069391D"/>
    <w:rsid w:val="00695646"/>
    <w:rsid w:val="00697FEC"/>
    <w:rsid w:val="006A1471"/>
    <w:rsid w:val="006A175F"/>
    <w:rsid w:val="006A2073"/>
    <w:rsid w:val="006A44F5"/>
    <w:rsid w:val="006A45A4"/>
    <w:rsid w:val="006B4537"/>
    <w:rsid w:val="006B5F85"/>
    <w:rsid w:val="006B63A4"/>
    <w:rsid w:val="006B6929"/>
    <w:rsid w:val="006B709B"/>
    <w:rsid w:val="006C06DC"/>
    <w:rsid w:val="006C54AF"/>
    <w:rsid w:val="006E0181"/>
    <w:rsid w:val="006F0A31"/>
    <w:rsid w:val="006F5551"/>
    <w:rsid w:val="006F5C56"/>
    <w:rsid w:val="00700C0E"/>
    <w:rsid w:val="007018D0"/>
    <w:rsid w:val="00702D1F"/>
    <w:rsid w:val="00703F75"/>
    <w:rsid w:val="0070431B"/>
    <w:rsid w:val="00705082"/>
    <w:rsid w:val="00705DAD"/>
    <w:rsid w:val="0071381C"/>
    <w:rsid w:val="00716225"/>
    <w:rsid w:val="007247B9"/>
    <w:rsid w:val="00725D8A"/>
    <w:rsid w:val="00727D85"/>
    <w:rsid w:val="00730EDF"/>
    <w:rsid w:val="007346C7"/>
    <w:rsid w:val="00734C1D"/>
    <w:rsid w:val="007352BF"/>
    <w:rsid w:val="00736041"/>
    <w:rsid w:val="007408C7"/>
    <w:rsid w:val="00741F52"/>
    <w:rsid w:val="00743415"/>
    <w:rsid w:val="00744528"/>
    <w:rsid w:val="007465DA"/>
    <w:rsid w:val="00746933"/>
    <w:rsid w:val="00751AE4"/>
    <w:rsid w:val="00752C7F"/>
    <w:rsid w:val="007568B9"/>
    <w:rsid w:val="00766506"/>
    <w:rsid w:val="007666BE"/>
    <w:rsid w:val="00766BA2"/>
    <w:rsid w:val="00766E67"/>
    <w:rsid w:val="00771BB1"/>
    <w:rsid w:val="00776598"/>
    <w:rsid w:val="00783BB0"/>
    <w:rsid w:val="00785505"/>
    <w:rsid w:val="00791C53"/>
    <w:rsid w:val="00792948"/>
    <w:rsid w:val="00796E84"/>
    <w:rsid w:val="007A3ADE"/>
    <w:rsid w:val="007A5733"/>
    <w:rsid w:val="007A5774"/>
    <w:rsid w:val="007A7F69"/>
    <w:rsid w:val="007B2514"/>
    <w:rsid w:val="007C1CF1"/>
    <w:rsid w:val="007C3253"/>
    <w:rsid w:val="007C5231"/>
    <w:rsid w:val="007D0F39"/>
    <w:rsid w:val="007D322F"/>
    <w:rsid w:val="007D64A9"/>
    <w:rsid w:val="007E3CB2"/>
    <w:rsid w:val="007E7647"/>
    <w:rsid w:val="007F072B"/>
    <w:rsid w:val="007F4694"/>
    <w:rsid w:val="00801E74"/>
    <w:rsid w:val="008047BC"/>
    <w:rsid w:val="0080485E"/>
    <w:rsid w:val="00806BC8"/>
    <w:rsid w:val="0080730D"/>
    <w:rsid w:val="00807EBE"/>
    <w:rsid w:val="008142B4"/>
    <w:rsid w:val="008161CB"/>
    <w:rsid w:val="00820448"/>
    <w:rsid w:val="008272BE"/>
    <w:rsid w:val="00827B0E"/>
    <w:rsid w:val="00832324"/>
    <w:rsid w:val="00834F87"/>
    <w:rsid w:val="00835337"/>
    <w:rsid w:val="00843370"/>
    <w:rsid w:val="008442FB"/>
    <w:rsid w:val="0084521E"/>
    <w:rsid w:val="008465AB"/>
    <w:rsid w:val="00846DCD"/>
    <w:rsid w:val="008501A5"/>
    <w:rsid w:val="008514A3"/>
    <w:rsid w:val="00851D85"/>
    <w:rsid w:val="00853F12"/>
    <w:rsid w:val="00860CCB"/>
    <w:rsid w:val="00870A14"/>
    <w:rsid w:val="0087101D"/>
    <w:rsid w:val="00873156"/>
    <w:rsid w:val="008740A3"/>
    <w:rsid w:val="00882403"/>
    <w:rsid w:val="00883C8C"/>
    <w:rsid w:val="00885A80"/>
    <w:rsid w:val="00885ED1"/>
    <w:rsid w:val="0089297B"/>
    <w:rsid w:val="00893D06"/>
    <w:rsid w:val="008A6B80"/>
    <w:rsid w:val="008A7218"/>
    <w:rsid w:val="008B15F2"/>
    <w:rsid w:val="008B6770"/>
    <w:rsid w:val="008C36CA"/>
    <w:rsid w:val="008C6EDC"/>
    <w:rsid w:val="008C7DB5"/>
    <w:rsid w:val="008D35BD"/>
    <w:rsid w:val="008E3F8C"/>
    <w:rsid w:val="008E5B8E"/>
    <w:rsid w:val="008E6B80"/>
    <w:rsid w:val="008F1C06"/>
    <w:rsid w:val="009003C9"/>
    <w:rsid w:val="00902FD0"/>
    <w:rsid w:val="009053D3"/>
    <w:rsid w:val="0090691F"/>
    <w:rsid w:val="009078C4"/>
    <w:rsid w:val="00907A6F"/>
    <w:rsid w:val="00917AAE"/>
    <w:rsid w:val="00925720"/>
    <w:rsid w:val="0093111F"/>
    <w:rsid w:val="0093144F"/>
    <w:rsid w:val="00932738"/>
    <w:rsid w:val="00934069"/>
    <w:rsid w:val="00935689"/>
    <w:rsid w:val="00936768"/>
    <w:rsid w:val="009367F5"/>
    <w:rsid w:val="009421F4"/>
    <w:rsid w:val="0094344F"/>
    <w:rsid w:val="009520F9"/>
    <w:rsid w:val="00952E32"/>
    <w:rsid w:val="0095303B"/>
    <w:rsid w:val="00954F01"/>
    <w:rsid w:val="009663B6"/>
    <w:rsid w:val="009702D2"/>
    <w:rsid w:val="00973262"/>
    <w:rsid w:val="00973DF4"/>
    <w:rsid w:val="00974A47"/>
    <w:rsid w:val="00980286"/>
    <w:rsid w:val="00980AB2"/>
    <w:rsid w:val="00983312"/>
    <w:rsid w:val="009833EE"/>
    <w:rsid w:val="00984E34"/>
    <w:rsid w:val="00985E79"/>
    <w:rsid w:val="00990DCF"/>
    <w:rsid w:val="009A0367"/>
    <w:rsid w:val="009A0B33"/>
    <w:rsid w:val="009A137D"/>
    <w:rsid w:val="009A1AAF"/>
    <w:rsid w:val="009A289C"/>
    <w:rsid w:val="009A2ECD"/>
    <w:rsid w:val="009A4CD6"/>
    <w:rsid w:val="009A537C"/>
    <w:rsid w:val="009B003C"/>
    <w:rsid w:val="009B24D1"/>
    <w:rsid w:val="009B47A6"/>
    <w:rsid w:val="009B5DC9"/>
    <w:rsid w:val="009C0886"/>
    <w:rsid w:val="009C19EE"/>
    <w:rsid w:val="009C1CEF"/>
    <w:rsid w:val="009C28D0"/>
    <w:rsid w:val="009C35F2"/>
    <w:rsid w:val="009C50D3"/>
    <w:rsid w:val="009C6D60"/>
    <w:rsid w:val="009C7782"/>
    <w:rsid w:val="009D1ED5"/>
    <w:rsid w:val="009D4C13"/>
    <w:rsid w:val="009D6C84"/>
    <w:rsid w:val="009E21A7"/>
    <w:rsid w:val="009E3FCE"/>
    <w:rsid w:val="009F07B4"/>
    <w:rsid w:val="00A03D76"/>
    <w:rsid w:val="00A04C41"/>
    <w:rsid w:val="00A05543"/>
    <w:rsid w:val="00A103ED"/>
    <w:rsid w:val="00A13C60"/>
    <w:rsid w:val="00A15134"/>
    <w:rsid w:val="00A22CE3"/>
    <w:rsid w:val="00A30D44"/>
    <w:rsid w:val="00A33F69"/>
    <w:rsid w:val="00A341A3"/>
    <w:rsid w:val="00A352C3"/>
    <w:rsid w:val="00A35800"/>
    <w:rsid w:val="00A36729"/>
    <w:rsid w:val="00A47446"/>
    <w:rsid w:val="00A5200A"/>
    <w:rsid w:val="00A52918"/>
    <w:rsid w:val="00A52995"/>
    <w:rsid w:val="00A547B3"/>
    <w:rsid w:val="00A57D87"/>
    <w:rsid w:val="00A613D9"/>
    <w:rsid w:val="00A61930"/>
    <w:rsid w:val="00A64065"/>
    <w:rsid w:val="00A67F4F"/>
    <w:rsid w:val="00A70588"/>
    <w:rsid w:val="00A70E82"/>
    <w:rsid w:val="00A8296C"/>
    <w:rsid w:val="00A82B9E"/>
    <w:rsid w:val="00A82E9D"/>
    <w:rsid w:val="00A84611"/>
    <w:rsid w:val="00A84CAD"/>
    <w:rsid w:val="00A85B23"/>
    <w:rsid w:val="00A90E50"/>
    <w:rsid w:val="00A95B30"/>
    <w:rsid w:val="00A95FA5"/>
    <w:rsid w:val="00A96B19"/>
    <w:rsid w:val="00A96D92"/>
    <w:rsid w:val="00A974FF"/>
    <w:rsid w:val="00A97691"/>
    <w:rsid w:val="00A97B3B"/>
    <w:rsid w:val="00AA5720"/>
    <w:rsid w:val="00AA7770"/>
    <w:rsid w:val="00AB199C"/>
    <w:rsid w:val="00AB3733"/>
    <w:rsid w:val="00AB588C"/>
    <w:rsid w:val="00AB7897"/>
    <w:rsid w:val="00AC325E"/>
    <w:rsid w:val="00AC43DE"/>
    <w:rsid w:val="00AC5054"/>
    <w:rsid w:val="00AE0A4E"/>
    <w:rsid w:val="00AE1051"/>
    <w:rsid w:val="00AE494F"/>
    <w:rsid w:val="00AE4BAC"/>
    <w:rsid w:val="00AF1E9C"/>
    <w:rsid w:val="00AF2344"/>
    <w:rsid w:val="00AF71F5"/>
    <w:rsid w:val="00B01D2E"/>
    <w:rsid w:val="00B034FC"/>
    <w:rsid w:val="00B05310"/>
    <w:rsid w:val="00B10A0B"/>
    <w:rsid w:val="00B11A70"/>
    <w:rsid w:val="00B17BB9"/>
    <w:rsid w:val="00B22B54"/>
    <w:rsid w:val="00B24BF4"/>
    <w:rsid w:val="00B27547"/>
    <w:rsid w:val="00B30D85"/>
    <w:rsid w:val="00B35A4A"/>
    <w:rsid w:val="00B453CF"/>
    <w:rsid w:val="00B4577C"/>
    <w:rsid w:val="00B53E04"/>
    <w:rsid w:val="00B543C9"/>
    <w:rsid w:val="00B560DF"/>
    <w:rsid w:val="00B578BD"/>
    <w:rsid w:val="00B63D64"/>
    <w:rsid w:val="00B63FD7"/>
    <w:rsid w:val="00B76476"/>
    <w:rsid w:val="00B77E71"/>
    <w:rsid w:val="00B77FF8"/>
    <w:rsid w:val="00B816D9"/>
    <w:rsid w:val="00B90D9A"/>
    <w:rsid w:val="00B9120F"/>
    <w:rsid w:val="00B91DEE"/>
    <w:rsid w:val="00B9216C"/>
    <w:rsid w:val="00B9219F"/>
    <w:rsid w:val="00B924A4"/>
    <w:rsid w:val="00B94AE6"/>
    <w:rsid w:val="00B95F4F"/>
    <w:rsid w:val="00BA7269"/>
    <w:rsid w:val="00BB0D1A"/>
    <w:rsid w:val="00BB1D3B"/>
    <w:rsid w:val="00BB2AEE"/>
    <w:rsid w:val="00BB3106"/>
    <w:rsid w:val="00BB496E"/>
    <w:rsid w:val="00BC35ED"/>
    <w:rsid w:val="00BC5967"/>
    <w:rsid w:val="00BC705C"/>
    <w:rsid w:val="00BC742F"/>
    <w:rsid w:val="00BC7448"/>
    <w:rsid w:val="00BC778D"/>
    <w:rsid w:val="00BD0B2F"/>
    <w:rsid w:val="00BE1F32"/>
    <w:rsid w:val="00BE205A"/>
    <w:rsid w:val="00BE3802"/>
    <w:rsid w:val="00BE6515"/>
    <w:rsid w:val="00BF238E"/>
    <w:rsid w:val="00BF2F4A"/>
    <w:rsid w:val="00BF356C"/>
    <w:rsid w:val="00BF4E75"/>
    <w:rsid w:val="00BF544D"/>
    <w:rsid w:val="00BF6DD2"/>
    <w:rsid w:val="00C0076F"/>
    <w:rsid w:val="00C02CED"/>
    <w:rsid w:val="00C0301C"/>
    <w:rsid w:val="00C050B6"/>
    <w:rsid w:val="00C10F12"/>
    <w:rsid w:val="00C14AF4"/>
    <w:rsid w:val="00C21F8E"/>
    <w:rsid w:val="00C22507"/>
    <w:rsid w:val="00C22D33"/>
    <w:rsid w:val="00C245EA"/>
    <w:rsid w:val="00C256F6"/>
    <w:rsid w:val="00C3097E"/>
    <w:rsid w:val="00C34196"/>
    <w:rsid w:val="00C35ECC"/>
    <w:rsid w:val="00C361A8"/>
    <w:rsid w:val="00C40F9B"/>
    <w:rsid w:val="00C41246"/>
    <w:rsid w:val="00C44D78"/>
    <w:rsid w:val="00C45E5F"/>
    <w:rsid w:val="00C46291"/>
    <w:rsid w:val="00C4711F"/>
    <w:rsid w:val="00C607EE"/>
    <w:rsid w:val="00C6130E"/>
    <w:rsid w:val="00C61872"/>
    <w:rsid w:val="00C63412"/>
    <w:rsid w:val="00C6402D"/>
    <w:rsid w:val="00C70F1E"/>
    <w:rsid w:val="00C714D0"/>
    <w:rsid w:val="00C85639"/>
    <w:rsid w:val="00C90EF4"/>
    <w:rsid w:val="00C94AFC"/>
    <w:rsid w:val="00C95BF9"/>
    <w:rsid w:val="00C9620C"/>
    <w:rsid w:val="00CA015A"/>
    <w:rsid w:val="00CA472D"/>
    <w:rsid w:val="00CB2B31"/>
    <w:rsid w:val="00CC1AA3"/>
    <w:rsid w:val="00CC20D4"/>
    <w:rsid w:val="00CC5528"/>
    <w:rsid w:val="00CC7281"/>
    <w:rsid w:val="00CD1332"/>
    <w:rsid w:val="00CD18B3"/>
    <w:rsid w:val="00CD4486"/>
    <w:rsid w:val="00CD6F56"/>
    <w:rsid w:val="00CE06D1"/>
    <w:rsid w:val="00CE1422"/>
    <w:rsid w:val="00CE241A"/>
    <w:rsid w:val="00CE26BB"/>
    <w:rsid w:val="00CE3BD5"/>
    <w:rsid w:val="00CE4062"/>
    <w:rsid w:val="00CE4B4D"/>
    <w:rsid w:val="00CE4DCB"/>
    <w:rsid w:val="00CF5E22"/>
    <w:rsid w:val="00CF685A"/>
    <w:rsid w:val="00D0001B"/>
    <w:rsid w:val="00D006D5"/>
    <w:rsid w:val="00D00D1F"/>
    <w:rsid w:val="00D06A44"/>
    <w:rsid w:val="00D1075E"/>
    <w:rsid w:val="00D113F1"/>
    <w:rsid w:val="00D133E7"/>
    <w:rsid w:val="00D151EB"/>
    <w:rsid w:val="00D16763"/>
    <w:rsid w:val="00D21658"/>
    <w:rsid w:val="00D23863"/>
    <w:rsid w:val="00D24F6B"/>
    <w:rsid w:val="00D27AAD"/>
    <w:rsid w:val="00D300E0"/>
    <w:rsid w:val="00D32968"/>
    <w:rsid w:val="00D34EDD"/>
    <w:rsid w:val="00D374CD"/>
    <w:rsid w:val="00D404AD"/>
    <w:rsid w:val="00D42A5A"/>
    <w:rsid w:val="00D46653"/>
    <w:rsid w:val="00D4796E"/>
    <w:rsid w:val="00D47A23"/>
    <w:rsid w:val="00D51607"/>
    <w:rsid w:val="00D547E4"/>
    <w:rsid w:val="00D55A11"/>
    <w:rsid w:val="00D60B86"/>
    <w:rsid w:val="00D61B73"/>
    <w:rsid w:val="00D62551"/>
    <w:rsid w:val="00D650CE"/>
    <w:rsid w:val="00D71719"/>
    <w:rsid w:val="00D776DA"/>
    <w:rsid w:val="00D82F23"/>
    <w:rsid w:val="00D83614"/>
    <w:rsid w:val="00D840E8"/>
    <w:rsid w:val="00D8758B"/>
    <w:rsid w:val="00D913AD"/>
    <w:rsid w:val="00D942B3"/>
    <w:rsid w:val="00D94863"/>
    <w:rsid w:val="00D95EF2"/>
    <w:rsid w:val="00D96F6F"/>
    <w:rsid w:val="00DA1280"/>
    <w:rsid w:val="00DA2075"/>
    <w:rsid w:val="00DA6402"/>
    <w:rsid w:val="00DA7D09"/>
    <w:rsid w:val="00DB248E"/>
    <w:rsid w:val="00DB2AAD"/>
    <w:rsid w:val="00DB2BCC"/>
    <w:rsid w:val="00DB332A"/>
    <w:rsid w:val="00DB452B"/>
    <w:rsid w:val="00DB6383"/>
    <w:rsid w:val="00DC2630"/>
    <w:rsid w:val="00DC4687"/>
    <w:rsid w:val="00DC49E9"/>
    <w:rsid w:val="00DC55E4"/>
    <w:rsid w:val="00DC746D"/>
    <w:rsid w:val="00DC7D71"/>
    <w:rsid w:val="00DD188C"/>
    <w:rsid w:val="00DD2783"/>
    <w:rsid w:val="00DD29A3"/>
    <w:rsid w:val="00DD376F"/>
    <w:rsid w:val="00DD48EE"/>
    <w:rsid w:val="00DE0B96"/>
    <w:rsid w:val="00DE10B9"/>
    <w:rsid w:val="00DE4C41"/>
    <w:rsid w:val="00DE5AD0"/>
    <w:rsid w:val="00DE6ABB"/>
    <w:rsid w:val="00DF0B13"/>
    <w:rsid w:val="00DF2EB8"/>
    <w:rsid w:val="00DF4A94"/>
    <w:rsid w:val="00DF6003"/>
    <w:rsid w:val="00DF7ED5"/>
    <w:rsid w:val="00E00095"/>
    <w:rsid w:val="00E0076B"/>
    <w:rsid w:val="00E02896"/>
    <w:rsid w:val="00E02B93"/>
    <w:rsid w:val="00E055C5"/>
    <w:rsid w:val="00E066C3"/>
    <w:rsid w:val="00E10D8C"/>
    <w:rsid w:val="00E1353A"/>
    <w:rsid w:val="00E1564B"/>
    <w:rsid w:val="00E208A0"/>
    <w:rsid w:val="00E25B49"/>
    <w:rsid w:val="00E25DF7"/>
    <w:rsid w:val="00E31286"/>
    <w:rsid w:val="00E371EA"/>
    <w:rsid w:val="00E37A84"/>
    <w:rsid w:val="00E45A40"/>
    <w:rsid w:val="00E464EE"/>
    <w:rsid w:val="00E50EB6"/>
    <w:rsid w:val="00E5146C"/>
    <w:rsid w:val="00E57E74"/>
    <w:rsid w:val="00E64429"/>
    <w:rsid w:val="00E677DD"/>
    <w:rsid w:val="00E67D70"/>
    <w:rsid w:val="00E7147F"/>
    <w:rsid w:val="00E735EE"/>
    <w:rsid w:val="00E757D0"/>
    <w:rsid w:val="00E7594B"/>
    <w:rsid w:val="00E76A52"/>
    <w:rsid w:val="00E8245D"/>
    <w:rsid w:val="00E86452"/>
    <w:rsid w:val="00E95CAC"/>
    <w:rsid w:val="00E962DD"/>
    <w:rsid w:val="00EA0477"/>
    <w:rsid w:val="00EA1D81"/>
    <w:rsid w:val="00EA3767"/>
    <w:rsid w:val="00EA3F33"/>
    <w:rsid w:val="00EA4736"/>
    <w:rsid w:val="00EA5263"/>
    <w:rsid w:val="00EB091B"/>
    <w:rsid w:val="00EB4688"/>
    <w:rsid w:val="00EB6C07"/>
    <w:rsid w:val="00EB7A98"/>
    <w:rsid w:val="00EC028D"/>
    <w:rsid w:val="00EC0766"/>
    <w:rsid w:val="00EC43D0"/>
    <w:rsid w:val="00ED27C4"/>
    <w:rsid w:val="00ED3333"/>
    <w:rsid w:val="00ED4F4F"/>
    <w:rsid w:val="00ED633B"/>
    <w:rsid w:val="00ED7FBE"/>
    <w:rsid w:val="00EE22CA"/>
    <w:rsid w:val="00EE2BBB"/>
    <w:rsid w:val="00EE3CF4"/>
    <w:rsid w:val="00EE478C"/>
    <w:rsid w:val="00EE6508"/>
    <w:rsid w:val="00EF36ED"/>
    <w:rsid w:val="00EF3F70"/>
    <w:rsid w:val="00EF752B"/>
    <w:rsid w:val="00F0006A"/>
    <w:rsid w:val="00F00934"/>
    <w:rsid w:val="00F0219E"/>
    <w:rsid w:val="00F0453C"/>
    <w:rsid w:val="00F05F13"/>
    <w:rsid w:val="00F06602"/>
    <w:rsid w:val="00F1132C"/>
    <w:rsid w:val="00F123D9"/>
    <w:rsid w:val="00F15DD5"/>
    <w:rsid w:val="00F16776"/>
    <w:rsid w:val="00F17D4B"/>
    <w:rsid w:val="00F20B7D"/>
    <w:rsid w:val="00F210AE"/>
    <w:rsid w:val="00F2261D"/>
    <w:rsid w:val="00F23139"/>
    <w:rsid w:val="00F25CF0"/>
    <w:rsid w:val="00F263CD"/>
    <w:rsid w:val="00F26EC5"/>
    <w:rsid w:val="00F27D08"/>
    <w:rsid w:val="00F402B0"/>
    <w:rsid w:val="00F45B0C"/>
    <w:rsid w:val="00F45FB7"/>
    <w:rsid w:val="00F47321"/>
    <w:rsid w:val="00F47638"/>
    <w:rsid w:val="00F47C90"/>
    <w:rsid w:val="00F550BA"/>
    <w:rsid w:val="00F60E07"/>
    <w:rsid w:val="00F64B3B"/>
    <w:rsid w:val="00F65C05"/>
    <w:rsid w:val="00F66CD5"/>
    <w:rsid w:val="00F67A9A"/>
    <w:rsid w:val="00F67F9D"/>
    <w:rsid w:val="00F70F4E"/>
    <w:rsid w:val="00F73113"/>
    <w:rsid w:val="00F75FC4"/>
    <w:rsid w:val="00F75FDD"/>
    <w:rsid w:val="00F76CE2"/>
    <w:rsid w:val="00F77488"/>
    <w:rsid w:val="00F83845"/>
    <w:rsid w:val="00F85981"/>
    <w:rsid w:val="00F87263"/>
    <w:rsid w:val="00F914D9"/>
    <w:rsid w:val="00F936E7"/>
    <w:rsid w:val="00F93725"/>
    <w:rsid w:val="00F965EB"/>
    <w:rsid w:val="00FA4890"/>
    <w:rsid w:val="00FA5C7D"/>
    <w:rsid w:val="00FB0423"/>
    <w:rsid w:val="00FB080A"/>
    <w:rsid w:val="00FB1DF4"/>
    <w:rsid w:val="00FB3A23"/>
    <w:rsid w:val="00FB77FA"/>
    <w:rsid w:val="00FC3C70"/>
    <w:rsid w:val="00FC4A73"/>
    <w:rsid w:val="00FC559C"/>
    <w:rsid w:val="00FC7F0D"/>
    <w:rsid w:val="00FD0ABD"/>
    <w:rsid w:val="00FD175C"/>
    <w:rsid w:val="00FD31EB"/>
    <w:rsid w:val="00FD4B56"/>
    <w:rsid w:val="00FE3DB4"/>
    <w:rsid w:val="00FE645A"/>
    <w:rsid w:val="00FF2DD9"/>
    <w:rsid w:val="00FF52FE"/>
    <w:rsid w:val="00FF6102"/>
    <w:rsid w:val="00FF7F5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0465"/>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FollowedHyperlink">
    <w:name w:val="FollowedHyperlink"/>
    <w:basedOn w:val="DefaultParagraphFont"/>
    <w:uiPriority w:val="99"/>
    <w:semiHidden/>
    <w:unhideWhenUsed/>
    <w:rsid w:val="000A7919"/>
    <w:rPr>
      <w:color w:val="800080" w:themeColor="followedHyperlink"/>
      <w:u w:val="single"/>
    </w:rPr>
  </w:style>
  <w:style w:type="paragraph" w:styleId="NormalWeb">
    <w:name w:val="Normal (Web)"/>
    <w:basedOn w:val="Normal"/>
    <w:uiPriority w:val="99"/>
    <w:unhideWhenUsed/>
    <w:rsid w:val="009520F9"/>
    <w:pPr>
      <w:spacing w:before="100" w:beforeAutospacing="1" w:after="100" w:afterAutospacing="1"/>
    </w:pPr>
    <w:rPr>
      <w:rFonts w:ascii="Times New Roman" w:eastAsia="Times New Roman" w:hAnsi="Times New Roman" w:cs="Times New Roman"/>
    </w:rPr>
  </w:style>
  <w:style w:type="character" w:customStyle="1" w:styleId="bkciteavail">
    <w:name w:val="bk_cite_avail"/>
    <w:basedOn w:val="DefaultParagraphFont"/>
    <w:rsid w:val="00E76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7021">
      <w:bodyDiv w:val="1"/>
      <w:marLeft w:val="0"/>
      <w:marRight w:val="0"/>
      <w:marTop w:val="0"/>
      <w:marBottom w:val="0"/>
      <w:divBdr>
        <w:top w:val="none" w:sz="0" w:space="0" w:color="auto"/>
        <w:left w:val="none" w:sz="0" w:space="0" w:color="auto"/>
        <w:bottom w:val="none" w:sz="0" w:space="0" w:color="auto"/>
        <w:right w:val="none" w:sz="0" w:space="0" w:color="auto"/>
      </w:divBdr>
    </w:div>
    <w:div w:id="34543873">
      <w:bodyDiv w:val="1"/>
      <w:marLeft w:val="0"/>
      <w:marRight w:val="0"/>
      <w:marTop w:val="0"/>
      <w:marBottom w:val="0"/>
      <w:divBdr>
        <w:top w:val="none" w:sz="0" w:space="0" w:color="auto"/>
        <w:left w:val="none" w:sz="0" w:space="0" w:color="auto"/>
        <w:bottom w:val="none" w:sz="0" w:space="0" w:color="auto"/>
        <w:right w:val="none" w:sz="0" w:space="0" w:color="auto"/>
      </w:divBdr>
    </w:div>
    <w:div w:id="87821368">
      <w:bodyDiv w:val="1"/>
      <w:marLeft w:val="0"/>
      <w:marRight w:val="0"/>
      <w:marTop w:val="0"/>
      <w:marBottom w:val="0"/>
      <w:divBdr>
        <w:top w:val="none" w:sz="0" w:space="0" w:color="auto"/>
        <w:left w:val="none" w:sz="0" w:space="0" w:color="auto"/>
        <w:bottom w:val="none" w:sz="0" w:space="0" w:color="auto"/>
        <w:right w:val="none" w:sz="0" w:space="0" w:color="auto"/>
      </w:divBdr>
    </w:div>
    <w:div w:id="144667448">
      <w:bodyDiv w:val="1"/>
      <w:marLeft w:val="0"/>
      <w:marRight w:val="0"/>
      <w:marTop w:val="0"/>
      <w:marBottom w:val="0"/>
      <w:divBdr>
        <w:top w:val="none" w:sz="0" w:space="0" w:color="auto"/>
        <w:left w:val="none" w:sz="0" w:space="0" w:color="auto"/>
        <w:bottom w:val="none" w:sz="0" w:space="0" w:color="auto"/>
        <w:right w:val="none" w:sz="0" w:space="0" w:color="auto"/>
      </w:divBdr>
    </w:div>
    <w:div w:id="207032794">
      <w:bodyDiv w:val="1"/>
      <w:marLeft w:val="0"/>
      <w:marRight w:val="0"/>
      <w:marTop w:val="0"/>
      <w:marBottom w:val="0"/>
      <w:divBdr>
        <w:top w:val="none" w:sz="0" w:space="0" w:color="auto"/>
        <w:left w:val="none" w:sz="0" w:space="0" w:color="auto"/>
        <w:bottom w:val="none" w:sz="0" w:space="0" w:color="auto"/>
        <w:right w:val="none" w:sz="0" w:space="0" w:color="auto"/>
      </w:divBdr>
    </w:div>
    <w:div w:id="234710199">
      <w:bodyDiv w:val="1"/>
      <w:marLeft w:val="0"/>
      <w:marRight w:val="0"/>
      <w:marTop w:val="0"/>
      <w:marBottom w:val="0"/>
      <w:divBdr>
        <w:top w:val="none" w:sz="0" w:space="0" w:color="auto"/>
        <w:left w:val="none" w:sz="0" w:space="0" w:color="auto"/>
        <w:bottom w:val="none" w:sz="0" w:space="0" w:color="auto"/>
        <w:right w:val="none" w:sz="0" w:space="0" w:color="auto"/>
      </w:divBdr>
    </w:div>
    <w:div w:id="284388646">
      <w:bodyDiv w:val="1"/>
      <w:marLeft w:val="0"/>
      <w:marRight w:val="0"/>
      <w:marTop w:val="0"/>
      <w:marBottom w:val="0"/>
      <w:divBdr>
        <w:top w:val="none" w:sz="0" w:space="0" w:color="auto"/>
        <w:left w:val="none" w:sz="0" w:space="0" w:color="auto"/>
        <w:bottom w:val="none" w:sz="0" w:space="0" w:color="auto"/>
        <w:right w:val="none" w:sz="0" w:space="0" w:color="auto"/>
      </w:divBdr>
    </w:div>
    <w:div w:id="304504370">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58960774">
      <w:bodyDiv w:val="1"/>
      <w:marLeft w:val="0"/>
      <w:marRight w:val="0"/>
      <w:marTop w:val="0"/>
      <w:marBottom w:val="0"/>
      <w:divBdr>
        <w:top w:val="none" w:sz="0" w:space="0" w:color="auto"/>
        <w:left w:val="none" w:sz="0" w:space="0" w:color="auto"/>
        <w:bottom w:val="none" w:sz="0" w:space="0" w:color="auto"/>
        <w:right w:val="none" w:sz="0" w:space="0" w:color="auto"/>
      </w:divBdr>
    </w:div>
    <w:div w:id="479730170">
      <w:bodyDiv w:val="1"/>
      <w:marLeft w:val="0"/>
      <w:marRight w:val="0"/>
      <w:marTop w:val="0"/>
      <w:marBottom w:val="0"/>
      <w:divBdr>
        <w:top w:val="none" w:sz="0" w:space="0" w:color="auto"/>
        <w:left w:val="none" w:sz="0" w:space="0" w:color="auto"/>
        <w:bottom w:val="none" w:sz="0" w:space="0" w:color="auto"/>
        <w:right w:val="none" w:sz="0" w:space="0" w:color="auto"/>
      </w:divBdr>
    </w:div>
    <w:div w:id="540676524">
      <w:bodyDiv w:val="1"/>
      <w:marLeft w:val="0"/>
      <w:marRight w:val="0"/>
      <w:marTop w:val="0"/>
      <w:marBottom w:val="0"/>
      <w:divBdr>
        <w:top w:val="none" w:sz="0" w:space="0" w:color="auto"/>
        <w:left w:val="none" w:sz="0" w:space="0" w:color="auto"/>
        <w:bottom w:val="none" w:sz="0" w:space="0" w:color="auto"/>
        <w:right w:val="none" w:sz="0" w:space="0" w:color="auto"/>
      </w:divBdr>
    </w:div>
    <w:div w:id="555549520">
      <w:bodyDiv w:val="1"/>
      <w:marLeft w:val="0"/>
      <w:marRight w:val="0"/>
      <w:marTop w:val="0"/>
      <w:marBottom w:val="0"/>
      <w:divBdr>
        <w:top w:val="none" w:sz="0" w:space="0" w:color="auto"/>
        <w:left w:val="none" w:sz="0" w:space="0" w:color="auto"/>
        <w:bottom w:val="none" w:sz="0" w:space="0" w:color="auto"/>
        <w:right w:val="none" w:sz="0" w:space="0" w:color="auto"/>
      </w:divBdr>
    </w:div>
    <w:div w:id="568343553">
      <w:bodyDiv w:val="1"/>
      <w:marLeft w:val="0"/>
      <w:marRight w:val="0"/>
      <w:marTop w:val="0"/>
      <w:marBottom w:val="0"/>
      <w:divBdr>
        <w:top w:val="none" w:sz="0" w:space="0" w:color="auto"/>
        <w:left w:val="none" w:sz="0" w:space="0" w:color="auto"/>
        <w:bottom w:val="none" w:sz="0" w:space="0" w:color="auto"/>
        <w:right w:val="none" w:sz="0" w:space="0" w:color="auto"/>
      </w:divBdr>
    </w:div>
    <w:div w:id="582451192">
      <w:bodyDiv w:val="1"/>
      <w:marLeft w:val="0"/>
      <w:marRight w:val="0"/>
      <w:marTop w:val="0"/>
      <w:marBottom w:val="0"/>
      <w:divBdr>
        <w:top w:val="none" w:sz="0" w:space="0" w:color="auto"/>
        <w:left w:val="none" w:sz="0" w:space="0" w:color="auto"/>
        <w:bottom w:val="none" w:sz="0" w:space="0" w:color="auto"/>
        <w:right w:val="none" w:sz="0" w:space="0" w:color="auto"/>
      </w:divBdr>
    </w:div>
    <w:div w:id="603266415">
      <w:bodyDiv w:val="1"/>
      <w:marLeft w:val="0"/>
      <w:marRight w:val="0"/>
      <w:marTop w:val="0"/>
      <w:marBottom w:val="0"/>
      <w:divBdr>
        <w:top w:val="none" w:sz="0" w:space="0" w:color="auto"/>
        <w:left w:val="none" w:sz="0" w:space="0" w:color="auto"/>
        <w:bottom w:val="none" w:sz="0" w:space="0" w:color="auto"/>
        <w:right w:val="none" w:sz="0" w:space="0" w:color="auto"/>
      </w:divBdr>
    </w:div>
    <w:div w:id="613295383">
      <w:bodyDiv w:val="1"/>
      <w:marLeft w:val="0"/>
      <w:marRight w:val="0"/>
      <w:marTop w:val="0"/>
      <w:marBottom w:val="0"/>
      <w:divBdr>
        <w:top w:val="none" w:sz="0" w:space="0" w:color="auto"/>
        <w:left w:val="none" w:sz="0" w:space="0" w:color="auto"/>
        <w:bottom w:val="none" w:sz="0" w:space="0" w:color="auto"/>
        <w:right w:val="none" w:sz="0" w:space="0" w:color="auto"/>
      </w:divBdr>
    </w:div>
    <w:div w:id="624888940">
      <w:bodyDiv w:val="1"/>
      <w:marLeft w:val="0"/>
      <w:marRight w:val="0"/>
      <w:marTop w:val="0"/>
      <w:marBottom w:val="0"/>
      <w:divBdr>
        <w:top w:val="none" w:sz="0" w:space="0" w:color="auto"/>
        <w:left w:val="none" w:sz="0" w:space="0" w:color="auto"/>
        <w:bottom w:val="none" w:sz="0" w:space="0" w:color="auto"/>
        <w:right w:val="none" w:sz="0" w:space="0" w:color="auto"/>
      </w:divBdr>
    </w:div>
    <w:div w:id="690496013">
      <w:bodyDiv w:val="1"/>
      <w:marLeft w:val="0"/>
      <w:marRight w:val="0"/>
      <w:marTop w:val="0"/>
      <w:marBottom w:val="0"/>
      <w:divBdr>
        <w:top w:val="none" w:sz="0" w:space="0" w:color="auto"/>
        <w:left w:val="none" w:sz="0" w:space="0" w:color="auto"/>
        <w:bottom w:val="none" w:sz="0" w:space="0" w:color="auto"/>
        <w:right w:val="none" w:sz="0" w:space="0" w:color="auto"/>
      </w:divBdr>
    </w:div>
    <w:div w:id="717776268">
      <w:bodyDiv w:val="1"/>
      <w:marLeft w:val="0"/>
      <w:marRight w:val="0"/>
      <w:marTop w:val="0"/>
      <w:marBottom w:val="0"/>
      <w:divBdr>
        <w:top w:val="none" w:sz="0" w:space="0" w:color="auto"/>
        <w:left w:val="none" w:sz="0" w:space="0" w:color="auto"/>
        <w:bottom w:val="none" w:sz="0" w:space="0" w:color="auto"/>
        <w:right w:val="none" w:sz="0" w:space="0" w:color="auto"/>
      </w:divBdr>
    </w:div>
    <w:div w:id="718826010">
      <w:bodyDiv w:val="1"/>
      <w:marLeft w:val="0"/>
      <w:marRight w:val="0"/>
      <w:marTop w:val="0"/>
      <w:marBottom w:val="0"/>
      <w:divBdr>
        <w:top w:val="none" w:sz="0" w:space="0" w:color="auto"/>
        <w:left w:val="none" w:sz="0" w:space="0" w:color="auto"/>
        <w:bottom w:val="none" w:sz="0" w:space="0" w:color="auto"/>
        <w:right w:val="none" w:sz="0" w:space="0" w:color="auto"/>
      </w:divBdr>
    </w:div>
    <w:div w:id="767962759">
      <w:bodyDiv w:val="1"/>
      <w:marLeft w:val="0"/>
      <w:marRight w:val="0"/>
      <w:marTop w:val="0"/>
      <w:marBottom w:val="0"/>
      <w:divBdr>
        <w:top w:val="none" w:sz="0" w:space="0" w:color="auto"/>
        <w:left w:val="none" w:sz="0" w:space="0" w:color="auto"/>
        <w:bottom w:val="none" w:sz="0" w:space="0" w:color="auto"/>
        <w:right w:val="none" w:sz="0" w:space="0" w:color="auto"/>
      </w:divBdr>
    </w:div>
    <w:div w:id="783306167">
      <w:bodyDiv w:val="1"/>
      <w:marLeft w:val="0"/>
      <w:marRight w:val="0"/>
      <w:marTop w:val="0"/>
      <w:marBottom w:val="0"/>
      <w:divBdr>
        <w:top w:val="none" w:sz="0" w:space="0" w:color="auto"/>
        <w:left w:val="none" w:sz="0" w:space="0" w:color="auto"/>
        <w:bottom w:val="none" w:sz="0" w:space="0" w:color="auto"/>
        <w:right w:val="none" w:sz="0" w:space="0" w:color="auto"/>
      </w:divBdr>
    </w:div>
    <w:div w:id="887108386">
      <w:bodyDiv w:val="1"/>
      <w:marLeft w:val="0"/>
      <w:marRight w:val="0"/>
      <w:marTop w:val="0"/>
      <w:marBottom w:val="0"/>
      <w:divBdr>
        <w:top w:val="none" w:sz="0" w:space="0" w:color="auto"/>
        <w:left w:val="none" w:sz="0" w:space="0" w:color="auto"/>
        <w:bottom w:val="none" w:sz="0" w:space="0" w:color="auto"/>
        <w:right w:val="none" w:sz="0" w:space="0" w:color="auto"/>
      </w:divBdr>
    </w:div>
    <w:div w:id="939995963">
      <w:bodyDiv w:val="1"/>
      <w:marLeft w:val="0"/>
      <w:marRight w:val="0"/>
      <w:marTop w:val="0"/>
      <w:marBottom w:val="0"/>
      <w:divBdr>
        <w:top w:val="none" w:sz="0" w:space="0" w:color="auto"/>
        <w:left w:val="none" w:sz="0" w:space="0" w:color="auto"/>
        <w:bottom w:val="none" w:sz="0" w:space="0" w:color="auto"/>
        <w:right w:val="none" w:sz="0" w:space="0" w:color="auto"/>
      </w:divBdr>
    </w:div>
    <w:div w:id="973145308">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1018504216">
      <w:bodyDiv w:val="1"/>
      <w:marLeft w:val="0"/>
      <w:marRight w:val="0"/>
      <w:marTop w:val="0"/>
      <w:marBottom w:val="0"/>
      <w:divBdr>
        <w:top w:val="none" w:sz="0" w:space="0" w:color="auto"/>
        <w:left w:val="none" w:sz="0" w:space="0" w:color="auto"/>
        <w:bottom w:val="none" w:sz="0" w:space="0" w:color="auto"/>
        <w:right w:val="none" w:sz="0" w:space="0" w:color="auto"/>
      </w:divBdr>
    </w:div>
    <w:div w:id="1025784719">
      <w:bodyDiv w:val="1"/>
      <w:marLeft w:val="0"/>
      <w:marRight w:val="0"/>
      <w:marTop w:val="0"/>
      <w:marBottom w:val="0"/>
      <w:divBdr>
        <w:top w:val="none" w:sz="0" w:space="0" w:color="auto"/>
        <w:left w:val="none" w:sz="0" w:space="0" w:color="auto"/>
        <w:bottom w:val="none" w:sz="0" w:space="0" w:color="auto"/>
        <w:right w:val="none" w:sz="0" w:space="0" w:color="auto"/>
      </w:divBdr>
    </w:div>
    <w:div w:id="1028145357">
      <w:bodyDiv w:val="1"/>
      <w:marLeft w:val="0"/>
      <w:marRight w:val="0"/>
      <w:marTop w:val="0"/>
      <w:marBottom w:val="0"/>
      <w:divBdr>
        <w:top w:val="none" w:sz="0" w:space="0" w:color="auto"/>
        <w:left w:val="none" w:sz="0" w:space="0" w:color="auto"/>
        <w:bottom w:val="none" w:sz="0" w:space="0" w:color="auto"/>
        <w:right w:val="none" w:sz="0" w:space="0" w:color="auto"/>
      </w:divBdr>
    </w:div>
    <w:div w:id="1084909767">
      <w:bodyDiv w:val="1"/>
      <w:marLeft w:val="0"/>
      <w:marRight w:val="0"/>
      <w:marTop w:val="0"/>
      <w:marBottom w:val="0"/>
      <w:divBdr>
        <w:top w:val="none" w:sz="0" w:space="0" w:color="auto"/>
        <w:left w:val="none" w:sz="0" w:space="0" w:color="auto"/>
        <w:bottom w:val="none" w:sz="0" w:space="0" w:color="auto"/>
        <w:right w:val="none" w:sz="0" w:space="0" w:color="auto"/>
      </w:divBdr>
    </w:div>
    <w:div w:id="1089231978">
      <w:bodyDiv w:val="1"/>
      <w:marLeft w:val="0"/>
      <w:marRight w:val="0"/>
      <w:marTop w:val="0"/>
      <w:marBottom w:val="0"/>
      <w:divBdr>
        <w:top w:val="none" w:sz="0" w:space="0" w:color="auto"/>
        <w:left w:val="none" w:sz="0" w:space="0" w:color="auto"/>
        <w:bottom w:val="none" w:sz="0" w:space="0" w:color="auto"/>
        <w:right w:val="none" w:sz="0" w:space="0" w:color="auto"/>
      </w:divBdr>
    </w:div>
    <w:div w:id="1095831788">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32094662">
      <w:bodyDiv w:val="1"/>
      <w:marLeft w:val="0"/>
      <w:marRight w:val="0"/>
      <w:marTop w:val="0"/>
      <w:marBottom w:val="0"/>
      <w:divBdr>
        <w:top w:val="none" w:sz="0" w:space="0" w:color="auto"/>
        <w:left w:val="none" w:sz="0" w:space="0" w:color="auto"/>
        <w:bottom w:val="none" w:sz="0" w:space="0" w:color="auto"/>
        <w:right w:val="none" w:sz="0" w:space="0" w:color="auto"/>
      </w:divBdr>
    </w:div>
    <w:div w:id="1143766894">
      <w:bodyDiv w:val="1"/>
      <w:marLeft w:val="0"/>
      <w:marRight w:val="0"/>
      <w:marTop w:val="0"/>
      <w:marBottom w:val="0"/>
      <w:divBdr>
        <w:top w:val="none" w:sz="0" w:space="0" w:color="auto"/>
        <w:left w:val="none" w:sz="0" w:space="0" w:color="auto"/>
        <w:bottom w:val="none" w:sz="0" w:space="0" w:color="auto"/>
        <w:right w:val="none" w:sz="0" w:space="0" w:color="auto"/>
      </w:divBdr>
    </w:div>
    <w:div w:id="1149443591">
      <w:bodyDiv w:val="1"/>
      <w:marLeft w:val="0"/>
      <w:marRight w:val="0"/>
      <w:marTop w:val="0"/>
      <w:marBottom w:val="0"/>
      <w:divBdr>
        <w:top w:val="none" w:sz="0" w:space="0" w:color="auto"/>
        <w:left w:val="none" w:sz="0" w:space="0" w:color="auto"/>
        <w:bottom w:val="none" w:sz="0" w:space="0" w:color="auto"/>
        <w:right w:val="none" w:sz="0" w:space="0" w:color="auto"/>
      </w:divBdr>
    </w:div>
    <w:div w:id="1213075177">
      <w:bodyDiv w:val="1"/>
      <w:marLeft w:val="0"/>
      <w:marRight w:val="0"/>
      <w:marTop w:val="0"/>
      <w:marBottom w:val="0"/>
      <w:divBdr>
        <w:top w:val="none" w:sz="0" w:space="0" w:color="auto"/>
        <w:left w:val="none" w:sz="0" w:space="0" w:color="auto"/>
        <w:bottom w:val="none" w:sz="0" w:space="0" w:color="auto"/>
        <w:right w:val="none" w:sz="0" w:space="0" w:color="auto"/>
      </w:divBdr>
    </w:div>
    <w:div w:id="1223443848">
      <w:bodyDiv w:val="1"/>
      <w:marLeft w:val="0"/>
      <w:marRight w:val="0"/>
      <w:marTop w:val="0"/>
      <w:marBottom w:val="0"/>
      <w:divBdr>
        <w:top w:val="none" w:sz="0" w:space="0" w:color="auto"/>
        <w:left w:val="none" w:sz="0" w:space="0" w:color="auto"/>
        <w:bottom w:val="none" w:sz="0" w:space="0" w:color="auto"/>
        <w:right w:val="none" w:sz="0" w:space="0" w:color="auto"/>
      </w:divBdr>
    </w:div>
    <w:div w:id="1236822383">
      <w:bodyDiv w:val="1"/>
      <w:marLeft w:val="0"/>
      <w:marRight w:val="0"/>
      <w:marTop w:val="0"/>
      <w:marBottom w:val="0"/>
      <w:divBdr>
        <w:top w:val="none" w:sz="0" w:space="0" w:color="auto"/>
        <w:left w:val="none" w:sz="0" w:space="0" w:color="auto"/>
        <w:bottom w:val="none" w:sz="0" w:space="0" w:color="auto"/>
        <w:right w:val="none" w:sz="0" w:space="0" w:color="auto"/>
      </w:divBdr>
    </w:div>
    <w:div w:id="1237520386">
      <w:bodyDiv w:val="1"/>
      <w:marLeft w:val="0"/>
      <w:marRight w:val="0"/>
      <w:marTop w:val="0"/>
      <w:marBottom w:val="0"/>
      <w:divBdr>
        <w:top w:val="none" w:sz="0" w:space="0" w:color="auto"/>
        <w:left w:val="none" w:sz="0" w:space="0" w:color="auto"/>
        <w:bottom w:val="none" w:sz="0" w:space="0" w:color="auto"/>
        <w:right w:val="none" w:sz="0" w:space="0" w:color="auto"/>
      </w:divBdr>
    </w:div>
    <w:div w:id="1316370512">
      <w:bodyDiv w:val="1"/>
      <w:marLeft w:val="0"/>
      <w:marRight w:val="0"/>
      <w:marTop w:val="0"/>
      <w:marBottom w:val="0"/>
      <w:divBdr>
        <w:top w:val="none" w:sz="0" w:space="0" w:color="auto"/>
        <w:left w:val="none" w:sz="0" w:space="0" w:color="auto"/>
        <w:bottom w:val="none" w:sz="0" w:space="0" w:color="auto"/>
        <w:right w:val="none" w:sz="0" w:space="0" w:color="auto"/>
      </w:divBdr>
    </w:div>
    <w:div w:id="1326281510">
      <w:bodyDiv w:val="1"/>
      <w:marLeft w:val="0"/>
      <w:marRight w:val="0"/>
      <w:marTop w:val="0"/>
      <w:marBottom w:val="0"/>
      <w:divBdr>
        <w:top w:val="none" w:sz="0" w:space="0" w:color="auto"/>
        <w:left w:val="none" w:sz="0" w:space="0" w:color="auto"/>
        <w:bottom w:val="none" w:sz="0" w:space="0" w:color="auto"/>
        <w:right w:val="none" w:sz="0" w:space="0" w:color="auto"/>
      </w:divBdr>
    </w:div>
    <w:div w:id="1365790231">
      <w:bodyDiv w:val="1"/>
      <w:marLeft w:val="0"/>
      <w:marRight w:val="0"/>
      <w:marTop w:val="0"/>
      <w:marBottom w:val="0"/>
      <w:divBdr>
        <w:top w:val="none" w:sz="0" w:space="0" w:color="auto"/>
        <w:left w:val="none" w:sz="0" w:space="0" w:color="auto"/>
        <w:bottom w:val="none" w:sz="0" w:space="0" w:color="auto"/>
        <w:right w:val="none" w:sz="0" w:space="0" w:color="auto"/>
      </w:divBdr>
    </w:div>
    <w:div w:id="1401369283">
      <w:bodyDiv w:val="1"/>
      <w:marLeft w:val="0"/>
      <w:marRight w:val="0"/>
      <w:marTop w:val="0"/>
      <w:marBottom w:val="0"/>
      <w:divBdr>
        <w:top w:val="none" w:sz="0" w:space="0" w:color="auto"/>
        <w:left w:val="none" w:sz="0" w:space="0" w:color="auto"/>
        <w:bottom w:val="none" w:sz="0" w:space="0" w:color="auto"/>
        <w:right w:val="none" w:sz="0" w:space="0" w:color="auto"/>
      </w:divBdr>
    </w:div>
    <w:div w:id="1429617511">
      <w:bodyDiv w:val="1"/>
      <w:marLeft w:val="0"/>
      <w:marRight w:val="0"/>
      <w:marTop w:val="0"/>
      <w:marBottom w:val="0"/>
      <w:divBdr>
        <w:top w:val="none" w:sz="0" w:space="0" w:color="auto"/>
        <w:left w:val="none" w:sz="0" w:space="0" w:color="auto"/>
        <w:bottom w:val="none" w:sz="0" w:space="0" w:color="auto"/>
        <w:right w:val="none" w:sz="0" w:space="0" w:color="auto"/>
      </w:divBdr>
    </w:div>
    <w:div w:id="1506171994">
      <w:bodyDiv w:val="1"/>
      <w:marLeft w:val="0"/>
      <w:marRight w:val="0"/>
      <w:marTop w:val="0"/>
      <w:marBottom w:val="0"/>
      <w:divBdr>
        <w:top w:val="none" w:sz="0" w:space="0" w:color="auto"/>
        <w:left w:val="none" w:sz="0" w:space="0" w:color="auto"/>
        <w:bottom w:val="none" w:sz="0" w:space="0" w:color="auto"/>
        <w:right w:val="none" w:sz="0" w:space="0" w:color="auto"/>
      </w:divBdr>
    </w:div>
    <w:div w:id="1515026171">
      <w:bodyDiv w:val="1"/>
      <w:marLeft w:val="0"/>
      <w:marRight w:val="0"/>
      <w:marTop w:val="0"/>
      <w:marBottom w:val="0"/>
      <w:divBdr>
        <w:top w:val="none" w:sz="0" w:space="0" w:color="auto"/>
        <w:left w:val="none" w:sz="0" w:space="0" w:color="auto"/>
        <w:bottom w:val="none" w:sz="0" w:space="0" w:color="auto"/>
        <w:right w:val="none" w:sz="0" w:space="0" w:color="auto"/>
      </w:divBdr>
    </w:div>
    <w:div w:id="1516378227">
      <w:bodyDiv w:val="1"/>
      <w:marLeft w:val="0"/>
      <w:marRight w:val="0"/>
      <w:marTop w:val="0"/>
      <w:marBottom w:val="0"/>
      <w:divBdr>
        <w:top w:val="none" w:sz="0" w:space="0" w:color="auto"/>
        <w:left w:val="none" w:sz="0" w:space="0" w:color="auto"/>
        <w:bottom w:val="none" w:sz="0" w:space="0" w:color="auto"/>
        <w:right w:val="none" w:sz="0" w:space="0" w:color="auto"/>
      </w:divBdr>
    </w:div>
    <w:div w:id="1534803724">
      <w:bodyDiv w:val="1"/>
      <w:marLeft w:val="0"/>
      <w:marRight w:val="0"/>
      <w:marTop w:val="0"/>
      <w:marBottom w:val="0"/>
      <w:divBdr>
        <w:top w:val="none" w:sz="0" w:space="0" w:color="auto"/>
        <w:left w:val="none" w:sz="0" w:space="0" w:color="auto"/>
        <w:bottom w:val="none" w:sz="0" w:space="0" w:color="auto"/>
        <w:right w:val="none" w:sz="0" w:space="0" w:color="auto"/>
      </w:divBdr>
    </w:div>
    <w:div w:id="1541934665">
      <w:bodyDiv w:val="1"/>
      <w:marLeft w:val="0"/>
      <w:marRight w:val="0"/>
      <w:marTop w:val="0"/>
      <w:marBottom w:val="0"/>
      <w:divBdr>
        <w:top w:val="none" w:sz="0" w:space="0" w:color="auto"/>
        <w:left w:val="none" w:sz="0" w:space="0" w:color="auto"/>
        <w:bottom w:val="none" w:sz="0" w:space="0" w:color="auto"/>
        <w:right w:val="none" w:sz="0" w:space="0" w:color="auto"/>
      </w:divBdr>
    </w:div>
    <w:div w:id="1545412417">
      <w:bodyDiv w:val="1"/>
      <w:marLeft w:val="0"/>
      <w:marRight w:val="0"/>
      <w:marTop w:val="0"/>
      <w:marBottom w:val="0"/>
      <w:divBdr>
        <w:top w:val="none" w:sz="0" w:space="0" w:color="auto"/>
        <w:left w:val="none" w:sz="0" w:space="0" w:color="auto"/>
        <w:bottom w:val="none" w:sz="0" w:space="0" w:color="auto"/>
        <w:right w:val="none" w:sz="0" w:space="0" w:color="auto"/>
      </w:divBdr>
    </w:div>
    <w:div w:id="1548299802">
      <w:bodyDiv w:val="1"/>
      <w:marLeft w:val="0"/>
      <w:marRight w:val="0"/>
      <w:marTop w:val="0"/>
      <w:marBottom w:val="0"/>
      <w:divBdr>
        <w:top w:val="none" w:sz="0" w:space="0" w:color="auto"/>
        <w:left w:val="none" w:sz="0" w:space="0" w:color="auto"/>
        <w:bottom w:val="none" w:sz="0" w:space="0" w:color="auto"/>
        <w:right w:val="none" w:sz="0" w:space="0" w:color="auto"/>
      </w:divBdr>
    </w:div>
    <w:div w:id="1579171006">
      <w:bodyDiv w:val="1"/>
      <w:marLeft w:val="0"/>
      <w:marRight w:val="0"/>
      <w:marTop w:val="0"/>
      <w:marBottom w:val="0"/>
      <w:divBdr>
        <w:top w:val="none" w:sz="0" w:space="0" w:color="auto"/>
        <w:left w:val="none" w:sz="0" w:space="0" w:color="auto"/>
        <w:bottom w:val="none" w:sz="0" w:space="0" w:color="auto"/>
        <w:right w:val="none" w:sz="0" w:space="0" w:color="auto"/>
      </w:divBdr>
    </w:div>
    <w:div w:id="1603420399">
      <w:bodyDiv w:val="1"/>
      <w:marLeft w:val="0"/>
      <w:marRight w:val="0"/>
      <w:marTop w:val="0"/>
      <w:marBottom w:val="0"/>
      <w:divBdr>
        <w:top w:val="none" w:sz="0" w:space="0" w:color="auto"/>
        <w:left w:val="none" w:sz="0" w:space="0" w:color="auto"/>
        <w:bottom w:val="none" w:sz="0" w:space="0" w:color="auto"/>
        <w:right w:val="none" w:sz="0" w:space="0" w:color="auto"/>
      </w:divBdr>
    </w:div>
    <w:div w:id="1637103632">
      <w:bodyDiv w:val="1"/>
      <w:marLeft w:val="0"/>
      <w:marRight w:val="0"/>
      <w:marTop w:val="0"/>
      <w:marBottom w:val="0"/>
      <w:divBdr>
        <w:top w:val="none" w:sz="0" w:space="0" w:color="auto"/>
        <w:left w:val="none" w:sz="0" w:space="0" w:color="auto"/>
        <w:bottom w:val="none" w:sz="0" w:space="0" w:color="auto"/>
        <w:right w:val="none" w:sz="0" w:space="0" w:color="auto"/>
      </w:divBdr>
    </w:div>
    <w:div w:id="1641032259">
      <w:bodyDiv w:val="1"/>
      <w:marLeft w:val="0"/>
      <w:marRight w:val="0"/>
      <w:marTop w:val="0"/>
      <w:marBottom w:val="0"/>
      <w:divBdr>
        <w:top w:val="none" w:sz="0" w:space="0" w:color="auto"/>
        <w:left w:val="none" w:sz="0" w:space="0" w:color="auto"/>
        <w:bottom w:val="none" w:sz="0" w:space="0" w:color="auto"/>
        <w:right w:val="none" w:sz="0" w:space="0" w:color="auto"/>
      </w:divBdr>
    </w:div>
    <w:div w:id="1673609630">
      <w:bodyDiv w:val="1"/>
      <w:marLeft w:val="0"/>
      <w:marRight w:val="0"/>
      <w:marTop w:val="0"/>
      <w:marBottom w:val="0"/>
      <w:divBdr>
        <w:top w:val="none" w:sz="0" w:space="0" w:color="auto"/>
        <w:left w:val="none" w:sz="0" w:space="0" w:color="auto"/>
        <w:bottom w:val="none" w:sz="0" w:space="0" w:color="auto"/>
        <w:right w:val="none" w:sz="0" w:space="0" w:color="auto"/>
      </w:divBdr>
    </w:div>
    <w:div w:id="1692685235">
      <w:bodyDiv w:val="1"/>
      <w:marLeft w:val="0"/>
      <w:marRight w:val="0"/>
      <w:marTop w:val="0"/>
      <w:marBottom w:val="0"/>
      <w:divBdr>
        <w:top w:val="none" w:sz="0" w:space="0" w:color="auto"/>
        <w:left w:val="none" w:sz="0" w:space="0" w:color="auto"/>
        <w:bottom w:val="none" w:sz="0" w:space="0" w:color="auto"/>
        <w:right w:val="none" w:sz="0" w:space="0" w:color="auto"/>
      </w:divBdr>
    </w:div>
    <w:div w:id="1751731512">
      <w:bodyDiv w:val="1"/>
      <w:marLeft w:val="0"/>
      <w:marRight w:val="0"/>
      <w:marTop w:val="0"/>
      <w:marBottom w:val="0"/>
      <w:divBdr>
        <w:top w:val="none" w:sz="0" w:space="0" w:color="auto"/>
        <w:left w:val="none" w:sz="0" w:space="0" w:color="auto"/>
        <w:bottom w:val="none" w:sz="0" w:space="0" w:color="auto"/>
        <w:right w:val="none" w:sz="0" w:space="0" w:color="auto"/>
      </w:divBdr>
    </w:div>
    <w:div w:id="1761365813">
      <w:bodyDiv w:val="1"/>
      <w:marLeft w:val="0"/>
      <w:marRight w:val="0"/>
      <w:marTop w:val="0"/>
      <w:marBottom w:val="0"/>
      <w:divBdr>
        <w:top w:val="none" w:sz="0" w:space="0" w:color="auto"/>
        <w:left w:val="none" w:sz="0" w:space="0" w:color="auto"/>
        <w:bottom w:val="none" w:sz="0" w:space="0" w:color="auto"/>
        <w:right w:val="none" w:sz="0" w:space="0" w:color="auto"/>
      </w:divBdr>
    </w:div>
    <w:div w:id="1766605654">
      <w:bodyDiv w:val="1"/>
      <w:marLeft w:val="0"/>
      <w:marRight w:val="0"/>
      <w:marTop w:val="0"/>
      <w:marBottom w:val="0"/>
      <w:divBdr>
        <w:top w:val="none" w:sz="0" w:space="0" w:color="auto"/>
        <w:left w:val="none" w:sz="0" w:space="0" w:color="auto"/>
        <w:bottom w:val="none" w:sz="0" w:space="0" w:color="auto"/>
        <w:right w:val="none" w:sz="0" w:space="0" w:color="auto"/>
      </w:divBdr>
    </w:div>
    <w:div w:id="1798251916">
      <w:bodyDiv w:val="1"/>
      <w:marLeft w:val="0"/>
      <w:marRight w:val="0"/>
      <w:marTop w:val="0"/>
      <w:marBottom w:val="0"/>
      <w:divBdr>
        <w:top w:val="none" w:sz="0" w:space="0" w:color="auto"/>
        <w:left w:val="none" w:sz="0" w:space="0" w:color="auto"/>
        <w:bottom w:val="none" w:sz="0" w:space="0" w:color="auto"/>
        <w:right w:val="none" w:sz="0" w:space="0" w:color="auto"/>
      </w:divBdr>
    </w:div>
    <w:div w:id="1816215315">
      <w:bodyDiv w:val="1"/>
      <w:marLeft w:val="0"/>
      <w:marRight w:val="0"/>
      <w:marTop w:val="0"/>
      <w:marBottom w:val="0"/>
      <w:divBdr>
        <w:top w:val="none" w:sz="0" w:space="0" w:color="auto"/>
        <w:left w:val="none" w:sz="0" w:space="0" w:color="auto"/>
        <w:bottom w:val="none" w:sz="0" w:space="0" w:color="auto"/>
        <w:right w:val="none" w:sz="0" w:space="0" w:color="auto"/>
      </w:divBdr>
    </w:div>
    <w:div w:id="1923759386">
      <w:bodyDiv w:val="1"/>
      <w:marLeft w:val="0"/>
      <w:marRight w:val="0"/>
      <w:marTop w:val="0"/>
      <w:marBottom w:val="0"/>
      <w:divBdr>
        <w:top w:val="none" w:sz="0" w:space="0" w:color="auto"/>
        <w:left w:val="none" w:sz="0" w:space="0" w:color="auto"/>
        <w:bottom w:val="none" w:sz="0" w:space="0" w:color="auto"/>
        <w:right w:val="none" w:sz="0" w:space="0" w:color="auto"/>
      </w:divBdr>
    </w:div>
    <w:div w:id="205804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hyperlink" Target="https://www.pbs.gov.au/pbs/home" TargetMode="External"/><Relationship Id="rId26" Type="http://schemas.openxmlformats.org/officeDocument/2006/relationships/hyperlink" Target="https://www.pbs.gov.au/pbs/industry/listing/elements/pbac-meetings/psd/2018-07/Somatropin-psd-july-2018"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bs.gov.au/info/industry/listing/elements/pbac-meetings/psd/2011-07/pbac-psd-somatropin-july11" TargetMode="External"/><Relationship Id="rId34" Type="http://schemas.openxmlformats.org/officeDocument/2006/relationships/chart" Target="charts/chart5.xml"/><Relationship Id="rId42" Type="http://schemas.openxmlformats.org/officeDocument/2006/relationships/footer" Target="footer3.xml"/><Relationship Id="rId47" Type="http://schemas.openxmlformats.org/officeDocument/2006/relationships/image" Target="media/image4.png"/><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pbs.gov.au/browse/section100-gh" TargetMode="External"/><Relationship Id="rId17" Type="http://schemas.openxmlformats.org/officeDocument/2006/relationships/hyperlink" Target="https://www.pbs.gov.au/general/changes-to-certain-s100-programs/PBS-Growth-Hormone-Program-FAQ-1-January-2020.pdf" TargetMode="External"/><Relationship Id="rId25" Type="http://schemas.openxmlformats.org/officeDocument/2006/relationships/hyperlink" Target="https://www.pbs.gov.au/pbs/industry/listing/elements/pbac-meetings/psd/2017-07/somatropin-psd-july-2017" TargetMode="External"/><Relationship Id="rId33" Type="http://schemas.openxmlformats.org/officeDocument/2006/relationships/chart" Target="charts/chart4.xml"/><Relationship Id="rId38" Type="http://schemas.openxmlformats.org/officeDocument/2006/relationships/header" Target="header2.xml"/><Relationship Id="rId46"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hyperlink" Target="https://www.pbs.gov.au/pbs/industry/listing/elements/pbac-meetings/psd/2019-03/somatropin-psd-march-2019" TargetMode="External"/><Relationship Id="rId20" Type="http://schemas.openxmlformats.org/officeDocument/2006/relationships/hyperlink" Target="https://www.pbs.gov.au/info/industry/listing/elements/pbac-meetings/psd/2008-03/pbac-psd-somatropin-mar08" TargetMode="External"/><Relationship Id="rId29" Type="http://schemas.openxmlformats.org/officeDocument/2006/relationships/chart" Target="charts/chart1.xm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browse/section100-gh" TargetMode="External"/><Relationship Id="rId24" Type="http://schemas.openxmlformats.org/officeDocument/2006/relationships/hyperlink" Target="https://www.pbs.gov.au/pbs/industry/listing/elements/pbac-meetings/psd/2016-11/somatropin-psd-november-2016" TargetMode="External"/><Relationship Id="rId32" Type="http://schemas.openxmlformats.org/officeDocument/2006/relationships/chart" Target="charts/chart3.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hyperlink" Target="https://www.pbs.gov.au/general/changes-to-certain-s100-programs/growth-hormone-guide-for-prescribers-1-feb-2019.pdf" TargetMode="External"/><Relationship Id="rId23" Type="http://schemas.openxmlformats.org/officeDocument/2006/relationships/hyperlink" Target="https://www.pbs.gov.au/pbs/industry/listing/elements/pbac-meetings/psd/2016-11/somatropin-psd-november-2016" TargetMode="External"/><Relationship Id="rId28" Type="http://schemas.openxmlformats.org/officeDocument/2006/relationships/hyperlink" Target="https://www.pbs.gov.au/pbs/industry/listing/elements/pbac-meetings/psd/2019-08/somatropin-all-forms-and-strengths-all-brands" TargetMode="External"/><Relationship Id="rId36" Type="http://schemas.openxmlformats.org/officeDocument/2006/relationships/image" Target="media/image3.png"/><Relationship Id="rId49" Type="http://schemas.openxmlformats.org/officeDocument/2006/relationships/fontTable" Target="fontTable.xml"/><Relationship Id="rId10" Type="http://schemas.openxmlformats.org/officeDocument/2006/relationships/hyperlink" Target="http://www.tga.gov.au/consumers/information-medicines-cmi.htm" TargetMode="External"/><Relationship Id="rId19" Type="http://schemas.openxmlformats.org/officeDocument/2006/relationships/hyperlink" Target="https://www.pbs.gov.au/info/industry/listing/elements/pbac-meetings/psd/2006-11/pbac-psd-somatropin-nov06" TargetMode="External"/><Relationship Id="rId31" Type="http://schemas.openxmlformats.org/officeDocument/2006/relationships/chart" Target="charts/chart2.xml"/><Relationship Id="rId44"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hyperlink" Target="http://tga.gov.au/hp/information-medicines-pi.htm" TargetMode="External"/><Relationship Id="rId14" Type="http://schemas.openxmlformats.org/officeDocument/2006/relationships/hyperlink" Target="http://www.pbs.gov.au/pbs/home" TargetMode="External"/><Relationship Id="rId22" Type="http://schemas.openxmlformats.org/officeDocument/2006/relationships/hyperlink" Target="https://www.pbs.gov.au/pbs/industry/listing/elements/pbac-meetings/psd/2016-03/somatropin-genotropin-miniQuick-psd-03-2016" TargetMode="External"/><Relationship Id="rId27" Type="http://schemas.openxmlformats.org/officeDocument/2006/relationships/hyperlink" Target="https://www.pbs.gov.au/pbs/industry/listing/elements/pbac-meetings/psd/2019-03/somatropin-psd-march-2019" TargetMode="External"/><Relationship Id="rId30" Type="http://schemas.openxmlformats.org/officeDocument/2006/relationships/image" Target="media/image1.tmp"/><Relationship Id="rId35" Type="http://schemas.openxmlformats.org/officeDocument/2006/relationships/image" Target="media/image2.png"/><Relationship Id="rId43" Type="http://schemas.openxmlformats.org/officeDocument/2006/relationships/chart" Target="charts/chart6.xml"/><Relationship Id="rId48" Type="http://schemas.openxmlformats.org/officeDocument/2006/relationships/image" Target="media/image5.png"/><Relationship Id="rId8" Type="http://schemas.openxmlformats.org/officeDocument/2006/relationships/hyperlink" Target="https://www.pbs.gov.au/browse/section100-gh"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x.doi.org/10.4103%2F2230-8210.93736" TargetMode="External"/><Relationship Id="rId2" Type="http://schemas.openxmlformats.org/officeDocument/2006/relationships/hyperlink" Target="https://doi.org/10.1016/S0022-3476(85)80287-0" TargetMode="External"/><Relationship Id="rId1" Type="http://schemas.openxmlformats.org/officeDocument/2006/relationships/hyperlink" Target="https://dx.doi.org/10.4103%2F2230-8210.84852" TargetMode="External"/><Relationship Id="rId4"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04\HOMONI\Desktop\Somatropin\D130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[D1307.xlsx]Quarter!PivotTable2</c:name>
    <c:fmtId val="6"/>
  </c:pivotSource>
  <c:chart>
    <c:autoTitleDeleted val="1"/>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Quarter!$S$1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Quarter!$R$2:$R$24</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Quarter!$S$2:$S$24</c:f>
              <c:numCache>
                <c:formatCode>General</c:formatCode>
                <c:ptCount val="22"/>
                <c:pt idx="0">
                  <c:v>55</c:v>
                </c:pt>
                <c:pt idx="1">
                  <c:v>844</c:v>
                </c:pt>
                <c:pt idx="2">
                  <c:v>1380</c:v>
                </c:pt>
                <c:pt idx="3">
                  <c:v>1557</c:v>
                </c:pt>
                <c:pt idx="4">
                  <c:v>1493</c:v>
                </c:pt>
                <c:pt idx="5">
                  <c:v>1543</c:v>
                </c:pt>
                <c:pt idx="6">
                  <c:v>1505</c:v>
                </c:pt>
                <c:pt idx="7">
                  <c:v>1544</c:v>
                </c:pt>
                <c:pt idx="8">
                  <c:v>1549</c:v>
                </c:pt>
                <c:pt idx="9">
                  <c:v>1565</c:v>
                </c:pt>
                <c:pt idx="10">
                  <c:v>1552</c:v>
                </c:pt>
                <c:pt idx="11">
                  <c:v>1550</c:v>
                </c:pt>
                <c:pt idx="12">
                  <c:v>1598</c:v>
                </c:pt>
                <c:pt idx="13">
                  <c:v>1673</c:v>
                </c:pt>
                <c:pt idx="14">
                  <c:v>1642</c:v>
                </c:pt>
                <c:pt idx="15">
                  <c:v>1962</c:v>
                </c:pt>
                <c:pt idx="16">
                  <c:v>2343</c:v>
                </c:pt>
                <c:pt idx="17">
                  <c:v>2648</c:v>
                </c:pt>
                <c:pt idx="18">
                  <c:v>3023</c:v>
                </c:pt>
                <c:pt idx="19">
                  <c:v>2799</c:v>
                </c:pt>
                <c:pt idx="20">
                  <c:v>3247</c:v>
                </c:pt>
                <c:pt idx="21">
                  <c:v>3370</c:v>
                </c:pt>
              </c:numCache>
            </c:numRef>
          </c:val>
          <c:smooth val="0"/>
          <c:extLst>
            <c:ext xmlns:c16="http://schemas.microsoft.com/office/drawing/2014/chart" uri="{C3380CC4-5D6E-409C-BE32-E72D297353CC}">
              <c16:uniqueId val="{00000000-F421-427A-9A0E-A2D7D82F52B7}"/>
            </c:ext>
          </c:extLst>
        </c:ser>
        <c:dLbls>
          <c:showLegendKey val="0"/>
          <c:showVal val="0"/>
          <c:showCatName val="0"/>
          <c:showSerName val="0"/>
          <c:showPercent val="0"/>
          <c:showBubbleSize val="0"/>
        </c:dLbls>
        <c:marker val="1"/>
        <c:smooth val="0"/>
        <c:axId val="872124416"/>
        <c:axId val="872126056"/>
      </c:lineChart>
      <c:catAx>
        <c:axId val="87212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126056"/>
        <c:crosses val="autoZero"/>
        <c:auto val="1"/>
        <c:lblAlgn val="ctr"/>
        <c:lblOffset val="100"/>
        <c:noMultiLvlLbl val="0"/>
      </c:catAx>
      <c:valAx>
        <c:axId val="872126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124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[D1307.xlsx]Patients!PivotTable3</c:name>
    <c:fmtId val="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Patients!$S$1</c:f>
              <c:strCache>
                <c:ptCount val="1"/>
                <c:pt idx="0">
                  <c:v>Initiating patients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Patients!$R$2:$R$24</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Patients!$S$2:$S$24</c:f>
              <c:numCache>
                <c:formatCode>General</c:formatCode>
                <c:ptCount val="22"/>
                <c:pt idx="0">
                  <c:v>53</c:v>
                </c:pt>
                <c:pt idx="1">
                  <c:v>753</c:v>
                </c:pt>
                <c:pt idx="2">
                  <c:v>726</c:v>
                </c:pt>
                <c:pt idx="3">
                  <c:v>281</c:v>
                </c:pt>
                <c:pt idx="4">
                  <c:v>118</c:v>
                </c:pt>
                <c:pt idx="5">
                  <c:v>106</c:v>
                </c:pt>
                <c:pt idx="6">
                  <c:v>83</c:v>
                </c:pt>
                <c:pt idx="7">
                  <c:v>85</c:v>
                </c:pt>
                <c:pt idx="8">
                  <c:v>84</c:v>
                </c:pt>
                <c:pt idx="9">
                  <c:v>93</c:v>
                </c:pt>
                <c:pt idx="10">
                  <c:v>77</c:v>
                </c:pt>
                <c:pt idx="11">
                  <c:v>90</c:v>
                </c:pt>
                <c:pt idx="12">
                  <c:v>110</c:v>
                </c:pt>
                <c:pt idx="13">
                  <c:v>114</c:v>
                </c:pt>
                <c:pt idx="14">
                  <c:v>122</c:v>
                </c:pt>
                <c:pt idx="15">
                  <c:v>227</c:v>
                </c:pt>
                <c:pt idx="16">
                  <c:v>246</c:v>
                </c:pt>
                <c:pt idx="17">
                  <c:v>256</c:v>
                </c:pt>
                <c:pt idx="18">
                  <c:v>190</c:v>
                </c:pt>
                <c:pt idx="19">
                  <c:v>173</c:v>
                </c:pt>
                <c:pt idx="20">
                  <c:v>211</c:v>
                </c:pt>
                <c:pt idx="21">
                  <c:v>156</c:v>
                </c:pt>
              </c:numCache>
            </c:numRef>
          </c:val>
          <c:smooth val="0"/>
          <c:extLst>
            <c:ext xmlns:c16="http://schemas.microsoft.com/office/drawing/2014/chart" uri="{C3380CC4-5D6E-409C-BE32-E72D297353CC}">
              <c16:uniqueId val="{00000000-F4BE-4E15-8C0C-15157D774285}"/>
            </c:ext>
          </c:extLst>
        </c:ser>
        <c:ser>
          <c:idx val="1"/>
          <c:order val="1"/>
          <c:tx>
            <c:strRef>
              <c:f>Patients!$T$1</c:f>
              <c:strCache>
                <c:ptCount val="1"/>
                <c:pt idx="0">
                  <c:v>Prevalent patients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Patients!$R$2:$R$24</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Patients!$T$2:$T$24</c:f>
              <c:numCache>
                <c:formatCode>General</c:formatCode>
                <c:ptCount val="22"/>
                <c:pt idx="0">
                  <c:v>53</c:v>
                </c:pt>
                <c:pt idx="1">
                  <c:v>787</c:v>
                </c:pt>
                <c:pt idx="2">
                  <c:v>1296</c:v>
                </c:pt>
                <c:pt idx="3">
                  <c:v>1427</c:v>
                </c:pt>
                <c:pt idx="4">
                  <c:v>1406</c:v>
                </c:pt>
                <c:pt idx="5">
                  <c:v>1442</c:v>
                </c:pt>
                <c:pt idx="6">
                  <c:v>1406</c:v>
                </c:pt>
                <c:pt idx="7">
                  <c:v>1444</c:v>
                </c:pt>
                <c:pt idx="8">
                  <c:v>1459</c:v>
                </c:pt>
                <c:pt idx="9">
                  <c:v>1459</c:v>
                </c:pt>
                <c:pt idx="10">
                  <c:v>1450</c:v>
                </c:pt>
                <c:pt idx="11">
                  <c:v>1453</c:v>
                </c:pt>
                <c:pt idx="12">
                  <c:v>1502</c:v>
                </c:pt>
                <c:pt idx="13">
                  <c:v>1546</c:v>
                </c:pt>
                <c:pt idx="14">
                  <c:v>1530</c:v>
                </c:pt>
                <c:pt idx="15">
                  <c:v>1706</c:v>
                </c:pt>
                <c:pt idx="16">
                  <c:v>1850</c:v>
                </c:pt>
                <c:pt idx="17">
                  <c:v>1987</c:v>
                </c:pt>
                <c:pt idx="18">
                  <c:v>2180</c:v>
                </c:pt>
                <c:pt idx="19">
                  <c:v>2031</c:v>
                </c:pt>
                <c:pt idx="20">
                  <c:v>2285</c:v>
                </c:pt>
                <c:pt idx="21">
                  <c:v>2330</c:v>
                </c:pt>
              </c:numCache>
            </c:numRef>
          </c:val>
          <c:smooth val="0"/>
          <c:extLst>
            <c:ext xmlns:c16="http://schemas.microsoft.com/office/drawing/2014/chart" uri="{C3380CC4-5D6E-409C-BE32-E72D297353CC}">
              <c16:uniqueId val="{00000001-F4BE-4E15-8C0C-15157D774285}"/>
            </c:ext>
          </c:extLst>
        </c:ser>
        <c:dLbls>
          <c:showLegendKey val="0"/>
          <c:showVal val="0"/>
          <c:showCatName val="0"/>
          <c:showSerName val="0"/>
          <c:showPercent val="0"/>
          <c:showBubbleSize val="0"/>
        </c:dLbls>
        <c:marker val="1"/>
        <c:smooth val="0"/>
        <c:axId val="872123760"/>
        <c:axId val="872125728"/>
      </c:lineChart>
      <c:catAx>
        <c:axId val="87212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125728"/>
        <c:crosses val="autoZero"/>
        <c:auto val="1"/>
        <c:lblAlgn val="ctr"/>
        <c:lblOffset val="100"/>
        <c:noMultiLvlLbl val="0"/>
      </c:catAx>
      <c:valAx>
        <c:axId val="872125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2123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clustered"/>
        <c:varyColors val="0"/>
        <c:ser>
          <c:idx val="0"/>
          <c:order val="0"/>
          <c:tx>
            <c:v>Female</c:v>
          </c:tx>
          <c:spPr>
            <a:solidFill>
              <a:schemeClr val="accent2"/>
            </a:solidFill>
            <a:ln>
              <a:noFill/>
            </a:ln>
            <a:effectLst/>
          </c:spPr>
          <c:invertIfNegative val="0"/>
          <c:cat>
            <c:strLit>
              <c:ptCount val="10"/>
              <c:pt idx="0">
                <c:v> 0-4  yrs</c:v>
              </c:pt>
              <c:pt idx="1">
                <c:v> 5-9  yrs</c:v>
              </c:pt>
              <c:pt idx="2">
                <c:v>10-14 yrs</c:v>
              </c:pt>
              <c:pt idx="3">
                <c:v>15-19 yrs</c:v>
              </c:pt>
              <c:pt idx="4">
                <c:v>20-29 yrs</c:v>
              </c:pt>
              <c:pt idx="5">
                <c:v>30-39 yrs</c:v>
              </c:pt>
              <c:pt idx="6">
                <c:v>40-49 yrs</c:v>
              </c:pt>
              <c:pt idx="7">
                <c:v>50-59 yrs</c:v>
              </c:pt>
              <c:pt idx="8">
                <c:v>60-69 yrs</c:v>
              </c:pt>
              <c:pt idx="9">
                <c:v>70+ yrs </c:v>
              </c:pt>
            </c:strLit>
          </c:cat>
          <c:val>
            <c:numLit>
              <c:formatCode>General</c:formatCode>
              <c:ptCount val="10"/>
              <c:pt idx="0">
                <c:v>227</c:v>
              </c:pt>
              <c:pt idx="1">
                <c:v>662</c:v>
              </c:pt>
              <c:pt idx="2">
                <c:v>670</c:v>
              </c:pt>
              <c:pt idx="3">
                <c:v>83</c:v>
              </c:pt>
              <c:pt idx="4">
                <c:v>72</c:v>
              </c:pt>
              <c:pt idx="5">
                <c:v>80</c:v>
              </c:pt>
              <c:pt idx="6">
                <c:v>89</c:v>
              </c:pt>
              <c:pt idx="7">
                <c:v>74</c:v>
              </c:pt>
              <c:pt idx="8">
                <c:v>63</c:v>
              </c:pt>
              <c:pt idx="9">
                <c:v>19</c:v>
              </c:pt>
            </c:numLit>
          </c:val>
          <c:extLst>
            <c:ext xmlns:c16="http://schemas.microsoft.com/office/drawing/2014/chart" uri="{C3380CC4-5D6E-409C-BE32-E72D297353CC}">
              <c16:uniqueId val="{00000000-5126-4E54-97F0-B39DCBEB7DB3}"/>
            </c:ext>
          </c:extLst>
        </c:ser>
        <c:ser>
          <c:idx val="1"/>
          <c:order val="1"/>
          <c:tx>
            <c:v>Male</c:v>
          </c:tx>
          <c:spPr>
            <a:solidFill>
              <a:schemeClr val="accent1"/>
            </a:solidFill>
            <a:ln>
              <a:noFill/>
            </a:ln>
            <a:effectLst/>
          </c:spPr>
          <c:invertIfNegative val="0"/>
          <c:cat>
            <c:strLit>
              <c:ptCount val="10"/>
              <c:pt idx="0">
                <c:v> 0-4  yrs</c:v>
              </c:pt>
              <c:pt idx="1">
                <c:v> 5-9  yrs</c:v>
              </c:pt>
              <c:pt idx="2">
                <c:v>10-14 yrs</c:v>
              </c:pt>
              <c:pt idx="3">
                <c:v>15-19 yrs</c:v>
              </c:pt>
              <c:pt idx="4">
                <c:v>20-29 yrs</c:v>
              </c:pt>
              <c:pt idx="5">
                <c:v>30-39 yrs</c:v>
              </c:pt>
              <c:pt idx="6">
                <c:v>40-49 yrs</c:v>
              </c:pt>
              <c:pt idx="7">
                <c:v>50-59 yrs</c:v>
              </c:pt>
              <c:pt idx="8">
                <c:v>60-69 yrs</c:v>
              </c:pt>
              <c:pt idx="9">
                <c:v>70+ yrs </c:v>
              </c:pt>
            </c:strLit>
          </c:cat>
          <c:val>
            <c:numLit>
              <c:formatCode>General</c:formatCode>
              <c:ptCount val="10"/>
              <c:pt idx="0">
                <c:v>262</c:v>
              </c:pt>
              <c:pt idx="1">
                <c:v>612</c:v>
              </c:pt>
              <c:pt idx="2">
                <c:v>857</c:v>
              </c:pt>
              <c:pt idx="3">
                <c:v>233</c:v>
              </c:pt>
              <c:pt idx="4">
                <c:v>79</c:v>
              </c:pt>
              <c:pt idx="5">
                <c:v>67</c:v>
              </c:pt>
              <c:pt idx="6">
                <c:v>55</c:v>
              </c:pt>
              <c:pt idx="7">
                <c:v>59</c:v>
              </c:pt>
              <c:pt idx="8">
                <c:v>50</c:v>
              </c:pt>
              <c:pt idx="9">
                <c:v>41</c:v>
              </c:pt>
            </c:numLit>
          </c:val>
          <c:extLst>
            <c:ext xmlns:c16="http://schemas.microsoft.com/office/drawing/2014/chart" uri="{C3380CC4-5D6E-409C-BE32-E72D297353CC}">
              <c16:uniqueId val="{00000001-5126-4E54-97F0-B39DCBEB7DB3}"/>
            </c:ext>
          </c:extLst>
        </c:ser>
        <c:dLbls>
          <c:showLegendKey val="0"/>
          <c:showVal val="0"/>
          <c:showCatName val="0"/>
          <c:showSerName val="0"/>
          <c:showPercent val="0"/>
          <c:showBubbleSize val="0"/>
        </c:dLbls>
        <c:gapWidth val="219"/>
        <c:overlap val="-27"/>
        <c:axId val="360212264"/>
        <c:axId val="360213576"/>
      </c:barChart>
      <c:catAx>
        <c:axId val="360212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213576"/>
        <c:crosses val="autoZero"/>
        <c:auto val="1"/>
        <c:lblAlgn val="ctr"/>
        <c:lblOffset val="100"/>
        <c:noMultiLvlLbl val="0"/>
      </c:catAx>
      <c:valAx>
        <c:axId val="360213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212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[D1307.xlsx]Age itemcode!PivotTable9</c:name>
    <c:fmtId val="1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areaChart>
        <c:grouping val="percentStacked"/>
        <c:varyColors val="0"/>
        <c:ser>
          <c:idx val="0"/>
          <c:order val="0"/>
          <c:tx>
            <c:strRef>
              <c:f>'Age itemcode'!$S$1:$S$2</c:f>
              <c:strCache>
                <c:ptCount val="1"/>
                <c:pt idx="0">
                  <c:v>Adult-onset</c:v>
                </c:pt>
              </c:strCache>
            </c:strRef>
          </c:tx>
          <c:spPr>
            <a:solidFill>
              <a:schemeClr val="accent1"/>
            </a:solidFill>
            <a:ln>
              <a:noFill/>
            </a:ln>
            <a:effectLst/>
          </c:spPr>
          <c:cat>
            <c:strRef>
              <c:f>'Age itemcode'!$R$3:$R$13</c:f>
              <c:strCache>
                <c:ptCount val="10"/>
                <c:pt idx="0">
                  <c:v> 0-4  yrs</c:v>
                </c:pt>
                <c:pt idx="1">
                  <c:v> 5-9  yrs</c:v>
                </c:pt>
                <c:pt idx="2">
                  <c:v>10-14 yrs</c:v>
                </c:pt>
                <c:pt idx="3">
                  <c:v>15-19 yrs</c:v>
                </c:pt>
                <c:pt idx="4">
                  <c:v>20-29 yrs</c:v>
                </c:pt>
                <c:pt idx="5">
                  <c:v>30-39 yrs</c:v>
                </c:pt>
                <c:pt idx="6">
                  <c:v>40-49 yrs</c:v>
                </c:pt>
                <c:pt idx="7">
                  <c:v>50-59 yrs</c:v>
                </c:pt>
                <c:pt idx="8">
                  <c:v>60-69 yrs</c:v>
                </c:pt>
                <c:pt idx="9">
                  <c:v>70+ yrs</c:v>
                </c:pt>
              </c:strCache>
            </c:strRef>
          </c:cat>
          <c:val>
            <c:numRef>
              <c:f>'Age itemcode'!$S$3:$S$13</c:f>
              <c:numCache>
                <c:formatCode>General</c:formatCode>
                <c:ptCount val="10"/>
                <c:pt idx="2">
                  <c:v>1</c:v>
                </c:pt>
                <c:pt idx="3">
                  <c:v>33</c:v>
                </c:pt>
                <c:pt idx="4">
                  <c:v>144</c:v>
                </c:pt>
                <c:pt idx="5">
                  <c:v>145</c:v>
                </c:pt>
                <c:pt idx="6">
                  <c:v>137</c:v>
                </c:pt>
                <c:pt idx="7">
                  <c:v>129</c:v>
                </c:pt>
                <c:pt idx="8">
                  <c:v>109</c:v>
                </c:pt>
                <c:pt idx="9">
                  <c:v>58</c:v>
                </c:pt>
              </c:numCache>
            </c:numRef>
          </c:val>
          <c:extLst>
            <c:ext xmlns:c16="http://schemas.microsoft.com/office/drawing/2014/chart" uri="{C3380CC4-5D6E-409C-BE32-E72D297353CC}">
              <c16:uniqueId val="{00000000-F264-451C-ACE1-35B1353395D0}"/>
            </c:ext>
          </c:extLst>
        </c:ser>
        <c:ser>
          <c:idx val="1"/>
          <c:order val="1"/>
          <c:tx>
            <c:strRef>
              <c:f>'Age itemcode'!$T$1:$T$2</c:f>
              <c:strCache>
                <c:ptCount val="1"/>
                <c:pt idx="0">
                  <c:v>Child</c:v>
                </c:pt>
              </c:strCache>
            </c:strRef>
          </c:tx>
          <c:spPr>
            <a:solidFill>
              <a:schemeClr val="accent2"/>
            </a:solidFill>
            <a:ln>
              <a:noFill/>
            </a:ln>
            <a:effectLst/>
          </c:spPr>
          <c:cat>
            <c:strRef>
              <c:f>'Age itemcode'!$R$3:$R$13</c:f>
              <c:strCache>
                <c:ptCount val="10"/>
                <c:pt idx="0">
                  <c:v> 0-4  yrs</c:v>
                </c:pt>
                <c:pt idx="1">
                  <c:v> 5-9  yrs</c:v>
                </c:pt>
                <c:pt idx="2">
                  <c:v>10-14 yrs</c:v>
                </c:pt>
                <c:pt idx="3">
                  <c:v>15-19 yrs</c:v>
                </c:pt>
                <c:pt idx="4">
                  <c:v>20-29 yrs</c:v>
                </c:pt>
                <c:pt idx="5">
                  <c:v>30-39 yrs</c:v>
                </c:pt>
                <c:pt idx="6">
                  <c:v>40-49 yrs</c:v>
                </c:pt>
                <c:pt idx="7">
                  <c:v>50-59 yrs</c:v>
                </c:pt>
                <c:pt idx="8">
                  <c:v>60-69 yrs</c:v>
                </c:pt>
                <c:pt idx="9">
                  <c:v>70+ yrs</c:v>
                </c:pt>
              </c:strCache>
            </c:strRef>
          </c:cat>
          <c:val>
            <c:numRef>
              <c:f>'Age itemcode'!$T$3:$T$13</c:f>
              <c:numCache>
                <c:formatCode>General</c:formatCode>
                <c:ptCount val="10"/>
                <c:pt idx="0">
                  <c:v>489</c:v>
                </c:pt>
                <c:pt idx="1">
                  <c:v>1274</c:v>
                </c:pt>
                <c:pt idx="2">
                  <c:v>1526</c:v>
                </c:pt>
                <c:pt idx="3">
                  <c:v>283</c:v>
                </c:pt>
                <c:pt idx="4">
                  <c:v>7</c:v>
                </c:pt>
                <c:pt idx="5">
                  <c:v>2</c:v>
                </c:pt>
                <c:pt idx="6">
                  <c:v>7</c:v>
                </c:pt>
                <c:pt idx="7">
                  <c:v>4</c:v>
                </c:pt>
                <c:pt idx="8">
                  <c:v>4</c:v>
                </c:pt>
                <c:pt idx="9">
                  <c:v>2</c:v>
                </c:pt>
              </c:numCache>
            </c:numRef>
          </c:val>
          <c:extLst>
            <c:ext xmlns:c16="http://schemas.microsoft.com/office/drawing/2014/chart" uri="{C3380CC4-5D6E-409C-BE32-E72D297353CC}">
              <c16:uniqueId val="{00000001-F264-451C-ACE1-35B1353395D0}"/>
            </c:ext>
          </c:extLst>
        </c:ser>
        <c:dLbls>
          <c:showLegendKey val="0"/>
          <c:showVal val="0"/>
          <c:showCatName val="0"/>
          <c:showSerName val="0"/>
          <c:showPercent val="0"/>
          <c:showBubbleSize val="0"/>
        </c:dLbls>
        <c:axId val="691568720"/>
        <c:axId val="691578560"/>
      </c:areaChart>
      <c:catAx>
        <c:axId val="69156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578560"/>
        <c:crosses val="autoZero"/>
        <c:auto val="1"/>
        <c:lblAlgn val="ctr"/>
        <c:lblOffset val="100"/>
        <c:noMultiLvlLbl val="0"/>
      </c:catAx>
      <c:valAx>
        <c:axId val="691578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568720"/>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[D1307.xlsx]Age gender before!PivotTable1</c:name>
    <c:fmtId val="5"/>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clustered"/>
        <c:varyColors val="0"/>
        <c:ser>
          <c:idx val="0"/>
          <c:order val="0"/>
          <c:tx>
            <c:strRef>
              <c:f>'Age gender before'!$S$1:$S$2</c:f>
              <c:strCache>
                <c:ptCount val="1"/>
                <c:pt idx="0">
                  <c:v>Female</c:v>
                </c:pt>
              </c:strCache>
            </c:strRef>
          </c:tx>
          <c:spPr>
            <a:solidFill>
              <a:schemeClr val="accent2"/>
            </a:solidFill>
            <a:ln>
              <a:noFill/>
            </a:ln>
            <a:effectLst/>
          </c:spPr>
          <c:invertIfNegative val="0"/>
          <c:cat>
            <c:strRef>
              <c:f>'Age gender before'!$R$3:$R$13</c:f>
              <c:strCache>
                <c:ptCount val="10"/>
                <c:pt idx="0">
                  <c:v> 0-4  yrs</c:v>
                </c:pt>
                <c:pt idx="1">
                  <c:v> 5-9  yrs</c:v>
                </c:pt>
                <c:pt idx="2">
                  <c:v>10-14 yrs</c:v>
                </c:pt>
                <c:pt idx="3">
                  <c:v>15-19 yrs</c:v>
                </c:pt>
                <c:pt idx="4">
                  <c:v>20-24 yrs</c:v>
                </c:pt>
                <c:pt idx="5">
                  <c:v>25-29 yrs</c:v>
                </c:pt>
                <c:pt idx="6">
                  <c:v>30-39 yrs</c:v>
                </c:pt>
                <c:pt idx="7">
                  <c:v>40-49 yrs</c:v>
                </c:pt>
                <c:pt idx="8">
                  <c:v>50-59 yrs</c:v>
                </c:pt>
                <c:pt idx="9">
                  <c:v>60+ yrs</c:v>
                </c:pt>
              </c:strCache>
            </c:strRef>
          </c:cat>
          <c:val>
            <c:numRef>
              <c:f>'Age gender before'!$S$3:$S$13</c:f>
              <c:numCache>
                <c:formatCode>General</c:formatCode>
                <c:ptCount val="10"/>
                <c:pt idx="0">
                  <c:v>193</c:v>
                </c:pt>
                <c:pt idx="1">
                  <c:v>585</c:v>
                </c:pt>
                <c:pt idx="2">
                  <c:v>612</c:v>
                </c:pt>
                <c:pt idx="3">
                  <c:v>68</c:v>
                </c:pt>
                <c:pt idx="4">
                  <c:v>22</c:v>
                </c:pt>
                <c:pt idx="5">
                  <c:v>15</c:v>
                </c:pt>
                <c:pt idx="6">
                  <c:v>40</c:v>
                </c:pt>
                <c:pt idx="7">
                  <c:v>53</c:v>
                </c:pt>
                <c:pt idx="8">
                  <c:v>34</c:v>
                </c:pt>
                <c:pt idx="9">
                  <c:v>42</c:v>
                </c:pt>
              </c:numCache>
            </c:numRef>
          </c:val>
          <c:extLst>
            <c:ext xmlns:c16="http://schemas.microsoft.com/office/drawing/2014/chart" uri="{C3380CC4-5D6E-409C-BE32-E72D297353CC}">
              <c16:uniqueId val="{00000000-FC3B-432F-A85B-238C1A7E8241}"/>
            </c:ext>
          </c:extLst>
        </c:ser>
        <c:ser>
          <c:idx val="1"/>
          <c:order val="1"/>
          <c:tx>
            <c:strRef>
              <c:f>'Age gender before'!$T$1:$T$2</c:f>
              <c:strCache>
                <c:ptCount val="1"/>
                <c:pt idx="0">
                  <c:v>Male</c:v>
                </c:pt>
              </c:strCache>
            </c:strRef>
          </c:tx>
          <c:spPr>
            <a:solidFill>
              <a:schemeClr val="accent1"/>
            </a:solidFill>
            <a:ln>
              <a:noFill/>
            </a:ln>
            <a:effectLst/>
          </c:spPr>
          <c:invertIfNegative val="0"/>
          <c:cat>
            <c:strRef>
              <c:f>'Age gender before'!$R$3:$R$13</c:f>
              <c:strCache>
                <c:ptCount val="10"/>
                <c:pt idx="0">
                  <c:v> 0-4  yrs</c:v>
                </c:pt>
                <c:pt idx="1">
                  <c:v> 5-9  yrs</c:v>
                </c:pt>
                <c:pt idx="2">
                  <c:v>10-14 yrs</c:v>
                </c:pt>
                <c:pt idx="3">
                  <c:v>15-19 yrs</c:v>
                </c:pt>
                <c:pt idx="4">
                  <c:v>20-24 yrs</c:v>
                </c:pt>
                <c:pt idx="5">
                  <c:v>25-29 yrs</c:v>
                </c:pt>
                <c:pt idx="6">
                  <c:v>30-39 yrs</c:v>
                </c:pt>
                <c:pt idx="7">
                  <c:v>40-49 yrs</c:v>
                </c:pt>
                <c:pt idx="8">
                  <c:v>50-59 yrs</c:v>
                </c:pt>
                <c:pt idx="9">
                  <c:v>60+ yrs</c:v>
                </c:pt>
              </c:strCache>
            </c:strRef>
          </c:cat>
          <c:val>
            <c:numRef>
              <c:f>'Age gender before'!$T$3:$T$13</c:f>
              <c:numCache>
                <c:formatCode>General</c:formatCode>
                <c:ptCount val="10"/>
                <c:pt idx="0">
                  <c:v>219</c:v>
                </c:pt>
                <c:pt idx="1">
                  <c:v>540</c:v>
                </c:pt>
                <c:pt idx="2">
                  <c:v>754</c:v>
                </c:pt>
                <c:pt idx="3">
                  <c:v>208</c:v>
                </c:pt>
                <c:pt idx="4">
                  <c:v>21</c:v>
                </c:pt>
                <c:pt idx="5">
                  <c:v>14</c:v>
                </c:pt>
                <c:pt idx="6">
                  <c:v>34</c:v>
                </c:pt>
                <c:pt idx="7">
                  <c:v>29</c:v>
                </c:pt>
                <c:pt idx="8">
                  <c:v>19</c:v>
                </c:pt>
                <c:pt idx="9">
                  <c:v>41</c:v>
                </c:pt>
              </c:numCache>
            </c:numRef>
          </c:val>
          <c:extLst>
            <c:ext xmlns:c16="http://schemas.microsoft.com/office/drawing/2014/chart" uri="{C3380CC4-5D6E-409C-BE32-E72D297353CC}">
              <c16:uniqueId val="{00000001-FC3B-432F-A85B-238C1A7E8241}"/>
            </c:ext>
          </c:extLst>
        </c:ser>
        <c:dLbls>
          <c:showLegendKey val="0"/>
          <c:showVal val="0"/>
          <c:showCatName val="0"/>
          <c:showSerName val="0"/>
          <c:showPercent val="0"/>
          <c:showBubbleSize val="0"/>
        </c:dLbls>
        <c:gapWidth val="219"/>
        <c:overlap val="-27"/>
        <c:axId val="597339152"/>
        <c:axId val="597336200"/>
      </c:barChart>
      <c:catAx>
        <c:axId val="59733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336200"/>
        <c:crosses val="autoZero"/>
        <c:auto val="1"/>
        <c:lblAlgn val="ctr"/>
        <c:lblOffset val="100"/>
        <c:noMultiLvlLbl val="0"/>
      </c:catAx>
      <c:valAx>
        <c:axId val="597336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3391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[D1307.xlsx]auth indication !PivotTable2</c:name>
    <c:fmtId val="10"/>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bar"/>
        <c:grouping val="clustered"/>
        <c:varyColors val="0"/>
        <c:ser>
          <c:idx val="0"/>
          <c:order val="0"/>
          <c:tx>
            <c:strRef>
              <c:f>'auth indication '!$Y$1</c:f>
              <c:strCache>
                <c:ptCount val="1"/>
                <c:pt idx="0">
                  <c:v>Total</c:v>
                </c:pt>
              </c:strCache>
            </c:strRef>
          </c:tx>
          <c:spPr>
            <a:solidFill>
              <a:schemeClr val="accent1"/>
            </a:solidFill>
            <a:ln>
              <a:noFill/>
            </a:ln>
            <a:effectLst/>
          </c:spPr>
          <c:invertIfNegative val="0"/>
          <c:cat>
            <c:strRef>
              <c:f>'auth indication '!$X$2:$X$13</c:f>
              <c:strCache>
                <c:ptCount val="11"/>
                <c:pt idx="0">
                  <c:v>Biochemical growth hormone deficiency and precocious puberty</c:v>
                </c:pt>
                <c:pt idx="1">
                  <c:v>Hypothalamic-pituitary disease secondary to a structural lesion, with hypothalamic obesity driven growth</c:v>
                </c:pt>
                <c:pt idx="2">
                  <c:v>Short stature due to short stature homeobox (SHOX) gene disorders</c:v>
                </c:pt>
                <c:pt idx="3">
                  <c:v>Risk of hypoglycaemia secondary to growth hormone deficiency in neonates/infants</c:v>
                </c:pt>
                <c:pt idx="4">
                  <c:v>Short stature associated with chronic renal insufficiency</c:v>
                </c:pt>
                <c:pt idx="5">
                  <c:v>Growth retardation secondary to an intracranial lesion, or cranial irradiation</c:v>
                </c:pt>
                <c:pt idx="6">
                  <c:v>Short stature and poor body composition due to Prader-Willi syndrome</c:v>
                </c:pt>
                <c:pt idx="7">
                  <c:v>Short stature associated with Turner syndrome</c:v>
                </c:pt>
                <c:pt idx="8">
                  <c:v>Short stature associated with biochemical growth hormone deficiency</c:v>
                </c:pt>
                <c:pt idx="9">
                  <c:v>Severe growth hormone deficiency</c:v>
                </c:pt>
                <c:pt idx="10">
                  <c:v>Short stature and slow growth</c:v>
                </c:pt>
              </c:strCache>
            </c:strRef>
          </c:cat>
          <c:val>
            <c:numRef>
              <c:f>'auth indication '!$Y$2:$Y$13</c:f>
              <c:numCache>
                <c:formatCode>General</c:formatCode>
                <c:ptCount val="11"/>
                <c:pt idx="0">
                  <c:v>24</c:v>
                </c:pt>
                <c:pt idx="1">
                  <c:v>30</c:v>
                </c:pt>
                <c:pt idx="2">
                  <c:v>58</c:v>
                </c:pt>
                <c:pt idx="3">
                  <c:v>82</c:v>
                </c:pt>
                <c:pt idx="4">
                  <c:v>85</c:v>
                </c:pt>
                <c:pt idx="5">
                  <c:v>188</c:v>
                </c:pt>
                <c:pt idx="6">
                  <c:v>249</c:v>
                </c:pt>
                <c:pt idx="7">
                  <c:v>430</c:v>
                </c:pt>
                <c:pt idx="8">
                  <c:v>704</c:v>
                </c:pt>
                <c:pt idx="9">
                  <c:v>837</c:v>
                </c:pt>
                <c:pt idx="10">
                  <c:v>2107</c:v>
                </c:pt>
              </c:numCache>
            </c:numRef>
          </c:val>
          <c:extLst>
            <c:ext xmlns:c16="http://schemas.microsoft.com/office/drawing/2014/chart" uri="{C3380CC4-5D6E-409C-BE32-E72D297353CC}">
              <c16:uniqueId val="{00000000-7C26-454E-A4D5-01582BF4829C}"/>
            </c:ext>
          </c:extLst>
        </c:ser>
        <c:dLbls>
          <c:showLegendKey val="0"/>
          <c:showVal val="0"/>
          <c:showCatName val="0"/>
          <c:showSerName val="0"/>
          <c:showPercent val="0"/>
          <c:showBubbleSize val="0"/>
        </c:dLbls>
        <c:gapWidth val="182"/>
        <c:axId val="769307208"/>
        <c:axId val="769310488"/>
      </c:barChart>
      <c:catAx>
        <c:axId val="769307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310488"/>
        <c:crosses val="autoZero"/>
        <c:auto val="1"/>
        <c:lblAlgn val="ctr"/>
        <c:lblOffset val="100"/>
        <c:noMultiLvlLbl val="0"/>
      </c:catAx>
      <c:valAx>
        <c:axId val="7693104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authority approvals</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307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[D1307.xlsx]Sheet6!PivotTable3</c:name>
    <c:fmtId val="4"/>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s>
    <c:plotArea>
      <c:layout>
        <c:manualLayout>
          <c:layoutTarget val="inner"/>
          <c:xMode val="edge"/>
          <c:yMode val="edge"/>
          <c:x val="9.1663591556005994E-2"/>
          <c:y val="2.67022696929239E-2"/>
          <c:w val="0.86996665020832797"/>
          <c:h val="0.32816745400452813"/>
        </c:manualLayout>
      </c:layout>
      <c:areaChart>
        <c:grouping val="stacked"/>
        <c:varyColors val="0"/>
        <c:ser>
          <c:idx val="0"/>
          <c:order val="0"/>
          <c:tx>
            <c:strRef>
              <c:f>Sheet6!$AC$1:$AC$2</c:f>
              <c:strCache>
                <c:ptCount val="1"/>
                <c:pt idx="0">
                  <c:v>Biochemical growth hormone deficiency and precocious puberty</c:v>
                </c:pt>
              </c:strCache>
            </c:strRef>
          </c:tx>
          <c:spPr>
            <a:solidFill>
              <a:schemeClr val="accent1"/>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Sheet6!$AC$3:$AC$25</c:f>
              <c:numCache>
                <c:formatCode>General</c:formatCode>
                <c:ptCount val="22"/>
                <c:pt idx="0">
                  <c:v>1</c:v>
                </c:pt>
                <c:pt idx="1">
                  <c:v>2</c:v>
                </c:pt>
                <c:pt idx="10">
                  <c:v>2</c:v>
                </c:pt>
                <c:pt idx="15">
                  <c:v>1</c:v>
                </c:pt>
                <c:pt idx="16">
                  <c:v>1</c:v>
                </c:pt>
                <c:pt idx="17">
                  <c:v>1</c:v>
                </c:pt>
                <c:pt idx="19">
                  <c:v>2</c:v>
                </c:pt>
                <c:pt idx="20">
                  <c:v>1</c:v>
                </c:pt>
              </c:numCache>
            </c:numRef>
          </c:val>
          <c:extLst>
            <c:ext xmlns:c16="http://schemas.microsoft.com/office/drawing/2014/chart" uri="{C3380CC4-5D6E-409C-BE32-E72D297353CC}">
              <c16:uniqueId val="{00000000-92F9-49B7-8D8A-E80BD0CD349E}"/>
            </c:ext>
          </c:extLst>
        </c:ser>
        <c:ser>
          <c:idx val="1"/>
          <c:order val="1"/>
          <c:tx>
            <c:strRef>
              <c:f>Sheet6!$AD$1:$AD$2</c:f>
              <c:strCache>
                <c:ptCount val="1"/>
                <c:pt idx="0">
                  <c:v>Growth retardation secondary to an intracranial lesion, or cranial irradiation</c:v>
                </c:pt>
              </c:strCache>
            </c:strRef>
          </c:tx>
          <c:spPr>
            <a:solidFill>
              <a:schemeClr val="accent2"/>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Sheet6!$AD$3:$AD$25</c:f>
              <c:numCache>
                <c:formatCode>General</c:formatCode>
                <c:ptCount val="22"/>
                <c:pt idx="0">
                  <c:v>4</c:v>
                </c:pt>
                <c:pt idx="1">
                  <c:v>30</c:v>
                </c:pt>
                <c:pt idx="2">
                  <c:v>34</c:v>
                </c:pt>
                <c:pt idx="3">
                  <c:v>14</c:v>
                </c:pt>
                <c:pt idx="4">
                  <c:v>4</c:v>
                </c:pt>
                <c:pt idx="5">
                  <c:v>5</c:v>
                </c:pt>
                <c:pt idx="6">
                  <c:v>3</c:v>
                </c:pt>
                <c:pt idx="7">
                  <c:v>4</c:v>
                </c:pt>
                <c:pt idx="8">
                  <c:v>3</c:v>
                </c:pt>
                <c:pt idx="9">
                  <c:v>7</c:v>
                </c:pt>
                <c:pt idx="10">
                  <c:v>6</c:v>
                </c:pt>
                <c:pt idx="11">
                  <c:v>5</c:v>
                </c:pt>
                <c:pt idx="12">
                  <c:v>6</c:v>
                </c:pt>
                <c:pt idx="13">
                  <c:v>5</c:v>
                </c:pt>
                <c:pt idx="14">
                  <c:v>5</c:v>
                </c:pt>
                <c:pt idx="15">
                  <c:v>6</c:v>
                </c:pt>
                <c:pt idx="16">
                  <c:v>3</c:v>
                </c:pt>
                <c:pt idx="17">
                  <c:v>6</c:v>
                </c:pt>
                <c:pt idx="18">
                  <c:v>3</c:v>
                </c:pt>
                <c:pt idx="19">
                  <c:v>2</c:v>
                </c:pt>
                <c:pt idx="20">
                  <c:v>3</c:v>
                </c:pt>
                <c:pt idx="21">
                  <c:v>1</c:v>
                </c:pt>
              </c:numCache>
            </c:numRef>
          </c:val>
          <c:extLst>
            <c:ext xmlns:c16="http://schemas.microsoft.com/office/drawing/2014/chart" uri="{C3380CC4-5D6E-409C-BE32-E72D297353CC}">
              <c16:uniqueId val="{00000001-92F9-49B7-8D8A-E80BD0CD349E}"/>
            </c:ext>
          </c:extLst>
        </c:ser>
        <c:ser>
          <c:idx val="2"/>
          <c:order val="2"/>
          <c:tx>
            <c:strRef>
              <c:f>Sheet6!$AE$1:$AE$2</c:f>
              <c:strCache>
                <c:ptCount val="1"/>
                <c:pt idx="0">
                  <c:v>Hypothalamic-pituitary disease secondary to a structural lesion, with hypothalamic obesity driven growth</c:v>
                </c:pt>
              </c:strCache>
            </c:strRef>
          </c:tx>
          <c:spPr>
            <a:solidFill>
              <a:schemeClr val="accent3"/>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Sheet6!$AE$3:$AE$25</c:f>
              <c:numCache>
                <c:formatCode>General</c:formatCode>
                <c:ptCount val="22"/>
                <c:pt idx="1">
                  <c:v>3</c:v>
                </c:pt>
                <c:pt idx="2">
                  <c:v>1</c:v>
                </c:pt>
                <c:pt idx="3">
                  <c:v>1</c:v>
                </c:pt>
                <c:pt idx="6">
                  <c:v>1</c:v>
                </c:pt>
                <c:pt idx="7">
                  <c:v>1</c:v>
                </c:pt>
                <c:pt idx="8">
                  <c:v>1</c:v>
                </c:pt>
                <c:pt idx="9">
                  <c:v>1</c:v>
                </c:pt>
                <c:pt idx="10">
                  <c:v>2</c:v>
                </c:pt>
                <c:pt idx="11">
                  <c:v>1</c:v>
                </c:pt>
                <c:pt idx="12">
                  <c:v>1</c:v>
                </c:pt>
                <c:pt idx="13">
                  <c:v>2</c:v>
                </c:pt>
                <c:pt idx="16">
                  <c:v>2</c:v>
                </c:pt>
                <c:pt idx="21">
                  <c:v>2</c:v>
                </c:pt>
              </c:numCache>
            </c:numRef>
          </c:val>
          <c:extLst>
            <c:ext xmlns:c16="http://schemas.microsoft.com/office/drawing/2014/chart" uri="{C3380CC4-5D6E-409C-BE32-E72D297353CC}">
              <c16:uniqueId val="{00000002-92F9-49B7-8D8A-E80BD0CD349E}"/>
            </c:ext>
          </c:extLst>
        </c:ser>
        <c:ser>
          <c:idx val="3"/>
          <c:order val="3"/>
          <c:tx>
            <c:strRef>
              <c:f>Sheet6!$AF$1:$AF$2</c:f>
              <c:strCache>
                <c:ptCount val="1"/>
                <c:pt idx="0">
                  <c:v>Risk of hypoglycaemia secondary to growth hormone deficiency in neonates/infants</c:v>
                </c:pt>
              </c:strCache>
            </c:strRef>
          </c:tx>
          <c:spPr>
            <a:solidFill>
              <a:schemeClr val="accent4"/>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Sheet6!$AF$3:$AF$25</c:f>
              <c:numCache>
                <c:formatCode>General</c:formatCode>
                <c:ptCount val="22"/>
                <c:pt idx="1">
                  <c:v>16</c:v>
                </c:pt>
                <c:pt idx="2">
                  <c:v>11</c:v>
                </c:pt>
                <c:pt idx="3">
                  <c:v>5</c:v>
                </c:pt>
                <c:pt idx="4">
                  <c:v>6</c:v>
                </c:pt>
                <c:pt idx="5">
                  <c:v>2</c:v>
                </c:pt>
                <c:pt idx="6">
                  <c:v>2</c:v>
                </c:pt>
                <c:pt idx="7">
                  <c:v>2</c:v>
                </c:pt>
                <c:pt idx="8">
                  <c:v>2</c:v>
                </c:pt>
                <c:pt idx="9">
                  <c:v>3</c:v>
                </c:pt>
                <c:pt idx="10">
                  <c:v>1</c:v>
                </c:pt>
                <c:pt idx="11">
                  <c:v>2</c:v>
                </c:pt>
                <c:pt idx="12">
                  <c:v>2</c:v>
                </c:pt>
                <c:pt idx="13">
                  <c:v>4</c:v>
                </c:pt>
                <c:pt idx="14">
                  <c:v>1</c:v>
                </c:pt>
                <c:pt idx="15">
                  <c:v>2</c:v>
                </c:pt>
                <c:pt idx="16">
                  <c:v>5</c:v>
                </c:pt>
                <c:pt idx="17">
                  <c:v>2</c:v>
                </c:pt>
                <c:pt idx="18">
                  <c:v>2</c:v>
                </c:pt>
                <c:pt idx="19">
                  <c:v>1</c:v>
                </c:pt>
                <c:pt idx="21">
                  <c:v>1</c:v>
                </c:pt>
              </c:numCache>
            </c:numRef>
          </c:val>
          <c:extLst>
            <c:ext xmlns:c16="http://schemas.microsoft.com/office/drawing/2014/chart" uri="{C3380CC4-5D6E-409C-BE32-E72D297353CC}">
              <c16:uniqueId val="{00000003-92F9-49B7-8D8A-E80BD0CD349E}"/>
            </c:ext>
          </c:extLst>
        </c:ser>
        <c:ser>
          <c:idx val="4"/>
          <c:order val="4"/>
          <c:tx>
            <c:strRef>
              <c:f>Sheet6!$AG$1:$AG$2</c:f>
              <c:strCache>
                <c:ptCount val="1"/>
                <c:pt idx="0">
                  <c:v>Severe growth hormone deficiency</c:v>
                </c:pt>
              </c:strCache>
            </c:strRef>
          </c:tx>
          <c:spPr>
            <a:solidFill>
              <a:schemeClr val="accent5"/>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Sheet6!$AG$3:$AG$25</c:f>
              <c:numCache>
                <c:formatCode>General</c:formatCode>
                <c:ptCount val="22"/>
                <c:pt idx="13">
                  <c:v>1</c:v>
                </c:pt>
                <c:pt idx="14">
                  <c:v>31</c:v>
                </c:pt>
                <c:pt idx="15">
                  <c:v>106</c:v>
                </c:pt>
                <c:pt idx="16">
                  <c:v>122</c:v>
                </c:pt>
                <c:pt idx="17">
                  <c:v>130</c:v>
                </c:pt>
                <c:pt idx="18">
                  <c:v>103</c:v>
                </c:pt>
                <c:pt idx="19">
                  <c:v>87</c:v>
                </c:pt>
                <c:pt idx="20">
                  <c:v>89</c:v>
                </c:pt>
                <c:pt idx="21">
                  <c:v>69</c:v>
                </c:pt>
              </c:numCache>
            </c:numRef>
          </c:val>
          <c:extLst>
            <c:ext xmlns:c16="http://schemas.microsoft.com/office/drawing/2014/chart" uri="{C3380CC4-5D6E-409C-BE32-E72D297353CC}">
              <c16:uniqueId val="{00000004-92F9-49B7-8D8A-E80BD0CD349E}"/>
            </c:ext>
          </c:extLst>
        </c:ser>
        <c:ser>
          <c:idx val="5"/>
          <c:order val="5"/>
          <c:tx>
            <c:strRef>
              <c:f>Sheet6!$AH$1:$AH$2</c:f>
              <c:strCache>
                <c:ptCount val="1"/>
                <c:pt idx="0">
                  <c:v>Short stature and poor body composition due to Prader-Willi syndrome</c:v>
                </c:pt>
              </c:strCache>
            </c:strRef>
          </c:tx>
          <c:spPr>
            <a:solidFill>
              <a:schemeClr val="accent6"/>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Sheet6!$AH$3:$AH$25</c:f>
              <c:numCache>
                <c:formatCode>General</c:formatCode>
                <c:ptCount val="22"/>
                <c:pt idx="0">
                  <c:v>4</c:v>
                </c:pt>
                <c:pt idx="1">
                  <c:v>80</c:v>
                </c:pt>
                <c:pt idx="2">
                  <c:v>65</c:v>
                </c:pt>
                <c:pt idx="3">
                  <c:v>23</c:v>
                </c:pt>
                <c:pt idx="4">
                  <c:v>6</c:v>
                </c:pt>
                <c:pt idx="5">
                  <c:v>6</c:v>
                </c:pt>
                <c:pt idx="6">
                  <c:v>2</c:v>
                </c:pt>
                <c:pt idx="7">
                  <c:v>2</c:v>
                </c:pt>
                <c:pt idx="8">
                  <c:v>2</c:v>
                </c:pt>
                <c:pt idx="9">
                  <c:v>4</c:v>
                </c:pt>
                <c:pt idx="10">
                  <c:v>5</c:v>
                </c:pt>
                <c:pt idx="11">
                  <c:v>5</c:v>
                </c:pt>
                <c:pt idx="12">
                  <c:v>5</c:v>
                </c:pt>
                <c:pt idx="13">
                  <c:v>2</c:v>
                </c:pt>
                <c:pt idx="14">
                  <c:v>3</c:v>
                </c:pt>
                <c:pt idx="15">
                  <c:v>4</c:v>
                </c:pt>
                <c:pt idx="16">
                  <c:v>5</c:v>
                </c:pt>
                <c:pt idx="17">
                  <c:v>5</c:v>
                </c:pt>
                <c:pt idx="18">
                  <c:v>4</c:v>
                </c:pt>
                <c:pt idx="19">
                  <c:v>1</c:v>
                </c:pt>
                <c:pt idx="20">
                  <c:v>6</c:v>
                </c:pt>
                <c:pt idx="21">
                  <c:v>4</c:v>
                </c:pt>
              </c:numCache>
            </c:numRef>
          </c:val>
          <c:extLst>
            <c:ext xmlns:c16="http://schemas.microsoft.com/office/drawing/2014/chart" uri="{C3380CC4-5D6E-409C-BE32-E72D297353CC}">
              <c16:uniqueId val="{00000005-92F9-49B7-8D8A-E80BD0CD349E}"/>
            </c:ext>
          </c:extLst>
        </c:ser>
        <c:ser>
          <c:idx val="6"/>
          <c:order val="6"/>
          <c:tx>
            <c:strRef>
              <c:f>Sheet6!$AI$1:$AI$2</c:f>
              <c:strCache>
                <c:ptCount val="1"/>
                <c:pt idx="0">
                  <c:v>Short stature and slow growth</c:v>
                </c:pt>
              </c:strCache>
            </c:strRef>
          </c:tx>
          <c:spPr>
            <a:solidFill>
              <a:schemeClr val="accent1">
                <a:lumMod val="60000"/>
              </a:schemeClr>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Sheet6!$AI$3:$AI$25</c:f>
              <c:numCache>
                <c:formatCode>General</c:formatCode>
                <c:ptCount val="22"/>
                <c:pt idx="0">
                  <c:v>24</c:v>
                </c:pt>
                <c:pt idx="1">
                  <c:v>367</c:v>
                </c:pt>
                <c:pt idx="2">
                  <c:v>359</c:v>
                </c:pt>
                <c:pt idx="3">
                  <c:v>142</c:v>
                </c:pt>
                <c:pt idx="4">
                  <c:v>68</c:v>
                </c:pt>
                <c:pt idx="5">
                  <c:v>68</c:v>
                </c:pt>
                <c:pt idx="6">
                  <c:v>49</c:v>
                </c:pt>
                <c:pt idx="7">
                  <c:v>52</c:v>
                </c:pt>
                <c:pt idx="8">
                  <c:v>53</c:v>
                </c:pt>
                <c:pt idx="9">
                  <c:v>56</c:v>
                </c:pt>
                <c:pt idx="10">
                  <c:v>43</c:v>
                </c:pt>
                <c:pt idx="11">
                  <c:v>52</c:v>
                </c:pt>
                <c:pt idx="12">
                  <c:v>75</c:v>
                </c:pt>
                <c:pt idx="13">
                  <c:v>75</c:v>
                </c:pt>
                <c:pt idx="14">
                  <c:v>47</c:v>
                </c:pt>
                <c:pt idx="15">
                  <c:v>62</c:v>
                </c:pt>
                <c:pt idx="16">
                  <c:v>72</c:v>
                </c:pt>
                <c:pt idx="17">
                  <c:v>79</c:v>
                </c:pt>
                <c:pt idx="18">
                  <c:v>50</c:v>
                </c:pt>
                <c:pt idx="19">
                  <c:v>54</c:v>
                </c:pt>
                <c:pt idx="20">
                  <c:v>71</c:v>
                </c:pt>
                <c:pt idx="21">
                  <c:v>56</c:v>
                </c:pt>
              </c:numCache>
            </c:numRef>
          </c:val>
          <c:extLst>
            <c:ext xmlns:c16="http://schemas.microsoft.com/office/drawing/2014/chart" uri="{C3380CC4-5D6E-409C-BE32-E72D297353CC}">
              <c16:uniqueId val="{00000006-92F9-49B7-8D8A-E80BD0CD349E}"/>
            </c:ext>
          </c:extLst>
        </c:ser>
        <c:ser>
          <c:idx val="7"/>
          <c:order val="7"/>
          <c:tx>
            <c:strRef>
              <c:f>Sheet6!$AJ$1:$AJ$2</c:f>
              <c:strCache>
                <c:ptCount val="1"/>
                <c:pt idx="0">
                  <c:v>Short stature associated with biochemical growth hormone deficiency</c:v>
                </c:pt>
              </c:strCache>
            </c:strRef>
          </c:tx>
          <c:spPr>
            <a:solidFill>
              <a:schemeClr val="accent2">
                <a:lumMod val="60000"/>
              </a:schemeClr>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Sheet6!$AJ$3:$AJ$25</c:f>
              <c:numCache>
                <c:formatCode>General</c:formatCode>
                <c:ptCount val="22"/>
                <c:pt idx="0">
                  <c:v>14</c:v>
                </c:pt>
                <c:pt idx="1">
                  <c:v>142</c:v>
                </c:pt>
                <c:pt idx="2">
                  <c:v>158</c:v>
                </c:pt>
                <c:pt idx="3">
                  <c:v>44</c:v>
                </c:pt>
                <c:pt idx="4">
                  <c:v>13</c:v>
                </c:pt>
                <c:pt idx="5">
                  <c:v>13</c:v>
                </c:pt>
                <c:pt idx="6">
                  <c:v>10</c:v>
                </c:pt>
                <c:pt idx="7">
                  <c:v>9</c:v>
                </c:pt>
                <c:pt idx="8">
                  <c:v>6</c:v>
                </c:pt>
                <c:pt idx="9">
                  <c:v>4</c:v>
                </c:pt>
                <c:pt idx="10">
                  <c:v>7</c:v>
                </c:pt>
                <c:pt idx="11">
                  <c:v>7</c:v>
                </c:pt>
                <c:pt idx="12">
                  <c:v>3</c:v>
                </c:pt>
                <c:pt idx="13">
                  <c:v>12</c:v>
                </c:pt>
                <c:pt idx="14">
                  <c:v>14</c:v>
                </c:pt>
                <c:pt idx="15">
                  <c:v>20</c:v>
                </c:pt>
                <c:pt idx="16">
                  <c:v>11</c:v>
                </c:pt>
                <c:pt idx="17">
                  <c:v>16</c:v>
                </c:pt>
                <c:pt idx="18">
                  <c:v>13</c:v>
                </c:pt>
                <c:pt idx="19">
                  <c:v>8</c:v>
                </c:pt>
                <c:pt idx="20">
                  <c:v>15</c:v>
                </c:pt>
                <c:pt idx="21">
                  <c:v>9</c:v>
                </c:pt>
              </c:numCache>
            </c:numRef>
          </c:val>
          <c:extLst>
            <c:ext xmlns:c16="http://schemas.microsoft.com/office/drawing/2014/chart" uri="{C3380CC4-5D6E-409C-BE32-E72D297353CC}">
              <c16:uniqueId val="{00000007-92F9-49B7-8D8A-E80BD0CD349E}"/>
            </c:ext>
          </c:extLst>
        </c:ser>
        <c:ser>
          <c:idx val="8"/>
          <c:order val="8"/>
          <c:tx>
            <c:strRef>
              <c:f>Sheet6!$AK$1:$AK$2</c:f>
              <c:strCache>
                <c:ptCount val="1"/>
                <c:pt idx="0">
                  <c:v>Short stature associated with chronic renal insufficiency</c:v>
                </c:pt>
              </c:strCache>
            </c:strRef>
          </c:tx>
          <c:spPr>
            <a:solidFill>
              <a:schemeClr val="accent3">
                <a:lumMod val="60000"/>
              </a:schemeClr>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Sheet6!$AK$3:$AK$25</c:f>
              <c:numCache>
                <c:formatCode>General</c:formatCode>
                <c:ptCount val="22"/>
                <c:pt idx="1">
                  <c:v>12</c:v>
                </c:pt>
                <c:pt idx="2">
                  <c:v>14</c:v>
                </c:pt>
                <c:pt idx="3">
                  <c:v>7</c:v>
                </c:pt>
                <c:pt idx="4">
                  <c:v>2</c:v>
                </c:pt>
                <c:pt idx="5">
                  <c:v>1</c:v>
                </c:pt>
                <c:pt idx="6">
                  <c:v>2</c:v>
                </c:pt>
                <c:pt idx="7">
                  <c:v>2</c:v>
                </c:pt>
                <c:pt idx="9">
                  <c:v>3</c:v>
                </c:pt>
                <c:pt idx="10">
                  <c:v>1</c:v>
                </c:pt>
                <c:pt idx="12">
                  <c:v>3</c:v>
                </c:pt>
                <c:pt idx="13">
                  <c:v>3</c:v>
                </c:pt>
                <c:pt idx="14">
                  <c:v>1</c:v>
                </c:pt>
                <c:pt idx="15">
                  <c:v>4</c:v>
                </c:pt>
                <c:pt idx="16">
                  <c:v>4</c:v>
                </c:pt>
                <c:pt idx="17">
                  <c:v>4</c:v>
                </c:pt>
                <c:pt idx="18">
                  <c:v>1</c:v>
                </c:pt>
                <c:pt idx="19">
                  <c:v>3</c:v>
                </c:pt>
                <c:pt idx="20">
                  <c:v>1</c:v>
                </c:pt>
                <c:pt idx="21">
                  <c:v>1</c:v>
                </c:pt>
              </c:numCache>
            </c:numRef>
          </c:val>
          <c:extLst>
            <c:ext xmlns:c16="http://schemas.microsoft.com/office/drawing/2014/chart" uri="{C3380CC4-5D6E-409C-BE32-E72D297353CC}">
              <c16:uniqueId val="{00000008-92F9-49B7-8D8A-E80BD0CD349E}"/>
            </c:ext>
          </c:extLst>
        </c:ser>
        <c:ser>
          <c:idx val="9"/>
          <c:order val="9"/>
          <c:tx>
            <c:strRef>
              <c:f>Sheet6!$AL$1:$AL$2</c:f>
              <c:strCache>
                <c:ptCount val="1"/>
                <c:pt idx="0">
                  <c:v>Short stature associated with Turner syndrome</c:v>
                </c:pt>
              </c:strCache>
            </c:strRef>
          </c:tx>
          <c:spPr>
            <a:solidFill>
              <a:schemeClr val="accent4">
                <a:lumMod val="60000"/>
              </a:schemeClr>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Sheet6!$AL$3:$AL$25</c:f>
              <c:numCache>
                <c:formatCode>General</c:formatCode>
                <c:ptCount val="22"/>
                <c:pt idx="0">
                  <c:v>4</c:v>
                </c:pt>
                <c:pt idx="1">
                  <c:v>95</c:v>
                </c:pt>
                <c:pt idx="2">
                  <c:v>71</c:v>
                </c:pt>
                <c:pt idx="3">
                  <c:v>38</c:v>
                </c:pt>
                <c:pt idx="4">
                  <c:v>16</c:v>
                </c:pt>
                <c:pt idx="5">
                  <c:v>8</c:v>
                </c:pt>
                <c:pt idx="6">
                  <c:v>13</c:v>
                </c:pt>
                <c:pt idx="7">
                  <c:v>10</c:v>
                </c:pt>
                <c:pt idx="8">
                  <c:v>13</c:v>
                </c:pt>
                <c:pt idx="9">
                  <c:v>15</c:v>
                </c:pt>
                <c:pt idx="10">
                  <c:v>5</c:v>
                </c:pt>
                <c:pt idx="11">
                  <c:v>10</c:v>
                </c:pt>
                <c:pt idx="12">
                  <c:v>7</c:v>
                </c:pt>
                <c:pt idx="13">
                  <c:v>5</c:v>
                </c:pt>
                <c:pt idx="14">
                  <c:v>16</c:v>
                </c:pt>
                <c:pt idx="15">
                  <c:v>7</c:v>
                </c:pt>
                <c:pt idx="16">
                  <c:v>10</c:v>
                </c:pt>
                <c:pt idx="17">
                  <c:v>2</c:v>
                </c:pt>
                <c:pt idx="18">
                  <c:v>11</c:v>
                </c:pt>
                <c:pt idx="19">
                  <c:v>7</c:v>
                </c:pt>
                <c:pt idx="20">
                  <c:v>19</c:v>
                </c:pt>
                <c:pt idx="21">
                  <c:v>9</c:v>
                </c:pt>
              </c:numCache>
            </c:numRef>
          </c:val>
          <c:extLst>
            <c:ext xmlns:c16="http://schemas.microsoft.com/office/drawing/2014/chart" uri="{C3380CC4-5D6E-409C-BE32-E72D297353CC}">
              <c16:uniqueId val="{00000009-92F9-49B7-8D8A-E80BD0CD349E}"/>
            </c:ext>
          </c:extLst>
        </c:ser>
        <c:ser>
          <c:idx val="10"/>
          <c:order val="10"/>
          <c:tx>
            <c:strRef>
              <c:f>Sheet6!$AM$1:$AM$2</c:f>
              <c:strCache>
                <c:ptCount val="1"/>
                <c:pt idx="0">
                  <c:v>Short stature due to short stature homeobox (SHOX) gene disorders</c:v>
                </c:pt>
              </c:strCache>
            </c:strRef>
          </c:tx>
          <c:spPr>
            <a:solidFill>
              <a:schemeClr val="accent5">
                <a:lumMod val="60000"/>
              </a:schemeClr>
            </a:solidFill>
            <a:ln>
              <a:noFill/>
            </a:ln>
            <a:effectLst/>
          </c:spPr>
          <c:cat>
            <c:strRef>
              <c:f>Sheet6!$AB$3:$AB$25</c:f>
              <c:strCache>
                <c:ptCount val="22"/>
                <c:pt idx="0">
                  <c:v>2015Q3</c:v>
                </c:pt>
                <c:pt idx="1">
                  <c:v>2015Q4</c:v>
                </c:pt>
                <c:pt idx="2">
                  <c:v>2016Q1</c:v>
                </c:pt>
                <c:pt idx="3">
                  <c:v>2016Q2</c:v>
                </c:pt>
                <c:pt idx="4">
                  <c:v>2016Q3</c:v>
                </c:pt>
                <c:pt idx="5">
                  <c:v>2016Q4</c:v>
                </c:pt>
                <c:pt idx="6">
                  <c:v>2017Q1</c:v>
                </c:pt>
                <c:pt idx="7">
                  <c:v>2017Q2</c:v>
                </c:pt>
                <c:pt idx="8">
                  <c:v>2017Q3</c:v>
                </c:pt>
                <c:pt idx="9">
                  <c:v>2017Q4</c:v>
                </c:pt>
                <c:pt idx="10">
                  <c:v>2018Q1</c:v>
                </c:pt>
                <c:pt idx="11">
                  <c:v>2018Q2</c:v>
                </c:pt>
                <c:pt idx="12">
                  <c:v>2018Q3</c:v>
                </c:pt>
                <c:pt idx="13">
                  <c:v>2018Q4</c:v>
                </c:pt>
                <c:pt idx="14">
                  <c:v>2019Q1</c:v>
                </c:pt>
                <c:pt idx="15">
                  <c:v>2019Q2</c:v>
                </c:pt>
                <c:pt idx="16">
                  <c:v>2019Q3</c:v>
                </c:pt>
                <c:pt idx="17">
                  <c:v>2019Q4</c:v>
                </c:pt>
                <c:pt idx="18">
                  <c:v>2020Q1</c:v>
                </c:pt>
                <c:pt idx="19">
                  <c:v>2020Q2</c:v>
                </c:pt>
                <c:pt idx="20">
                  <c:v>2020Q3</c:v>
                </c:pt>
                <c:pt idx="21">
                  <c:v>2020Q4</c:v>
                </c:pt>
              </c:strCache>
            </c:strRef>
          </c:cat>
          <c:val>
            <c:numRef>
              <c:f>Sheet6!$AM$3:$AM$25</c:f>
              <c:numCache>
                <c:formatCode>General</c:formatCode>
                <c:ptCount val="22"/>
                <c:pt idx="1">
                  <c:v>6</c:v>
                </c:pt>
                <c:pt idx="2">
                  <c:v>5</c:v>
                </c:pt>
                <c:pt idx="3">
                  <c:v>5</c:v>
                </c:pt>
                <c:pt idx="4">
                  <c:v>2</c:v>
                </c:pt>
                <c:pt idx="7">
                  <c:v>3</c:v>
                </c:pt>
                <c:pt idx="8">
                  <c:v>1</c:v>
                </c:pt>
                <c:pt idx="10">
                  <c:v>2</c:v>
                </c:pt>
                <c:pt idx="11">
                  <c:v>4</c:v>
                </c:pt>
                <c:pt idx="12">
                  <c:v>3</c:v>
                </c:pt>
                <c:pt idx="14">
                  <c:v>1</c:v>
                </c:pt>
                <c:pt idx="15">
                  <c:v>3</c:v>
                </c:pt>
                <c:pt idx="16">
                  <c:v>2</c:v>
                </c:pt>
                <c:pt idx="17">
                  <c:v>2</c:v>
                </c:pt>
                <c:pt idx="19">
                  <c:v>2</c:v>
                </c:pt>
                <c:pt idx="20">
                  <c:v>2</c:v>
                </c:pt>
                <c:pt idx="21">
                  <c:v>1</c:v>
                </c:pt>
              </c:numCache>
            </c:numRef>
          </c:val>
          <c:extLst>
            <c:ext xmlns:c16="http://schemas.microsoft.com/office/drawing/2014/chart" uri="{C3380CC4-5D6E-409C-BE32-E72D297353CC}">
              <c16:uniqueId val="{0000000A-92F9-49B7-8D8A-E80BD0CD349E}"/>
            </c:ext>
          </c:extLst>
        </c:ser>
        <c:dLbls>
          <c:showLegendKey val="0"/>
          <c:showVal val="0"/>
          <c:showCatName val="0"/>
          <c:showSerName val="0"/>
          <c:showPercent val="0"/>
          <c:showBubbleSize val="0"/>
        </c:dLbls>
        <c:axId val="775825088"/>
        <c:axId val="775821480"/>
      </c:areaChart>
      <c:catAx>
        <c:axId val="7758250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821480"/>
        <c:crosses val="autoZero"/>
        <c:auto val="1"/>
        <c:lblAlgn val="ctr"/>
        <c:lblOffset val="100"/>
        <c:noMultiLvlLbl val="0"/>
      </c:catAx>
      <c:valAx>
        <c:axId val="775821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authority approvals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825088"/>
        <c:crosses val="autoZero"/>
        <c:crossBetween val="midCat"/>
      </c:valAx>
      <c:spPr>
        <a:noFill/>
        <a:ln>
          <a:noFill/>
        </a:ln>
        <a:effectLst/>
      </c:spPr>
    </c:plotArea>
    <c:legend>
      <c:legendPos val="b"/>
      <c:layout>
        <c:manualLayout>
          <c:xMode val="edge"/>
          <c:yMode val="edge"/>
          <c:x val="2.5550730643795382E-2"/>
          <c:y val="0.45775699023178601"/>
          <c:w val="0.95118668804843332"/>
          <c:h val="0.527678135390255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[D1307.xlsx]Sheet3!PivotTable4</c:name>
    <c:fmtId val="24"/>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s>
    <c:plotArea>
      <c:layout/>
      <c:areaChart>
        <c:grouping val="stacked"/>
        <c:varyColors val="0"/>
        <c:ser>
          <c:idx val="0"/>
          <c:order val="0"/>
          <c:tx>
            <c:strRef>
              <c:f>Sheet3!$AA$1:$AA$2</c:f>
              <c:strCache>
                <c:ptCount val="1"/>
                <c:pt idx="0">
                  <c:v>Biochemical growth hormone deficiency and precocious puberty</c:v>
                </c:pt>
              </c:strCache>
            </c:strRef>
          </c:tx>
          <c:spPr>
            <a:solidFill>
              <a:schemeClr val="accent1"/>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Sheet3!$AA$3:$AA$14</c:f>
              <c:numCache>
                <c:formatCode>General</c:formatCode>
                <c:ptCount val="11"/>
                <c:pt idx="1">
                  <c:v>5</c:v>
                </c:pt>
                <c:pt idx="2">
                  <c:v>6</c:v>
                </c:pt>
              </c:numCache>
            </c:numRef>
          </c:val>
          <c:extLst>
            <c:ext xmlns:c16="http://schemas.microsoft.com/office/drawing/2014/chart" uri="{C3380CC4-5D6E-409C-BE32-E72D297353CC}">
              <c16:uniqueId val="{00000000-F356-47CB-B905-69246AA435CE}"/>
            </c:ext>
          </c:extLst>
        </c:ser>
        <c:ser>
          <c:idx val="1"/>
          <c:order val="1"/>
          <c:tx>
            <c:strRef>
              <c:f>Sheet3!$AB$1:$AB$2</c:f>
              <c:strCache>
                <c:ptCount val="1"/>
                <c:pt idx="0">
                  <c:v>Growth retardation secondary to an intracranial lesion, or cranial irradiation</c:v>
                </c:pt>
              </c:strCache>
            </c:strRef>
          </c:tx>
          <c:spPr>
            <a:solidFill>
              <a:schemeClr val="accent2"/>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Sheet3!$AB$3:$AB$14</c:f>
              <c:numCache>
                <c:formatCode>General</c:formatCode>
                <c:ptCount val="11"/>
                <c:pt idx="0">
                  <c:v>4</c:v>
                </c:pt>
                <c:pt idx="1">
                  <c:v>46</c:v>
                </c:pt>
                <c:pt idx="2">
                  <c:v>89</c:v>
                </c:pt>
                <c:pt idx="3">
                  <c:v>19</c:v>
                </c:pt>
                <c:pt idx="4">
                  <c:v>1</c:v>
                </c:pt>
              </c:numCache>
            </c:numRef>
          </c:val>
          <c:extLst>
            <c:ext xmlns:c16="http://schemas.microsoft.com/office/drawing/2014/chart" uri="{C3380CC4-5D6E-409C-BE32-E72D297353CC}">
              <c16:uniqueId val="{00000001-F356-47CB-B905-69246AA435CE}"/>
            </c:ext>
          </c:extLst>
        </c:ser>
        <c:ser>
          <c:idx val="2"/>
          <c:order val="2"/>
          <c:tx>
            <c:strRef>
              <c:f>Sheet3!$AC$1:$AC$2</c:f>
              <c:strCache>
                <c:ptCount val="1"/>
                <c:pt idx="0">
                  <c:v>Hypothalamic-pituitary disease secondary to a structural lesion, with hypothalamic obesity driven growth</c:v>
                </c:pt>
              </c:strCache>
            </c:strRef>
          </c:tx>
          <c:spPr>
            <a:solidFill>
              <a:schemeClr val="accent3"/>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Sheet3!$AC$3:$AC$14</c:f>
              <c:numCache>
                <c:formatCode>General</c:formatCode>
                <c:ptCount val="11"/>
                <c:pt idx="1">
                  <c:v>9</c:v>
                </c:pt>
                <c:pt idx="2">
                  <c:v>9</c:v>
                </c:pt>
                <c:pt idx="9">
                  <c:v>1</c:v>
                </c:pt>
              </c:numCache>
            </c:numRef>
          </c:val>
          <c:extLst>
            <c:ext xmlns:c16="http://schemas.microsoft.com/office/drawing/2014/chart" uri="{C3380CC4-5D6E-409C-BE32-E72D297353CC}">
              <c16:uniqueId val="{00000002-F356-47CB-B905-69246AA435CE}"/>
            </c:ext>
          </c:extLst>
        </c:ser>
        <c:ser>
          <c:idx val="3"/>
          <c:order val="3"/>
          <c:tx>
            <c:strRef>
              <c:f>Sheet3!$AD$1:$AD$2</c:f>
              <c:strCache>
                <c:ptCount val="1"/>
                <c:pt idx="0">
                  <c:v>Risk of hypoglycaemia secondary to growth hormone deficiency in neonates/infants</c:v>
                </c:pt>
              </c:strCache>
            </c:strRef>
          </c:tx>
          <c:spPr>
            <a:solidFill>
              <a:schemeClr val="accent4"/>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Sheet3!$AD$3:$AD$14</c:f>
              <c:numCache>
                <c:formatCode>General</c:formatCode>
                <c:ptCount val="11"/>
                <c:pt idx="0">
                  <c:v>71</c:v>
                </c:pt>
                <c:pt idx="2">
                  <c:v>1</c:v>
                </c:pt>
              </c:numCache>
            </c:numRef>
          </c:val>
          <c:extLst>
            <c:ext xmlns:c16="http://schemas.microsoft.com/office/drawing/2014/chart" uri="{C3380CC4-5D6E-409C-BE32-E72D297353CC}">
              <c16:uniqueId val="{00000003-F356-47CB-B905-69246AA435CE}"/>
            </c:ext>
          </c:extLst>
        </c:ser>
        <c:ser>
          <c:idx val="4"/>
          <c:order val="4"/>
          <c:tx>
            <c:strRef>
              <c:f>Sheet3!$AE$1:$AE$2</c:f>
              <c:strCache>
                <c:ptCount val="1"/>
                <c:pt idx="0">
                  <c:v>Severe growth hormone deficiency</c:v>
                </c:pt>
              </c:strCache>
            </c:strRef>
          </c:tx>
          <c:spPr>
            <a:solidFill>
              <a:schemeClr val="accent5"/>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Sheet3!$AE$3:$AE$14</c:f>
              <c:numCache>
                <c:formatCode>General</c:formatCode>
                <c:ptCount val="11"/>
                <c:pt idx="3">
                  <c:v>11</c:v>
                </c:pt>
                <c:pt idx="4">
                  <c:v>45</c:v>
                </c:pt>
                <c:pt idx="5">
                  <c:v>34</c:v>
                </c:pt>
                <c:pt idx="6">
                  <c:v>85</c:v>
                </c:pt>
                <c:pt idx="7">
                  <c:v>86</c:v>
                </c:pt>
                <c:pt idx="8">
                  <c:v>75</c:v>
                </c:pt>
                <c:pt idx="9">
                  <c:v>64</c:v>
                </c:pt>
                <c:pt idx="10">
                  <c:v>37</c:v>
                </c:pt>
              </c:numCache>
            </c:numRef>
          </c:val>
          <c:extLst>
            <c:ext xmlns:c16="http://schemas.microsoft.com/office/drawing/2014/chart" uri="{C3380CC4-5D6E-409C-BE32-E72D297353CC}">
              <c16:uniqueId val="{00000004-F356-47CB-B905-69246AA435CE}"/>
            </c:ext>
          </c:extLst>
        </c:ser>
        <c:ser>
          <c:idx val="5"/>
          <c:order val="5"/>
          <c:tx>
            <c:strRef>
              <c:f>Sheet3!$AF$1:$AF$2</c:f>
              <c:strCache>
                <c:ptCount val="1"/>
                <c:pt idx="0">
                  <c:v>Short stature and poor body composition due to Prader-Willi syndrome</c:v>
                </c:pt>
              </c:strCache>
            </c:strRef>
          </c:tx>
          <c:spPr>
            <a:solidFill>
              <a:schemeClr val="accent6"/>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Sheet3!$AF$3:$AF$14</c:f>
              <c:numCache>
                <c:formatCode>General</c:formatCode>
                <c:ptCount val="11"/>
                <c:pt idx="0">
                  <c:v>109</c:v>
                </c:pt>
                <c:pt idx="1">
                  <c:v>68</c:v>
                </c:pt>
                <c:pt idx="2">
                  <c:v>49</c:v>
                </c:pt>
                <c:pt idx="3">
                  <c:v>17</c:v>
                </c:pt>
              </c:numCache>
            </c:numRef>
          </c:val>
          <c:extLst>
            <c:ext xmlns:c16="http://schemas.microsoft.com/office/drawing/2014/chart" uri="{C3380CC4-5D6E-409C-BE32-E72D297353CC}">
              <c16:uniqueId val="{00000005-F356-47CB-B905-69246AA435CE}"/>
            </c:ext>
          </c:extLst>
        </c:ser>
        <c:ser>
          <c:idx val="6"/>
          <c:order val="6"/>
          <c:tx>
            <c:strRef>
              <c:f>Sheet3!$AG$1:$AG$2</c:f>
              <c:strCache>
                <c:ptCount val="1"/>
                <c:pt idx="0">
                  <c:v>Short stature and slow growth</c:v>
                </c:pt>
              </c:strCache>
            </c:strRef>
          </c:tx>
          <c:spPr>
            <a:solidFill>
              <a:schemeClr val="accent1">
                <a:lumMod val="60000"/>
              </a:schemeClr>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Sheet3!$AG$3:$AG$14</c:f>
              <c:numCache>
                <c:formatCode>General</c:formatCode>
                <c:ptCount val="11"/>
                <c:pt idx="0">
                  <c:v>137</c:v>
                </c:pt>
                <c:pt idx="1">
                  <c:v>745</c:v>
                </c:pt>
                <c:pt idx="2">
                  <c:v>930</c:v>
                </c:pt>
                <c:pt idx="3">
                  <c:v>162</c:v>
                </c:pt>
              </c:numCache>
            </c:numRef>
          </c:val>
          <c:extLst>
            <c:ext xmlns:c16="http://schemas.microsoft.com/office/drawing/2014/chart" uri="{C3380CC4-5D6E-409C-BE32-E72D297353CC}">
              <c16:uniqueId val="{00000006-F356-47CB-B905-69246AA435CE}"/>
            </c:ext>
          </c:extLst>
        </c:ser>
        <c:ser>
          <c:idx val="7"/>
          <c:order val="7"/>
          <c:tx>
            <c:strRef>
              <c:f>Sheet3!$AH$1:$AH$2</c:f>
              <c:strCache>
                <c:ptCount val="1"/>
                <c:pt idx="0">
                  <c:v>Short stature associated with biochemical growth hormone deficiency</c:v>
                </c:pt>
              </c:strCache>
            </c:strRef>
          </c:tx>
          <c:spPr>
            <a:solidFill>
              <a:schemeClr val="accent2">
                <a:lumMod val="60000"/>
              </a:schemeClr>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Sheet3!$AH$3:$AH$14</c:f>
              <c:numCache>
                <c:formatCode>General</c:formatCode>
                <c:ptCount val="11"/>
                <c:pt idx="0">
                  <c:v>84</c:v>
                </c:pt>
                <c:pt idx="1">
                  <c:v>203</c:v>
                </c:pt>
                <c:pt idx="2">
                  <c:v>210</c:v>
                </c:pt>
                <c:pt idx="3">
                  <c:v>48</c:v>
                </c:pt>
                <c:pt idx="4">
                  <c:v>1</c:v>
                </c:pt>
              </c:numCache>
            </c:numRef>
          </c:val>
          <c:extLst>
            <c:ext xmlns:c16="http://schemas.microsoft.com/office/drawing/2014/chart" uri="{C3380CC4-5D6E-409C-BE32-E72D297353CC}">
              <c16:uniqueId val="{00000007-F356-47CB-B905-69246AA435CE}"/>
            </c:ext>
          </c:extLst>
        </c:ser>
        <c:ser>
          <c:idx val="8"/>
          <c:order val="8"/>
          <c:tx>
            <c:strRef>
              <c:f>Sheet3!$AI$1:$AI$2</c:f>
              <c:strCache>
                <c:ptCount val="1"/>
                <c:pt idx="0">
                  <c:v>Short stature associated with chronic renal insufficiency</c:v>
                </c:pt>
              </c:strCache>
            </c:strRef>
          </c:tx>
          <c:spPr>
            <a:solidFill>
              <a:schemeClr val="accent3">
                <a:lumMod val="60000"/>
              </a:schemeClr>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Sheet3!$AI$3:$AI$14</c:f>
              <c:numCache>
                <c:formatCode>General</c:formatCode>
                <c:ptCount val="11"/>
                <c:pt idx="0">
                  <c:v>22</c:v>
                </c:pt>
                <c:pt idx="1">
                  <c:v>19</c:v>
                </c:pt>
                <c:pt idx="2">
                  <c:v>25</c:v>
                </c:pt>
                <c:pt idx="3">
                  <c:v>3</c:v>
                </c:pt>
              </c:numCache>
            </c:numRef>
          </c:val>
          <c:extLst>
            <c:ext xmlns:c16="http://schemas.microsoft.com/office/drawing/2014/chart" uri="{C3380CC4-5D6E-409C-BE32-E72D297353CC}">
              <c16:uniqueId val="{00000008-F356-47CB-B905-69246AA435CE}"/>
            </c:ext>
          </c:extLst>
        </c:ser>
        <c:ser>
          <c:idx val="9"/>
          <c:order val="9"/>
          <c:tx>
            <c:strRef>
              <c:f>Sheet3!$AJ$1:$AJ$2</c:f>
              <c:strCache>
                <c:ptCount val="1"/>
                <c:pt idx="0">
                  <c:v>Short stature associated with Turner syndrome</c:v>
                </c:pt>
              </c:strCache>
            </c:strRef>
          </c:tx>
          <c:spPr>
            <a:solidFill>
              <a:schemeClr val="accent4">
                <a:lumMod val="60000"/>
              </a:schemeClr>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Sheet3!$AJ$3:$AJ$14</c:f>
              <c:numCache>
                <c:formatCode>General</c:formatCode>
                <c:ptCount val="11"/>
                <c:pt idx="0">
                  <c:v>46</c:v>
                </c:pt>
                <c:pt idx="1">
                  <c:v>155</c:v>
                </c:pt>
                <c:pt idx="2">
                  <c:v>159</c:v>
                </c:pt>
                <c:pt idx="3">
                  <c:v>29</c:v>
                </c:pt>
                <c:pt idx="4">
                  <c:v>1</c:v>
                </c:pt>
                <c:pt idx="8">
                  <c:v>1</c:v>
                </c:pt>
              </c:numCache>
            </c:numRef>
          </c:val>
          <c:extLst>
            <c:ext xmlns:c16="http://schemas.microsoft.com/office/drawing/2014/chart" uri="{C3380CC4-5D6E-409C-BE32-E72D297353CC}">
              <c16:uniqueId val="{00000009-F356-47CB-B905-69246AA435CE}"/>
            </c:ext>
          </c:extLst>
        </c:ser>
        <c:ser>
          <c:idx val="10"/>
          <c:order val="10"/>
          <c:tx>
            <c:strRef>
              <c:f>Sheet3!$AK$1:$AK$2</c:f>
              <c:strCache>
                <c:ptCount val="1"/>
                <c:pt idx="0">
                  <c:v>Short stature due to short stature homeobox (SHOX) gene disorders</c:v>
                </c:pt>
              </c:strCache>
            </c:strRef>
          </c:tx>
          <c:spPr>
            <a:solidFill>
              <a:schemeClr val="accent5">
                <a:lumMod val="60000"/>
              </a:schemeClr>
            </a:solidFill>
            <a:ln>
              <a:noFill/>
            </a:ln>
            <a:effectLst/>
          </c:spPr>
          <c:cat>
            <c:strRef>
              <c:f>Sheet3!$Z$3:$Z$14</c:f>
              <c:strCache>
                <c:ptCount val="11"/>
                <c:pt idx="0">
                  <c:v> 0-4  yrs</c:v>
                </c:pt>
                <c:pt idx="1">
                  <c:v> 5-9  yrs</c:v>
                </c:pt>
                <c:pt idx="2">
                  <c:v>10-14 yrs</c:v>
                </c:pt>
                <c:pt idx="3">
                  <c:v>15-19 yrs</c:v>
                </c:pt>
                <c:pt idx="4">
                  <c:v>20-24 yrs</c:v>
                </c:pt>
                <c:pt idx="5">
                  <c:v>25-29 yrs</c:v>
                </c:pt>
                <c:pt idx="6">
                  <c:v>30-39 yrs</c:v>
                </c:pt>
                <c:pt idx="7">
                  <c:v>40-49 yrs</c:v>
                </c:pt>
                <c:pt idx="8">
                  <c:v>50-59 yrs</c:v>
                </c:pt>
                <c:pt idx="9">
                  <c:v>60-69 yrs</c:v>
                </c:pt>
                <c:pt idx="10">
                  <c:v>70+ yrs</c:v>
                </c:pt>
              </c:strCache>
            </c:strRef>
          </c:cat>
          <c:val>
            <c:numRef>
              <c:f>Sheet3!$AK$3:$AK$14</c:f>
              <c:numCache>
                <c:formatCode>General</c:formatCode>
                <c:ptCount val="11"/>
                <c:pt idx="0">
                  <c:v>6</c:v>
                </c:pt>
                <c:pt idx="1">
                  <c:v>11</c:v>
                </c:pt>
                <c:pt idx="2">
                  <c:v>26</c:v>
                </c:pt>
                <c:pt idx="3">
                  <c:v>1</c:v>
                </c:pt>
              </c:numCache>
            </c:numRef>
          </c:val>
          <c:extLst>
            <c:ext xmlns:c16="http://schemas.microsoft.com/office/drawing/2014/chart" uri="{C3380CC4-5D6E-409C-BE32-E72D297353CC}">
              <c16:uniqueId val="{0000000A-F356-47CB-B905-69246AA435CE}"/>
            </c:ext>
          </c:extLst>
        </c:ser>
        <c:dLbls>
          <c:showLegendKey val="0"/>
          <c:showVal val="0"/>
          <c:showCatName val="0"/>
          <c:showSerName val="0"/>
          <c:showPercent val="0"/>
          <c:showBubbleSize val="0"/>
        </c:dLbls>
        <c:axId val="769991512"/>
        <c:axId val="769989216"/>
      </c:areaChart>
      <c:catAx>
        <c:axId val="769991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989216"/>
        <c:crosses val="autoZero"/>
        <c:auto val="1"/>
        <c:lblAlgn val="ctr"/>
        <c:lblOffset val="100"/>
        <c:noMultiLvlLbl val="0"/>
      </c:catAx>
      <c:valAx>
        <c:axId val="769989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authority approvals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9991512"/>
        <c:crosses val="autoZero"/>
        <c:crossBetween val="midCat"/>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[D1307.xlsx]Sheet4!PivotTable1</c:name>
    <c:fmtId val="5"/>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
        <c:idx val="42"/>
        <c:spPr>
          <a:solidFill>
            <a:schemeClr val="accent1"/>
          </a:solidFill>
          <a:ln>
            <a:noFill/>
          </a:ln>
          <a:effectLst/>
        </c:spPr>
        <c:marker>
          <c:symbol val="none"/>
        </c:marker>
      </c:pivotFmt>
      <c:pivotFmt>
        <c:idx val="43"/>
        <c:spPr>
          <a:solidFill>
            <a:schemeClr val="accent1"/>
          </a:solidFill>
          <a:ln>
            <a:noFill/>
          </a:ln>
          <a:effectLst/>
        </c:spPr>
        <c:marker>
          <c:symbol val="none"/>
        </c:marker>
      </c:pivotFmt>
      <c:pivotFmt>
        <c:idx val="44"/>
        <c:spPr>
          <a:solidFill>
            <a:schemeClr val="accent1"/>
          </a:solidFill>
          <a:ln>
            <a:noFill/>
          </a:ln>
          <a:effectLst/>
        </c:spPr>
        <c:marker>
          <c:symbol val="none"/>
        </c:marker>
      </c:pivotFmt>
      <c:pivotFmt>
        <c:idx val="45"/>
        <c:spPr>
          <a:solidFill>
            <a:schemeClr val="accent1"/>
          </a:solidFill>
          <a:ln>
            <a:noFill/>
          </a:ln>
          <a:effectLst/>
        </c:spPr>
        <c:marker>
          <c:symbol val="none"/>
        </c:marker>
      </c:pivotFmt>
      <c:pivotFmt>
        <c:idx val="46"/>
        <c:spPr>
          <a:solidFill>
            <a:schemeClr val="accent1"/>
          </a:solidFill>
          <a:ln>
            <a:noFill/>
          </a:ln>
          <a:effectLst/>
        </c:spPr>
        <c:marker>
          <c:symbol val="none"/>
        </c:marker>
      </c:pivotFmt>
      <c:pivotFmt>
        <c:idx val="47"/>
        <c:spPr>
          <a:solidFill>
            <a:schemeClr val="accent1"/>
          </a:solidFill>
          <a:ln>
            <a:noFill/>
          </a:ln>
          <a:effectLst/>
        </c:spPr>
        <c:marker>
          <c:symbol val="none"/>
        </c:marker>
      </c:pivotFmt>
      <c:pivotFmt>
        <c:idx val="48"/>
        <c:spPr>
          <a:solidFill>
            <a:schemeClr val="accent1"/>
          </a:solidFill>
          <a:ln>
            <a:noFill/>
          </a:ln>
          <a:effectLst/>
        </c:spPr>
        <c:marker>
          <c:symbol val="none"/>
        </c:marker>
      </c:pivotFmt>
      <c:pivotFmt>
        <c:idx val="49"/>
        <c:spPr>
          <a:solidFill>
            <a:schemeClr val="accent1"/>
          </a:solidFill>
          <a:ln>
            <a:noFill/>
          </a:ln>
          <a:effectLst/>
        </c:spPr>
        <c:marker>
          <c:symbol val="none"/>
        </c:marker>
      </c:pivotFmt>
      <c:pivotFmt>
        <c:idx val="50"/>
        <c:spPr>
          <a:solidFill>
            <a:schemeClr val="accent1"/>
          </a:solidFill>
          <a:ln>
            <a:noFill/>
          </a:ln>
          <a:effectLst/>
        </c:spPr>
        <c:marker>
          <c:symbol val="none"/>
        </c:marker>
      </c:pivotFmt>
      <c:pivotFmt>
        <c:idx val="51"/>
        <c:spPr>
          <a:solidFill>
            <a:schemeClr val="accent1"/>
          </a:solidFill>
          <a:ln>
            <a:noFill/>
          </a:ln>
          <a:effectLst/>
        </c:spPr>
        <c:marker>
          <c:symbol val="none"/>
        </c:marker>
      </c:pivotFmt>
      <c:pivotFmt>
        <c:idx val="52"/>
        <c:spPr>
          <a:solidFill>
            <a:schemeClr val="accent1"/>
          </a:solidFill>
          <a:ln>
            <a:noFill/>
          </a:ln>
          <a:effectLst/>
        </c:spPr>
        <c:marker>
          <c:symbol val="none"/>
        </c:marker>
      </c:pivotFmt>
      <c:pivotFmt>
        <c:idx val="53"/>
        <c:spPr>
          <a:solidFill>
            <a:schemeClr val="accent1"/>
          </a:solidFill>
          <a:ln>
            <a:noFill/>
          </a:ln>
          <a:effectLst/>
        </c:spPr>
        <c:marker>
          <c:symbol val="none"/>
        </c:marker>
      </c:pivotFmt>
      <c:pivotFmt>
        <c:idx val="54"/>
        <c:spPr>
          <a:solidFill>
            <a:schemeClr val="accent1"/>
          </a:solidFill>
          <a:ln>
            <a:noFill/>
          </a:ln>
          <a:effectLst/>
        </c:spPr>
        <c:marker>
          <c:symbol val="none"/>
        </c:marker>
      </c:pivotFmt>
      <c:pivotFmt>
        <c:idx val="55"/>
        <c:spPr>
          <a:solidFill>
            <a:schemeClr val="accent1"/>
          </a:solidFill>
          <a:ln>
            <a:noFill/>
          </a:ln>
          <a:effectLst/>
        </c:spPr>
        <c:marker>
          <c:symbol val="none"/>
        </c:marker>
      </c:pivotFmt>
      <c:pivotFmt>
        <c:idx val="56"/>
        <c:spPr>
          <a:solidFill>
            <a:schemeClr val="accent1"/>
          </a:solidFill>
          <a:ln>
            <a:noFill/>
          </a:ln>
          <a:effectLst/>
        </c:spPr>
        <c:marker>
          <c:symbol val="none"/>
        </c:marker>
      </c:pivotFmt>
      <c:pivotFmt>
        <c:idx val="57"/>
        <c:spPr>
          <a:solidFill>
            <a:schemeClr val="accent1"/>
          </a:solidFill>
          <a:ln>
            <a:noFill/>
          </a:ln>
          <a:effectLst/>
        </c:spPr>
        <c:marker>
          <c:symbol val="none"/>
        </c:marker>
      </c:pivotFmt>
      <c:pivotFmt>
        <c:idx val="58"/>
        <c:spPr>
          <a:solidFill>
            <a:schemeClr val="accent1"/>
          </a:solidFill>
          <a:ln>
            <a:noFill/>
          </a:ln>
          <a:effectLst/>
        </c:spPr>
        <c:marker>
          <c:symbol val="none"/>
        </c:marker>
      </c:pivotFmt>
    </c:pivotFmts>
    <c:plotArea>
      <c:layout/>
      <c:barChart>
        <c:barDir val="col"/>
        <c:grouping val="clustered"/>
        <c:varyColors val="0"/>
        <c:ser>
          <c:idx val="0"/>
          <c:order val="0"/>
          <c:tx>
            <c:strRef>
              <c:f>Sheet4!$V$1:$V$2</c:f>
              <c:strCache>
                <c:ptCount val="1"/>
                <c:pt idx="0">
                  <c:v>Continuing treatment</c:v>
                </c:pt>
              </c:strCache>
            </c:strRef>
          </c:tx>
          <c:spPr>
            <a:solidFill>
              <a:schemeClr val="accent1"/>
            </a:solidFill>
            <a:ln>
              <a:noFill/>
            </a:ln>
            <a:effectLst/>
          </c:spPr>
          <c:invertIfNegative val="0"/>
          <c:cat>
            <c:multiLvlStrRef>
              <c:f>Sheet4!$U$3:$U$10</c:f>
              <c:multiLvlStrCache>
                <c:ptCount val="4"/>
                <c:lvl>
                  <c:pt idx="0">
                    <c:v>Continuing treatment</c:v>
                  </c:pt>
                  <c:pt idx="1">
                    <c:v>Initial treatment</c:v>
                  </c:pt>
                  <c:pt idx="2">
                    <c:v>Continuing treatment</c:v>
                  </c:pt>
                  <c:pt idx="3">
                    <c:v>Initial treatment</c:v>
                  </c:pt>
                </c:lvl>
                <c:lvl>
                  <c:pt idx="0">
                    <c:v>2018 and 2019</c:v>
                  </c:pt>
                  <c:pt idx="2">
                    <c:v>2020</c:v>
                  </c:pt>
                </c:lvl>
                <c:lvl>
                  <c:pt idx="0">
                    <c:v>Severe growth hormone deficiency</c:v>
                  </c:pt>
                </c:lvl>
              </c:multiLvlStrCache>
            </c:multiLvlStrRef>
          </c:cat>
          <c:val>
            <c:numRef>
              <c:f>Sheet4!$V$3:$V$10</c:f>
              <c:numCache>
                <c:formatCode>General</c:formatCode>
                <c:ptCount val="4"/>
                <c:pt idx="0">
                  <c:v>140</c:v>
                </c:pt>
                <c:pt idx="2">
                  <c:v>153</c:v>
                </c:pt>
              </c:numCache>
            </c:numRef>
          </c:val>
          <c:extLst>
            <c:ext xmlns:c16="http://schemas.microsoft.com/office/drawing/2014/chart" uri="{C3380CC4-5D6E-409C-BE32-E72D297353CC}">
              <c16:uniqueId val="{00000000-9010-42E6-9B06-FDDCF6CF6469}"/>
            </c:ext>
          </c:extLst>
        </c:ser>
        <c:ser>
          <c:idx val="1"/>
          <c:order val="1"/>
          <c:tx>
            <c:strRef>
              <c:f>Sheet4!$W$1:$W$2</c:f>
              <c:strCache>
                <c:ptCount val="1"/>
                <c:pt idx="0">
                  <c:v>Continuing treatment in a person with a mature skeleton or aged 18 years or older</c:v>
                </c:pt>
              </c:strCache>
            </c:strRef>
          </c:tx>
          <c:spPr>
            <a:solidFill>
              <a:schemeClr val="accent2"/>
            </a:solidFill>
            <a:ln>
              <a:noFill/>
            </a:ln>
            <a:effectLst/>
          </c:spPr>
          <c:invertIfNegative val="0"/>
          <c:cat>
            <c:multiLvlStrRef>
              <c:f>Sheet4!$U$3:$U$10</c:f>
              <c:multiLvlStrCache>
                <c:ptCount val="4"/>
                <c:lvl>
                  <c:pt idx="0">
                    <c:v>Continuing treatment</c:v>
                  </c:pt>
                  <c:pt idx="1">
                    <c:v>Initial treatment</c:v>
                  </c:pt>
                  <c:pt idx="2">
                    <c:v>Continuing treatment</c:v>
                  </c:pt>
                  <c:pt idx="3">
                    <c:v>Initial treatment</c:v>
                  </c:pt>
                </c:lvl>
                <c:lvl>
                  <c:pt idx="0">
                    <c:v>2018 and 2019</c:v>
                  </c:pt>
                  <c:pt idx="2">
                    <c:v>2020</c:v>
                  </c:pt>
                </c:lvl>
                <c:lvl>
                  <c:pt idx="0">
                    <c:v>Severe growth hormone deficiency</c:v>
                  </c:pt>
                </c:lvl>
              </c:multiLvlStrCache>
            </c:multiLvlStrRef>
          </c:cat>
          <c:val>
            <c:numRef>
              <c:f>Sheet4!$W$3:$W$10</c:f>
              <c:numCache>
                <c:formatCode>General</c:formatCode>
                <c:ptCount val="4"/>
                <c:pt idx="2">
                  <c:v>516</c:v>
                </c:pt>
              </c:numCache>
            </c:numRef>
          </c:val>
          <c:extLst>
            <c:ext xmlns:c16="http://schemas.microsoft.com/office/drawing/2014/chart" uri="{C3380CC4-5D6E-409C-BE32-E72D297353CC}">
              <c16:uniqueId val="{00000007-9010-42E6-9B06-FDDCF6CF6469}"/>
            </c:ext>
          </c:extLst>
        </c:ser>
        <c:ser>
          <c:idx val="2"/>
          <c:order val="2"/>
          <c:tx>
            <c:strRef>
              <c:f>Sheet4!$X$1:$X$2</c:f>
              <c:strCache>
                <c:ptCount val="1"/>
                <c:pt idx="0">
                  <c:v>Continuing treatment in adults</c:v>
                </c:pt>
              </c:strCache>
            </c:strRef>
          </c:tx>
          <c:spPr>
            <a:solidFill>
              <a:schemeClr val="accent3"/>
            </a:solidFill>
            <a:ln>
              <a:noFill/>
            </a:ln>
            <a:effectLst/>
          </c:spPr>
          <c:invertIfNegative val="0"/>
          <c:cat>
            <c:multiLvlStrRef>
              <c:f>Sheet4!$U$3:$U$10</c:f>
              <c:multiLvlStrCache>
                <c:ptCount val="4"/>
                <c:lvl>
                  <c:pt idx="0">
                    <c:v>Continuing treatment</c:v>
                  </c:pt>
                  <c:pt idx="1">
                    <c:v>Initial treatment</c:v>
                  </c:pt>
                  <c:pt idx="2">
                    <c:v>Continuing treatment</c:v>
                  </c:pt>
                  <c:pt idx="3">
                    <c:v>Initial treatment</c:v>
                  </c:pt>
                </c:lvl>
                <c:lvl>
                  <c:pt idx="0">
                    <c:v>2018 and 2019</c:v>
                  </c:pt>
                  <c:pt idx="2">
                    <c:v>2020</c:v>
                  </c:pt>
                </c:lvl>
                <c:lvl>
                  <c:pt idx="0">
                    <c:v>Severe growth hormone deficiency</c:v>
                  </c:pt>
                </c:lvl>
              </c:multiLvlStrCache>
            </c:multiLvlStrRef>
          </c:cat>
          <c:val>
            <c:numRef>
              <c:f>Sheet4!$X$3:$X$10</c:f>
              <c:numCache>
                <c:formatCode>General</c:formatCode>
                <c:ptCount val="4"/>
                <c:pt idx="2">
                  <c:v>33</c:v>
                </c:pt>
              </c:numCache>
            </c:numRef>
          </c:val>
          <c:extLst>
            <c:ext xmlns:c16="http://schemas.microsoft.com/office/drawing/2014/chart" uri="{C3380CC4-5D6E-409C-BE32-E72D297353CC}">
              <c16:uniqueId val="{00000008-9010-42E6-9B06-FDDCF6CF6469}"/>
            </c:ext>
          </c:extLst>
        </c:ser>
        <c:ser>
          <c:idx val="3"/>
          <c:order val="3"/>
          <c:tx>
            <c:strRef>
              <c:f>Sheet4!$Y$1:$Y$2</c:f>
              <c:strCache>
                <c:ptCount val="1"/>
                <c:pt idx="0">
                  <c:v>Initial treatment</c:v>
                </c:pt>
              </c:strCache>
            </c:strRef>
          </c:tx>
          <c:spPr>
            <a:solidFill>
              <a:schemeClr val="accent4"/>
            </a:solidFill>
            <a:ln>
              <a:noFill/>
            </a:ln>
            <a:effectLst/>
          </c:spPr>
          <c:invertIfNegative val="0"/>
          <c:cat>
            <c:multiLvlStrRef>
              <c:f>Sheet4!$U$3:$U$10</c:f>
              <c:multiLvlStrCache>
                <c:ptCount val="4"/>
                <c:lvl>
                  <c:pt idx="0">
                    <c:v>Continuing treatment</c:v>
                  </c:pt>
                  <c:pt idx="1">
                    <c:v>Initial treatment</c:v>
                  </c:pt>
                  <c:pt idx="2">
                    <c:v>Continuing treatment</c:v>
                  </c:pt>
                  <c:pt idx="3">
                    <c:v>Initial treatment</c:v>
                  </c:pt>
                </c:lvl>
                <c:lvl>
                  <c:pt idx="0">
                    <c:v>2018 and 2019</c:v>
                  </c:pt>
                  <c:pt idx="2">
                    <c:v>2020</c:v>
                  </c:pt>
                </c:lvl>
                <c:lvl>
                  <c:pt idx="0">
                    <c:v>Severe growth hormone deficiency</c:v>
                  </c:pt>
                </c:lvl>
              </c:multiLvlStrCache>
            </c:multiLvlStrRef>
          </c:cat>
          <c:val>
            <c:numRef>
              <c:f>Sheet4!$Y$3:$Y$10</c:f>
              <c:numCache>
                <c:formatCode>General</c:formatCode>
                <c:ptCount val="4"/>
                <c:pt idx="1">
                  <c:v>400</c:v>
                </c:pt>
                <c:pt idx="3">
                  <c:v>223</c:v>
                </c:pt>
              </c:numCache>
            </c:numRef>
          </c:val>
          <c:extLst>
            <c:ext xmlns:c16="http://schemas.microsoft.com/office/drawing/2014/chart" uri="{C3380CC4-5D6E-409C-BE32-E72D297353CC}">
              <c16:uniqueId val="{00000009-9010-42E6-9B06-FDDCF6CF6469}"/>
            </c:ext>
          </c:extLst>
        </c:ser>
        <c:ser>
          <c:idx val="4"/>
          <c:order val="4"/>
          <c:tx>
            <c:strRef>
              <c:f>Sheet4!$Z$1:$Z$2</c:f>
              <c:strCache>
                <c:ptCount val="1"/>
                <c:pt idx="0">
                  <c:v>Initial treatment of adult onset growth hormone deficiency</c:v>
                </c:pt>
              </c:strCache>
            </c:strRef>
          </c:tx>
          <c:spPr>
            <a:solidFill>
              <a:schemeClr val="accent5"/>
            </a:solidFill>
            <a:ln>
              <a:noFill/>
            </a:ln>
            <a:effectLst/>
          </c:spPr>
          <c:invertIfNegative val="0"/>
          <c:cat>
            <c:multiLvlStrRef>
              <c:f>Sheet4!$U$3:$U$10</c:f>
              <c:multiLvlStrCache>
                <c:ptCount val="4"/>
                <c:lvl>
                  <c:pt idx="0">
                    <c:v>Continuing treatment</c:v>
                  </c:pt>
                  <c:pt idx="1">
                    <c:v>Initial treatment</c:v>
                  </c:pt>
                  <c:pt idx="2">
                    <c:v>Continuing treatment</c:v>
                  </c:pt>
                  <c:pt idx="3">
                    <c:v>Initial treatment</c:v>
                  </c:pt>
                </c:lvl>
                <c:lvl>
                  <c:pt idx="0">
                    <c:v>2018 and 2019</c:v>
                  </c:pt>
                  <c:pt idx="2">
                    <c:v>2020</c:v>
                  </c:pt>
                </c:lvl>
                <c:lvl>
                  <c:pt idx="0">
                    <c:v>Severe growth hormone deficiency</c:v>
                  </c:pt>
                </c:lvl>
              </c:multiLvlStrCache>
            </c:multiLvlStrRef>
          </c:cat>
          <c:val>
            <c:numRef>
              <c:f>Sheet4!$Z$3:$Z$10</c:f>
              <c:numCache>
                <c:formatCode>General</c:formatCode>
                <c:ptCount val="4"/>
                <c:pt idx="3">
                  <c:v>228</c:v>
                </c:pt>
              </c:numCache>
            </c:numRef>
          </c:val>
          <c:extLst>
            <c:ext xmlns:c16="http://schemas.microsoft.com/office/drawing/2014/chart" uri="{C3380CC4-5D6E-409C-BE32-E72D297353CC}">
              <c16:uniqueId val="{0000000A-9010-42E6-9B06-FDDCF6CF6469}"/>
            </c:ext>
          </c:extLst>
        </c:ser>
        <c:ser>
          <c:idx val="5"/>
          <c:order val="5"/>
          <c:tx>
            <c:strRef>
              <c:f>Sheet4!$AA$1:$AA$2</c:f>
              <c:strCache>
                <c:ptCount val="1"/>
                <c:pt idx="0">
                  <c:v>Initial treatment of childhood onset growth hormone deficiency in a patient who has received non-PBS subsidised treatment as a child</c:v>
                </c:pt>
              </c:strCache>
            </c:strRef>
          </c:tx>
          <c:spPr>
            <a:solidFill>
              <a:schemeClr val="accent6"/>
            </a:solidFill>
            <a:ln>
              <a:noFill/>
            </a:ln>
            <a:effectLst/>
          </c:spPr>
          <c:invertIfNegative val="0"/>
          <c:cat>
            <c:multiLvlStrRef>
              <c:f>Sheet4!$U$3:$U$10</c:f>
              <c:multiLvlStrCache>
                <c:ptCount val="4"/>
                <c:lvl>
                  <c:pt idx="0">
                    <c:v>Continuing treatment</c:v>
                  </c:pt>
                  <c:pt idx="1">
                    <c:v>Initial treatment</c:v>
                  </c:pt>
                  <c:pt idx="2">
                    <c:v>Continuing treatment</c:v>
                  </c:pt>
                  <c:pt idx="3">
                    <c:v>Initial treatment</c:v>
                  </c:pt>
                </c:lvl>
                <c:lvl>
                  <c:pt idx="0">
                    <c:v>2018 and 2019</c:v>
                  </c:pt>
                  <c:pt idx="2">
                    <c:v>2020</c:v>
                  </c:pt>
                </c:lvl>
                <c:lvl>
                  <c:pt idx="0">
                    <c:v>Severe growth hormone deficiency</c:v>
                  </c:pt>
                </c:lvl>
              </c:multiLvlStrCache>
            </c:multiLvlStrRef>
          </c:cat>
          <c:val>
            <c:numRef>
              <c:f>Sheet4!$AA$3:$AA$10</c:f>
              <c:numCache>
                <c:formatCode>General</c:formatCode>
                <c:ptCount val="4"/>
                <c:pt idx="3">
                  <c:v>39</c:v>
                </c:pt>
              </c:numCache>
            </c:numRef>
          </c:val>
          <c:extLst>
            <c:ext xmlns:c16="http://schemas.microsoft.com/office/drawing/2014/chart" uri="{C3380CC4-5D6E-409C-BE32-E72D297353CC}">
              <c16:uniqueId val="{0000000B-9010-42E6-9B06-FDDCF6CF6469}"/>
            </c:ext>
          </c:extLst>
        </c:ser>
        <c:ser>
          <c:idx val="6"/>
          <c:order val="6"/>
          <c:tx>
            <c:strRef>
              <c:f>Sheet4!$AB$1:$AB$2</c:f>
              <c:strCache>
                <c:ptCount val="1"/>
                <c:pt idx="0">
                  <c:v>Initial treatment of childhood onset growth hormone deficiency in a patient who has received PBS-subsidised treatment as a child</c:v>
                </c:pt>
              </c:strCache>
            </c:strRef>
          </c:tx>
          <c:spPr>
            <a:solidFill>
              <a:schemeClr val="accent1">
                <a:lumMod val="60000"/>
              </a:schemeClr>
            </a:solidFill>
            <a:ln>
              <a:noFill/>
            </a:ln>
            <a:effectLst/>
          </c:spPr>
          <c:invertIfNegative val="0"/>
          <c:cat>
            <c:multiLvlStrRef>
              <c:f>Sheet4!$U$3:$U$10</c:f>
              <c:multiLvlStrCache>
                <c:ptCount val="4"/>
                <c:lvl>
                  <c:pt idx="0">
                    <c:v>Continuing treatment</c:v>
                  </c:pt>
                  <c:pt idx="1">
                    <c:v>Initial treatment</c:v>
                  </c:pt>
                  <c:pt idx="2">
                    <c:v>Continuing treatment</c:v>
                  </c:pt>
                  <c:pt idx="3">
                    <c:v>Initial treatment</c:v>
                  </c:pt>
                </c:lvl>
                <c:lvl>
                  <c:pt idx="0">
                    <c:v>2018 and 2019</c:v>
                  </c:pt>
                  <c:pt idx="2">
                    <c:v>2020</c:v>
                  </c:pt>
                </c:lvl>
                <c:lvl>
                  <c:pt idx="0">
                    <c:v>Severe growth hormone deficiency</c:v>
                  </c:pt>
                </c:lvl>
              </c:multiLvlStrCache>
            </c:multiLvlStrRef>
          </c:cat>
          <c:val>
            <c:numRef>
              <c:f>Sheet4!$AB$3:$AB$10</c:f>
              <c:numCache>
                <c:formatCode>General</c:formatCode>
                <c:ptCount val="4"/>
                <c:pt idx="3">
                  <c:v>116</c:v>
                </c:pt>
              </c:numCache>
            </c:numRef>
          </c:val>
          <c:extLst>
            <c:ext xmlns:c16="http://schemas.microsoft.com/office/drawing/2014/chart" uri="{C3380CC4-5D6E-409C-BE32-E72D297353CC}">
              <c16:uniqueId val="{0000000C-9010-42E6-9B06-FDDCF6CF6469}"/>
            </c:ext>
          </c:extLst>
        </c:ser>
        <c:dLbls>
          <c:showLegendKey val="0"/>
          <c:showVal val="0"/>
          <c:showCatName val="0"/>
          <c:showSerName val="0"/>
          <c:showPercent val="0"/>
          <c:showBubbleSize val="0"/>
        </c:dLbls>
        <c:gapWidth val="219"/>
        <c:overlap val="-27"/>
        <c:axId val="767797296"/>
        <c:axId val="767798280"/>
      </c:barChart>
      <c:catAx>
        <c:axId val="76779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798280"/>
        <c:crosses val="autoZero"/>
        <c:auto val="1"/>
        <c:lblAlgn val="ctr"/>
        <c:lblOffset val="100"/>
        <c:noMultiLvlLbl val="0"/>
      </c:catAx>
      <c:valAx>
        <c:axId val="767798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authority approvals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7797296"/>
        <c:crosses val="autoZero"/>
        <c:crossBetween val="between"/>
      </c:valAx>
      <c:spPr>
        <a:noFill/>
        <a:ln>
          <a:noFill/>
        </a:ln>
        <a:effectLst/>
      </c:spPr>
    </c:plotArea>
    <c:legend>
      <c:legendPos val="b"/>
      <c:layout>
        <c:manualLayout>
          <c:xMode val="edge"/>
          <c:yMode val="edge"/>
          <c:x val="5.5679889290813064E-2"/>
          <c:y val="0.573734462999272"/>
          <c:w val="0.91311168139577659"/>
          <c:h val="0.412652377613320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D4056-12A0-43FC-8A90-AD182CA42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9826</Words>
  <Characters>56013</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2021-10-26T04:38:00Z</dcterms:created>
  <dcterms:modified xsi:type="dcterms:W3CDTF">2021-10-26T04:41:00Z</dcterms:modified>
</cp:coreProperties>
</file>