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6EB0" w:rsidRPr="002C28DF" w:rsidRDefault="00D36EB0" w:rsidP="00D36EB0">
      <w:pPr>
        <w:rPr>
          <w:b/>
          <w:sz w:val="52"/>
        </w:rPr>
      </w:pPr>
      <w:r w:rsidRPr="002C28DF">
        <w:rPr>
          <w:b/>
          <w:sz w:val="52"/>
        </w:rPr>
        <w:t>Nivolumab + Ipilimumab for the first line treatment of renal cell carcinoma: 24 month predicted versus actual analysis</w:t>
      </w:r>
    </w:p>
    <w:p w:rsidR="00736041" w:rsidRDefault="009053D3" w:rsidP="00F73113">
      <w:pPr>
        <w:pStyle w:val="Title2"/>
      </w:pPr>
      <w:r>
        <w:t>D</w:t>
      </w:r>
      <w:r w:rsidR="00832324" w:rsidRPr="0063631C">
        <w:t xml:space="preserve">rug utilisation sub-committee </w:t>
      </w:r>
      <w:r w:rsidR="00832324">
        <w:t>(DUSC)</w:t>
      </w:r>
    </w:p>
    <w:p w:rsidR="009053D3" w:rsidRPr="00F73113" w:rsidRDefault="00D36EB0" w:rsidP="00F73113">
      <w:pPr>
        <w:pStyle w:val="Meetingdate"/>
      </w:pPr>
      <w:r>
        <w:t>October 2021</w:t>
      </w:r>
    </w:p>
    <w:p w:rsidR="005C6661" w:rsidRPr="00CF5E22" w:rsidRDefault="005C6661" w:rsidP="00CF5E22">
      <w:pPr>
        <w:pStyle w:val="Heading2"/>
      </w:pPr>
      <w:r w:rsidRPr="00CF5E22">
        <w:t>Abstract</w:t>
      </w:r>
    </w:p>
    <w:p w:rsidR="005C6661" w:rsidRPr="00CF5E22" w:rsidRDefault="005C6661" w:rsidP="00CF5E22">
      <w:pPr>
        <w:pStyle w:val="Heading3"/>
      </w:pPr>
      <w:r w:rsidRPr="00CF5E22">
        <w:t>Purpose</w:t>
      </w:r>
    </w:p>
    <w:p w:rsidR="005B673C" w:rsidRDefault="005B673C" w:rsidP="005B673C">
      <w:r>
        <w:t xml:space="preserve">To compare the predicted and actual utilisation of nivolumab + ipilimumab </w:t>
      </w:r>
      <w:r w:rsidRPr="00D81B0F">
        <w:t xml:space="preserve">for </w:t>
      </w:r>
      <w:r w:rsidRPr="000966C5">
        <w:t>the</w:t>
      </w:r>
      <w:r w:rsidRPr="00D81B0F">
        <w:t xml:space="preserve"> </w:t>
      </w:r>
      <w:r>
        <w:t xml:space="preserve">first-line </w:t>
      </w:r>
      <w:r w:rsidRPr="00D81B0F">
        <w:t xml:space="preserve">treatment of </w:t>
      </w:r>
      <w:r>
        <w:t xml:space="preserve">renal cell carcinoma (RCC) </w:t>
      </w:r>
      <w:r w:rsidRPr="00DC2EF1">
        <w:t>i</w:t>
      </w:r>
      <w:r>
        <w:t xml:space="preserve">n the first 24 months of Pharmaceutical Benefits Scheme (PBS) listing. </w:t>
      </w:r>
    </w:p>
    <w:p w:rsidR="002D144A" w:rsidRDefault="002D144A" w:rsidP="00CF5E22">
      <w:pPr>
        <w:pStyle w:val="Heading3"/>
      </w:pPr>
      <w:r>
        <w:t>Date of listing on the P</w:t>
      </w:r>
      <w:r w:rsidR="00A95FA5">
        <w:t xml:space="preserve">harmaceutical </w:t>
      </w:r>
      <w:r>
        <w:t>B</w:t>
      </w:r>
      <w:r w:rsidR="00A95FA5">
        <w:t xml:space="preserve">enefits </w:t>
      </w:r>
      <w:r>
        <w:t>S</w:t>
      </w:r>
      <w:r w:rsidR="00A95FA5">
        <w:t>cheme (PBS)</w:t>
      </w:r>
    </w:p>
    <w:p w:rsidR="005B673C" w:rsidRDefault="005B673C" w:rsidP="005B673C">
      <w:pPr>
        <w:rPr>
          <w:rFonts w:cstheme="minorHAnsi"/>
          <w:szCs w:val="20"/>
        </w:rPr>
      </w:pPr>
      <w:r>
        <w:t xml:space="preserve">Nivolumab + Ipilimumab </w:t>
      </w:r>
      <w:r w:rsidRPr="00C513C0">
        <w:rPr>
          <w:rFonts w:cstheme="minorHAnsi"/>
          <w:szCs w:val="20"/>
        </w:rPr>
        <w:t xml:space="preserve">was PBS listed </w:t>
      </w:r>
      <w:r>
        <w:rPr>
          <w:rFonts w:cstheme="minorHAnsi"/>
          <w:szCs w:val="20"/>
        </w:rPr>
        <w:t xml:space="preserve">on 1 March 2019 </w:t>
      </w:r>
      <w:r w:rsidRPr="00C513C0">
        <w:rPr>
          <w:rFonts w:cstheme="minorHAnsi"/>
          <w:szCs w:val="20"/>
        </w:rPr>
        <w:t>for</w:t>
      </w:r>
      <w:r>
        <w:rPr>
          <w:rFonts w:cstheme="minorHAnsi"/>
          <w:szCs w:val="20"/>
        </w:rPr>
        <w:t xml:space="preserve"> </w:t>
      </w:r>
      <w:r w:rsidRPr="008568B9">
        <w:rPr>
          <w:rFonts w:cstheme="minorHAnsi"/>
          <w:szCs w:val="20"/>
        </w:rPr>
        <w:t>the</w:t>
      </w:r>
      <w:r>
        <w:rPr>
          <w:rFonts w:cstheme="minorHAnsi"/>
          <w:szCs w:val="20"/>
        </w:rPr>
        <w:t xml:space="preserve"> first-line treatment of </w:t>
      </w:r>
      <w:r w:rsidRPr="00FB5DD3">
        <w:rPr>
          <w:rFonts w:cstheme="minorHAnsi"/>
          <w:szCs w:val="20"/>
        </w:rPr>
        <w:t>Stage IV clear cell va</w:t>
      </w:r>
      <w:r>
        <w:rPr>
          <w:rFonts w:cstheme="minorHAnsi"/>
          <w:szCs w:val="20"/>
        </w:rPr>
        <w:t xml:space="preserve">riant renal cell carcinoma. </w:t>
      </w:r>
    </w:p>
    <w:p w:rsidR="005C6661" w:rsidRDefault="005C6661" w:rsidP="00CF5E22">
      <w:pPr>
        <w:pStyle w:val="Heading3"/>
      </w:pPr>
      <w:r>
        <w:t>Data Source / methodology</w:t>
      </w:r>
    </w:p>
    <w:p w:rsidR="005B673C" w:rsidRPr="00624F34" w:rsidRDefault="005B673C" w:rsidP="005B673C">
      <w:pPr>
        <w:pStyle w:val="NoSpacing"/>
        <w:rPr>
          <w:highlight w:val="yellow"/>
        </w:rPr>
      </w:pPr>
      <w:r w:rsidRPr="00AE2AFB">
        <w:rPr>
          <w:rFonts w:cstheme="minorHAnsi"/>
        </w:rPr>
        <w:t>Data were</w:t>
      </w:r>
      <w:r w:rsidRPr="005605A6">
        <w:rPr>
          <w:rFonts w:cstheme="minorHAnsi"/>
        </w:rPr>
        <w:t xml:space="preserve"> extracted from the </w:t>
      </w:r>
      <w:r>
        <w:rPr>
          <w:rFonts w:cstheme="minorHAnsi"/>
        </w:rPr>
        <w:t xml:space="preserve">Services Australia Supplied Prescription </w:t>
      </w:r>
      <w:r w:rsidRPr="00917115">
        <w:rPr>
          <w:rFonts w:cstheme="minorHAnsi"/>
        </w:rPr>
        <w:t xml:space="preserve">database </w:t>
      </w:r>
      <w:r>
        <w:rPr>
          <w:rFonts w:cstheme="minorHAnsi"/>
        </w:rPr>
        <w:t>for all PBS items that have an RCC restriction. The Services Australia Authority Approvals database was used to determine the treatment indication when the PBS item code was not indication specific.</w:t>
      </w:r>
    </w:p>
    <w:p w:rsidR="005C6661" w:rsidRDefault="005C6661" w:rsidP="00CF5E22">
      <w:pPr>
        <w:pStyle w:val="Heading3"/>
      </w:pPr>
      <w:r>
        <w:t>Key Findings</w:t>
      </w:r>
    </w:p>
    <w:p w:rsidR="005B673C" w:rsidRPr="004401DC" w:rsidRDefault="005B673C" w:rsidP="005B673C">
      <w:pPr>
        <w:pStyle w:val="NoSpacing"/>
        <w:numPr>
          <w:ilvl w:val="0"/>
          <w:numId w:val="4"/>
        </w:numPr>
        <w:spacing w:line="276" w:lineRule="auto"/>
        <w:ind w:left="360"/>
        <w:rPr>
          <w:rFonts w:eastAsiaTheme="majorEastAsia" w:cstheme="majorBidi"/>
          <w:bCs/>
          <w:szCs w:val="26"/>
        </w:rPr>
      </w:pPr>
      <w:r>
        <w:rPr>
          <w:rFonts w:eastAsiaTheme="majorEastAsia" w:cstheme="majorBidi"/>
          <w:bCs/>
          <w:szCs w:val="26"/>
        </w:rPr>
        <w:t>Second-</w:t>
      </w:r>
      <w:r w:rsidRPr="004401DC">
        <w:rPr>
          <w:rFonts w:eastAsiaTheme="majorEastAsia" w:cstheme="majorBidi"/>
          <w:bCs/>
          <w:szCs w:val="26"/>
        </w:rPr>
        <w:t xml:space="preserve">line nivolumab is the most common PBS treatment for RCC. </w:t>
      </w:r>
      <w:r>
        <w:rPr>
          <w:rFonts w:eastAsiaTheme="majorEastAsia" w:cstheme="majorBidi"/>
          <w:bCs/>
          <w:szCs w:val="26"/>
        </w:rPr>
        <w:t>In 2021</w:t>
      </w:r>
      <w:r w:rsidRPr="004401DC">
        <w:rPr>
          <w:rFonts w:eastAsiaTheme="majorEastAsia" w:cstheme="majorBidi"/>
          <w:bCs/>
          <w:szCs w:val="26"/>
        </w:rPr>
        <w:t xml:space="preserve"> Q</w:t>
      </w:r>
      <w:r>
        <w:rPr>
          <w:rFonts w:eastAsiaTheme="majorEastAsia" w:cstheme="majorBidi"/>
          <w:bCs/>
          <w:szCs w:val="26"/>
        </w:rPr>
        <w:t>2</w:t>
      </w:r>
      <w:r w:rsidRPr="004401DC">
        <w:rPr>
          <w:rFonts w:eastAsiaTheme="majorEastAsia" w:cstheme="majorBidi"/>
          <w:bCs/>
          <w:szCs w:val="26"/>
        </w:rPr>
        <w:t xml:space="preserve"> there </w:t>
      </w:r>
      <w:r>
        <w:rPr>
          <w:rFonts w:eastAsiaTheme="majorEastAsia" w:cstheme="majorBidi"/>
          <w:bCs/>
          <w:szCs w:val="26"/>
        </w:rPr>
        <w:t>were</w:t>
      </w:r>
      <w:r w:rsidRPr="004401DC">
        <w:rPr>
          <w:rFonts w:eastAsiaTheme="majorEastAsia" w:cstheme="majorBidi"/>
          <w:bCs/>
          <w:szCs w:val="26"/>
        </w:rPr>
        <w:t xml:space="preserve"> 1,</w:t>
      </w:r>
      <w:r>
        <w:rPr>
          <w:rFonts w:eastAsiaTheme="majorEastAsia" w:cstheme="majorBidi"/>
          <w:bCs/>
          <w:szCs w:val="26"/>
        </w:rPr>
        <w:t>579</w:t>
      </w:r>
      <w:r w:rsidRPr="004401DC">
        <w:rPr>
          <w:rFonts w:eastAsiaTheme="majorEastAsia" w:cstheme="majorBidi"/>
          <w:bCs/>
          <w:szCs w:val="26"/>
        </w:rPr>
        <w:t xml:space="preserve"> patients receiving PBS treatment for RCC, of these 4</w:t>
      </w:r>
      <w:r>
        <w:rPr>
          <w:rFonts w:eastAsiaTheme="majorEastAsia" w:cstheme="majorBidi"/>
          <w:bCs/>
          <w:szCs w:val="26"/>
        </w:rPr>
        <w:t>72</w:t>
      </w:r>
      <w:r w:rsidRPr="004401DC">
        <w:rPr>
          <w:rFonts w:eastAsiaTheme="majorEastAsia" w:cstheme="majorBidi"/>
          <w:bCs/>
          <w:szCs w:val="26"/>
        </w:rPr>
        <w:t xml:space="preserve"> </w:t>
      </w:r>
      <w:r>
        <w:rPr>
          <w:rFonts w:eastAsiaTheme="majorEastAsia" w:cstheme="majorBidi"/>
          <w:bCs/>
          <w:szCs w:val="26"/>
        </w:rPr>
        <w:t>received 2nd</w:t>
      </w:r>
      <w:r w:rsidRPr="004401DC">
        <w:rPr>
          <w:rFonts w:eastAsiaTheme="majorEastAsia" w:cstheme="majorBidi"/>
          <w:bCs/>
          <w:szCs w:val="26"/>
        </w:rPr>
        <w:t xml:space="preserve"> line nivolumab.</w:t>
      </w:r>
      <w:r>
        <w:rPr>
          <w:rFonts w:eastAsiaTheme="majorEastAsia" w:cstheme="majorBidi"/>
          <w:bCs/>
          <w:szCs w:val="26"/>
        </w:rPr>
        <w:t xml:space="preserve"> The second most common treatment is first-line nivolumab, with 312 patients being treated in 2021 Q2.</w:t>
      </w:r>
    </w:p>
    <w:p w:rsidR="005B673C" w:rsidRDefault="005B673C" w:rsidP="005B673C">
      <w:pPr>
        <w:pStyle w:val="NoSpacing"/>
        <w:numPr>
          <w:ilvl w:val="0"/>
          <w:numId w:val="4"/>
        </w:numPr>
        <w:spacing w:line="276" w:lineRule="auto"/>
        <w:ind w:left="360"/>
        <w:rPr>
          <w:rFonts w:eastAsiaTheme="majorEastAsia" w:cstheme="majorBidi"/>
          <w:bCs/>
          <w:szCs w:val="26"/>
        </w:rPr>
      </w:pPr>
      <w:r>
        <w:rPr>
          <w:rFonts w:eastAsiaTheme="majorEastAsia" w:cstheme="majorBidi"/>
          <w:bCs/>
          <w:szCs w:val="26"/>
        </w:rPr>
        <w:t>For ipilimumab, i</w:t>
      </w:r>
      <w:r w:rsidRPr="004401DC">
        <w:rPr>
          <w:rFonts w:eastAsiaTheme="majorEastAsia" w:cstheme="majorBidi"/>
          <w:bCs/>
          <w:szCs w:val="26"/>
        </w:rPr>
        <w:t>n both Year</w:t>
      </w:r>
      <w:r>
        <w:rPr>
          <w:rFonts w:eastAsiaTheme="majorEastAsia" w:cstheme="majorBidi"/>
          <w:bCs/>
          <w:szCs w:val="26"/>
        </w:rPr>
        <w:t>s</w:t>
      </w:r>
      <w:r w:rsidRPr="004401DC">
        <w:rPr>
          <w:rFonts w:eastAsiaTheme="majorEastAsia" w:cstheme="majorBidi"/>
          <w:bCs/>
          <w:szCs w:val="26"/>
        </w:rPr>
        <w:t xml:space="preserve"> 1 and 2</w:t>
      </w:r>
      <w:r>
        <w:rPr>
          <w:rFonts w:eastAsiaTheme="majorEastAsia" w:cstheme="majorBidi"/>
          <w:bCs/>
          <w:szCs w:val="26"/>
        </w:rPr>
        <w:t xml:space="preserve"> after listing there were</w:t>
      </w:r>
      <w:r w:rsidRPr="004401DC">
        <w:rPr>
          <w:rFonts w:eastAsiaTheme="majorEastAsia" w:cstheme="majorBidi"/>
          <w:bCs/>
          <w:szCs w:val="26"/>
        </w:rPr>
        <w:t xml:space="preserve"> </w:t>
      </w:r>
      <w:r>
        <w:rPr>
          <w:rFonts w:eastAsiaTheme="majorEastAsia" w:cstheme="majorBidi"/>
          <w:bCs/>
          <w:szCs w:val="26"/>
        </w:rPr>
        <w:t>slightly m</w:t>
      </w:r>
      <w:r w:rsidRPr="004401DC">
        <w:rPr>
          <w:rFonts w:eastAsiaTheme="majorEastAsia" w:cstheme="majorBidi"/>
          <w:bCs/>
          <w:szCs w:val="26"/>
        </w:rPr>
        <w:t xml:space="preserve">ore patients than predicted. However there were </w:t>
      </w:r>
      <w:r>
        <w:rPr>
          <w:rFonts w:eastAsiaTheme="majorEastAsia" w:cstheme="majorBidi"/>
          <w:bCs/>
          <w:szCs w:val="26"/>
        </w:rPr>
        <w:t xml:space="preserve">slightly </w:t>
      </w:r>
      <w:r w:rsidRPr="004401DC">
        <w:rPr>
          <w:rFonts w:eastAsiaTheme="majorEastAsia" w:cstheme="majorBidi"/>
          <w:bCs/>
          <w:szCs w:val="26"/>
        </w:rPr>
        <w:t xml:space="preserve">less prescriptions than predicted because the prescriptions per patient were </w:t>
      </w:r>
      <w:r>
        <w:rPr>
          <w:rFonts w:eastAsiaTheme="majorEastAsia" w:cstheme="majorBidi"/>
          <w:bCs/>
          <w:szCs w:val="26"/>
        </w:rPr>
        <w:t xml:space="preserve">less </w:t>
      </w:r>
      <w:r w:rsidRPr="004401DC">
        <w:rPr>
          <w:rFonts w:eastAsiaTheme="majorEastAsia" w:cstheme="majorBidi"/>
          <w:bCs/>
          <w:szCs w:val="26"/>
        </w:rPr>
        <w:t>tha</w:t>
      </w:r>
      <w:r>
        <w:rPr>
          <w:rFonts w:eastAsiaTheme="majorEastAsia" w:cstheme="majorBidi"/>
          <w:bCs/>
          <w:szCs w:val="26"/>
        </w:rPr>
        <w:t>n</w:t>
      </w:r>
      <w:r w:rsidRPr="004401DC">
        <w:rPr>
          <w:rFonts w:eastAsiaTheme="majorEastAsia" w:cstheme="majorBidi"/>
          <w:bCs/>
          <w:szCs w:val="26"/>
        </w:rPr>
        <w:t xml:space="preserve"> predicted.</w:t>
      </w:r>
      <w:r>
        <w:rPr>
          <w:rFonts w:eastAsiaTheme="majorEastAsia" w:cstheme="majorBidi"/>
          <w:bCs/>
          <w:szCs w:val="26"/>
        </w:rPr>
        <w:t xml:space="preserve"> This can be explained by the estimates assuming that all patients will complete the induction phase (i.e. 4 prescriptions). Figure 9 shows that 38% of patients received less than the full course of 4 ipilimumab scripts.</w:t>
      </w:r>
    </w:p>
    <w:p w:rsidR="005B673C" w:rsidRDefault="005B673C" w:rsidP="005B673C">
      <w:pPr>
        <w:pStyle w:val="NoSpacing"/>
        <w:numPr>
          <w:ilvl w:val="0"/>
          <w:numId w:val="4"/>
        </w:numPr>
        <w:spacing w:line="276" w:lineRule="auto"/>
        <w:ind w:left="360"/>
        <w:rPr>
          <w:rFonts w:eastAsiaTheme="majorEastAsia" w:cstheme="majorBidi"/>
          <w:bCs/>
          <w:szCs w:val="26"/>
        </w:rPr>
      </w:pPr>
      <w:r>
        <w:rPr>
          <w:rFonts w:eastAsiaTheme="majorEastAsia" w:cstheme="majorBidi"/>
          <w:bCs/>
          <w:szCs w:val="26"/>
        </w:rPr>
        <w:lastRenderedPageBreak/>
        <w:t>For nivolumab</w:t>
      </w:r>
      <w:r w:rsidR="00EF5634">
        <w:rPr>
          <w:rFonts w:eastAsiaTheme="majorEastAsia" w:cstheme="majorBidi"/>
          <w:bCs/>
          <w:szCs w:val="26"/>
        </w:rPr>
        <w:t xml:space="preserve"> in the first line setting</w:t>
      </w:r>
      <w:r>
        <w:rPr>
          <w:rFonts w:eastAsiaTheme="majorEastAsia" w:cstheme="majorBidi"/>
          <w:bCs/>
          <w:szCs w:val="26"/>
        </w:rPr>
        <w:t>, there wer</w:t>
      </w:r>
      <w:r w:rsidR="00EF5634">
        <w:rPr>
          <w:rFonts w:eastAsiaTheme="majorEastAsia" w:cstheme="majorBidi"/>
          <w:bCs/>
          <w:szCs w:val="26"/>
        </w:rPr>
        <w:t>e 32% and 67% more patients than</w:t>
      </w:r>
      <w:r>
        <w:rPr>
          <w:rFonts w:eastAsiaTheme="majorEastAsia" w:cstheme="majorBidi"/>
          <w:bCs/>
          <w:szCs w:val="26"/>
        </w:rPr>
        <w:t xml:space="preserve"> expected in Years 1 and 2 respectively. In Year 1 there were more nivolumab patients (442) than ipilimumab patients (395). This can be explained by the results of the drug initiation sequence analysis (Table 4) which shows that over the period from the listing of first-line nivolumab (1 March 2019) to the end of June 2021 there were 91 patients that were supplied only first-line nivolumab (maintenance phase) prescriptions. This pattern of use was outside the PBS restrictions. Some of these may have been grandfathering patients who failed to be allocated the specific PBS item code for such patients. In Year 2 an additional factor that could explain the more than expected number of patients was the presence of continuing patients from Year 1. These had not been factored into the estimates.</w:t>
      </w:r>
    </w:p>
    <w:p w:rsidR="005B673C" w:rsidRPr="0064353A" w:rsidRDefault="005B673C" w:rsidP="005B673C">
      <w:pPr>
        <w:pStyle w:val="NoSpacing"/>
        <w:numPr>
          <w:ilvl w:val="0"/>
          <w:numId w:val="4"/>
        </w:numPr>
        <w:spacing w:line="276" w:lineRule="auto"/>
        <w:ind w:left="360"/>
        <w:rPr>
          <w:rFonts w:eastAsiaTheme="majorEastAsia" w:cstheme="majorBidi"/>
          <w:bCs/>
          <w:szCs w:val="26"/>
        </w:rPr>
      </w:pPr>
      <w:r>
        <w:rPr>
          <w:rFonts w:eastAsiaTheme="majorEastAsia" w:cstheme="majorBidi"/>
          <w:bCs/>
          <w:szCs w:val="26"/>
        </w:rPr>
        <w:t>For nivolumab, there were 75% and 76% less scripts per patient than expected in Years 1 and 2 respectively. This is mainly due to the overestimation of the average length of treatment in the submissions and final agreed estimates. A second factor is the shift from 2 to 4 weekly dosing after the 1 September 2019 restriction change. A third factor was the incorrect use of PBS item codes where some patients who initiate first-line nivolumab + ipilimumab treatment used 2</w:t>
      </w:r>
      <w:r w:rsidRPr="00951D7F">
        <w:rPr>
          <w:rFonts w:eastAsiaTheme="majorEastAsia" w:cstheme="majorBidi"/>
          <w:bCs/>
          <w:szCs w:val="26"/>
          <w:vertAlign w:val="superscript"/>
        </w:rPr>
        <w:t>nd</w:t>
      </w:r>
      <w:r>
        <w:rPr>
          <w:rFonts w:eastAsiaTheme="majorEastAsia" w:cstheme="majorBidi"/>
          <w:bCs/>
          <w:szCs w:val="26"/>
        </w:rPr>
        <w:t xml:space="preserve"> line nivolumab treatment items for their first-line maintenance treatment (see Table 4).</w:t>
      </w:r>
    </w:p>
    <w:p w:rsidR="00BB0D1A" w:rsidRDefault="00BB0D1A">
      <w:pPr>
        <w:spacing w:line="276" w:lineRule="auto"/>
        <w:rPr>
          <w:rFonts w:eastAsiaTheme="majorEastAsia" w:cstheme="majorBidi"/>
          <w:b/>
          <w:bCs/>
          <w:sz w:val="32"/>
          <w:szCs w:val="26"/>
        </w:rPr>
      </w:pPr>
      <w:r>
        <w:br w:type="page"/>
      </w:r>
    </w:p>
    <w:p w:rsidR="00E677DD" w:rsidRPr="00CF5E22" w:rsidRDefault="00E677DD" w:rsidP="00CF5E22">
      <w:pPr>
        <w:pStyle w:val="Heading1"/>
      </w:pPr>
      <w:r w:rsidRPr="00CF5E22">
        <w:lastRenderedPageBreak/>
        <w:t xml:space="preserve">Purpose of </w:t>
      </w:r>
      <w:r w:rsidR="00D151EB" w:rsidRPr="00CF5E22">
        <w:t>analysis</w:t>
      </w:r>
    </w:p>
    <w:p w:rsidR="005B673C" w:rsidRDefault="005B673C" w:rsidP="005B673C">
      <w:r>
        <w:t xml:space="preserve">To compare the predicted and actual utilisation of nivolumab + ipilimumab </w:t>
      </w:r>
      <w:r w:rsidRPr="00D81B0F">
        <w:t xml:space="preserve">for the </w:t>
      </w:r>
      <w:r>
        <w:t xml:space="preserve">first-line </w:t>
      </w:r>
      <w:r w:rsidRPr="00D81B0F">
        <w:t xml:space="preserve">treatment of </w:t>
      </w:r>
      <w:r>
        <w:t xml:space="preserve">renal cell carcinoma (RCC) </w:t>
      </w:r>
      <w:r w:rsidRPr="00DC2EF1">
        <w:t>i</w:t>
      </w:r>
      <w:r>
        <w:t xml:space="preserve">n the first 24 months of Pharmaceutical Benefits Scheme (PBS) listing. </w:t>
      </w:r>
    </w:p>
    <w:p w:rsidR="005B673C" w:rsidRDefault="005B673C" w:rsidP="005B673C">
      <w:r>
        <w:t>DUSC requested this analysis at its June 2021 meeting. It is a r</w:t>
      </w:r>
      <w:r w:rsidRPr="00AE2C91">
        <w:t xml:space="preserve">outine DUSC utilisation analysis of a PBS listing when there is at least 24 months of prescription data available. </w:t>
      </w:r>
      <w:r w:rsidRPr="00935DD1">
        <w:t>DUSC noted the number of treated patients was higher than estimated and considered a predicted versus actual review should be undertaken.</w:t>
      </w:r>
    </w:p>
    <w:p w:rsidR="005B673C" w:rsidRPr="00AE2C91" w:rsidRDefault="005B673C" w:rsidP="005B673C">
      <w:r>
        <w:t>The report also examines the use of nivolumab + ipilimumab for the treatment of RCC in the context of the whole RCC treatment market.</w:t>
      </w:r>
    </w:p>
    <w:p w:rsidR="006537D9" w:rsidRPr="005E22C2" w:rsidRDefault="00736041" w:rsidP="00CF5E22">
      <w:pPr>
        <w:pStyle w:val="Heading1"/>
      </w:pPr>
      <w:r w:rsidRPr="005E22C2">
        <w:t>Background</w:t>
      </w:r>
    </w:p>
    <w:p w:rsidR="00732F47" w:rsidRDefault="00732F47" w:rsidP="00732F47">
      <w:pPr>
        <w:rPr>
          <w:rFonts w:cstheme="minorHAnsi"/>
          <w:szCs w:val="20"/>
        </w:rPr>
      </w:pPr>
      <w:r>
        <w:t xml:space="preserve">Nivolumab + ipilimumab </w:t>
      </w:r>
      <w:r w:rsidRPr="00C513C0">
        <w:rPr>
          <w:rFonts w:cstheme="minorHAnsi"/>
          <w:szCs w:val="20"/>
        </w:rPr>
        <w:t xml:space="preserve">was PBS listed </w:t>
      </w:r>
      <w:r>
        <w:rPr>
          <w:rFonts w:cstheme="minorHAnsi"/>
          <w:szCs w:val="20"/>
        </w:rPr>
        <w:t xml:space="preserve">on 1 March 2019 </w:t>
      </w:r>
      <w:r w:rsidRPr="00C513C0">
        <w:rPr>
          <w:rFonts w:cstheme="minorHAnsi"/>
          <w:szCs w:val="20"/>
        </w:rPr>
        <w:t>for</w:t>
      </w:r>
      <w:r>
        <w:rPr>
          <w:rFonts w:cstheme="minorHAnsi"/>
          <w:szCs w:val="20"/>
        </w:rPr>
        <w:t xml:space="preserve"> the first-line treatment of </w:t>
      </w:r>
      <w:r w:rsidRPr="00FB5DD3">
        <w:rPr>
          <w:rFonts w:cstheme="minorHAnsi"/>
          <w:szCs w:val="20"/>
        </w:rPr>
        <w:t>Stage IV clear cell va</w:t>
      </w:r>
      <w:r>
        <w:rPr>
          <w:rFonts w:cstheme="minorHAnsi"/>
          <w:szCs w:val="20"/>
        </w:rPr>
        <w:t xml:space="preserve">riant renal cell carcinoma. </w:t>
      </w:r>
    </w:p>
    <w:p w:rsidR="00EE2BBB" w:rsidRPr="007247B9" w:rsidRDefault="00EE2BBB" w:rsidP="00EE2BBB">
      <w:pPr>
        <w:pStyle w:val="Heading2"/>
      </w:pPr>
      <w:r w:rsidRPr="007247B9">
        <w:t>Clinical situation</w:t>
      </w:r>
    </w:p>
    <w:p w:rsidR="00732F47" w:rsidRPr="008B430F" w:rsidRDefault="00732F47" w:rsidP="00732F47">
      <w:r w:rsidRPr="008B430F">
        <w:t>Renal cell carcinoma (RCC) is a form of kidney cancer that arises from the cells of the renal tubule, and accounts for up to 90% of primary renal neoplasms. Clear cell variants accounts for 70-80% of all RCC cases</w:t>
      </w:r>
      <w:r w:rsidRPr="008B430F">
        <w:rPr>
          <w:rStyle w:val="FootnoteReference"/>
        </w:rPr>
        <w:footnoteReference w:id="1"/>
      </w:r>
      <w:r w:rsidRPr="008B430F">
        <w:t>.</w:t>
      </w:r>
    </w:p>
    <w:p w:rsidR="00732F47" w:rsidRPr="008B430F" w:rsidRDefault="00732F47" w:rsidP="00732F47">
      <w:r w:rsidRPr="008B430F">
        <w:t xml:space="preserve">The </w:t>
      </w:r>
      <w:r w:rsidRPr="008B430F">
        <w:rPr>
          <w:rFonts w:cstheme="minorHAnsi"/>
          <w:szCs w:val="20"/>
        </w:rPr>
        <w:t>1 August 2017 PBS listing of n</w:t>
      </w:r>
      <w:r w:rsidRPr="008B430F">
        <w:t xml:space="preserve">ivolumab was for </w:t>
      </w:r>
      <w:r>
        <w:t>second-</w:t>
      </w:r>
      <w:r w:rsidRPr="008B430F">
        <w:t xml:space="preserve">line treatment of advanced or metastatic clear cell variant RCC following </w:t>
      </w:r>
      <w:r>
        <w:t>first-</w:t>
      </w:r>
      <w:r w:rsidRPr="008B430F">
        <w:t xml:space="preserve">line treatment with a tyrosine kinase inhibitor (TKI). At that time of listing nivolumab was an alternative to everolimus, axitinib and sorafenib. After listing, cabozantinib was also listed as a </w:t>
      </w:r>
      <w:r>
        <w:t>second-</w:t>
      </w:r>
      <w:r w:rsidRPr="008B430F">
        <w:t>line treatment for RCC on 1 June 2018.</w:t>
      </w:r>
    </w:p>
    <w:p w:rsidR="00732F47" w:rsidRPr="008B430F" w:rsidRDefault="00732F47" w:rsidP="00732F47">
      <w:r w:rsidRPr="008B430F">
        <w:t xml:space="preserve">On 1 March 2019 </w:t>
      </w:r>
      <w:r w:rsidRPr="008B430F">
        <w:rPr>
          <w:rFonts w:cstheme="minorHAnsi"/>
          <w:szCs w:val="20"/>
        </w:rPr>
        <w:t>n</w:t>
      </w:r>
      <w:r w:rsidRPr="008B430F">
        <w:t xml:space="preserve">ivolumab in combination with ipilimumab was listed on the PBS as a </w:t>
      </w:r>
      <w:r>
        <w:t>first-</w:t>
      </w:r>
      <w:r w:rsidRPr="008B430F">
        <w:t>line treatment of Stage IV clear cell variant RCC in patients meeting the International Metastatic Renal Cell Carcinoma Database Consortium (IMDC) intermediate to poor risk group criteria</w:t>
      </w:r>
      <w:r w:rsidRPr="008B430F">
        <w:rPr>
          <w:vertAlign w:val="superscript"/>
        </w:rPr>
        <w:t>1</w:t>
      </w:r>
      <w:r w:rsidRPr="008B430F">
        <w:t xml:space="preserve">. Patients are still eligible for nivolumab in </w:t>
      </w:r>
      <w:r>
        <w:t>second-</w:t>
      </w:r>
      <w:r w:rsidRPr="008B430F">
        <w:t xml:space="preserve">line treatment if they have </w:t>
      </w:r>
      <w:r>
        <w:t>first-</w:t>
      </w:r>
      <w:r w:rsidRPr="008B430F">
        <w:t xml:space="preserve">line TKI treatment. </w:t>
      </w:r>
    </w:p>
    <w:p w:rsidR="00732F47" w:rsidRDefault="00732F47" w:rsidP="00732F47">
      <w:pPr>
        <w:rPr>
          <w:rFonts w:cstheme="minorHAnsi"/>
          <w:szCs w:val="20"/>
        </w:rPr>
      </w:pPr>
    </w:p>
    <w:p w:rsidR="007247B9" w:rsidRDefault="007247B9" w:rsidP="00CF5E22">
      <w:pPr>
        <w:pStyle w:val="Heading2"/>
      </w:pPr>
      <w:r>
        <w:t>Pharmacology</w:t>
      </w:r>
    </w:p>
    <w:p w:rsidR="00732F47" w:rsidRDefault="00732F47" w:rsidP="00732F47">
      <w:r w:rsidRPr="008B430F">
        <w:lastRenderedPageBreak/>
        <w:t>Nivolumab is a protein which helps the immune system to attack and destroy cancer cells</w:t>
      </w:r>
      <w:r>
        <w:t>.</w:t>
      </w:r>
      <w:r w:rsidRPr="008B430F">
        <w:rPr>
          <w:rStyle w:val="FootnoteReference"/>
        </w:rPr>
        <w:footnoteReference w:id="2"/>
      </w:r>
      <w:r>
        <w:t xml:space="preserve"> </w:t>
      </w:r>
      <w:r w:rsidRPr="008B430F">
        <w:t>It is a human anti PD-1 monoclonal antibody which inhibits the programmed death 1 (PD-1) receptor from binding to its ligands (PD-L1 and PD-L2) on tumour cells, reactivating cytotoxic T lymphocytes and anti-tumour immunity.</w:t>
      </w:r>
      <w:r w:rsidRPr="008B430F">
        <w:rPr>
          <w:rStyle w:val="FootnoteReference"/>
        </w:rPr>
        <w:footnoteReference w:id="3"/>
      </w:r>
    </w:p>
    <w:p w:rsidR="00732F47" w:rsidRDefault="00732F47" w:rsidP="00732F47">
      <w:r>
        <w:t>Ipilimumab</w:t>
      </w:r>
      <w:r w:rsidRPr="008B430F">
        <w:t xml:space="preserve"> is </w:t>
      </w:r>
      <w:r>
        <w:t xml:space="preserve">also </w:t>
      </w:r>
      <w:r w:rsidRPr="008B430F">
        <w:t>a protein which helps the immune system to attack and destroy cancer cells.</w:t>
      </w:r>
      <w:r>
        <w:t xml:space="preserve"> It b</w:t>
      </w:r>
      <w:r w:rsidRPr="00A21DB6">
        <w:t>inds to the cytotoxic T lymphocyte-associated antigen 4 (CTLA</w:t>
      </w:r>
      <w:r w:rsidRPr="00A21DB6">
        <w:rPr>
          <w:rFonts w:ascii="Cambria Math" w:hAnsi="Cambria Math" w:cs="Cambria Math"/>
        </w:rPr>
        <w:t>‑</w:t>
      </w:r>
      <w:r w:rsidRPr="00A21DB6">
        <w:t>4) resulting in an enhanced T</w:t>
      </w:r>
      <w:r w:rsidRPr="00A21DB6">
        <w:rPr>
          <w:rFonts w:ascii="Cambria Math" w:hAnsi="Cambria Math" w:cs="Cambria Math"/>
        </w:rPr>
        <w:t>‑</w:t>
      </w:r>
      <w:r w:rsidRPr="00A21DB6">
        <w:t>cell mediated immune response which leads to tumour cell death.</w:t>
      </w:r>
      <w:r w:rsidRPr="00A21DB6">
        <w:rPr>
          <w:vertAlign w:val="superscript"/>
        </w:rPr>
        <w:t>3</w:t>
      </w:r>
    </w:p>
    <w:p w:rsidR="001420B3" w:rsidRPr="005E22C2" w:rsidRDefault="00A52918" w:rsidP="00CF5E22">
      <w:pPr>
        <w:pStyle w:val="Heading2"/>
      </w:pPr>
      <w:r w:rsidRPr="00A52918">
        <w:t xml:space="preserve">Therapeutic Goods Administration </w:t>
      </w:r>
      <w:r>
        <w:t>(</w:t>
      </w:r>
      <w:r w:rsidR="001420B3" w:rsidRPr="005E22C2">
        <w:t>TGA</w:t>
      </w:r>
      <w:r>
        <w:t>)</w:t>
      </w:r>
      <w:r w:rsidR="001420B3" w:rsidRPr="005E22C2">
        <w:t xml:space="preserve"> approved </w:t>
      </w:r>
      <w:r w:rsidR="001420B3">
        <w:t>i</w:t>
      </w:r>
      <w:r w:rsidR="001420B3" w:rsidRPr="005E22C2">
        <w:t>ndications</w:t>
      </w:r>
    </w:p>
    <w:p w:rsidR="00732F47" w:rsidRPr="00ED44DC" w:rsidRDefault="00732F47" w:rsidP="00732F47">
      <w:r w:rsidRPr="00ED44DC">
        <w:t>Nivolumab is indicated for the treatment of</w:t>
      </w:r>
      <w:r>
        <w:t xml:space="preserve"> </w:t>
      </w:r>
      <w:r w:rsidRPr="00ED44DC">
        <w:rPr>
          <w:rStyle w:val="FootnoteReference"/>
        </w:rPr>
        <w:footnoteReference w:id="4"/>
      </w:r>
      <w:r w:rsidRPr="00ED44DC">
        <w:t>;</w:t>
      </w:r>
    </w:p>
    <w:p w:rsidR="00732F47" w:rsidRPr="00ED44DC" w:rsidRDefault="00732F47" w:rsidP="00732F47">
      <w:pPr>
        <w:pStyle w:val="ListParagraph"/>
        <w:numPr>
          <w:ilvl w:val="0"/>
          <w:numId w:val="1"/>
        </w:numPr>
        <w:autoSpaceDE w:val="0"/>
        <w:autoSpaceDN w:val="0"/>
        <w:adjustRightInd w:val="0"/>
        <w:spacing w:after="0"/>
        <w:rPr>
          <w:rFonts w:cstheme="minorHAnsi"/>
          <w:color w:val="000000"/>
        </w:rPr>
      </w:pPr>
      <w:r w:rsidRPr="00ED44DC">
        <w:rPr>
          <w:rFonts w:cstheme="minorHAnsi"/>
          <w:bCs/>
          <w:color w:val="000000"/>
        </w:rPr>
        <w:t xml:space="preserve">Melanoma </w:t>
      </w:r>
      <w:r w:rsidRPr="00ED44DC">
        <w:rPr>
          <w:rFonts w:cstheme="minorHAnsi"/>
          <w:bCs/>
          <w:color w:val="000000"/>
        </w:rPr>
        <w:br/>
        <w:t>- as monotherapy and in combination with ipilimumab</w:t>
      </w:r>
      <w:r>
        <w:rPr>
          <w:rFonts w:cstheme="minorHAnsi"/>
          <w:bCs/>
          <w:color w:val="000000"/>
        </w:rPr>
        <w:t>.</w:t>
      </w:r>
    </w:p>
    <w:p w:rsidR="00732F47" w:rsidRPr="00ED44DC" w:rsidRDefault="00732F47" w:rsidP="00732F47">
      <w:pPr>
        <w:pStyle w:val="ListParagraph"/>
        <w:numPr>
          <w:ilvl w:val="0"/>
          <w:numId w:val="1"/>
        </w:numPr>
        <w:autoSpaceDE w:val="0"/>
        <w:autoSpaceDN w:val="0"/>
        <w:adjustRightInd w:val="0"/>
        <w:spacing w:after="0"/>
        <w:rPr>
          <w:rFonts w:cstheme="minorHAnsi"/>
          <w:color w:val="000000"/>
        </w:rPr>
      </w:pPr>
      <w:r w:rsidRPr="00ED44DC">
        <w:rPr>
          <w:rFonts w:cstheme="minorHAnsi"/>
          <w:bCs/>
          <w:color w:val="000000"/>
        </w:rPr>
        <w:t xml:space="preserve">Non-Small Cell Lung Cancer (NSCLC) </w:t>
      </w:r>
      <w:r>
        <w:rPr>
          <w:rFonts w:cstheme="minorHAnsi"/>
          <w:bCs/>
          <w:color w:val="000000"/>
        </w:rPr>
        <w:br/>
      </w:r>
      <w:r w:rsidRPr="00ED44DC">
        <w:rPr>
          <w:rFonts w:cstheme="minorHAnsi"/>
          <w:bCs/>
          <w:color w:val="000000"/>
        </w:rPr>
        <w:t>- as monotherapy and in combination with ipilimumab</w:t>
      </w:r>
      <w:r>
        <w:rPr>
          <w:rFonts w:cstheme="minorHAnsi"/>
          <w:bCs/>
          <w:color w:val="000000"/>
        </w:rPr>
        <w:t>.</w:t>
      </w:r>
    </w:p>
    <w:p w:rsidR="00732F47" w:rsidRPr="00ED44DC" w:rsidRDefault="00732F47" w:rsidP="00732F47">
      <w:pPr>
        <w:pStyle w:val="ListParagraph"/>
        <w:numPr>
          <w:ilvl w:val="0"/>
          <w:numId w:val="1"/>
        </w:numPr>
        <w:autoSpaceDE w:val="0"/>
        <w:autoSpaceDN w:val="0"/>
        <w:adjustRightInd w:val="0"/>
        <w:spacing w:after="0"/>
        <w:rPr>
          <w:rFonts w:cstheme="minorHAnsi"/>
        </w:rPr>
      </w:pPr>
      <w:r>
        <w:t xml:space="preserve">Malignant Pleural Mesothelioma (MPM) </w:t>
      </w:r>
      <w:r>
        <w:br/>
        <w:t>- in combination with ipilimumab.</w:t>
      </w:r>
    </w:p>
    <w:p w:rsidR="00732F47" w:rsidRPr="00ED44DC" w:rsidRDefault="00732F47" w:rsidP="00732F47">
      <w:pPr>
        <w:pStyle w:val="ListParagraph"/>
        <w:numPr>
          <w:ilvl w:val="0"/>
          <w:numId w:val="1"/>
        </w:numPr>
        <w:autoSpaceDE w:val="0"/>
        <w:autoSpaceDN w:val="0"/>
        <w:adjustRightInd w:val="0"/>
        <w:spacing w:after="0"/>
        <w:rPr>
          <w:rFonts w:cstheme="minorHAnsi"/>
          <w:color w:val="000000"/>
        </w:rPr>
      </w:pPr>
      <w:r w:rsidRPr="00ED44DC">
        <w:rPr>
          <w:rFonts w:cstheme="minorHAnsi"/>
          <w:bCs/>
          <w:color w:val="000000"/>
        </w:rPr>
        <w:t>Renal Cell Carcinoma (RCC)</w:t>
      </w:r>
      <w:r w:rsidRPr="00ED44DC">
        <w:rPr>
          <w:rFonts w:cstheme="minorHAnsi"/>
          <w:bCs/>
          <w:color w:val="000000"/>
        </w:rPr>
        <w:br/>
        <w:t xml:space="preserve">- </w:t>
      </w:r>
      <w:r w:rsidRPr="00ED44DC">
        <w:rPr>
          <w:rFonts w:cstheme="minorHAnsi"/>
          <w:color w:val="000000"/>
        </w:rPr>
        <w:t>in combination with ipilimumab, is indicated for the treatment of patients with intermediate/poor-risk, previously untreated advanced renal cell carcinoma.</w:t>
      </w:r>
      <w:r w:rsidRPr="00ED44DC">
        <w:rPr>
          <w:rFonts w:cstheme="minorHAnsi"/>
          <w:color w:val="000000"/>
        </w:rPr>
        <w:br/>
        <w:t xml:space="preserve">- as monotherapy, is indicated for the treatment of patients with advanced clear cell renal cell carcinoma after prior anti-angiogenic therapy. </w:t>
      </w:r>
    </w:p>
    <w:p w:rsidR="00732F47" w:rsidRPr="00ED44DC" w:rsidRDefault="00732F47" w:rsidP="00732F47">
      <w:pPr>
        <w:pStyle w:val="ListParagraph"/>
        <w:numPr>
          <w:ilvl w:val="0"/>
          <w:numId w:val="1"/>
        </w:numPr>
        <w:autoSpaceDE w:val="0"/>
        <w:autoSpaceDN w:val="0"/>
        <w:adjustRightInd w:val="0"/>
        <w:spacing w:after="0"/>
        <w:rPr>
          <w:rFonts w:cstheme="minorHAnsi"/>
          <w:color w:val="000000"/>
        </w:rPr>
      </w:pPr>
      <w:r w:rsidRPr="00ED44DC">
        <w:rPr>
          <w:rFonts w:cstheme="minorHAnsi"/>
          <w:bCs/>
          <w:color w:val="000000"/>
        </w:rPr>
        <w:t xml:space="preserve">Classical Hodgkin Lymphoma (cHL) </w:t>
      </w:r>
    </w:p>
    <w:p w:rsidR="00732F47" w:rsidRPr="00ED44DC" w:rsidRDefault="00732F47" w:rsidP="00732F47">
      <w:pPr>
        <w:pStyle w:val="ListParagraph"/>
        <w:numPr>
          <w:ilvl w:val="0"/>
          <w:numId w:val="1"/>
        </w:numPr>
        <w:autoSpaceDE w:val="0"/>
        <w:autoSpaceDN w:val="0"/>
        <w:adjustRightInd w:val="0"/>
        <w:spacing w:after="0"/>
        <w:rPr>
          <w:rFonts w:cstheme="minorHAnsi"/>
          <w:color w:val="000000"/>
        </w:rPr>
      </w:pPr>
      <w:r w:rsidRPr="00ED44DC">
        <w:rPr>
          <w:rFonts w:cstheme="minorHAnsi"/>
          <w:bCs/>
          <w:color w:val="000000"/>
        </w:rPr>
        <w:t xml:space="preserve">Squamous Cell Carcinoma of the Head and Neck (SCCHN) </w:t>
      </w:r>
    </w:p>
    <w:p w:rsidR="00732F47" w:rsidRPr="00ED44DC" w:rsidRDefault="00732F47" w:rsidP="00732F47">
      <w:pPr>
        <w:pStyle w:val="ListParagraph"/>
        <w:numPr>
          <w:ilvl w:val="0"/>
          <w:numId w:val="1"/>
        </w:numPr>
        <w:autoSpaceDE w:val="0"/>
        <w:autoSpaceDN w:val="0"/>
        <w:adjustRightInd w:val="0"/>
        <w:spacing w:after="0"/>
        <w:rPr>
          <w:rFonts w:cstheme="minorHAnsi"/>
          <w:bCs/>
          <w:color w:val="000000"/>
        </w:rPr>
      </w:pPr>
      <w:r w:rsidRPr="00ED44DC">
        <w:rPr>
          <w:rFonts w:cstheme="minorHAnsi"/>
          <w:bCs/>
          <w:color w:val="000000"/>
        </w:rPr>
        <w:t xml:space="preserve">Urothelial Carcinoma (UC) </w:t>
      </w:r>
    </w:p>
    <w:p w:rsidR="00732F47" w:rsidRPr="00ED44DC" w:rsidRDefault="00732F47" w:rsidP="00732F47">
      <w:pPr>
        <w:pStyle w:val="ListParagraph"/>
        <w:numPr>
          <w:ilvl w:val="0"/>
          <w:numId w:val="1"/>
        </w:numPr>
        <w:autoSpaceDE w:val="0"/>
        <w:autoSpaceDN w:val="0"/>
        <w:adjustRightInd w:val="0"/>
        <w:spacing w:after="0"/>
        <w:rPr>
          <w:rFonts w:cstheme="minorHAnsi"/>
        </w:rPr>
      </w:pPr>
      <w:r w:rsidRPr="00ED44DC">
        <w:rPr>
          <w:rFonts w:cstheme="minorHAnsi"/>
          <w:bCs/>
        </w:rPr>
        <w:t xml:space="preserve">Hepatocellular Carcinoma (HCC) </w:t>
      </w:r>
    </w:p>
    <w:p w:rsidR="00732F47" w:rsidRPr="00175CF1" w:rsidRDefault="00732F47" w:rsidP="00732F47">
      <w:pPr>
        <w:pStyle w:val="ListParagraph"/>
        <w:numPr>
          <w:ilvl w:val="0"/>
          <w:numId w:val="1"/>
        </w:numPr>
        <w:autoSpaceDE w:val="0"/>
        <w:autoSpaceDN w:val="0"/>
        <w:adjustRightInd w:val="0"/>
        <w:spacing w:after="0"/>
        <w:rPr>
          <w:rFonts w:cstheme="minorHAnsi"/>
        </w:rPr>
      </w:pPr>
      <w:r>
        <w:t>Oesophageal Squamous Cell Carcinoma (OSCC)</w:t>
      </w:r>
    </w:p>
    <w:p w:rsidR="00732F47" w:rsidRDefault="00732F47" w:rsidP="00732F47">
      <w:pPr>
        <w:autoSpaceDE w:val="0"/>
        <w:autoSpaceDN w:val="0"/>
        <w:adjustRightInd w:val="0"/>
        <w:spacing w:after="0"/>
        <w:rPr>
          <w:rFonts w:cstheme="minorHAnsi"/>
        </w:rPr>
      </w:pPr>
    </w:p>
    <w:p w:rsidR="00732F47" w:rsidRPr="00ED44DC" w:rsidRDefault="00732F47" w:rsidP="00732F47">
      <w:r>
        <w:t>Ipilimumab</w:t>
      </w:r>
      <w:r w:rsidRPr="00ED44DC">
        <w:t xml:space="preserve"> is indicated for the treatment of</w:t>
      </w:r>
      <w:r>
        <w:t xml:space="preserve"> </w:t>
      </w:r>
      <w:r>
        <w:rPr>
          <w:rStyle w:val="FootnoteReference"/>
        </w:rPr>
        <w:footnoteReference w:id="5"/>
      </w:r>
      <w:r w:rsidRPr="00ED44DC">
        <w:t>;</w:t>
      </w:r>
    </w:p>
    <w:p w:rsidR="00732F47" w:rsidRPr="00ED44DC" w:rsidRDefault="00732F47" w:rsidP="00732F47">
      <w:pPr>
        <w:pStyle w:val="ListParagraph"/>
        <w:numPr>
          <w:ilvl w:val="0"/>
          <w:numId w:val="1"/>
        </w:numPr>
        <w:autoSpaceDE w:val="0"/>
        <w:autoSpaceDN w:val="0"/>
        <w:adjustRightInd w:val="0"/>
        <w:spacing w:after="0"/>
        <w:rPr>
          <w:rFonts w:cstheme="minorHAnsi"/>
          <w:color w:val="000000"/>
        </w:rPr>
      </w:pPr>
      <w:r w:rsidRPr="00ED44DC">
        <w:rPr>
          <w:rFonts w:cstheme="minorHAnsi"/>
          <w:bCs/>
          <w:color w:val="000000"/>
        </w:rPr>
        <w:t xml:space="preserve">Melanoma </w:t>
      </w:r>
      <w:r w:rsidRPr="00ED44DC">
        <w:rPr>
          <w:rFonts w:cstheme="minorHAnsi"/>
          <w:bCs/>
          <w:color w:val="000000"/>
        </w:rPr>
        <w:br/>
        <w:t xml:space="preserve">- as monotherapy and in combination with </w:t>
      </w:r>
      <w:r>
        <w:rPr>
          <w:rFonts w:cstheme="minorHAnsi"/>
          <w:bCs/>
          <w:color w:val="000000"/>
        </w:rPr>
        <w:t>nivolumab.</w:t>
      </w:r>
    </w:p>
    <w:p w:rsidR="00732F47" w:rsidRPr="00ED44DC" w:rsidRDefault="00732F47" w:rsidP="00732F47">
      <w:pPr>
        <w:pStyle w:val="ListParagraph"/>
        <w:numPr>
          <w:ilvl w:val="0"/>
          <w:numId w:val="1"/>
        </w:numPr>
        <w:autoSpaceDE w:val="0"/>
        <w:autoSpaceDN w:val="0"/>
        <w:adjustRightInd w:val="0"/>
        <w:spacing w:after="0"/>
        <w:rPr>
          <w:rFonts w:cstheme="minorHAnsi"/>
          <w:color w:val="000000"/>
        </w:rPr>
      </w:pPr>
      <w:r w:rsidRPr="00ED44DC">
        <w:rPr>
          <w:rFonts w:cstheme="minorHAnsi"/>
          <w:bCs/>
          <w:color w:val="000000"/>
        </w:rPr>
        <w:t xml:space="preserve">Non-Small Cell Lung Cancer (NSCLC) </w:t>
      </w:r>
      <w:r>
        <w:rPr>
          <w:rFonts w:cstheme="minorHAnsi"/>
          <w:bCs/>
          <w:color w:val="000000"/>
        </w:rPr>
        <w:br/>
        <w:t xml:space="preserve">- </w:t>
      </w:r>
      <w:r w:rsidRPr="00ED44DC">
        <w:rPr>
          <w:rFonts w:cstheme="minorHAnsi"/>
          <w:bCs/>
          <w:color w:val="000000"/>
        </w:rPr>
        <w:t xml:space="preserve">in combination with </w:t>
      </w:r>
      <w:r>
        <w:rPr>
          <w:rFonts w:cstheme="minorHAnsi"/>
          <w:bCs/>
          <w:color w:val="000000"/>
        </w:rPr>
        <w:t>nivolumab.</w:t>
      </w:r>
    </w:p>
    <w:p w:rsidR="00732F47" w:rsidRPr="00175CF1" w:rsidRDefault="00732F47" w:rsidP="00732F47">
      <w:pPr>
        <w:pStyle w:val="ListParagraph"/>
        <w:numPr>
          <w:ilvl w:val="0"/>
          <w:numId w:val="1"/>
        </w:numPr>
        <w:autoSpaceDE w:val="0"/>
        <w:autoSpaceDN w:val="0"/>
        <w:adjustRightInd w:val="0"/>
        <w:spacing w:after="0"/>
        <w:rPr>
          <w:rFonts w:cstheme="minorHAnsi"/>
        </w:rPr>
      </w:pPr>
      <w:r>
        <w:t xml:space="preserve">Malignant Pleural Mesothelioma (MPM) </w:t>
      </w:r>
      <w:r>
        <w:br/>
        <w:t xml:space="preserve">- in combination with </w:t>
      </w:r>
      <w:r>
        <w:rPr>
          <w:rFonts w:cstheme="minorHAnsi"/>
          <w:bCs/>
          <w:color w:val="000000"/>
        </w:rPr>
        <w:t>nivolumab</w:t>
      </w:r>
      <w:r>
        <w:t>.</w:t>
      </w:r>
    </w:p>
    <w:p w:rsidR="00732F47" w:rsidRPr="00175CF1" w:rsidRDefault="00732F47" w:rsidP="00732F47">
      <w:pPr>
        <w:pStyle w:val="ListParagraph"/>
        <w:numPr>
          <w:ilvl w:val="0"/>
          <w:numId w:val="1"/>
        </w:numPr>
        <w:autoSpaceDE w:val="0"/>
        <w:autoSpaceDN w:val="0"/>
        <w:adjustRightInd w:val="0"/>
        <w:spacing w:after="0"/>
        <w:rPr>
          <w:rFonts w:cstheme="minorHAnsi"/>
        </w:rPr>
      </w:pPr>
      <w:r w:rsidRPr="00175CF1">
        <w:rPr>
          <w:rFonts w:cstheme="minorHAnsi"/>
          <w:bCs/>
          <w:color w:val="000000"/>
        </w:rPr>
        <w:lastRenderedPageBreak/>
        <w:t>Renal Cell Carcinoma (RCC)</w:t>
      </w:r>
      <w:r w:rsidRPr="00175CF1">
        <w:rPr>
          <w:rFonts w:cstheme="minorHAnsi"/>
          <w:bCs/>
          <w:color w:val="000000"/>
        </w:rPr>
        <w:br/>
        <w:t xml:space="preserve">- </w:t>
      </w:r>
      <w:r w:rsidRPr="00175CF1">
        <w:rPr>
          <w:rFonts w:cstheme="minorHAnsi"/>
          <w:color w:val="000000"/>
        </w:rPr>
        <w:t xml:space="preserve">in combination with ipilimumab, is indicated for the treatment of patients with intermediate/poor-risk, previously untreated </w:t>
      </w:r>
      <w:r>
        <w:rPr>
          <w:rFonts w:cstheme="minorHAnsi"/>
          <w:color w:val="000000"/>
        </w:rPr>
        <w:t>advanced renal cell carcinoma.</w:t>
      </w:r>
    </w:p>
    <w:p w:rsidR="006B709B" w:rsidRDefault="006B709B" w:rsidP="00CF5E22">
      <w:pPr>
        <w:pStyle w:val="Heading2"/>
      </w:pPr>
      <w:r>
        <w:t>Dosage and administration</w:t>
      </w:r>
    </w:p>
    <w:p w:rsidR="00732F47" w:rsidRDefault="00732F47" w:rsidP="00732F47">
      <w:r>
        <w:t>Induction / C</w:t>
      </w:r>
      <w:r w:rsidRPr="00B7782B">
        <w:t xml:space="preserve">ombination Phase: The recommended dose of </w:t>
      </w:r>
      <w:r>
        <w:t>nivolumab</w:t>
      </w:r>
      <w:r w:rsidRPr="00B7782B">
        <w:t xml:space="preserve"> in the combination phase is 3 mg/kg administered intravenously over 30 minutes every 3 weeks for the first 4 doses in combination with 1 mg/kg ipilimumab administered intravenously over 30 minutes. This should be followed by </w:t>
      </w:r>
      <w:r>
        <w:t>nivolumab</w:t>
      </w:r>
      <w:r w:rsidRPr="00B7782B">
        <w:t xml:space="preserve"> monotherapy therapy in the single-agent</w:t>
      </w:r>
      <w:r>
        <w:t xml:space="preserve"> / maintenance </w:t>
      </w:r>
      <w:r w:rsidRPr="00B7782B">
        <w:t xml:space="preserve">phase (see below). </w:t>
      </w:r>
    </w:p>
    <w:p w:rsidR="00732F47" w:rsidRDefault="00732F47" w:rsidP="00732F47">
      <w:r w:rsidRPr="00B7782B">
        <w:t xml:space="preserve">Single-agent </w:t>
      </w:r>
      <w:r>
        <w:t xml:space="preserve">/ Maintenance </w:t>
      </w:r>
      <w:r w:rsidRPr="00B7782B">
        <w:t xml:space="preserve">Phase: The recommended dose of </w:t>
      </w:r>
      <w:r>
        <w:t>nivolumab</w:t>
      </w:r>
      <w:r w:rsidRPr="00B7782B">
        <w:t xml:space="preserve"> in the single agent phase administered intravenously over 30 minutes is 3 mg/kg every 2 weeks or 240 mg every 2 weeks or 480 mg every 4 weeks. </w:t>
      </w:r>
    </w:p>
    <w:p w:rsidR="00732F47" w:rsidRDefault="00732F47" w:rsidP="00732F47">
      <w:r w:rsidRPr="00B7782B">
        <w:t>Following the last dose of the combination of nivolumab and ipilimumab, the first dose of nivolumab monotherapy should be administered after 3 weeks when using 3 mg/kg or 240 mg or 6 weeks when using 480 mg. Treatment with nivolumab in the single-agent phase should be continued as long as clinical benefit is observed or until treatment is no longer tolerated by the patient.</w:t>
      </w:r>
    </w:p>
    <w:p w:rsidR="00732F47" w:rsidRPr="00D512CE" w:rsidRDefault="00732F47" w:rsidP="00732F47">
      <w:r w:rsidRPr="00D512CE">
        <w:t xml:space="preserve">The current Product Information (PI) and Consumer Medicine Information (CMI) are available from </w:t>
      </w:r>
      <w:r w:rsidRPr="008B1167">
        <w:t>the TGA (Product Information)</w:t>
      </w:r>
      <w:r w:rsidRPr="00D512CE">
        <w:t xml:space="preserve"> and </w:t>
      </w:r>
      <w:r w:rsidRPr="008B1167">
        <w:t>the TGA (Consumer Medicines Information)</w:t>
      </w:r>
      <w:r w:rsidRPr="00D512CE">
        <w:t>.</w:t>
      </w:r>
    </w:p>
    <w:p w:rsidR="00F17D4B" w:rsidRPr="002F61CA" w:rsidRDefault="00F17D4B" w:rsidP="00F17D4B"/>
    <w:p w:rsidR="00732F47" w:rsidRPr="007C7DCF" w:rsidDel="00EE2BBB" w:rsidRDefault="00732F47" w:rsidP="00732F47">
      <w:pPr>
        <w:pStyle w:val="Heading2"/>
      </w:pPr>
      <w:r w:rsidRPr="007C7DCF" w:rsidDel="00EE2BBB">
        <w:t>PBS listing details</w:t>
      </w:r>
      <w:r w:rsidRPr="007C7DCF">
        <w:t xml:space="preserve"> (as at 1 </w:t>
      </w:r>
      <w:r>
        <w:t>August 2021</w:t>
      </w:r>
      <w:r w:rsidRPr="007C7DCF" w:rsidDel="00EE2BBB">
        <w:t>)</w:t>
      </w:r>
    </w:p>
    <w:p w:rsidR="00732F47" w:rsidRPr="007C7DCF" w:rsidRDefault="00732F47" w:rsidP="00732F47">
      <w:pPr>
        <w:rPr>
          <w:b/>
        </w:rPr>
      </w:pPr>
      <w:r w:rsidRPr="007C7DCF">
        <w:t>Table</w:t>
      </w:r>
      <w:r>
        <w:t>s</w:t>
      </w:r>
      <w:r w:rsidRPr="007C7DCF">
        <w:t xml:space="preserve"> 1</w:t>
      </w:r>
      <w:r>
        <w:t>A &amp; 1B</w:t>
      </w:r>
      <w:r w:rsidRPr="007C7DCF">
        <w:t xml:space="preserve"> shows the </w:t>
      </w:r>
      <w:r w:rsidRPr="007C7DCF" w:rsidDel="00EE2BBB">
        <w:t>PBS listing</w:t>
      </w:r>
      <w:r w:rsidRPr="007C7DCF">
        <w:t>s</w:t>
      </w:r>
      <w:r w:rsidRPr="007C7DCF" w:rsidDel="00EE2BBB">
        <w:t xml:space="preserve"> of </w:t>
      </w:r>
      <w:r w:rsidRPr="007C7DCF">
        <w:t xml:space="preserve">nivolumab </w:t>
      </w:r>
      <w:r>
        <w:t xml:space="preserve">and ipilimumab </w:t>
      </w:r>
      <w:r w:rsidRPr="007C7DCF">
        <w:t xml:space="preserve">for </w:t>
      </w:r>
      <w:r>
        <w:rPr>
          <w:rFonts w:cstheme="minorHAnsi"/>
          <w:szCs w:val="20"/>
        </w:rPr>
        <w:t>first-</w:t>
      </w:r>
      <w:r w:rsidRPr="007C7DCF">
        <w:rPr>
          <w:rFonts w:cstheme="minorHAnsi"/>
          <w:szCs w:val="20"/>
        </w:rPr>
        <w:t>line treatment of Stage IV clear cell variant RCC</w:t>
      </w:r>
      <w:r w:rsidRPr="007C7DCF">
        <w:t xml:space="preserve">. </w:t>
      </w:r>
    </w:p>
    <w:p w:rsidR="00732F47" w:rsidRPr="007C7DCF" w:rsidDel="00EE2BBB" w:rsidRDefault="00732F47" w:rsidP="00732F47">
      <w:pPr>
        <w:pStyle w:val="Tabletitle"/>
        <w:keepNext/>
      </w:pPr>
      <w:r w:rsidRPr="007C7DCF">
        <w:t>Table 1</w:t>
      </w:r>
      <w:r>
        <w:t>A</w:t>
      </w:r>
      <w:r w:rsidRPr="007C7DCF" w:rsidDel="00EE2BBB">
        <w:t>: PBS listing</w:t>
      </w:r>
      <w:r w:rsidRPr="007C7DCF">
        <w:t>s</w:t>
      </w:r>
      <w:r w:rsidRPr="007C7DCF" w:rsidDel="00EE2BBB">
        <w:t xml:space="preserve"> of </w:t>
      </w:r>
      <w:r w:rsidRPr="007C7DCF">
        <w:t xml:space="preserve">nivolumab </w:t>
      </w:r>
      <w:r>
        <w:t>f</w:t>
      </w:r>
      <w:r w:rsidRPr="007C7DCF">
        <w:t xml:space="preserve">or </w:t>
      </w:r>
      <w:r>
        <w:t>first-</w:t>
      </w:r>
      <w:r w:rsidRPr="007C7DCF">
        <w:t>line treatment of RCC</w:t>
      </w:r>
      <w:r w:rsidRPr="007C7DCF" w:rsidDel="00EE2BBB">
        <w:t xml:space="preserve"> </w:t>
      </w:r>
    </w:p>
    <w:tbl>
      <w:tblPr>
        <w:tblStyle w:val="TableGrid"/>
        <w:tblW w:w="8673" w:type="dxa"/>
        <w:tblLayout w:type="fixed"/>
        <w:tblLook w:val="04A0" w:firstRow="1" w:lastRow="0" w:firstColumn="1" w:lastColumn="0" w:noHBand="0" w:noVBand="1"/>
        <w:tblCaption w:val="Table 1A: PBS listings of nivolumab for first-line treatment of RCC "/>
      </w:tblPr>
      <w:tblGrid>
        <w:gridCol w:w="794"/>
        <w:gridCol w:w="1587"/>
        <w:gridCol w:w="1417"/>
        <w:gridCol w:w="907"/>
        <w:gridCol w:w="850"/>
        <w:gridCol w:w="567"/>
        <w:gridCol w:w="1134"/>
        <w:gridCol w:w="1417"/>
      </w:tblGrid>
      <w:tr w:rsidR="00732F47" w:rsidRPr="007C7DCF" w:rsidDel="00EE2BBB" w:rsidTr="00165778">
        <w:trPr>
          <w:trHeight w:val="694"/>
          <w:tblHeader/>
        </w:trPr>
        <w:tc>
          <w:tcPr>
            <w:tcW w:w="794" w:type="dxa"/>
            <w:shd w:val="clear" w:color="auto" w:fill="BFBFBF" w:themeFill="background1" w:themeFillShade="BF"/>
          </w:tcPr>
          <w:p w:rsidR="00732F47" w:rsidRPr="00BE022D" w:rsidDel="00EE2BBB" w:rsidRDefault="00732F47" w:rsidP="00165778">
            <w:pPr>
              <w:pStyle w:val="Tableheading"/>
              <w:rPr>
                <w:sz w:val="18"/>
                <w:szCs w:val="18"/>
              </w:rPr>
            </w:pPr>
            <w:r w:rsidRPr="00BE022D" w:rsidDel="00EE2BBB">
              <w:rPr>
                <w:sz w:val="18"/>
                <w:szCs w:val="18"/>
              </w:rPr>
              <w:t>Item</w:t>
            </w:r>
          </w:p>
        </w:tc>
        <w:tc>
          <w:tcPr>
            <w:tcW w:w="1587" w:type="dxa"/>
            <w:shd w:val="clear" w:color="auto" w:fill="BFBFBF" w:themeFill="background1" w:themeFillShade="BF"/>
          </w:tcPr>
          <w:p w:rsidR="00732F47" w:rsidRPr="00BE022D" w:rsidDel="00EE2BBB" w:rsidRDefault="00732F47" w:rsidP="00165778">
            <w:pPr>
              <w:pStyle w:val="Tableheading"/>
              <w:rPr>
                <w:sz w:val="18"/>
                <w:szCs w:val="18"/>
              </w:rPr>
            </w:pPr>
            <w:r w:rsidRPr="00BE022D" w:rsidDel="00EE2BBB">
              <w:rPr>
                <w:sz w:val="18"/>
                <w:szCs w:val="18"/>
              </w:rPr>
              <w:t>Name, form &amp; strength, pack size</w:t>
            </w:r>
          </w:p>
        </w:tc>
        <w:tc>
          <w:tcPr>
            <w:tcW w:w="1417" w:type="dxa"/>
            <w:shd w:val="clear" w:color="auto" w:fill="BFBFBF" w:themeFill="background1" w:themeFillShade="BF"/>
          </w:tcPr>
          <w:p w:rsidR="00732F47" w:rsidRPr="00BE022D" w:rsidDel="00EE2BBB" w:rsidRDefault="00732F47" w:rsidP="00165778">
            <w:pPr>
              <w:pStyle w:val="Tableheading"/>
              <w:rPr>
                <w:sz w:val="18"/>
                <w:szCs w:val="18"/>
              </w:rPr>
            </w:pPr>
            <w:r w:rsidRPr="00BE022D">
              <w:rPr>
                <w:sz w:val="18"/>
                <w:szCs w:val="18"/>
              </w:rPr>
              <w:t>Treatment Phase</w:t>
            </w:r>
          </w:p>
        </w:tc>
        <w:tc>
          <w:tcPr>
            <w:tcW w:w="907" w:type="dxa"/>
            <w:shd w:val="clear" w:color="auto" w:fill="BFBFBF" w:themeFill="background1" w:themeFillShade="BF"/>
          </w:tcPr>
          <w:p w:rsidR="00732F47" w:rsidRPr="00BE022D" w:rsidDel="00EE2BBB" w:rsidRDefault="00732F47" w:rsidP="00165778">
            <w:pPr>
              <w:pStyle w:val="Tableheading"/>
              <w:rPr>
                <w:sz w:val="18"/>
                <w:szCs w:val="18"/>
              </w:rPr>
            </w:pPr>
            <w:r w:rsidRPr="00BE022D">
              <w:rPr>
                <w:sz w:val="18"/>
                <w:szCs w:val="18"/>
              </w:rPr>
              <w:t>Date of listing</w:t>
            </w:r>
          </w:p>
        </w:tc>
        <w:tc>
          <w:tcPr>
            <w:tcW w:w="850" w:type="dxa"/>
            <w:shd w:val="clear" w:color="auto" w:fill="BFBFBF" w:themeFill="background1" w:themeFillShade="BF"/>
          </w:tcPr>
          <w:p w:rsidR="00732F47" w:rsidRPr="00BE022D" w:rsidDel="00EE2BBB" w:rsidRDefault="00732F47" w:rsidP="00165778">
            <w:pPr>
              <w:pStyle w:val="Tableheading"/>
              <w:rPr>
                <w:sz w:val="18"/>
                <w:szCs w:val="18"/>
              </w:rPr>
            </w:pPr>
            <w:r w:rsidRPr="00BE022D" w:rsidDel="00EE2BBB">
              <w:rPr>
                <w:sz w:val="18"/>
                <w:szCs w:val="18"/>
              </w:rPr>
              <w:t xml:space="preserve">Max. </w:t>
            </w:r>
            <w:r w:rsidRPr="00BE022D">
              <w:rPr>
                <w:sz w:val="18"/>
                <w:szCs w:val="18"/>
              </w:rPr>
              <w:t>amount</w:t>
            </w:r>
          </w:p>
        </w:tc>
        <w:tc>
          <w:tcPr>
            <w:tcW w:w="567" w:type="dxa"/>
            <w:shd w:val="clear" w:color="auto" w:fill="BFBFBF" w:themeFill="background1" w:themeFillShade="BF"/>
          </w:tcPr>
          <w:p w:rsidR="00732F47" w:rsidRPr="00BE022D" w:rsidDel="00EE2BBB" w:rsidRDefault="00732F47" w:rsidP="00165778">
            <w:pPr>
              <w:pStyle w:val="Tableheading"/>
              <w:rPr>
                <w:sz w:val="18"/>
                <w:szCs w:val="18"/>
              </w:rPr>
            </w:pPr>
            <w:r w:rsidRPr="00BE022D" w:rsidDel="00EE2BBB">
              <w:rPr>
                <w:sz w:val="18"/>
                <w:szCs w:val="18"/>
              </w:rPr>
              <w:t xml:space="preserve">Rpts </w:t>
            </w:r>
          </w:p>
        </w:tc>
        <w:tc>
          <w:tcPr>
            <w:tcW w:w="1134" w:type="dxa"/>
            <w:shd w:val="clear" w:color="auto" w:fill="BFBFBF" w:themeFill="background1" w:themeFillShade="BF"/>
          </w:tcPr>
          <w:p w:rsidR="00732F47" w:rsidRPr="00BE022D" w:rsidDel="00EE2BBB" w:rsidRDefault="00732F47" w:rsidP="00165778">
            <w:pPr>
              <w:pStyle w:val="Tableheading"/>
              <w:rPr>
                <w:sz w:val="18"/>
                <w:szCs w:val="18"/>
              </w:rPr>
            </w:pPr>
            <w:r w:rsidRPr="00BE022D">
              <w:rPr>
                <w:sz w:val="18"/>
                <w:szCs w:val="18"/>
              </w:rPr>
              <w:t>DPMA*</w:t>
            </w:r>
          </w:p>
        </w:tc>
        <w:tc>
          <w:tcPr>
            <w:tcW w:w="1417" w:type="dxa"/>
            <w:shd w:val="clear" w:color="auto" w:fill="BFBFBF" w:themeFill="background1" w:themeFillShade="BF"/>
          </w:tcPr>
          <w:p w:rsidR="00732F47" w:rsidRPr="00BE022D" w:rsidDel="00EE2BBB" w:rsidRDefault="00732F47" w:rsidP="00165778">
            <w:pPr>
              <w:pStyle w:val="Tableheading"/>
              <w:rPr>
                <w:sz w:val="18"/>
                <w:szCs w:val="18"/>
              </w:rPr>
            </w:pPr>
            <w:r w:rsidRPr="00BE022D" w:rsidDel="00EE2BBB">
              <w:rPr>
                <w:sz w:val="18"/>
                <w:szCs w:val="18"/>
              </w:rPr>
              <w:t>Brand name and manufacturer</w:t>
            </w:r>
          </w:p>
        </w:tc>
      </w:tr>
      <w:tr w:rsidR="00732F47" w:rsidRPr="007C7DCF" w:rsidDel="00EE2BBB" w:rsidTr="00165778">
        <w:trPr>
          <w:trHeight w:val="552"/>
          <w:tblHeader/>
        </w:trPr>
        <w:tc>
          <w:tcPr>
            <w:tcW w:w="794" w:type="dxa"/>
            <w:shd w:val="clear" w:color="auto" w:fill="auto"/>
            <w:vAlign w:val="center"/>
          </w:tcPr>
          <w:p w:rsidR="00732F47" w:rsidRPr="00BE022D" w:rsidRDefault="00732F47" w:rsidP="00165778">
            <w:pPr>
              <w:pStyle w:val="Tablewriting"/>
              <w:spacing w:before="0"/>
              <w:rPr>
                <w:rFonts w:ascii="Calibri" w:hAnsi="Calibri"/>
                <w:bCs/>
                <w:sz w:val="18"/>
                <w:szCs w:val="18"/>
              </w:rPr>
            </w:pPr>
            <w:r w:rsidRPr="00BE022D">
              <w:rPr>
                <w:rFonts w:cstheme="minorHAnsi"/>
                <w:sz w:val="18"/>
                <w:szCs w:val="18"/>
              </w:rPr>
              <w:t>11626X</w:t>
            </w:r>
          </w:p>
        </w:tc>
        <w:tc>
          <w:tcPr>
            <w:tcW w:w="1587" w:type="dxa"/>
            <w:vMerge w:val="restart"/>
            <w:shd w:val="clear" w:color="auto" w:fill="auto"/>
            <w:vAlign w:val="center"/>
          </w:tcPr>
          <w:p w:rsidR="00732F47" w:rsidRPr="00BE022D" w:rsidRDefault="00732F47" w:rsidP="00165778">
            <w:pPr>
              <w:pStyle w:val="Tablewriting"/>
              <w:spacing w:before="0"/>
              <w:rPr>
                <w:rFonts w:ascii="Calibri" w:hAnsi="Calibri"/>
                <w:b/>
                <w:bCs/>
                <w:sz w:val="18"/>
                <w:szCs w:val="18"/>
              </w:rPr>
            </w:pPr>
            <w:r w:rsidRPr="00BE022D">
              <w:rPr>
                <w:rFonts w:ascii="Calibri" w:hAnsi="Calibri"/>
                <w:sz w:val="18"/>
                <w:szCs w:val="18"/>
              </w:rPr>
              <w:t>Injection concentrate for I.V. infusion 100 mg in 10 mL &amp; 40 mg in 4 mL</w:t>
            </w:r>
          </w:p>
        </w:tc>
        <w:tc>
          <w:tcPr>
            <w:tcW w:w="1417" w:type="dxa"/>
            <w:vAlign w:val="center"/>
          </w:tcPr>
          <w:p w:rsidR="00732F47" w:rsidRPr="00BE022D" w:rsidRDefault="00732F47" w:rsidP="00165778">
            <w:pPr>
              <w:pStyle w:val="Tablewriting"/>
              <w:spacing w:before="0"/>
              <w:rPr>
                <w:rFonts w:ascii="Calibri" w:hAnsi="Calibri"/>
                <w:b/>
                <w:bCs/>
                <w:sz w:val="18"/>
                <w:szCs w:val="18"/>
              </w:rPr>
            </w:pPr>
            <w:r w:rsidRPr="00BE022D">
              <w:rPr>
                <w:rFonts w:ascii="Calibri" w:hAnsi="Calibri"/>
                <w:sz w:val="18"/>
                <w:szCs w:val="18"/>
              </w:rPr>
              <w:t>Maintenance</w:t>
            </w:r>
            <w:r>
              <w:rPr>
                <w:rFonts w:ascii="Calibri" w:hAnsi="Calibri"/>
                <w:sz w:val="18"/>
                <w:szCs w:val="18"/>
              </w:rPr>
              <w:t xml:space="preserve"> treatment</w:t>
            </w:r>
            <w:r w:rsidRPr="00BE022D">
              <w:rPr>
                <w:rFonts w:ascii="Calibri" w:hAnsi="Calibri"/>
                <w:sz w:val="18"/>
                <w:szCs w:val="18"/>
              </w:rPr>
              <w:t xml:space="preserve"> – </w:t>
            </w:r>
            <w:r>
              <w:rPr>
                <w:rFonts w:ascii="Calibri" w:hAnsi="Calibri"/>
                <w:sz w:val="18"/>
                <w:szCs w:val="18"/>
              </w:rPr>
              <w:t>Private</w:t>
            </w:r>
            <w:r w:rsidRPr="00BE022D">
              <w:rPr>
                <w:rFonts w:ascii="Calibri" w:hAnsi="Calibri"/>
                <w:sz w:val="18"/>
                <w:szCs w:val="18"/>
              </w:rPr>
              <w:t xml:space="preserve"> Hospital</w:t>
            </w:r>
          </w:p>
        </w:tc>
        <w:tc>
          <w:tcPr>
            <w:tcW w:w="907" w:type="dxa"/>
            <w:vMerge w:val="restart"/>
            <w:shd w:val="clear" w:color="auto" w:fill="auto"/>
            <w:vAlign w:val="center"/>
          </w:tcPr>
          <w:p w:rsidR="00732F47" w:rsidRPr="00BE022D" w:rsidRDefault="00732F47" w:rsidP="00165778">
            <w:pPr>
              <w:pStyle w:val="Tablewriting"/>
              <w:spacing w:before="0"/>
              <w:rPr>
                <w:rFonts w:ascii="Calibri" w:hAnsi="Calibri"/>
                <w:b/>
                <w:bCs/>
                <w:sz w:val="18"/>
                <w:szCs w:val="18"/>
              </w:rPr>
            </w:pPr>
            <w:r w:rsidRPr="00BE022D">
              <w:rPr>
                <w:rFonts w:ascii="Calibri" w:hAnsi="Calibri"/>
                <w:sz w:val="18"/>
                <w:szCs w:val="18"/>
              </w:rPr>
              <w:t>1/3/2019</w:t>
            </w:r>
          </w:p>
        </w:tc>
        <w:tc>
          <w:tcPr>
            <w:tcW w:w="850" w:type="dxa"/>
            <w:vAlign w:val="center"/>
          </w:tcPr>
          <w:p w:rsidR="00732F47" w:rsidRPr="00BE022D" w:rsidDel="00EE2BBB" w:rsidRDefault="00732F47" w:rsidP="00165778">
            <w:pPr>
              <w:pStyle w:val="Tablewriting"/>
              <w:spacing w:before="0"/>
              <w:rPr>
                <w:rFonts w:cstheme="minorHAnsi"/>
                <w:sz w:val="18"/>
                <w:szCs w:val="18"/>
              </w:rPr>
            </w:pPr>
            <w:r w:rsidRPr="00BE022D">
              <w:rPr>
                <w:rFonts w:cstheme="minorHAnsi"/>
                <w:color w:val="222222"/>
                <w:sz w:val="18"/>
                <w:szCs w:val="18"/>
              </w:rPr>
              <w:t>480 mg</w:t>
            </w:r>
          </w:p>
        </w:tc>
        <w:tc>
          <w:tcPr>
            <w:tcW w:w="567" w:type="dxa"/>
            <w:shd w:val="clear" w:color="auto" w:fill="auto"/>
            <w:vAlign w:val="center"/>
          </w:tcPr>
          <w:p w:rsidR="00732F47" w:rsidRPr="00BE022D" w:rsidDel="00EE2BBB" w:rsidRDefault="00732F47" w:rsidP="00165778">
            <w:pPr>
              <w:pStyle w:val="Tablewriting"/>
              <w:spacing w:before="0"/>
              <w:rPr>
                <w:rFonts w:cstheme="minorHAnsi"/>
                <w:sz w:val="18"/>
                <w:szCs w:val="18"/>
              </w:rPr>
            </w:pPr>
            <w:r w:rsidRPr="00BE022D">
              <w:rPr>
                <w:rFonts w:cstheme="minorHAnsi"/>
                <w:color w:val="222222"/>
                <w:sz w:val="18"/>
                <w:szCs w:val="18"/>
              </w:rPr>
              <w:t>11</w:t>
            </w:r>
          </w:p>
        </w:tc>
        <w:tc>
          <w:tcPr>
            <w:tcW w:w="1134" w:type="dxa"/>
            <w:shd w:val="clear" w:color="auto" w:fill="auto"/>
            <w:vAlign w:val="center"/>
          </w:tcPr>
          <w:p w:rsidR="00732F47" w:rsidRPr="00BE022D" w:rsidDel="00EE2BBB" w:rsidRDefault="00732F47" w:rsidP="00165778">
            <w:pPr>
              <w:pStyle w:val="Tablewriting"/>
              <w:spacing w:before="0"/>
              <w:rPr>
                <w:rFonts w:cstheme="minorHAnsi"/>
                <w:sz w:val="18"/>
                <w:szCs w:val="18"/>
              </w:rPr>
            </w:pPr>
            <w:r w:rsidRPr="00BE022D">
              <w:rPr>
                <w:rFonts w:cstheme="minorHAnsi"/>
                <w:color w:val="222222"/>
                <w:sz w:val="18"/>
                <w:szCs w:val="18"/>
              </w:rPr>
              <w:t>$10</w:t>
            </w:r>
            <w:r>
              <w:rPr>
                <w:rFonts w:cstheme="minorHAnsi"/>
                <w:color w:val="222222"/>
                <w:sz w:val="18"/>
                <w:szCs w:val="18"/>
              </w:rPr>
              <w:t>,</w:t>
            </w:r>
            <w:r w:rsidRPr="00BE022D">
              <w:rPr>
                <w:rFonts w:cstheme="minorHAnsi"/>
                <w:color w:val="222222"/>
                <w:sz w:val="18"/>
                <w:szCs w:val="18"/>
              </w:rPr>
              <w:t>235.25</w:t>
            </w:r>
          </w:p>
        </w:tc>
        <w:tc>
          <w:tcPr>
            <w:tcW w:w="1417" w:type="dxa"/>
            <w:vMerge w:val="restart"/>
            <w:shd w:val="clear" w:color="auto" w:fill="auto"/>
            <w:vAlign w:val="center"/>
          </w:tcPr>
          <w:p w:rsidR="00732F47" w:rsidRPr="00BE022D" w:rsidRDefault="00732F47" w:rsidP="00165778">
            <w:pPr>
              <w:pStyle w:val="Tablewriting"/>
              <w:spacing w:before="0"/>
              <w:rPr>
                <w:rFonts w:ascii="Calibri" w:hAnsi="Calibri"/>
                <w:sz w:val="18"/>
                <w:szCs w:val="18"/>
              </w:rPr>
            </w:pPr>
            <w:r w:rsidRPr="00BE022D">
              <w:rPr>
                <w:rFonts w:ascii="Calibri" w:hAnsi="Calibri"/>
                <w:sz w:val="18"/>
                <w:szCs w:val="18"/>
              </w:rPr>
              <w:t>Opdivo®</w:t>
            </w:r>
          </w:p>
          <w:p w:rsidR="00732F47" w:rsidRPr="00BE022D" w:rsidDel="00EE2BBB" w:rsidRDefault="00732F47" w:rsidP="00165778">
            <w:pPr>
              <w:pStyle w:val="Tablewriting"/>
              <w:spacing w:before="0"/>
              <w:rPr>
                <w:rFonts w:ascii="Calibri" w:hAnsi="Calibri"/>
                <w:sz w:val="18"/>
                <w:szCs w:val="18"/>
              </w:rPr>
            </w:pPr>
            <w:r w:rsidRPr="00BE022D">
              <w:rPr>
                <w:rFonts w:ascii="Calibri" w:hAnsi="Calibri"/>
                <w:sz w:val="18"/>
                <w:szCs w:val="18"/>
              </w:rPr>
              <w:t>Bristol-Myers Squibb Australia Pty Ltd</w:t>
            </w:r>
          </w:p>
        </w:tc>
      </w:tr>
      <w:tr w:rsidR="00732F47" w:rsidRPr="007C7DCF" w:rsidDel="00EE2BBB" w:rsidTr="00165778">
        <w:trPr>
          <w:trHeight w:val="546"/>
          <w:tblHeader/>
        </w:trPr>
        <w:tc>
          <w:tcPr>
            <w:tcW w:w="794" w:type="dxa"/>
            <w:shd w:val="clear" w:color="auto" w:fill="auto"/>
            <w:vAlign w:val="center"/>
          </w:tcPr>
          <w:p w:rsidR="00732F47" w:rsidRPr="00BE022D" w:rsidDel="00EE2BBB" w:rsidRDefault="00732F47" w:rsidP="00165778">
            <w:pPr>
              <w:pStyle w:val="Tablewriting"/>
              <w:spacing w:before="0"/>
              <w:rPr>
                <w:sz w:val="18"/>
                <w:szCs w:val="18"/>
              </w:rPr>
            </w:pPr>
            <w:r w:rsidRPr="00BE022D">
              <w:rPr>
                <w:rFonts w:cstheme="minorHAnsi"/>
                <w:sz w:val="18"/>
                <w:szCs w:val="18"/>
              </w:rPr>
              <w:t>11627Y</w:t>
            </w:r>
          </w:p>
        </w:tc>
        <w:tc>
          <w:tcPr>
            <w:tcW w:w="1587" w:type="dxa"/>
            <w:vMerge/>
            <w:shd w:val="clear" w:color="auto" w:fill="auto"/>
            <w:vAlign w:val="center"/>
          </w:tcPr>
          <w:p w:rsidR="00732F47" w:rsidRPr="00BE022D" w:rsidDel="00EE2BBB" w:rsidRDefault="00732F47" w:rsidP="00165778">
            <w:pPr>
              <w:pStyle w:val="Tablewriting"/>
              <w:spacing w:before="0"/>
              <w:rPr>
                <w:sz w:val="18"/>
                <w:szCs w:val="18"/>
              </w:rPr>
            </w:pPr>
          </w:p>
        </w:tc>
        <w:tc>
          <w:tcPr>
            <w:tcW w:w="1417" w:type="dxa"/>
            <w:vAlign w:val="center"/>
          </w:tcPr>
          <w:p w:rsidR="00732F47" w:rsidRPr="00BE022D" w:rsidDel="00EE2BBB" w:rsidRDefault="00732F47" w:rsidP="00165778">
            <w:pPr>
              <w:pStyle w:val="Tablewriting"/>
              <w:spacing w:before="0"/>
              <w:rPr>
                <w:sz w:val="18"/>
                <w:szCs w:val="18"/>
              </w:rPr>
            </w:pPr>
            <w:r>
              <w:rPr>
                <w:rFonts w:ascii="Calibri" w:hAnsi="Calibri"/>
                <w:sz w:val="18"/>
                <w:szCs w:val="18"/>
              </w:rPr>
              <w:t>Induction</w:t>
            </w:r>
            <w:r w:rsidRPr="00BE022D">
              <w:rPr>
                <w:rFonts w:ascii="Calibri" w:hAnsi="Calibri"/>
                <w:sz w:val="18"/>
                <w:szCs w:val="18"/>
              </w:rPr>
              <w:t xml:space="preserve"> treatment – </w:t>
            </w:r>
            <w:r>
              <w:rPr>
                <w:rFonts w:ascii="Calibri" w:hAnsi="Calibri"/>
                <w:sz w:val="18"/>
                <w:szCs w:val="18"/>
              </w:rPr>
              <w:t>Private</w:t>
            </w:r>
            <w:r w:rsidRPr="00BE022D">
              <w:rPr>
                <w:rFonts w:ascii="Calibri" w:hAnsi="Calibri"/>
                <w:sz w:val="18"/>
                <w:szCs w:val="18"/>
              </w:rPr>
              <w:t xml:space="preserve"> Hospital</w:t>
            </w:r>
          </w:p>
        </w:tc>
        <w:tc>
          <w:tcPr>
            <w:tcW w:w="907" w:type="dxa"/>
            <w:vMerge/>
            <w:shd w:val="clear" w:color="auto" w:fill="auto"/>
            <w:vAlign w:val="center"/>
          </w:tcPr>
          <w:p w:rsidR="00732F47" w:rsidRPr="00BE022D" w:rsidDel="00EE2BBB" w:rsidRDefault="00732F47" w:rsidP="00165778">
            <w:pPr>
              <w:pStyle w:val="Tablewriting"/>
              <w:spacing w:before="0"/>
              <w:rPr>
                <w:sz w:val="18"/>
                <w:szCs w:val="18"/>
              </w:rPr>
            </w:pPr>
          </w:p>
        </w:tc>
        <w:tc>
          <w:tcPr>
            <w:tcW w:w="850" w:type="dxa"/>
            <w:vAlign w:val="center"/>
          </w:tcPr>
          <w:p w:rsidR="00732F47" w:rsidRPr="00BE022D" w:rsidDel="00EE2BBB" w:rsidRDefault="00732F47" w:rsidP="00165778">
            <w:pPr>
              <w:pStyle w:val="Tablewriting"/>
              <w:spacing w:before="0"/>
              <w:rPr>
                <w:sz w:val="18"/>
                <w:szCs w:val="18"/>
              </w:rPr>
            </w:pPr>
            <w:r>
              <w:rPr>
                <w:sz w:val="18"/>
                <w:szCs w:val="18"/>
              </w:rPr>
              <w:t>360 mg</w:t>
            </w:r>
          </w:p>
        </w:tc>
        <w:tc>
          <w:tcPr>
            <w:tcW w:w="567" w:type="dxa"/>
            <w:shd w:val="clear" w:color="auto" w:fill="auto"/>
            <w:vAlign w:val="center"/>
          </w:tcPr>
          <w:p w:rsidR="00732F47" w:rsidRPr="00BE022D" w:rsidDel="00EE2BBB" w:rsidRDefault="00732F47" w:rsidP="00165778">
            <w:pPr>
              <w:pStyle w:val="Tablewriting"/>
              <w:spacing w:before="0"/>
              <w:rPr>
                <w:sz w:val="18"/>
                <w:szCs w:val="18"/>
              </w:rPr>
            </w:pPr>
            <w:r w:rsidRPr="00BE022D">
              <w:rPr>
                <w:rFonts w:cstheme="minorHAnsi"/>
                <w:color w:val="222222"/>
                <w:sz w:val="18"/>
                <w:szCs w:val="18"/>
              </w:rPr>
              <w:t>3</w:t>
            </w:r>
          </w:p>
        </w:tc>
        <w:tc>
          <w:tcPr>
            <w:tcW w:w="1134" w:type="dxa"/>
            <w:shd w:val="clear" w:color="auto" w:fill="auto"/>
            <w:vAlign w:val="center"/>
          </w:tcPr>
          <w:p w:rsidR="00732F47" w:rsidRPr="00BE022D" w:rsidDel="00EE2BBB" w:rsidRDefault="00732F47" w:rsidP="00165778">
            <w:pPr>
              <w:pStyle w:val="Tablewriting"/>
              <w:spacing w:before="0"/>
              <w:rPr>
                <w:sz w:val="18"/>
                <w:szCs w:val="18"/>
              </w:rPr>
            </w:pPr>
            <w:r w:rsidRPr="00BE022D">
              <w:rPr>
                <w:rFonts w:cstheme="minorHAnsi"/>
                <w:color w:val="222222"/>
                <w:sz w:val="18"/>
                <w:szCs w:val="18"/>
              </w:rPr>
              <w:t>$</w:t>
            </w:r>
            <w:r>
              <w:rPr>
                <w:rFonts w:cstheme="minorHAnsi"/>
                <w:color w:val="222222"/>
                <w:sz w:val="18"/>
                <w:szCs w:val="18"/>
              </w:rPr>
              <w:t>7,708.27</w:t>
            </w:r>
          </w:p>
        </w:tc>
        <w:tc>
          <w:tcPr>
            <w:tcW w:w="1417" w:type="dxa"/>
            <w:vMerge/>
            <w:shd w:val="clear" w:color="auto" w:fill="auto"/>
            <w:vAlign w:val="center"/>
          </w:tcPr>
          <w:p w:rsidR="00732F47" w:rsidRPr="00BE022D" w:rsidDel="00EE2BBB" w:rsidRDefault="00732F47" w:rsidP="00165778">
            <w:pPr>
              <w:pStyle w:val="Tablewriting"/>
              <w:spacing w:before="0"/>
              <w:rPr>
                <w:sz w:val="18"/>
                <w:szCs w:val="18"/>
              </w:rPr>
            </w:pPr>
          </w:p>
        </w:tc>
      </w:tr>
      <w:tr w:rsidR="00732F47" w:rsidRPr="007C7DCF" w:rsidDel="00EE2BBB" w:rsidTr="00165778">
        <w:trPr>
          <w:trHeight w:val="552"/>
          <w:tblHeader/>
        </w:trPr>
        <w:tc>
          <w:tcPr>
            <w:tcW w:w="794" w:type="dxa"/>
            <w:shd w:val="clear" w:color="auto" w:fill="auto"/>
            <w:vAlign w:val="center"/>
          </w:tcPr>
          <w:p w:rsidR="00732F47" w:rsidRPr="00BE022D" w:rsidRDefault="00732F47" w:rsidP="00165778">
            <w:pPr>
              <w:pStyle w:val="Tablewriting"/>
              <w:spacing w:before="0"/>
              <w:rPr>
                <w:rFonts w:ascii="Calibri" w:hAnsi="Calibri"/>
                <w:bCs/>
                <w:sz w:val="18"/>
                <w:szCs w:val="18"/>
              </w:rPr>
            </w:pPr>
            <w:r w:rsidRPr="00BE022D">
              <w:rPr>
                <w:rFonts w:cstheme="minorHAnsi"/>
                <w:sz w:val="18"/>
                <w:szCs w:val="18"/>
              </w:rPr>
              <w:t>11636K</w:t>
            </w:r>
          </w:p>
        </w:tc>
        <w:tc>
          <w:tcPr>
            <w:tcW w:w="1587" w:type="dxa"/>
            <w:vMerge/>
            <w:shd w:val="clear" w:color="auto" w:fill="auto"/>
            <w:vAlign w:val="center"/>
          </w:tcPr>
          <w:p w:rsidR="00732F47" w:rsidRPr="00BE022D" w:rsidRDefault="00732F47" w:rsidP="00165778">
            <w:pPr>
              <w:pStyle w:val="Tablewriting"/>
              <w:spacing w:before="0"/>
              <w:rPr>
                <w:rFonts w:ascii="Calibri" w:hAnsi="Calibri"/>
                <w:b/>
                <w:bCs/>
                <w:sz w:val="18"/>
                <w:szCs w:val="18"/>
              </w:rPr>
            </w:pPr>
          </w:p>
        </w:tc>
        <w:tc>
          <w:tcPr>
            <w:tcW w:w="1417" w:type="dxa"/>
            <w:vAlign w:val="center"/>
          </w:tcPr>
          <w:p w:rsidR="00732F47" w:rsidRPr="00BE022D" w:rsidRDefault="00732F47" w:rsidP="00165778">
            <w:pPr>
              <w:pStyle w:val="Tablewriting"/>
              <w:spacing w:before="0"/>
              <w:rPr>
                <w:rFonts w:ascii="Calibri" w:hAnsi="Calibri"/>
                <w:b/>
                <w:bCs/>
                <w:sz w:val="18"/>
                <w:szCs w:val="18"/>
              </w:rPr>
            </w:pPr>
            <w:r>
              <w:rPr>
                <w:rFonts w:ascii="Calibri" w:hAnsi="Calibri"/>
                <w:sz w:val="18"/>
                <w:szCs w:val="18"/>
              </w:rPr>
              <w:t>Induction</w:t>
            </w:r>
            <w:r w:rsidRPr="00BE022D">
              <w:rPr>
                <w:rFonts w:ascii="Calibri" w:hAnsi="Calibri"/>
                <w:sz w:val="18"/>
                <w:szCs w:val="18"/>
              </w:rPr>
              <w:t xml:space="preserve"> treatment – </w:t>
            </w:r>
            <w:r>
              <w:rPr>
                <w:rFonts w:ascii="Calibri" w:hAnsi="Calibri"/>
                <w:sz w:val="18"/>
                <w:szCs w:val="18"/>
              </w:rPr>
              <w:t xml:space="preserve">Public </w:t>
            </w:r>
            <w:r w:rsidRPr="00BE022D">
              <w:rPr>
                <w:rFonts w:ascii="Calibri" w:hAnsi="Calibri"/>
                <w:sz w:val="18"/>
                <w:szCs w:val="18"/>
              </w:rPr>
              <w:t>Hospital</w:t>
            </w:r>
          </w:p>
        </w:tc>
        <w:tc>
          <w:tcPr>
            <w:tcW w:w="907" w:type="dxa"/>
            <w:vMerge/>
            <w:shd w:val="clear" w:color="auto" w:fill="auto"/>
            <w:vAlign w:val="center"/>
          </w:tcPr>
          <w:p w:rsidR="00732F47" w:rsidRPr="00BE022D" w:rsidRDefault="00732F47" w:rsidP="00165778">
            <w:pPr>
              <w:pStyle w:val="Tablewriting"/>
              <w:spacing w:before="0"/>
              <w:rPr>
                <w:rFonts w:ascii="Calibri" w:hAnsi="Calibri"/>
                <w:b/>
                <w:bCs/>
                <w:sz w:val="18"/>
                <w:szCs w:val="18"/>
              </w:rPr>
            </w:pPr>
          </w:p>
        </w:tc>
        <w:tc>
          <w:tcPr>
            <w:tcW w:w="850" w:type="dxa"/>
            <w:vAlign w:val="center"/>
          </w:tcPr>
          <w:p w:rsidR="00732F47" w:rsidRPr="00BE022D" w:rsidDel="00EE2BBB" w:rsidRDefault="00732F47" w:rsidP="00165778">
            <w:pPr>
              <w:pStyle w:val="Tablewriting"/>
              <w:spacing w:before="0"/>
              <w:rPr>
                <w:sz w:val="18"/>
                <w:szCs w:val="18"/>
              </w:rPr>
            </w:pPr>
            <w:r>
              <w:rPr>
                <w:sz w:val="18"/>
                <w:szCs w:val="18"/>
              </w:rPr>
              <w:t>360 mg</w:t>
            </w:r>
          </w:p>
        </w:tc>
        <w:tc>
          <w:tcPr>
            <w:tcW w:w="567" w:type="dxa"/>
            <w:shd w:val="clear" w:color="auto" w:fill="auto"/>
            <w:vAlign w:val="center"/>
          </w:tcPr>
          <w:p w:rsidR="00732F47" w:rsidRPr="00BE022D" w:rsidDel="00EE2BBB" w:rsidRDefault="00732F47" w:rsidP="00165778">
            <w:pPr>
              <w:pStyle w:val="Tablewriting"/>
              <w:spacing w:before="0"/>
              <w:rPr>
                <w:sz w:val="18"/>
                <w:szCs w:val="18"/>
              </w:rPr>
            </w:pPr>
            <w:r w:rsidRPr="00BE022D">
              <w:rPr>
                <w:rFonts w:cstheme="minorHAnsi"/>
                <w:color w:val="222222"/>
                <w:sz w:val="18"/>
                <w:szCs w:val="18"/>
              </w:rPr>
              <w:t>3</w:t>
            </w:r>
          </w:p>
        </w:tc>
        <w:tc>
          <w:tcPr>
            <w:tcW w:w="1134" w:type="dxa"/>
            <w:shd w:val="clear" w:color="auto" w:fill="auto"/>
            <w:vAlign w:val="center"/>
          </w:tcPr>
          <w:p w:rsidR="00732F47" w:rsidRPr="00BE022D" w:rsidDel="00EE2BBB" w:rsidRDefault="00732F47" w:rsidP="00165778">
            <w:pPr>
              <w:pStyle w:val="Tablewriting"/>
              <w:spacing w:before="0"/>
              <w:rPr>
                <w:sz w:val="18"/>
                <w:szCs w:val="18"/>
              </w:rPr>
            </w:pPr>
            <w:r w:rsidRPr="00BE022D">
              <w:rPr>
                <w:rFonts w:cstheme="minorHAnsi"/>
                <w:color w:val="222222"/>
                <w:sz w:val="18"/>
                <w:szCs w:val="18"/>
              </w:rPr>
              <w:t>$</w:t>
            </w:r>
            <w:r w:rsidRPr="00715E36">
              <w:rPr>
                <w:rFonts w:cstheme="minorHAnsi"/>
                <w:color w:val="222222"/>
                <w:sz w:val="18"/>
                <w:szCs w:val="18"/>
              </w:rPr>
              <w:t>7</w:t>
            </w:r>
            <w:r>
              <w:rPr>
                <w:rFonts w:cstheme="minorHAnsi"/>
                <w:color w:val="222222"/>
                <w:sz w:val="18"/>
                <w:szCs w:val="18"/>
              </w:rPr>
              <w:t>,</w:t>
            </w:r>
            <w:r w:rsidRPr="00715E36">
              <w:rPr>
                <w:rFonts w:cstheme="minorHAnsi"/>
                <w:color w:val="222222"/>
                <w:sz w:val="18"/>
                <w:szCs w:val="18"/>
              </w:rPr>
              <w:t>562.58</w:t>
            </w:r>
          </w:p>
        </w:tc>
        <w:tc>
          <w:tcPr>
            <w:tcW w:w="1417" w:type="dxa"/>
            <w:vMerge/>
            <w:shd w:val="clear" w:color="auto" w:fill="auto"/>
            <w:vAlign w:val="center"/>
          </w:tcPr>
          <w:p w:rsidR="00732F47" w:rsidRPr="00BE022D" w:rsidDel="00EE2BBB" w:rsidRDefault="00732F47" w:rsidP="00165778">
            <w:pPr>
              <w:pStyle w:val="Tablewriting"/>
              <w:spacing w:before="0"/>
              <w:rPr>
                <w:sz w:val="18"/>
                <w:szCs w:val="18"/>
              </w:rPr>
            </w:pPr>
          </w:p>
        </w:tc>
      </w:tr>
      <w:tr w:rsidR="00732F47" w:rsidRPr="007C7DCF" w:rsidDel="00EE2BBB" w:rsidTr="00165778">
        <w:trPr>
          <w:trHeight w:val="552"/>
          <w:tblHeader/>
        </w:trPr>
        <w:tc>
          <w:tcPr>
            <w:tcW w:w="794" w:type="dxa"/>
            <w:shd w:val="clear" w:color="auto" w:fill="auto"/>
            <w:vAlign w:val="center"/>
          </w:tcPr>
          <w:p w:rsidR="00732F47" w:rsidRPr="00BE022D" w:rsidRDefault="00732F47" w:rsidP="00165778">
            <w:pPr>
              <w:pStyle w:val="Tablewriting"/>
              <w:spacing w:before="0"/>
              <w:rPr>
                <w:rFonts w:ascii="Calibri" w:hAnsi="Calibri"/>
                <w:bCs/>
                <w:sz w:val="18"/>
                <w:szCs w:val="18"/>
              </w:rPr>
            </w:pPr>
            <w:r w:rsidRPr="00BE022D">
              <w:rPr>
                <w:rFonts w:cstheme="minorHAnsi"/>
                <w:sz w:val="18"/>
                <w:szCs w:val="18"/>
              </w:rPr>
              <w:t>11642R</w:t>
            </w:r>
          </w:p>
        </w:tc>
        <w:tc>
          <w:tcPr>
            <w:tcW w:w="1587" w:type="dxa"/>
            <w:vMerge/>
            <w:shd w:val="clear" w:color="auto" w:fill="auto"/>
            <w:vAlign w:val="center"/>
          </w:tcPr>
          <w:p w:rsidR="00732F47" w:rsidRPr="00BE022D" w:rsidRDefault="00732F47" w:rsidP="00165778">
            <w:pPr>
              <w:pStyle w:val="Tablewriting"/>
              <w:spacing w:before="0"/>
              <w:rPr>
                <w:rFonts w:ascii="Calibri" w:hAnsi="Calibri"/>
                <w:b/>
                <w:bCs/>
                <w:sz w:val="18"/>
                <w:szCs w:val="18"/>
              </w:rPr>
            </w:pPr>
          </w:p>
        </w:tc>
        <w:tc>
          <w:tcPr>
            <w:tcW w:w="1417" w:type="dxa"/>
            <w:vAlign w:val="center"/>
          </w:tcPr>
          <w:p w:rsidR="00732F47" w:rsidRPr="00BE022D" w:rsidRDefault="00732F47" w:rsidP="00165778">
            <w:pPr>
              <w:pStyle w:val="Tablewriting"/>
              <w:spacing w:before="0"/>
              <w:rPr>
                <w:rFonts w:ascii="Calibri" w:hAnsi="Calibri"/>
                <w:b/>
                <w:bCs/>
                <w:sz w:val="18"/>
                <w:szCs w:val="18"/>
              </w:rPr>
            </w:pPr>
            <w:r w:rsidRPr="00BE022D">
              <w:rPr>
                <w:rFonts w:ascii="Calibri" w:hAnsi="Calibri"/>
                <w:sz w:val="18"/>
                <w:szCs w:val="18"/>
              </w:rPr>
              <w:t xml:space="preserve">Maintenance treatment – </w:t>
            </w:r>
            <w:r>
              <w:rPr>
                <w:rFonts w:ascii="Calibri" w:hAnsi="Calibri"/>
                <w:sz w:val="18"/>
                <w:szCs w:val="18"/>
              </w:rPr>
              <w:t>Public</w:t>
            </w:r>
            <w:r w:rsidRPr="00BE022D">
              <w:rPr>
                <w:rFonts w:ascii="Calibri" w:hAnsi="Calibri"/>
                <w:sz w:val="18"/>
                <w:szCs w:val="18"/>
              </w:rPr>
              <w:t xml:space="preserve"> Hospital</w:t>
            </w:r>
          </w:p>
        </w:tc>
        <w:tc>
          <w:tcPr>
            <w:tcW w:w="907" w:type="dxa"/>
            <w:vMerge/>
            <w:shd w:val="clear" w:color="auto" w:fill="auto"/>
            <w:vAlign w:val="center"/>
          </w:tcPr>
          <w:p w:rsidR="00732F47" w:rsidRPr="00BE022D" w:rsidRDefault="00732F47" w:rsidP="00165778">
            <w:pPr>
              <w:pStyle w:val="Tablewriting"/>
              <w:spacing w:before="0"/>
              <w:rPr>
                <w:rFonts w:ascii="Calibri" w:hAnsi="Calibri"/>
                <w:b/>
                <w:bCs/>
                <w:sz w:val="18"/>
                <w:szCs w:val="18"/>
              </w:rPr>
            </w:pPr>
          </w:p>
        </w:tc>
        <w:tc>
          <w:tcPr>
            <w:tcW w:w="850" w:type="dxa"/>
            <w:vAlign w:val="center"/>
          </w:tcPr>
          <w:p w:rsidR="00732F47" w:rsidRPr="00BE022D" w:rsidDel="00EE2BBB" w:rsidRDefault="00732F47" w:rsidP="00165778">
            <w:pPr>
              <w:pStyle w:val="Tablewriting"/>
              <w:spacing w:before="0"/>
              <w:rPr>
                <w:sz w:val="18"/>
                <w:szCs w:val="18"/>
              </w:rPr>
            </w:pPr>
            <w:r w:rsidRPr="00BE022D">
              <w:rPr>
                <w:rFonts w:cstheme="minorHAnsi"/>
                <w:color w:val="222222"/>
                <w:sz w:val="18"/>
                <w:szCs w:val="18"/>
              </w:rPr>
              <w:t>480 mg</w:t>
            </w:r>
          </w:p>
        </w:tc>
        <w:tc>
          <w:tcPr>
            <w:tcW w:w="567" w:type="dxa"/>
            <w:shd w:val="clear" w:color="auto" w:fill="auto"/>
            <w:vAlign w:val="center"/>
          </w:tcPr>
          <w:p w:rsidR="00732F47" w:rsidRPr="00BE022D" w:rsidDel="00EE2BBB" w:rsidRDefault="00732F47" w:rsidP="00165778">
            <w:pPr>
              <w:pStyle w:val="Tablewriting"/>
              <w:spacing w:before="0"/>
              <w:rPr>
                <w:sz w:val="18"/>
                <w:szCs w:val="18"/>
              </w:rPr>
            </w:pPr>
            <w:r w:rsidRPr="00BE022D">
              <w:rPr>
                <w:rFonts w:cstheme="minorHAnsi"/>
                <w:color w:val="222222"/>
                <w:sz w:val="18"/>
                <w:szCs w:val="18"/>
              </w:rPr>
              <w:t>11</w:t>
            </w:r>
          </w:p>
        </w:tc>
        <w:tc>
          <w:tcPr>
            <w:tcW w:w="1134" w:type="dxa"/>
            <w:shd w:val="clear" w:color="auto" w:fill="auto"/>
            <w:vAlign w:val="center"/>
          </w:tcPr>
          <w:p w:rsidR="00732F47" w:rsidRPr="00BE022D" w:rsidDel="00EE2BBB" w:rsidRDefault="00732F47" w:rsidP="00165778">
            <w:pPr>
              <w:pStyle w:val="Tablewriting"/>
              <w:spacing w:before="0"/>
              <w:rPr>
                <w:sz w:val="18"/>
                <w:szCs w:val="18"/>
              </w:rPr>
            </w:pPr>
            <w:r w:rsidRPr="00BE022D">
              <w:rPr>
                <w:rFonts w:cstheme="minorHAnsi"/>
                <w:color w:val="222222"/>
                <w:sz w:val="18"/>
                <w:szCs w:val="18"/>
              </w:rPr>
              <w:t>$</w:t>
            </w:r>
            <w:r w:rsidRPr="00715E36">
              <w:rPr>
                <w:rFonts w:cstheme="minorHAnsi"/>
                <w:color w:val="222222"/>
                <w:sz w:val="18"/>
                <w:szCs w:val="18"/>
              </w:rPr>
              <w:t>10</w:t>
            </w:r>
            <w:r>
              <w:rPr>
                <w:rFonts w:cstheme="minorHAnsi"/>
                <w:color w:val="222222"/>
                <w:sz w:val="18"/>
                <w:szCs w:val="18"/>
              </w:rPr>
              <w:t>,</w:t>
            </w:r>
            <w:r w:rsidRPr="00715E36">
              <w:rPr>
                <w:rFonts w:cstheme="minorHAnsi"/>
                <w:color w:val="222222"/>
                <w:sz w:val="18"/>
                <w:szCs w:val="18"/>
              </w:rPr>
              <w:t>054.68</w:t>
            </w:r>
          </w:p>
        </w:tc>
        <w:tc>
          <w:tcPr>
            <w:tcW w:w="1417" w:type="dxa"/>
            <w:vMerge/>
            <w:shd w:val="clear" w:color="auto" w:fill="auto"/>
            <w:vAlign w:val="center"/>
          </w:tcPr>
          <w:p w:rsidR="00732F47" w:rsidRPr="00BE022D" w:rsidDel="00EE2BBB" w:rsidRDefault="00732F47" w:rsidP="00165778">
            <w:pPr>
              <w:pStyle w:val="Tablewriting"/>
              <w:spacing w:before="0"/>
              <w:rPr>
                <w:rFonts w:ascii="Calibri" w:hAnsi="Calibri"/>
                <w:sz w:val="18"/>
                <w:szCs w:val="18"/>
              </w:rPr>
            </w:pPr>
          </w:p>
        </w:tc>
      </w:tr>
    </w:tbl>
    <w:p w:rsidR="00732F47" w:rsidRDefault="00732F47" w:rsidP="00732F47">
      <w:pPr>
        <w:spacing w:after="0"/>
      </w:pPr>
    </w:p>
    <w:p w:rsidR="00732F47" w:rsidRPr="00CD4F77" w:rsidDel="00EE2BBB" w:rsidRDefault="00732F47" w:rsidP="00732F47">
      <w:pPr>
        <w:pStyle w:val="Tabletitle"/>
        <w:keepNext/>
      </w:pPr>
      <w:r>
        <w:lastRenderedPageBreak/>
        <w:t>Ta</w:t>
      </w:r>
      <w:r w:rsidRPr="00C25A53">
        <w:rPr>
          <w:bCs/>
        </w:rPr>
        <w:t>ble 1B</w:t>
      </w:r>
      <w:r w:rsidRPr="00C25A53" w:rsidDel="00EE2BBB">
        <w:rPr>
          <w:bCs/>
        </w:rPr>
        <w:t>: PBS listing</w:t>
      </w:r>
      <w:r w:rsidRPr="00C25A53">
        <w:rPr>
          <w:bCs/>
        </w:rPr>
        <w:t>s</w:t>
      </w:r>
      <w:r w:rsidRPr="00C25A53" w:rsidDel="00EE2BBB">
        <w:rPr>
          <w:bCs/>
        </w:rPr>
        <w:t xml:space="preserve"> of </w:t>
      </w:r>
      <w:r w:rsidRPr="00C25A53">
        <w:rPr>
          <w:bCs/>
        </w:rPr>
        <w:t xml:space="preserve">ipilimumab for </w:t>
      </w:r>
      <w:r>
        <w:rPr>
          <w:bCs/>
        </w:rPr>
        <w:t>first-</w:t>
      </w:r>
      <w:r w:rsidRPr="00C25A53">
        <w:rPr>
          <w:bCs/>
        </w:rPr>
        <w:t>line treatment of RCC</w:t>
      </w:r>
      <w:r w:rsidRPr="00C25A53" w:rsidDel="00EE2BBB">
        <w:rPr>
          <w:bCs/>
        </w:rPr>
        <w:t xml:space="preserve"> </w:t>
      </w:r>
    </w:p>
    <w:tbl>
      <w:tblPr>
        <w:tblStyle w:val="TableGrid"/>
        <w:tblW w:w="8729" w:type="dxa"/>
        <w:tblLayout w:type="fixed"/>
        <w:tblLook w:val="04A0" w:firstRow="1" w:lastRow="0" w:firstColumn="1" w:lastColumn="0" w:noHBand="0" w:noVBand="1"/>
        <w:tblCaption w:val="Table 1B: PBS listings of ipilimumab for first-line treatment of RCC "/>
      </w:tblPr>
      <w:tblGrid>
        <w:gridCol w:w="850"/>
        <w:gridCol w:w="1587"/>
        <w:gridCol w:w="1417"/>
        <w:gridCol w:w="907"/>
        <w:gridCol w:w="850"/>
        <w:gridCol w:w="567"/>
        <w:gridCol w:w="1134"/>
        <w:gridCol w:w="1417"/>
      </w:tblGrid>
      <w:tr w:rsidR="00732F47" w:rsidRPr="0057220A" w:rsidDel="00EE2BBB" w:rsidTr="00165778">
        <w:trPr>
          <w:trHeight w:val="694"/>
          <w:tblHeader/>
        </w:trPr>
        <w:tc>
          <w:tcPr>
            <w:tcW w:w="850" w:type="dxa"/>
            <w:shd w:val="clear" w:color="auto" w:fill="BFBFBF" w:themeFill="background1" w:themeFillShade="BF"/>
          </w:tcPr>
          <w:p w:rsidR="00732F47" w:rsidRPr="00D7763F" w:rsidDel="00EE2BBB" w:rsidRDefault="00732F47" w:rsidP="00165778">
            <w:pPr>
              <w:rPr>
                <w:b/>
                <w:sz w:val="18"/>
                <w:szCs w:val="18"/>
              </w:rPr>
            </w:pPr>
            <w:r w:rsidRPr="00D7763F" w:rsidDel="00EE2BBB">
              <w:rPr>
                <w:b/>
                <w:sz w:val="18"/>
                <w:szCs w:val="18"/>
              </w:rPr>
              <w:t>Item</w:t>
            </w:r>
          </w:p>
        </w:tc>
        <w:tc>
          <w:tcPr>
            <w:tcW w:w="1587" w:type="dxa"/>
            <w:shd w:val="clear" w:color="auto" w:fill="BFBFBF" w:themeFill="background1" w:themeFillShade="BF"/>
          </w:tcPr>
          <w:p w:rsidR="00732F47" w:rsidRPr="00D7763F" w:rsidDel="00EE2BBB" w:rsidRDefault="00732F47" w:rsidP="00165778">
            <w:pPr>
              <w:rPr>
                <w:b/>
                <w:sz w:val="18"/>
                <w:szCs w:val="18"/>
              </w:rPr>
            </w:pPr>
            <w:r w:rsidRPr="00D7763F" w:rsidDel="00EE2BBB">
              <w:rPr>
                <w:b/>
                <w:sz w:val="18"/>
                <w:szCs w:val="18"/>
              </w:rPr>
              <w:t>Name, form &amp; strength, pack size</w:t>
            </w:r>
          </w:p>
        </w:tc>
        <w:tc>
          <w:tcPr>
            <w:tcW w:w="1417" w:type="dxa"/>
            <w:shd w:val="clear" w:color="auto" w:fill="BFBFBF" w:themeFill="background1" w:themeFillShade="BF"/>
          </w:tcPr>
          <w:p w:rsidR="00732F47" w:rsidRPr="00D7763F" w:rsidDel="00EE2BBB" w:rsidRDefault="00732F47" w:rsidP="00165778">
            <w:pPr>
              <w:rPr>
                <w:b/>
                <w:sz w:val="18"/>
                <w:szCs w:val="18"/>
              </w:rPr>
            </w:pPr>
            <w:r w:rsidRPr="00D7763F">
              <w:rPr>
                <w:b/>
                <w:sz w:val="18"/>
                <w:szCs w:val="18"/>
              </w:rPr>
              <w:t>Treatment Phase</w:t>
            </w:r>
          </w:p>
        </w:tc>
        <w:tc>
          <w:tcPr>
            <w:tcW w:w="907" w:type="dxa"/>
            <w:shd w:val="clear" w:color="auto" w:fill="BFBFBF" w:themeFill="background1" w:themeFillShade="BF"/>
          </w:tcPr>
          <w:p w:rsidR="00732F47" w:rsidRPr="00D7763F" w:rsidDel="00EE2BBB" w:rsidRDefault="00732F47" w:rsidP="00165778">
            <w:pPr>
              <w:rPr>
                <w:b/>
                <w:sz w:val="18"/>
                <w:szCs w:val="18"/>
              </w:rPr>
            </w:pPr>
            <w:r w:rsidRPr="00D7763F">
              <w:rPr>
                <w:b/>
                <w:sz w:val="18"/>
                <w:szCs w:val="18"/>
              </w:rPr>
              <w:t>Date of listing</w:t>
            </w:r>
          </w:p>
        </w:tc>
        <w:tc>
          <w:tcPr>
            <w:tcW w:w="850" w:type="dxa"/>
            <w:shd w:val="clear" w:color="auto" w:fill="BFBFBF" w:themeFill="background1" w:themeFillShade="BF"/>
          </w:tcPr>
          <w:p w:rsidR="00732F47" w:rsidRPr="00D7763F" w:rsidDel="00EE2BBB" w:rsidRDefault="00732F47" w:rsidP="00165778">
            <w:pPr>
              <w:rPr>
                <w:b/>
                <w:sz w:val="18"/>
                <w:szCs w:val="18"/>
              </w:rPr>
            </w:pPr>
            <w:r w:rsidRPr="00D7763F" w:rsidDel="00EE2BBB">
              <w:rPr>
                <w:b/>
                <w:sz w:val="18"/>
                <w:szCs w:val="18"/>
              </w:rPr>
              <w:t xml:space="preserve">Max. </w:t>
            </w:r>
            <w:r w:rsidRPr="00D7763F">
              <w:rPr>
                <w:b/>
                <w:sz w:val="18"/>
                <w:szCs w:val="18"/>
              </w:rPr>
              <w:t>amount</w:t>
            </w:r>
          </w:p>
        </w:tc>
        <w:tc>
          <w:tcPr>
            <w:tcW w:w="567" w:type="dxa"/>
            <w:shd w:val="clear" w:color="auto" w:fill="BFBFBF" w:themeFill="background1" w:themeFillShade="BF"/>
          </w:tcPr>
          <w:p w:rsidR="00732F47" w:rsidRPr="00D7763F" w:rsidDel="00EE2BBB" w:rsidRDefault="00732F47" w:rsidP="00165778">
            <w:pPr>
              <w:rPr>
                <w:b/>
                <w:sz w:val="18"/>
                <w:szCs w:val="18"/>
              </w:rPr>
            </w:pPr>
            <w:r w:rsidRPr="00D7763F" w:rsidDel="00EE2BBB">
              <w:rPr>
                <w:b/>
                <w:sz w:val="18"/>
                <w:szCs w:val="18"/>
              </w:rPr>
              <w:t xml:space="preserve">Rpts </w:t>
            </w:r>
          </w:p>
        </w:tc>
        <w:tc>
          <w:tcPr>
            <w:tcW w:w="1134" w:type="dxa"/>
            <w:shd w:val="clear" w:color="auto" w:fill="BFBFBF" w:themeFill="background1" w:themeFillShade="BF"/>
          </w:tcPr>
          <w:p w:rsidR="00732F47" w:rsidRPr="00D7763F" w:rsidDel="00EE2BBB" w:rsidRDefault="00732F47" w:rsidP="00165778">
            <w:pPr>
              <w:rPr>
                <w:b/>
                <w:sz w:val="18"/>
                <w:szCs w:val="18"/>
              </w:rPr>
            </w:pPr>
            <w:r w:rsidRPr="00D7763F">
              <w:rPr>
                <w:b/>
                <w:sz w:val="18"/>
                <w:szCs w:val="18"/>
              </w:rPr>
              <w:t>DPMA*</w:t>
            </w:r>
          </w:p>
        </w:tc>
        <w:tc>
          <w:tcPr>
            <w:tcW w:w="1417" w:type="dxa"/>
            <w:shd w:val="clear" w:color="auto" w:fill="BFBFBF" w:themeFill="background1" w:themeFillShade="BF"/>
          </w:tcPr>
          <w:p w:rsidR="00732F47" w:rsidRPr="00D7763F" w:rsidDel="00EE2BBB" w:rsidRDefault="00732F47" w:rsidP="00165778">
            <w:pPr>
              <w:rPr>
                <w:b/>
                <w:sz w:val="18"/>
                <w:szCs w:val="18"/>
              </w:rPr>
            </w:pPr>
            <w:r w:rsidRPr="00D7763F" w:rsidDel="00EE2BBB">
              <w:rPr>
                <w:b/>
                <w:sz w:val="18"/>
                <w:szCs w:val="18"/>
              </w:rPr>
              <w:t>Brand name and manufacturer</w:t>
            </w:r>
          </w:p>
        </w:tc>
      </w:tr>
      <w:tr w:rsidR="00732F47" w:rsidRPr="0057220A" w:rsidDel="00EE2BBB" w:rsidTr="00165778">
        <w:trPr>
          <w:trHeight w:val="552"/>
          <w:tblHeader/>
        </w:trPr>
        <w:tc>
          <w:tcPr>
            <w:tcW w:w="850" w:type="dxa"/>
            <w:shd w:val="clear" w:color="auto" w:fill="auto"/>
            <w:vAlign w:val="center"/>
          </w:tcPr>
          <w:p w:rsidR="00732F47" w:rsidRPr="0057220A" w:rsidRDefault="00732F47" w:rsidP="00165778">
            <w:pPr>
              <w:rPr>
                <w:sz w:val="18"/>
                <w:szCs w:val="18"/>
              </w:rPr>
            </w:pPr>
            <w:r w:rsidRPr="0057220A">
              <w:rPr>
                <w:sz w:val="18"/>
                <w:szCs w:val="18"/>
              </w:rPr>
              <w:t>11628B</w:t>
            </w:r>
          </w:p>
        </w:tc>
        <w:tc>
          <w:tcPr>
            <w:tcW w:w="1587" w:type="dxa"/>
            <w:vMerge w:val="restart"/>
            <w:shd w:val="clear" w:color="auto" w:fill="auto"/>
            <w:vAlign w:val="center"/>
          </w:tcPr>
          <w:p w:rsidR="00732F47" w:rsidRPr="0057220A" w:rsidRDefault="00732F47" w:rsidP="00165778">
            <w:pPr>
              <w:rPr>
                <w:sz w:val="18"/>
                <w:szCs w:val="18"/>
              </w:rPr>
            </w:pPr>
            <w:r w:rsidRPr="0057220A">
              <w:rPr>
                <w:sz w:val="18"/>
                <w:szCs w:val="18"/>
              </w:rPr>
              <w:t>Injection concentrate for I.V. infusion 50 mg in 10 mL</w:t>
            </w:r>
          </w:p>
        </w:tc>
        <w:tc>
          <w:tcPr>
            <w:tcW w:w="1417" w:type="dxa"/>
            <w:vAlign w:val="center"/>
          </w:tcPr>
          <w:p w:rsidR="00732F47" w:rsidRPr="0057220A" w:rsidRDefault="00732F47" w:rsidP="00165778">
            <w:pPr>
              <w:rPr>
                <w:sz w:val="18"/>
                <w:szCs w:val="18"/>
              </w:rPr>
            </w:pPr>
            <w:r w:rsidRPr="0057220A">
              <w:rPr>
                <w:sz w:val="18"/>
                <w:szCs w:val="18"/>
              </w:rPr>
              <w:t>Induction treatment – Public Hospital</w:t>
            </w:r>
          </w:p>
        </w:tc>
        <w:tc>
          <w:tcPr>
            <w:tcW w:w="907" w:type="dxa"/>
            <w:vMerge w:val="restart"/>
            <w:shd w:val="clear" w:color="auto" w:fill="auto"/>
            <w:vAlign w:val="center"/>
          </w:tcPr>
          <w:p w:rsidR="00732F47" w:rsidRPr="0057220A" w:rsidRDefault="00732F47" w:rsidP="00165778">
            <w:pPr>
              <w:rPr>
                <w:sz w:val="18"/>
                <w:szCs w:val="18"/>
              </w:rPr>
            </w:pPr>
            <w:r w:rsidRPr="0057220A">
              <w:rPr>
                <w:sz w:val="18"/>
                <w:szCs w:val="18"/>
              </w:rPr>
              <w:t>1/3/2019</w:t>
            </w:r>
          </w:p>
        </w:tc>
        <w:tc>
          <w:tcPr>
            <w:tcW w:w="850" w:type="dxa"/>
            <w:vAlign w:val="center"/>
          </w:tcPr>
          <w:p w:rsidR="00732F47" w:rsidRPr="0057220A" w:rsidDel="00EE2BBB" w:rsidRDefault="00732F47" w:rsidP="00165778">
            <w:pPr>
              <w:rPr>
                <w:sz w:val="18"/>
                <w:szCs w:val="18"/>
              </w:rPr>
            </w:pPr>
            <w:r w:rsidRPr="0057220A">
              <w:rPr>
                <w:sz w:val="18"/>
                <w:szCs w:val="18"/>
              </w:rPr>
              <w:t>120 mg</w:t>
            </w:r>
          </w:p>
        </w:tc>
        <w:tc>
          <w:tcPr>
            <w:tcW w:w="567" w:type="dxa"/>
            <w:shd w:val="clear" w:color="auto" w:fill="auto"/>
            <w:vAlign w:val="center"/>
          </w:tcPr>
          <w:p w:rsidR="00732F47" w:rsidRPr="0057220A" w:rsidDel="00EE2BBB" w:rsidRDefault="00732F47" w:rsidP="00165778">
            <w:pPr>
              <w:rPr>
                <w:sz w:val="18"/>
                <w:szCs w:val="18"/>
              </w:rPr>
            </w:pPr>
            <w:r w:rsidRPr="0057220A">
              <w:rPr>
                <w:sz w:val="18"/>
                <w:szCs w:val="18"/>
              </w:rPr>
              <w:t>3</w:t>
            </w:r>
          </w:p>
        </w:tc>
        <w:tc>
          <w:tcPr>
            <w:tcW w:w="1134" w:type="dxa"/>
            <w:shd w:val="clear" w:color="auto" w:fill="auto"/>
            <w:vAlign w:val="center"/>
          </w:tcPr>
          <w:p w:rsidR="00732F47" w:rsidRPr="0057220A" w:rsidDel="00EE2BBB" w:rsidRDefault="00732F47" w:rsidP="00165778">
            <w:pPr>
              <w:rPr>
                <w:sz w:val="18"/>
                <w:szCs w:val="18"/>
              </w:rPr>
            </w:pPr>
            <w:r w:rsidRPr="0057220A">
              <w:rPr>
                <w:sz w:val="18"/>
                <w:szCs w:val="18"/>
              </w:rPr>
              <w:t>$16,964.04</w:t>
            </w:r>
          </w:p>
        </w:tc>
        <w:tc>
          <w:tcPr>
            <w:tcW w:w="1417" w:type="dxa"/>
            <w:vMerge w:val="restart"/>
            <w:shd w:val="clear" w:color="auto" w:fill="auto"/>
            <w:vAlign w:val="center"/>
          </w:tcPr>
          <w:p w:rsidR="00732F47" w:rsidRPr="0057220A" w:rsidRDefault="00732F47" w:rsidP="00165778">
            <w:pPr>
              <w:rPr>
                <w:sz w:val="18"/>
                <w:szCs w:val="18"/>
              </w:rPr>
            </w:pPr>
            <w:r>
              <w:rPr>
                <w:sz w:val="18"/>
                <w:szCs w:val="18"/>
              </w:rPr>
              <w:t>Yervoy</w:t>
            </w:r>
            <w:r w:rsidRPr="0057220A">
              <w:rPr>
                <w:sz w:val="18"/>
                <w:szCs w:val="18"/>
              </w:rPr>
              <w:t>®</w:t>
            </w:r>
          </w:p>
          <w:p w:rsidR="00732F47" w:rsidRPr="0057220A" w:rsidDel="00EE2BBB" w:rsidRDefault="00732F47" w:rsidP="00165778">
            <w:pPr>
              <w:rPr>
                <w:sz w:val="18"/>
                <w:szCs w:val="18"/>
              </w:rPr>
            </w:pPr>
            <w:r w:rsidRPr="0057220A">
              <w:rPr>
                <w:sz w:val="18"/>
                <w:szCs w:val="18"/>
              </w:rPr>
              <w:t>Bristol-Myers Squibb Australia Pty Ltd</w:t>
            </w:r>
          </w:p>
        </w:tc>
      </w:tr>
      <w:tr w:rsidR="00732F47" w:rsidRPr="0057220A" w:rsidDel="00EE2BBB" w:rsidTr="00165778">
        <w:trPr>
          <w:trHeight w:val="546"/>
          <w:tblHeader/>
        </w:trPr>
        <w:tc>
          <w:tcPr>
            <w:tcW w:w="850" w:type="dxa"/>
            <w:shd w:val="clear" w:color="auto" w:fill="auto"/>
            <w:vAlign w:val="center"/>
          </w:tcPr>
          <w:p w:rsidR="00732F47" w:rsidRPr="0057220A" w:rsidDel="00EE2BBB" w:rsidRDefault="00732F47" w:rsidP="00165778">
            <w:pPr>
              <w:rPr>
                <w:sz w:val="18"/>
                <w:szCs w:val="18"/>
              </w:rPr>
            </w:pPr>
            <w:r w:rsidRPr="0057220A">
              <w:rPr>
                <w:sz w:val="18"/>
                <w:szCs w:val="18"/>
              </w:rPr>
              <w:t>11644W</w:t>
            </w:r>
          </w:p>
        </w:tc>
        <w:tc>
          <w:tcPr>
            <w:tcW w:w="1587" w:type="dxa"/>
            <w:vMerge/>
            <w:shd w:val="clear" w:color="auto" w:fill="auto"/>
            <w:vAlign w:val="center"/>
          </w:tcPr>
          <w:p w:rsidR="00732F47" w:rsidRPr="0057220A" w:rsidDel="00EE2BBB" w:rsidRDefault="00732F47" w:rsidP="00165778">
            <w:pPr>
              <w:rPr>
                <w:sz w:val="18"/>
                <w:szCs w:val="18"/>
              </w:rPr>
            </w:pPr>
          </w:p>
        </w:tc>
        <w:tc>
          <w:tcPr>
            <w:tcW w:w="1417" w:type="dxa"/>
            <w:vAlign w:val="center"/>
          </w:tcPr>
          <w:p w:rsidR="00732F47" w:rsidRPr="0057220A" w:rsidDel="00EE2BBB" w:rsidRDefault="00732F47" w:rsidP="00165778">
            <w:pPr>
              <w:rPr>
                <w:sz w:val="18"/>
                <w:szCs w:val="18"/>
              </w:rPr>
            </w:pPr>
            <w:r w:rsidRPr="0057220A">
              <w:rPr>
                <w:sz w:val="18"/>
                <w:szCs w:val="18"/>
              </w:rPr>
              <w:t>Induction treatment – Private Hospital</w:t>
            </w:r>
          </w:p>
        </w:tc>
        <w:tc>
          <w:tcPr>
            <w:tcW w:w="907" w:type="dxa"/>
            <w:vMerge/>
            <w:shd w:val="clear" w:color="auto" w:fill="auto"/>
            <w:vAlign w:val="center"/>
          </w:tcPr>
          <w:p w:rsidR="00732F47" w:rsidRPr="0057220A" w:rsidDel="00EE2BBB" w:rsidRDefault="00732F47" w:rsidP="00165778">
            <w:pPr>
              <w:rPr>
                <w:sz w:val="18"/>
                <w:szCs w:val="18"/>
              </w:rPr>
            </w:pPr>
          </w:p>
        </w:tc>
        <w:tc>
          <w:tcPr>
            <w:tcW w:w="850" w:type="dxa"/>
            <w:vAlign w:val="center"/>
          </w:tcPr>
          <w:p w:rsidR="00732F47" w:rsidRPr="0057220A" w:rsidDel="00EE2BBB" w:rsidRDefault="00732F47" w:rsidP="00165778">
            <w:pPr>
              <w:rPr>
                <w:sz w:val="18"/>
                <w:szCs w:val="18"/>
              </w:rPr>
            </w:pPr>
            <w:r w:rsidRPr="0057220A">
              <w:rPr>
                <w:sz w:val="18"/>
                <w:szCs w:val="18"/>
              </w:rPr>
              <w:t>120 mg</w:t>
            </w:r>
          </w:p>
        </w:tc>
        <w:tc>
          <w:tcPr>
            <w:tcW w:w="567" w:type="dxa"/>
            <w:shd w:val="clear" w:color="auto" w:fill="auto"/>
            <w:vAlign w:val="center"/>
          </w:tcPr>
          <w:p w:rsidR="00732F47" w:rsidRPr="0057220A" w:rsidDel="00EE2BBB" w:rsidRDefault="00732F47" w:rsidP="00165778">
            <w:pPr>
              <w:rPr>
                <w:sz w:val="18"/>
                <w:szCs w:val="18"/>
              </w:rPr>
            </w:pPr>
            <w:r w:rsidRPr="0057220A">
              <w:rPr>
                <w:sz w:val="18"/>
                <w:szCs w:val="18"/>
              </w:rPr>
              <w:t>3</w:t>
            </w:r>
          </w:p>
        </w:tc>
        <w:tc>
          <w:tcPr>
            <w:tcW w:w="1134" w:type="dxa"/>
            <w:shd w:val="clear" w:color="auto" w:fill="auto"/>
            <w:vAlign w:val="center"/>
          </w:tcPr>
          <w:p w:rsidR="00732F47" w:rsidRPr="0057220A" w:rsidDel="00EE2BBB" w:rsidRDefault="00732F47" w:rsidP="00165778">
            <w:pPr>
              <w:rPr>
                <w:sz w:val="18"/>
                <w:szCs w:val="18"/>
              </w:rPr>
            </w:pPr>
            <w:r w:rsidRPr="0057220A">
              <w:rPr>
                <w:sz w:val="18"/>
                <w:szCs w:val="18"/>
              </w:rPr>
              <w:t>$17,241.35</w:t>
            </w:r>
          </w:p>
        </w:tc>
        <w:tc>
          <w:tcPr>
            <w:tcW w:w="1417" w:type="dxa"/>
            <w:vMerge/>
            <w:shd w:val="clear" w:color="auto" w:fill="auto"/>
            <w:vAlign w:val="center"/>
          </w:tcPr>
          <w:p w:rsidR="00732F47" w:rsidRPr="0057220A" w:rsidDel="00EE2BBB" w:rsidRDefault="00732F47" w:rsidP="00165778">
            <w:pPr>
              <w:rPr>
                <w:sz w:val="18"/>
                <w:szCs w:val="18"/>
              </w:rPr>
            </w:pPr>
          </w:p>
        </w:tc>
      </w:tr>
    </w:tbl>
    <w:p w:rsidR="00732F47" w:rsidRPr="0057220A" w:rsidDel="00EE2BBB" w:rsidRDefault="00732F47" w:rsidP="00732F47">
      <w:pPr>
        <w:spacing w:after="0"/>
        <w:rPr>
          <w:sz w:val="18"/>
          <w:szCs w:val="18"/>
        </w:rPr>
      </w:pPr>
      <w:r w:rsidRPr="0057220A" w:rsidDel="00EE2BBB">
        <w:rPr>
          <w:sz w:val="18"/>
          <w:szCs w:val="18"/>
        </w:rPr>
        <w:t xml:space="preserve">Source: the </w:t>
      </w:r>
      <w:r w:rsidRPr="008B1167" w:rsidDel="00EE2BBB">
        <w:rPr>
          <w:sz w:val="18"/>
          <w:szCs w:val="18"/>
        </w:rPr>
        <w:t>PBS website</w:t>
      </w:r>
      <w:r w:rsidRPr="0057220A" w:rsidDel="00EE2BBB">
        <w:rPr>
          <w:sz w:val="18"/>
          <w:szCs w:val="18"/>
        </w:rPr>
        <w:t xml:space="preserve">.  </w:t>
      </w:r>
      <w:r w:rsidRPr="0057220A">
        <w:rPr>
          <w:sz w:val="18"/>
          <w:szCs w:val="18"/>
        </w:rPr>
        <w:t>*</w:t>
      </w:r>
      <w:r w:rsidRPr="0057220A" w:rsidDel="00EE2BBB">
        <w:rPr>
          <w:sz w:val="18"/>
          <w:szCs w:val="18"/>
        </w:rPr>
        <w:t>Special Pricing Arrangement</w:t>
      </w:r>
      <w:r w:rsidRPr="0057220A">
        <w:rPr>
          <w:sz w:val="18"/>
          <w:szCs w:val="18"/>
        </w:rPr>
        <w:t>s</w:t>
      </w:r>
      <w:r w:rsidRPr="0057220A" w:rsidDel="00EE2BBB">
        <w:rPr>
          <w:sz w:val="18"/>
          <w:szCs w:val="18"/>
        </w:rPr>
        <w:t xml:space="preserve"> </w:t>
      </w:r>
      <w:r w:rsidRPr="0057220A">
        <w:rPr>
          <w:sz w:val="18"/>
          <w:szCs w:val="18"/>
        </w:rPr>
        <w:t>apply. These items are listed in the Efficient Funding of Chemotherapy (EFC) section of the PBS Schedule.</w:t>
      </w:r>
    </w:p>
    <w:p w:rsidR="004C3186" w:rsidDel="00EE2BBB" w:rsidRDefault="004C3186" w:rsidP="00CF5E22">
      <w:pPr>
        <w:pStyle w:val="Heading3"/>
      </w:pPr>
      <w:r w:rsidDel="00EE2BBB">
        <w:t>Restriction</w:t>
      </w:r>
    </w:p>
    <w:p w:rsidR="00732F47" w:rsidRPr="007C7DCF" w:rsidRDefault="00732F47" w:rsidP="00732F47">
      <w:pPr>
        <w:spacing w:after="0"/>
      </w:pPr>
      <w:r w:rsidRPr="007425C4">
        <w:rPr>
          <w:b/>
        </w:rPr>
        <w:t>Nivolumab</w:t>
      </w:r>
      <w:r w:rsidRPr="007C7DCF">
        <w:t xml:space="preserve"> has Authority Required (STREAMLINED) listings for </w:t>
      </w:r>
      <w:r>
        <w:t xml:space="preserve">induction </w:t>
      </w:r>
      <w:r w:rsidRPr="007C7DCF">
        <w:t xml:space="preserve">and </w:t>
      </w:r>
      <w:r>
        <w:t>maintenance</w:t>
      </w:r>
      <w:r w:rsidRPr="007C7DCF">
        <w:t xml:space="preserve"> treatment.</w:t>
      </w:r>
    </w:p>
    <w:p w:rsidR="00732F47" w:rsidRDefault="00732F47" w:rsidP="00732F47">
      <w:pPr>
        <w:spacing w:after="0"/>
      </w:pPr>
    </w:p>
    <w:p w:rsidR="00732F47" w:rsidRDefault="00732F47" w:rsidP="00732F47">
      <w:pPr>
        <w:spacing w:after="0"/>
      </w:pPr>
      <w:r>
        <w:t>Stage IV clear cell variant renal cell carcinoma (RCC)</w:t>
      </w:r>
    </w:p>
    <w:p w:rsidR="00732F47" w:rsidRDefault="00732F47" w:rsidP="00732F47">
      <w:pPr>
        <w:spacing w:after="0"/>
      </w:pPr>
      <w:r>
        <w:t xml:space="preserve">Treatment Phase: </w:t>
      </w:r>
      <w:r w:rsidRPr="007425C4">
        <w:rPr>
          <w:b/>
        </w:rPr>
        <w:t>Induction</w:t>
      </w:r>
      <w:r w:rsidRPr="00F37F69">
        <w:t xml:space="preserve"> </w:t>
      </w:r>
      <w:r w:rsidRPr="00EF5634">
        <w:rPr>
          <w:b/>
        </w:rPr>
        <w:t>treatment</w:t>
      </w:r>
    </w:p>
    <w:p w:rsidR="00732F47" w:rsidRDefault="00732F47" w:rsidP="00732F47">
      <w:pPr>
        <w:spacing w:after="0"/>
      </w:pPr>
      <w:r>
        <w:t>Clinical criteria:</w:t>
      </w:r>
    </w:p>
    <w:p w:rsidR="00732F47" w:rsidRDefault="00732F47" w:rsidP="00732F47">
      <w:pPr>
        <w:pStyle w:val="ListParagraph"/>
        <w:numPr>
          <w:ilvl w:val="0"/>
          <w:numId w:val="6"/>
        </w:numPr>
        <w:spacing w:after="0"/>
      </w:pPr>
      <w:r>
        <w:t>The condition must not have previously been treated,</w:t>
      </w:r>
    </w:p>
    <w:p w:rsidR="00732F47" w:rsidRDefault="00732F47" w:rsidP="00732F47">
      <w:pPr>
        <w:spacing w:after="0"/>
      </w:pPr>
      <w:r>
        <w:t>AND</w:t>
      </w:r>
    </w:p>
    <w:p w:rsidR="00732F47" w:rsidRDefault="00732F47" w:rsidP="00732F47">
      <w:pPr>
        <w:pStyle w:val="ListParagraph"/>
        <w:numPr>
          <w:ilvl w:val="0"/>
          <w:numId w:val="6"/>
        </w:numPr>
        <w:spacing w:after="0"/>
      </w:pPr>
      <w:r>
        <w:t>The condition must be classified as intermediate to poor risk according to the International Metastatic Renal Cell Carcinoma Database Consortium (IMDC),</w:t>
      </w:r>
    </w:p>
    <w:p w:rsidR="00732F47" w:rsidRDefault="00732F47" w:rsidP="00732F47">
      <w:pPr>
        <w:spacing w:after="0"/>
      </w:pPr>
      <w:r>
        <w:t>AND</w:t>
      </w:r>
    </w:p>
    <w:p w:rsidR="00732F47" w:rsidRDefault="00732F47" w:rsidP="00732F47">
      <w:pPr>
        <w:pStyle w:val="ListParagraph"/>
        <w:numPr>
          <w:ilvl w:val="0"/>
          <w:numId w:val="6"/>
        </w:numPr>
        <w:spacing w:after="0"/>
      </w:pPr>
      <w:r>
        <w:t>Patient must have a WHO performance status of 2 or less,</w:t>
      </w:r>
    </w:p>
    <w:p w:rsidR="00732F47" w:rsidRDefault="00732F47" w:rsidP="00732F47">
      <w:pPr>
        <w:spacing w:after="0"/>
      </w:pPr>
      <w:r>
        <w:t>AND</w:t>
      </w:r>
    </w:p>
    <w:p w:rsidR="00732F47" w:rsidRDefault="00732F47" w:rsidP="00732F47">
      <w:pPr>
        <w:pStyle w:val="ListParagraph"/>
        <w:numPr>
          <w:ilvl w:val="0"/>
          <w:numId w:val="6"/>
        </w:numPr>
        <w:spacing w:after="0"/>
      </w:pPr>
      <w:r>
        <w:t>The treatment must be in combination with PBS-subsidised treatment with ipilimumab as induction for this condition.</w:t>
      </w:r>
    </w:p>
    <w:p w:rsidR="00732F47" w:rsidRDefault="00732F47" w:rsidP="00732F47">
      <w:pPr>
        <w:spacing w:after="0"/>
      </w:pPr>
    </w:p>
    <w:p w:rsidR="00732F47" w:rsidRDefault="00732F47" w:rsidP="00732F47">
      <w:pPr>
        <w:spacing w:after="0"/>
      </w:pPr>
      <w:r>
        <w:t>Induction treatment with nivolumab must not exceed a total of 4 doses at a maximum dose of 3 mg per kg every 3 weeks. The patient's body weight must be documented in the patient's medical records at the time treatment is initiated.</w:t>
      </w:r>
    </w:p>
    <w:p w:rsidR="00732F47" w:rsidRDefault="00732F47" w:rsidP="00732F47">
      <w:pPr>
        <w:spacing w:after="0"/>
      </w:pPr>
    </w:p>
    <w:p w:rsidR="00732F47" w:rsidRPr="00F37F69" w:rsidRDefault="00732F47" w:rsidP="00732F47">
      <w:pPr>
        <w:spacing w:after="0"/>
        <w:rPr>
          <w:u w:val="single"/>
        </w:rPr>
      </w:pPr>
      <w:r w:rsidRPr="00F37F69">
        <w:rPr>
          <w:u w:val="single"/>
        </w:rPr>
        <w:t>Note</w:t>
      </w:r>
    </w:p>
    <w:p w:rsidR="00732F47" w:rsidRPr="007129B0" w:rsidRDefault="00732F47" w:rsidP="00732F47">
      <w:pPr>
        <w:spacing w:after="0"/>
      </w:pPr>
      <w:r w:rsidRPr="007129B0">
        <w:t>In the first few months after start of immunotherapy, some patients can have a transient tumour flare with subsequent disease response. When progression is suspected, this should be confirmed through a confirmatory scan, taken at least 4 weeks later.</w:t>
      </w:r>
    </w:p>
    <w:p w:rsidR="00732F47" w:rsidRDefault="00732F47" w:rsidP="00732F47">
      <w:pPr>
        <w:spacing w:after="0"/>
      </w:pPr>
    </w:p>
    <w:p w:rsidR="00732F47" w:rsidRPr="007129B0" w:rsidRDefault="00732F47" w:rsidP="00732F47">
      <w:pPr>
        <w:spacing w:after="0"/>
      </w:pPr>
      <w:r w:rsidRPr="007129B0">
        <w:t>A prognostic International Metastatic Renal Cell Carcinoma Database Consortium (IMDC) survival risk score can be calculated here: https://www.mdcalc.com/imdc-international-metastatic-rcc-database-consortium-risk-model-metastatic-renal-cell-carcinoma.</w:t>
      </w:r>
    </w:p>
    <w:p w:rsidR="00732F47" w:rsidRPr="007129B0" w:rsidRDefault="00732F47" w:rsidP="00732F47">
      <w:pPr>
        <w:spacing w:after="0"/>
      </w:pPr>
      <w:r w:rsidRPr="007129B0">
        <w:t>One point is assigned for each of:</w:t>
      </w:r>
    </w:p>
    <w:p w:rsidR="00732F47" w:rsidRPr="007129B0" w:rsidRDefault="00732F47" w:rsidP="00732F47">
      <w:pPr>
        <w:spacing w:after="0"/>
      </w:pPr>
      <w:r w:rsidRPr="007129B0">
        <w:t>(i) a time of diagnosis to systemic therapy of less than 1 year</w:t>
      </w:r>
    </w:p>
    <w:p w:rsidR="00732F47" w:rsidRPr="007129B0" w:rsidRDefault="00732F47" w:rsidP="00732F47">
      <w:pPr>
        <w:spacing w:after="0"/>
      </w:pPr>
      <w:r w:rsidRPr="007129B0">
        <w:t>(ii) a Karnofsky Performance Status of less than 80%</w:t>
      </w:r>
    </w:p>
    <w:p w:rsidR="00732F47" w:rsidRPr="007129B0" w:rsidRDefault="00732F47" w:rsidP="00732F47">
      <w:pPr>
        <w:spacing w:after="0"/>
      </w:pPr>
      <w:r w:rsidRPr="007129B0">
        <w:t>(iii) a haemaglobin less than the lower limit of normal</w:t>
      </w:r>
    </w:p>
    <w:p w:rsidR="00732F47" w:rsidRPr="007129B0" w:rsidRDefault="00732F47" w:rsidP="00732F47">
      <w:pPr>
        <w:spacing w:after="0"/>
      </w:pPr>
      <w:r w:rsidRPr="007129B0">
        <w:t>(iv) a corrected calcium level greater than the upper limit of normal</w:t>
      </w:r>
    </w:p>
    <w:p w:rsidR="00732F47" w:rsidRPr="007129B0" w:rsidRDefault="00732F47" w:rsidP="00732F47">
      <w:pPr>
        <w:spacing w:after="0"/>
      </w:pPr>
      <w:r w:rsidRPr="007129B0">
        <w:t>(v) a neutrophil count greater than the upper limit of normal</w:t>
      </w:r>
    </w:p>
    <w:p w:rsidR="00732F47" w:rsidRPr="007129B0" w:rsidRDefault="00732F47" w:rsidP="00732F47">
      <w:pPr>
        <w:spacing w:after="0"/>
      </w:pPr>
      <w:r w:rsidRPr="007129B0">
        <w:lastRenderedPageBreak/>
        <w:t>(vi) a platelet count greater than the upper limit of normal</w:t>
      </w:r>
    </w:p>
    <w:p w:rsidR="00732F47" w:rsidRPr="007129B0" w:rsidRDefault="00732F47" w:rsidP="00732F47">
      <w:pPr>
        <w:spacing w:after="0"/>
      </w:pPr>
      <w:r w:rsidRPr="007129B0">
        <w:t>Stated normal reference ranges may vary depending on the laboratory providing the measurement. 'Normal' here refers to the individual laboratory's stated normal reference range.</w:t>
      </w:r>
    </w:p>
    <w:p w:rsidR="00732F47" w:rsidRPr="007129B0" w:rsidRDefault="00732F47" w:rsidP="00732F47">
      <w:pPr>
        <w:spacing w:after="0"/>
      </w:pPr>
      <w:r w:rsidRPr="007129B0">
        <w:t>Favourable IMDC risk is a score of 0.</w:t>
      </w:r>
    </w:p>
    <w:p w:rsidR="00732F47" w:rsidRPr="007129B0" w:rsidRDefault="00732F47" w:rsidP="00732F47">
      <w:pPr>
        <w:spacing w:after="0"/>
      </w:pPr>
      <w:r w:rsidRPr="007129B0">
        <w:t>Intermediate IMDC risk is a score of 1 to 2.</w:t>
      </w:r>
    </w:p>
    <w:p w:rsidR="00732F47" w:rsidRPr="007129B0" w:rsidRDefault="00732F47" w:rsidP="00732F47">
      <w:pPr>
        <w:spacing w:after="0"/>
      </w:pPr>
      <w:r w:rsidRPr="007129B0">
        <w:t>Poor IMDC risk is a score of 3 to 6.</w:t>
      </w:r>
    </w:p>
    <w:p w:rsidR="00732F47" w:rsidRPr="007129B0" w:rsidRDefault="00732F47" w:rsidP="00732F47">
      <w:pPr>
        <w:spacing w:after="0"/>
      </w:pPr>
      <w:r w:rsidRPr="007129B0">
        <w:t>Document any IMDC risk score assessment in the patient's medical records.</w:t>
      </w:r>
    </w:p>
    <w:p w:rsidR="00732F47" w:rsidRPr="007129B0" w:rsidRDefault="00732F47" w:rsidP="00732F47">
      <w:pPr>
        <w:spacing w:after="0"/>
      </w:pPr>
    </w:p>
    <w:p w:rsidR="00732F47" w:rsidRPr="007129B0" w:rsidRDefault="00732F47" w:rsidP="00732F47">
      <w:pPr>
        <w:spacing w:after="0"/>
      </w:pPr>
      <w:r w:rsidRPr="007129B0">
        <w:t>No increase in the maximum number of repeats may be authorised.</w:t>
      </w:r>
    </w:p>
    <w:p w:rsidR="00732F47" w:rsidRPr="007129B0" w:rsidRDefault="00732F47" w:rsidP="00732F47">
      <w:pPr>
        <w:spacing w:after="0"/>
      </w:pPr>
      <w:r w:rsidRPr="007129B0">
        <w:t>Special Pricing Arrangements apply.</w:t>
      </w:r>
    </w:p>
    <w:p w:rsidR="00732F47" w:rsidRDefault="00732F47" w:rsidP="00732F47">
      <w:pPr>
        <w:spacing w:after="0"/>
      </w:pPr>
    </w:p>
    <w:p w:rsidR="00732F47" w:rsidRPr="006769E2" w:rsidRDefault="00732F47" w:rsidP="00732F47">
      <w:pPr>
        <w:spacing w:after="0"/>
        <w:rPr>
          <w:u w:val="single"/>
        </w:rPr>
      </w:pPr>
      <w:r w:rsidRPr="006769E2">
        <w:rPr>
          <w:u w:val="single"/>
        </w:rPr>
        <w:t>Caution</w:t>
      </w:r>
    </w:p>
    <w:p w:rsidR="00732F47" w:rsidRDefault="00732F47" w:rsidP="00732F47">
      <w:pPr>
        <w:spacing w:after="0"/>
      </w:pPr>
      <w:r>
        <w:t>Combination treatment with ipilimumab and nivolumab is associated with an increased incidence and severity of immune-related adverse reactions compared with monotherapy with these agents. Monitoring at least prior to each dose is recommended.</w:t>
      </w:r>
    </w:p>
    <w:p w:rsidR="00732F47" w:rsidRDefault="00732F47" w:rsidP="00732F47">
      <w:pPr>
        <w:spacing w:after="0"/>
      </w:pPr>
    </w:p>
    <w:p w:rsidR="00732F47" w:rsidRDefault="00732F47" w:rsidP="00732F47">
      <w:pPr>
        <w:spacing w:after="0"/>
      </w:pPr>
      <w:r>
        <w:t xml:space="preserve">Treatment Phase: </w:t>
      </w:r>
      <w:r w:rsidRPr="006769E2">
        <w:rPr>
          <w:b/>
        </w:rPr>
        <w:t>Maintenance treatment</w:t>
      </w:r>
    </w:p>
    <w:p w:rsidR="00732F47" w:rsidRDefault="00732F47" w:rsidP="00732F47">
      <w:pPr>
        <w:spacing w:after="0"/>
      </w:pPr>
      <w:r>
        <w:t>Clinical criteria:</w:t>
      </w:r>
    </w:p>
    <w:p w:rsidR="00732F47" w:rsidRDefault="00732F47" w:rsidP="00732F47">
      <w:pPr>
        <w:spacing w:after="0"/>
      </w:pPr>
      <w:r>
        <w:t>Patient must have previously received of up to maximum 4 doses of PBS-subsidised combined therapy with nivolumab and ipilimumab as induction for this condition,</w:t>
      </w:r>
    </w:p>
    <w:p w:rsidR="00732F47" w:rsidRDefault="00732F47" w:rsidP="00732F47">
      <w:pPr>
        <w:spacing w:after="0"/>
      </w:pPr>
      <w:r>
        <w:t>AND</w:t>
      </w:r>
    </w:p>
    <w:p w:rsidR="00732F47" w:rsidRDefault="00732F47" w:rsidP="00732F47">
      <w:pPr>
        <w:pStyle w:val="ListParagraph"/>
        <w:numPr>
          <w:ilvl w:val="0"/>
          <w:numId w:val="5"/>
        </w:numPr>
        <w:spacing w:after="0"/>
      </w:pPr>
      <w:r>
        <w:t>The treatment must be as monotherapy for this condition,</w:t>
      </w:r>
    </w:p>
    <w:p w:rsidR="00732F47" w:rsidRDefault="00732F47" w:rsidP="00732F47">
      <w:pPr>
        <w:spacing w:after="0"/>
      </w:pPr>
      <w:r>
        <w:t>AND</w:t>
      </w:r>
    </w:p>
    <w:p w:rsidR="00732F47" w:rsidRDefault="00732F47" w:rsidP="00732F47">
      <w:pPr>
        <w:pStyle w:val="ListParagraph"/>
        <w:numPr>
          <w:ilvl w:val="0"/>
          <w:numId w:val="5"/>
        </w:numPr>
        <w:spacing w:after="0"/>
      </w:pPr>
      <w:r>
        <w:t>Patient must not have developed disease progression while receiving PBS-subsidised treatment with this drug for this condition.</w:t>
      </w:r>
    </w:p>
    <w:p w:rsidR="00732F47" w:rsidRDefault="00732F47" w:rsidP="00732F47">
      <w:pPr>
        <w:spacing w:after="0"/>
      </w:pPr>
    </w:p>
    <w:p w:rsidR="00732F47" w:rsidRDefault="00732F47" w:rsidP="00732F47">
      <w:pPr>
        <w:spacing w:after="0"/>
      </w:pPr>
      <w:r>
        <w:t>Patients must only receive a maximum of 240 mg every two weeks or 480 mg every four weeks under a weight based or flat dosing regimen. The patient's body weight must be documented in the patient's medical records at the time treatment is initiated.</w:t>
      </w:r>
    </w:p>
    <w:p w:rsidR="00732F47" w:rsidRPr="00F37F69" w:rsidRDefault="00732F47" w:rsidP="00732F47">
      <w:pPr>
        <w:spacing w:after="0"/>
        <w:rPr>
          <w:u w:val="single"/>
        </w:rPr>
      </w:pPr>
      <w:r w:rsidRPr="00F37F69">
        <w:rPr>
          <w:u w:val="single"/>
        </w:rPr>
        <w:t>Note</w:t>
      </w:r>
    </w:p>
    <w:p w:rsidR="00732F47" w:rsidRPr="007129B0" w:rsidRDefault="00732F47" w:rsidP="00732F47">
      <w:pPr>
        <w:spacing w:after="0"/>
      </w:pPr>
      <w:r w:rsidRPr="007129B0">
        <w:t>No increase in the maximum number of repeats may be authorised.</w:t>
      </w:r>
    </w:p>
    <w:p w:rsidR="00732F47" w:rsidRPr="007129B0" w:rsidRDefault="00732F47" w:rsidP="00732F47">
      <w:pPr>
        <w:spacing w:after="0"/>
      </w:pPr>
      <w:r w:rsidRPr="007129B0">
        <w:t>Special Pricing Arrangements apply.</w:t>
      </w:r>
    </w:p>
    <w:p w:rsidR="00732F47" w:rsidRDefault="00732F47" w:rsidP="00732F47">
      <w:pPr>
        <w:spacing w:after="0"/>
      </w:pPr>
    </w:p>
    <w:p w:rsidR="00732F47" w:rsidRPr="007C7DCF" w:rsidRDefault="00732F47" w:rsidP="00732F47">
      <w:pPr>
        <w:spacing w:after="0"/>
      </w:pPr>
      <w:r>
        <w:rPr>
          <w:b/>
        </w:rPr>
        <w:t>Ipilimumab</w:t>
      </w:r>
      <w:r w:rsidRPr="007C7DCF">
        <w:t xml:space="preserve"> has Authority Required (STREAMLINED) listings for </w:t>
      </w:r>
      <w:r>
        <w:t xml:space="preserve">induction </w:t>
      </w:r>
      <w:r w:rsidRPr="007C7DCF">
        <w:t xml:space="preserve">and </w:t>
      </w:r>
      <w:r>
        <w:t>maintenance</w:t>
      </w:r>
      <w:r w:rsidRPr="007C7DCF">
        <w:t xml:space="preserve"> treatment.</w:t>
      </w:r>
    </w:p>
    <w:p w:rsidR="00732F47" w:rsidRDefault="00732F47" w:rsidP="00732F47">
      <w:pPr>
        <w:spacing w:after="0"/>
      </w:pPr>
    </w:p>
    <w:p w:rsidR="00732F47" w:rsidRDefault="00732F47" w:rsidP="00732F47">
      <w:pPr>
        <w:spacing w:after="0"/>
      </w:pPr>
      <w:r>
        <w:t>Stage IV clear cell variant renal cell carcinoma (RCC)</w:t>
      </w:r>
    </w:p>
    <w:p w:rsidR="00732F47" w:rsidRDefault="00732F47" w:rsidP="00732F47">
      <w:pPr>
        <w:spacing w:after="0"/>
      </w:pPr>
      <w:r>
        <w:t xml:space="preserve">Treatment Phase: </w:t>
      </w:r>
      <w:r w:rsidRPr="00F37F69">
        <w:rPr>
          <w:b/>
        </w:rPr>
        <w:t>Induction treatment</w:t>
      </w:r>
    </w:p>
    <w:p w:rsidR="00732F47" w:rsidRDefault="00732F47" w:rsidP="00732F47">
      <w:pPr>
        <w:spacing w:after="0"/>
      </w:pPr>
      <w:r>
        <w:t>Clinical criteria:</w:t>
      </w:r>
    </w:p>
    <w:p w:rsidR="00732F47" w:rsidRDefault="00732F47" w:rsidP="00732F47">
      <w:pPr>
        <w:pStyle w:val="ListParagraph"/>
        <w:numPr>
          <w:ilvl w:val="0"/>
          <w:numId w:val="5"/>
        </w:numPr>
        <w:spacing w:after="0"/>
      </w:pPr>
      <w:r>
        <w:t>The condition must not have previously been treated,</w:t>
      </w:r>
    </w:p>
    <w:p w:rsidR="00732F47" w:rsidRDefault="00732F47" w:rsidP="00732F47">
      <w:pPr>
        <w:spacing w:after="0"/>
      </w:pPr>
      <w:r>
        <w:t>AND</w:t>
      </w:r>
    </w:p>
    <w:p w:rsidR="00732F47" w:rsidRDefault="00732F47" w:rsidP="00732F47">
      <w:pPr>
        <w:pStyle w:val="ListParagraph"/>
        <w:numPr>
          <w:ilvl w:val="0"/>
          <w:numId w:val="5"/>
        </w:numPr>
        <w:spacing w:after="0"/>
      </w:pPr>
      <w:r>
        <w:t>The condition must be classified as intermediate to poor risk according to the International Metastatic Renal Cell Carcinoma Database Consortium (IMDC),</w:t>
      </w:r>
    </w:p>
    <w:p w:rsidR="00732F47" w:rsidRDefault="00732F47" w:rsidP="00732F47">
      <w:pPr>
        <w:spacing w:after="0"/>
      </w:pPr>
      <w:r>
        <w:t>AND</w:t>
      </w:r>
    </w:p>
    <w:p w:rsidR="00732F47" w:rsidRDefault="00732F47" w:rsidP="00732F47">
      <w:pPr>
        <w:pStyle w:val="ListParagraph"/>
        <w:numPr>
          <w:ilvl w:val="0"/>
          <w:numId w:val="5"/>
        </w:numPr>
        <w:spacing w:after="0"/>
      </w:pPr>
      <w:r>
        <w:t>Patient must have a WHO performance status of 2 or less,</w:t>
      </w:r>
    </w:p>
    <w:p w:rsidR="00732F47" w:rsidRDefault="00732F47" w:rsidP="00732F47">
      <w:pPr>
        <w:spacing w:after="0"/>
      </w:pPr>
      <w:r>
        <w:lastRenderedPageBreak/>
        <w:t>AND</w:t>
      </w:r>
    </w:p>
    <w:p w:rsidR="00732F47" w:rsidRDefault="00732F47" w:rsidP="00732F47">
      <w:pPr>
        <w:pStyle w:val="ListParagraph"/>
        <w:numPr>
          <w:ilvl w:val="0"/>
          <w:numId w:val="5"/>
        </w:numPr>
        <w:spacing w:after="0"/>
      </w:pPr>
      <w:r>
        <w:t>The treatment must be in combination with PBS-subsidised treatment with nivolumab as induction therapy for this condition.</w:t>
      </w:r>
    </w:p>
    <w:p w:rsidR="00732F47" w:rsidRDefault="00732F47" w:rsidP="00732F47">
      <w:pPr>
        <w:spacing w:after="0"/>
      </w:pPr>
    </w:p>
    <w:p w:rsidR="00732F47" w:rsidRDefault="00732F47" w:rsidP="00732F47">
      <w:pPr>
        <w:spacing w:after="0"/>
      </w:pPr>
      <w:r>
        <w:t>Induction treatment with ipilimumab must not exceed a total of 4 doses at a maximum dose of 1 mg per kg every 3 weeks. The patient's body weight must be documented in the patient's medical records at the time treatment is initiated.</w:t>
      </w:r>
    </w:p>
    <w:p w:rsidR="00732F47" w:rsidRDefault="00732F47" w:rsidP="00732F47">
      <w:pPr>
        <w:spacing w:after="0"/>
      </w:pPr>
    </w:p>
    <w:p w:rsidR="00732F47" w:rsidRDefault="00732F47" w:rsidP="00732F47">
      <w:pPr>
        <w:spacing w:after="0"/>
      </w:pPr>
      <w:r w:rsidRPr="00F37F69">
        <w:rPr>
          <w:u w:val="single"/>
        </w:rPr>
        <w:t>Note</w:t>
      </w:r>
      <w:r>
        <w:rPr>
          <w:u w:val="single"/>
        </w:rPr>
        <w:t xml:space="preserve"> &amp; Caution</w:t>
      </w:r>
      <w:r>
        <w:t>: same as for nivolumab induction treatment (see above)</w:t>
      </w:r>
    </w:p>
    <w:p w:rsidR="00732F47" w:rsidRDefault="00732F47" w:rsidP="00732F47">
      <w:pPr>
        <w:spacing w:after="0"/>
      </w:pPr>
    </w:p>
    <w:p w:rsidR="00732F47" w:rsidRPr="007C7DCF" w:rsidDel="00EE2BBB" w:rsidRDefault="00732F47" w:rsidP="00732F47">
      <w:r w:rsidRPr="007C7DCF" w:rsidDel="00EE2BBB">
        <w:t xml:space="preserve">For details of the current PBS listing refer to the </w:t>
      </w:r>
      <w:r w:rsidRPr="008B1167" w:rsidDel="00EE2BBB">
        <w:t>PBS website</w:t>
      </w:r>
      <w:r w:rsidRPr="007C7DCF" w:rsidDel="00EE2BBB">
        <w:rPr>
          <w:rStyle w:val="Hyperlink"/>
        </w:rPr>
        <w:t>.</w:t>
      </w:r>
    </w:p>
    <w:p w:rsidR="00675BB1" w:rsidRPr="00675BB1" w:rsidDel="00EE2BBB" w:rsidRDefault="00675BB1" w:rsidP="00CF5E22">
      <w:pPr>
        <w:pStyle w:val="Heading3"/>
      </w:pPr>
      <w:r w:rsidRPr="00675BB1" w:rsidDel="00EE2BBB">
        <w:t>Changes to listing</w:t>
      </w:r>
    </w:p>
    <w:p w:rsidR="00732F47" w:rsidRDefault="00732F47" w:rsidP="00732F47">
      <w:pPr>
        <w:rPr>
          <w:lang w:val="en-US"/>
        </w:rPr>
      </w:pPr>
      <w:r>
        <w:rPr>
          <w:lang w:val="en-US"/>
        </w:rPr>
        <w:t>There were two PBS items for grandfather patients for both nivolumab (11631E – Public Hospital &amp; 11635J – Private Hospital) and ipilimumab (11641Q – Public Hospital &amp; 11647B – Private Hospital) that started on 1 March 2019 and ceased on 30 September 2020. These items were for a p</w:t>
      </w:r>
      <w:r w:rsidRPr="001D7513">
        <w:rPr>
          <w:lang w:val="en-US"/>
        </w:rPr>
        <w:t xml:space="preserve">atient </w:t>
      </w:r>
      <w:r>
        <w:rPr>
          <w:lang w:val="en-US"/>
        </w:rPr>
        <w:t>who h</w:t>
      </w:r>
      <w:r w:rsidRPr="001D7513">
        <w:rPr>
          <w:lang w:val="en-US"/>
        </w:rPr>
        <w:t>a</w:t>
      </w:r>
      <w:r>
        <w:rPr>
          <w:lang w:val="en-US"/>
        </w:rPr>
        <w:t>d</w:t>
      </w:r>
      <w:r w:rsidRPr="001D7513">
        <w:rPr>
          <w:lang w:val="en-US"/>
        </w:rPr>
        <w:t xml:space="preserve"> received less than 4 doses of combined therapy with ipilimumab and nivolumab as induction therapy for this c</w:t>
      </w:r>
      <w:r>
        <w:rPr>
          <w:lang w:val="en-US"/>
        </w:rPr>
        <w:t xml:space="preserve">ondition prior to 1 March </w:t>
      </w:r>
      <w:r w:rsidR="00A74575">
        <w:rPr>
          <w:lang w:val="en-US"/>
        </w:rPr>
        <w:t xml:space="preserve">2019 and </w:t>
      </w:r>
      <w:r>
        <w:rPr>
          <w:lang w:val="en-US"/>
        </w:rPr>
        <w:t>p</w:t>
      </w:r>
      <w:r w:rsidRPr="001D7513">
        <w:rPr>
          <w:lang w:val="en-US"/>
        </w:rPr>
        <w:t>atient</w:t>
      </w:r>
      <w:r>
        <w:rPr>
          <w:lang w:val="en-US"/>
        </w:rPr>
        <w:t>s</w:t>
      </w:r>
      <w:r w:rsidRPr="001D7513">
        <w:rPr>
          <w:lang w:val="en-US"/>
        </w:rPr>
        <w:t xml:space="preserve"> </w:t>
      </w:r>
      <w:r>
        <w:rPr>
          <w:lang w:val="en-US"/>
        </w:rPr>
        <w:t>who</w:t>
      </w:r>
      <w:r w:rsidRPr="001D7513">
        <w:rPr>
          <w:lang w:val="en-US"/>
        </w:rPr>
        <w:t xml:space="preserve"> received monotherapy with nivolumab as maintenance for this condition prior to 1 March 2019</w:t>
      </w:r>
      <w:r>
        <w:rPr>
          <w:lang w:val="en-US"/>
        </w:rPr>
        <w:t>. See Appendix B for details of these restrictions.</w:t>
      </w:r>
    </w:p>
    <w:p w:rsidR="00732F47" w:rsidRPr="007425C4" w:rsidRDefault="00732F47" w:rsidP="00732F47">
      <w:pPr>
        <w:rPr>
          <w:lang w:val="en-US"/>
        </w:rPr>
      </w:pPr>
      <w:r w:rsidRPr="007425C4">
        <w:rPr>
          <w:lang w:val="en-US"/>
        </w:rPr>
        <w:t xml:space="preserve">The nivolumab </w:t>
      </w:r>
      <w:r>
        <w:rPr>
          <w:lang w:val="en-US"/>
        </w:rPr>
        <w:t>second-</w:t>
      </w:r>
      <w:r w:rsidRPr="007425C4">
        <w:rPr>
          <w:lang w:val="en-US"/>
        </w:rPr>
        <w:t xml:space="preserve">line </w:t>
      </w:r>
      <w:r>
        <w:rPr>
          <w:lang w:val="en-US"/>
        </w:rPr>
        <w:t xml:space="preserve">RCC </w:t>
      </w:r>
      <w:r w:rsidRPr="007425C4">
        <w:rPr>
          <w:lang w:val="en-US"/>
        </w:rPr>
        <w:t xml:space="preserve">listing changed in </w:t>
      </w:r>
      <w:r>
        <w:rPr>
          <w:lang w:val="en-US"/>
        </w:rPr>
        <w:t>a</w:t>
      </w:r>
      <w:r w:rsidRPr="007425C4">
        <w:rPr>
          <w:lang w:val="en-US"/>
        </w:rPr>
        <w:t xml:space="preserve">uthority approval level (Authority Required to Streamlined) for initial and continuing prescriptions on 1 September 2019. </w:t>
      </w:r>
      <w:r>
        <w:rPr>
          <w:lang w:val="en-US"/>
        </w:rPr>
        <w:t>First-</w:t>
      </w:r>
      <w:r w:rsidRPr="007425C4">
        <w:rPr>
          <w:lang w:val="en-US"/>
        </w:rPr>
        <w:t xml:space="preserve">line prescriptions for induction and grandfathering were Streamlined Authority from listing on 1 March 2019 (this applies to both nivolumab and ipilimumab). The maintenance phase of </w:t>
      </w:r>
      <w:r>
        <w:rPr>
          <w:lang w:val="en-US"/>
        </w:rPr>
        <w:t>first-</w:t>
      </w:r>
      <w:r w:rsidRPr="007425C4">
        <w:rPr>
          <w:lang w:val="en-US"/>
        </w:rPr>
        <w:t>line treatment, which only includes nivolumab, was Authority Required from listing on 1 March 2019 and became Streamlined on 1 September 2019</w:t>
      </w:r>
      <w:r>
        <w:rPr>
          <w:lang w:val="en-US"/>
        </w:rPr>
        <w:t>.</w:t>
      </w:r>
    </w:p>
    <w:p w:rsidR="00732F47" w:rsidRPr="007425C4" w:rsidRDefault="00732F47" w:rsidP="00732F47">
      <w:pPr>
        <w:rPr>
          <w:lang w:val="en-US"/>
        </w:rPr>
      </w:pPr>
      <w:r w:rsidRPr="007425C4">
        <w:rPr>
          <w:lang w:val="en-US"/>
        </w:rPr>
        <w:t>On 1 September 2019, the following sentence was added to the restriction of all nivolumab PBS listings</w:t>
      </w:r>
      <w:r>
        <w:rPr>
          <w:lang w:val="en-US"/>
        </w:rPr>
        <w:t>, except the first-line induction treatment items 11627Y and 11636K</w:t>
      </w:r>
      <w:r w:rsidRPr="007425C4">
        <w:rPr>
          <w:lang w:val="en-US"/>
        </w:rPr>
        <w:t>.</w:t>
      </w:r>
    </w:p>
    <w:p w:rsidR="00732F47" w:rsidRPr="007425C4" w:rsidRDefault="00732F47" w:rsidP="00732F47">
      <w:pPr>
        <w:rPr>
          <w:i/>
          <w:lang w:val="en-US"/>
        </w:rPr>
      </w:pPr>
      <w:r w:rsidRPr="007425C4">
        <w:rPr>
          <w:i/>
          <w:lang w:val="en-US"/>
        </w:rPr>
        <w:t xml:space="preserve">Patients must only receive a maximum of 240 mg every two weeks or 480 mg every four weeks under a weight based or flat dosing regimen.  </w:t>
      </w:r>
    </w:p>
    <w:p w:rsidR="00732F47" w:rsidRPr="007425C4" w:rsidRDefault="00732F47" w:rsidP="00732F47">
      <w:r w:rsidRPr="007425C4">
        <w:t xml:space="preserve">In addition the Maximum Amount was changed from 360 mg to 480 mg. This was in response to a minor submission to the March 2019 PBAC requesting the addition of two flat dosing regimens to the current 3 mg/kg every two weeks (Q2W) </w:t>
      </w:r>
      <w:r w:rsidR="00A74575" w:rsidRPr="007425C4">
        <w:t>weight-based</w:t>
      </w:r>
      <w:r w:rsidRPr="007425C4">
        <w:t xml:space="preserve"> dosing regimen to allow clinicians choice of either:</w:t>
      </w:r>
    </w:p>
    <w:p w:rsidR="00732F47" w:rsidRPr="007425C4" w:rsidRDefault="00732F47" w:rsidP="00732F47">
      <w:pPr>
        <w:pStyle w:val="ListParagraph"/>
        <w:numPr>
          <w:ilvl w:val="0"/>
          <w:numId w:val="7"/>
        </w:numPr>
      </w:pPr>
      <w:r w:rsidRPr="007425C4">
        <w:t>weight-based 3 mg/kg every two weeks dosing, or</w:t>
      </w:r>
    </w:p>
    <w:p w:rsidR="00732F47" w:rsidRPr="007425C4" w:rsidRDefault="00732F47" w:rsidP="00732F47">
      <w:pPr>
        <w:pStyle w:val="ListParagraph"/>
        <w:numPr>
          <w:ilvl w:val="0"/>
          <w:numId w:val="7"/>
        </w:numPr>
      </w:pPr>
      <w:r w:rsidRPr="007425C4">
        <w:t>flat 240 mg every two weeks dosing, or</w:t>
      </w:r>
    </w:p>
    <w:p w:rsidR="00732F47" w:rsidRPr="007425C4" w:rsidRDefault="00732F47" w:rsidP="00732F47">
      <w:pPr>
        <w:pStyle w:val="ListParagraph"/>
        <w:numPr>
          <w:ilvl w:val="0"/>
          <w:numId w:val="7"/>
        </w:numPr>
      </w:pPr>
      <w:r w:rsidRPr="007425C4">
        <w:t>flat 480 mg every four weeks dosing</w:t>
      </w:r>
    </w:p>
    <w:p w:rsidR="00732F47" w:rsidRDefault="00732F47" w:rsidP="00732F47">
      <w:r w:rsidRPr="007425C4" w:rsidDel="00EE2BBB">
        <w:t xml:space="preserve">Current PBS listing details are available from the </w:t>
      </w:r>
      <w:r w:rsidRPr="008B1167" w:rsidDel="00EE2BBB">
        <w:t>PBS website</w:t>
      </w:r>
      <w:r w:rsidRPr="007425C4" w:rsidDel="00EE2BBB">
        <w:t>.</w:t>
      </w:r>
    </w:p>
    <w:p w:rsidR="00736041" w:rsidRPr="005E22C2" w:rsidRDefault="00394AEE" w:rsidP="00CF5E22">
      <w:pPr>
        <w:pStyle w:val="Heading2"/>
      </w:pPr>
      <w:r>
        <w:t>Relevant aspects of</w:t>
      </w:r>
      <w:r w:rsidR="00736041" w:rsidRPr="005E22C2">
        <w:t xml:space="preserve"> consideration</w:t>
      </w:r>
      <w:r>
        <w:t xml:space="preserve"> by the Pharmaceutical Benefits Advisory Committee (PBAC)</w:t>
      </w:r>
    </w:p>
    <w:p w:rsidR="00732F47" w:rsidRPr="00E05C8D" w:rsidRDefault="00732F47" w:rsidP="00732F47">
      <w:pPr>
        <w:rPr>
          <w:b/>
          <w:i/>
        </w:rPr>
      </w:pPr>
      <w:r>
        <w:rPr>
          <w:b/>
          <w:i/>
        </w:rPr>
        <w:lastRenderedPageBreak/>
        <w:t>July 2018</w:t>
      </w:r>
      <w:r w:rsidRPr="00E05C8D">
        <w:rPr>
          <w:b/>
          <w:i/>
        </w:rPr>
        <w:t xml:space="preserve"> PBAC</w:t>
      </w:r>
    </w:p>
    <w:p w:rsidR="00732F47" w:rsidRDefault="00732F47" w:rsidP="00732F47">
      <w:r w:rsidRPr="00104784">
        <w:t>The PBAC decided not to recommend nivolumab in combination with ipilimumab (NIVO+IPI) for the first-line treatment of Stage IV clear cell variant renal cell carcinoma (RCC) in patients at intermediate to poor prognostic risk. The PBAC acknowledged the high clinical need for effective first-line therapies, especially in patients who are categorised as being at poor prognostic risk. However, the PBAC considered that the incremental survival and quality of life benefits were overestimated in the economic model presented, and that the incremental cost-effectiveness ratio (ICER) was uncertain and unacceptably high. The PBAC considered that a price reduction would be required to bring the estimated ICER into an acceptable range.</w:t>
      </w:r>
      <w:r>
        <w:t xml:space="preserve"> The submission was not considered by DUSC.</w:t>
      </w:r>
      <w:r>
        <w:rPr>
          <w:rStyle w:val="FootnoteReference"/>
        </w:rPr>
        <w:footnoteReference w:id="6"/>
      </w:r>
    </w:p>
    <w:p w:rsidR="00732F47" w:rsidRPr="00E05C8D" w:rsidRDefault="00732F47" w:rsidP="00732F47">
      <w:pPr>
        <w:rPr>
          <w:b/>
          <w:i/>
        </w:rPr>
      </w:pPr>
      <w:r>
        <w:rPr>
          <w:b/>
          <w:i/>
        </w:rPr>
        <w:t>November 2018</w:t>
      </w:r>
      <w:r w:rsidRPr="00E05C8D">
        <w:rPr>
          <w:b/>
          <w:i/>
        </w:rPr>
        <w:t xml:space="preserve"> PBAC</w:t>
      </w:r>
    </w:p>
    <w:p w:rsidR="00732F47" w:rsidRDefault="00732F47" w:rsidP="00732F47">
      <w:r>
        <w:t>The PBAC recommended extending the Section 100 (Efficient Funding of Chemotherapy) Authority Required (STREAMLINED) listing of NIVO+IPI to include the first-line treatment of Stage IV clear cell variant RCC in patients at intermediate to poor prognostic risk. The PBAC considered that the resubmission’s revised economic model parameters, utilisation estimates and risk-sharing arrangement helped to address many of its previous concerns. However, the PBAC advised that a price reduction would be required to bring the estimated ICER into an acceptable range. The submission was a minor resubmission and consequently was not considered by DUSC.</w:t>
      </w:r>
      <w:r>
        <w:rPr>
          <w:rStyle w:val="FootnoteReference"/>
        </w:rPr>
        <w:footnoteReference w:id="7"/>
      </w:r>
    </w:p>
    <w:p w:rsidR="00732F47" w:rsidRPr="00973203" w:rsidRDefault="00732F47" w:rsidP="00732F47">
      <w:r w:rsidRPr="00973203">
        <w:t>For further details refer to the Public Summary Documents referenced in the above text.</w:t>
      </w:r>
    </w:p>
    <w:p w:rsidR="00094DCF" w:rsidRDefault="00ED633B" w:rsidP="00CF5E22">
      <w:pPr>
        <w:pStyle w:val="Heading2"/>
      </w:pPr>
      <w:r>
        <w:t xml:space="preserve">Previous reviews by </w:t>
      </w:r>
      <w:r w:rsidR="00177B86">
        <w:t xml:space="preserve">the </w:t>
      </w:r>
      <w:r>
        <w:t>DUSC</w:t>
      </w:r>
    </w:p>
    <w:p w:rsidR="00732F47" w:rsidRPr="00973203" w:rsidRDefault="00732F47" w:rsidP="00732F47">
      <w:r w:rsidRPr="00973203">
        <w:t>DUSC considered a predicted vs</w:t>
      </w:r>
      <w:r>
        <w:t>.</w:t>
      </w:r>
      <w:r w:rsidRPr="00973203">
        <w:t xml:space="preserve"> actual utilisation analysis of pazopanib and sunitinib for RCC at its June 2014 meeting. Sunitinib and pazopanib were PBS-listed for RCC on 1 May 2009 and 1 October 2012, respectively. The key findings were:</w:t>
      </w:r>
    </w:p>
    <w:p w:rsidR="00732F47" w:rsidRPr="00973203" w:rsidRDefault="00732F47" w:rsidP="00732F47">
      <w:pPr>
        <w:pStyle w:val="ListParagraph"/>
        <w:numPr>
          <w:ilvl w:val="0"/>
          <w:numId w:val="8"/>
        </w:numPr>
        <w:spacing w:after="0"/>
        <w:jc w:val="both"/>
        <w:rPr>
          <w:rFonts w:eastAsia="Times New Roman" w:cs="Times New Roman"/>
          <w:szCs w:val="20"/>
        </w:rPr>
      </w:pPr>
      <w:r w:rsidRPr="00973203">
        <w:rPr>
          <w:rFonts w:eastAsia="Times New Roman" w:cs="Times New Roman"/>
          <w:szCs w:val="20"/>
        </w:rPr>
        <w:t>Following the PBS listing of sunitinib, more patients started treatment for RCC than originally predicted.</w:t>
      </w:r>
    </w:p>
    <w:p w:rsidR="00732F47" w:rsidRPr="00973203" w:rsidRDefault="00732F47" w:rsidP="00732F47">
      <w:pPr>
        <w:pStyle w:val="ListParagraph"/>
        <w:numPr>
          <w:ilvl w:val="0"/>
          <w:numId w:val="8"/>
        </w:numPr>
        <w:spacing w:after="0"/>
        <w:jc w:val="both"/>
        <w:rPr>
          <w:rFonts w:eastAsia="Times New Roman" w:cs="Times New Roman"/>
          <w:szCs w:val="20"/>
        </w:rPr>
      </w:pPr>
      <w:r w:rsidRPr="00973203">
        <w:rPr>
          <w:rFonts w:eastAsia="Times New Roman" w:cs="Times New Roman"/>
          <w:szCs w:val="20"/>
        </w:rPr>
        <w:t>The number of new patients who started treatment with either pazopanib or sunitinib for RCC each year was stable at approximately 500 (from 2010 to 2013 inclusive).</w:t>
      </w:r>
    </w:p>
    <w:p w:rsidR="00732F47" w:rsidRPr="00973203" w:rsidRDefault="00732F47" w:rsidP="00732F47">
      <w:pPr>
        <w:pStyle w:val="ListParagraph"/>
        <w:numPr>
          <w:ilvl w:val="0"/>
          <w:numId w:val="8"/>
        </w:numPr>
        <w:spacing w:after="0"/>
        <w:jc w:val="both"/>
        <w:rPr>
          <w:rFonts w:eastAsia="Times New Roman" w:cs="Times New Roman"/>
          <w:szCs w:val="20"/>
        </w:rPr>
      </w:pPr>
      <w:r w:rsidRPr="00973203">
        <w:rPr>
          <w:rFonts w:eastAsia="Times New Roman" w:cs="Times New Roman"/>
          <w:szCs w:val="20"/>
        </w:rPr>
        <w:t>Following the PBS listing of pazopanib, the number of prevalent patients receiving either pazopanib or sunitinib increased from approximately 600 patients in the 12-month period prior to listing to approximately 700 patients in the 12-month period after listing.</w:t>
      </w:r>
    </w:p>
    <w:p w:rsidR="00732F47" w:rsidRPr="00973203" w:rsidRDefault="00732F47" w:rsidP="00732F47">
      <w:pPr>
        <w:pStyle w:val="ListParagraph"/>
        <w:numPr>
          <w:ilvl w:val="0"/>
          <w:numId w:val="8"/>
        </w:numPr>
        <w:spacing w:after="0"/>
        <w:jc w:val="both"/>
        <w:rPr>
          <w:rFonts w:eastAsia="Times New Roman" w:cs="Times New Roman"/>
          <w:szCs w:val="20"/>
        </w:rPr>
      </w:pPr>
      <w:r w:rsidRPr="00973203">
        <w:rPr>
          <w:rFonts w:eastAsia="Times New Roman" w:cs="Times New Roman"/>
          <w:szCs w:val="20"/>
        </w:rPr>
        <w:t>The number of prescriptions for sunitinib were lower than originally expected, indicating that patients treated with sunitinib received fewer prescriptions per year than originally estimated.</w:t>
      </w:r>
    </w:p>
    <w:p w:rsidR="00732F47" w:rsidRPr="00973203" w:rsidRDefault="00732F47" w:rsidP="00732F47">
      <w:pPr>
        <w:pStyle w:val="ListParagraph"/>
        <w:numPr>
          <w:ilvl w:val="0"/>
          <w:numId w:val="8"/>
        </w:numPr>
        <w:spacing w:after="0"/>
        <w:jc w:val="both"/>
        <w:rPr>
          <w:rFonts w:eastAsia="Times New Roman" w:cs="Times New Roman"/>
          <w:szCs w:val="20"/>
        </w:rPr>
      </w:pPr>
      <w:r w:rsidRPr="00973203">
        <w:rPr>
          <w:rFonts w:eastAsia="Times New Roman" w:cs="Times New Roman"/>
          <w:szCs w:val="20"/>
        </w:rPr>
        <w:lastRenderedPageBreak/>
        <w:t>The number of prescriptions for pazopanib were more than double that expected in the first year of listing. Pazopanib appeared to be substituting for sunitinib, with sunitinib prescriptions decreasing after the PBS listing of pazopanib.</w:t>
      </w:r>
    </w:p>
    <w:p w:rsidR="00732F47" w:rsidRPr="00973203" w:rsidRDefault="00732F47" w:rsidP="00732F47">
      <w:pPr>
        <w:spacing w:before="200"/>
      </w:pPr>
      <w:r w:rsidRPr="00973203">
        <w:t xml:space="preserve">For details of the DUSC consideration of sunitinib and pazopanib refer to the </w:t>
      </w:r>
      <w:r w:rsidRPr="0062062C">
        <w:t>Public Release Document</w:t>
      </w:r>
      <w:r w:rsidRPr="00973203">
        <w:t xml:space="preserve"> from the June 2014 DUSC meeting.</w:t>
      </w:r>
      <w:r w:rsidRPr="002F621C">
        <w:rPr>
          <w:vertAlign w:val="superscript"/>
        </w:rPr>
        <w:footnoteReference w:id="8"/>
      </w:r>
    </w:p>
    <w:p w:rsidR="00732F47" w:rsidRDefault="00732F47" w:rsidP="00732F47">
      <w:r w:rsidRPr="004F7404">
        <w:t>DUSC considered a predicted vs</w:t>
      </w:r>
      <w:r>
        <w:t>.</w:t>
      </w:r>
      <w:r w:rsidRPr="004F7404">
        <w:t xml:space="preserve"> actual utilisation analysis of nivolumab for </w:t>
      </w:r>
      <w:r>
        <w:t>second-line</w:t>
      </w:r>
      <w:r w:rsidRPr="004F7404">
        <w:t xml:space="preserve"> treatment of RCC June 2020 meeting.</w:t>
      </w:r>
      <w:r>
        <w:t xml:space="preserve"> The key findings were</w:t>
      </w:r>
      <w:r w:rsidR="00A74575">
        <w:t>:</w:t>
      </w:r>
    </w:p>
    <w:p w:rsidR="00732F47" w:rsidRDefault="00732F47" w:rsidP="00732F47">
      <w:pPr>
        <w:pStyle w:val="ListParagraph"/>
        <w:numPr>
          <w:ilvl w:val="0"/>
          <w:numId w:val="9"/>
        </w:numPr>
      </w:pPr>
      <w:r>
        <w:t>Second-line nivolumab is the most common PBS treatment for RCC. In 2019 Q4 there were 1,493 patients receiving PBS treatment for RCC, of these 463 received second-line nivolumab.</w:t>
      </w:r>
    </w:p>
    <w:p w:rsidR="00732F47" w:rsidRDefault="00732F47" w:rsidP="00732F47">
      <w:pPr>
        <w:pStyle w:val="ListParagraph"/>
        <w:numPr>
          <w:ilvl w:val="0"/>
          <w:numId w:val="9"/>
        </w:numPr>
      </w:pPr>
      <w:r>
        <w:t>In both Year 1 and 2 after listing there was approximately 50% more patients than predicted. However there were less prescriptions than predicted because the prescriptions per patient were approximately half that predicted.</w:t>
      </w:r>
    </w:p>
    <w:p w:rsidR="00732F47" w:rsidRDefault="00732F47" w:rsidP="00732F47">
      <w:pPr>
        <w:pStyle w:val="ListParagraph"/>
        <w:numPr>
          <w:ilvl w:val="0"/>
          <w:numId w:val="9"/>
        </w:numPr>
      </w:pPr>
      <w:r>
        <w:t>18.4% of patients appeared to have not used a TKI before initiation of second-line nivolumab. Such use is outside the PBS restriction which requires a patient to fail prior TKI treatment.</w:t>
      </w:r>
    </w:p>
    <w:p w:rsidR="00732F47" w:rsidRDefault="00732F47" w:rsidP="00732F47">
      <w:pPr>
        <w:pStyle w:val="ListParagraph"/>
        <w:numPr>
          <w:ilvl w:val="0"/>
          <w:numId w:val="9"/>
        </w:numPr>
      </w:pPr>
      <w:r>
        <w:t>The most common treatment switch for patients who had second-line RCC treatment is from nivolumab to cabozantinib.</w:t>
      </w:r>
    </w:p>
    <w:p w:rsidR="00732F47" w:rsidRDefault="00732F47" w:rsidP="00732F47">
      <w:pPr>
        <w:pStyle w:val="ListParagraph"/>
        <w:numPr>
          <w:ilvl w:val="0"/>
          <w:numId w:val="9"/>
        </w:numPr>
      </w:pPr>
      <w:r>
        <w:t>The median and mean length of treatment (including breaks and date of death (DoD) adjustment) with second-line nivolumab was 5.6 and 9.9 months respectively. This is consistent with predicted mean and median of 5.54 and 9.52 months respectively.</w:t>
      </w:r>
    </w:p>
    <w:p w:rsidR="00732F47" w:rsidRDefault="00732F47" w:rsidP="00732F47">
      <w:pPr>
        <w:pStyle w:val="ListParagraph"/>
        <w:numPr>
          <w:ilvl w:val="0"/>
          <w:numId w:val="9"/>
        </w:numPr>
      </w:pPr>
      <w:r>
        <w:t>The date of death analysis revealed that 42.0% of patients that had 2nd line nivolumab treatment had died by the end of the analysis period (31 December2019).  71.8% of patients were deemed to have stopped treatment by the end of the analysis period, of these 9.9% had died on treatment, 48.6% had stopped treatment before death and 41.4% had stopped treatment and were still alive.</w:t>
      </w:r>
    </w:p>
    <w:p w:rsidR="00732F47" w:rsidRDefault="00732F47" w:rsidP="00732F47">
      <w:pPr>
        <w:pStyle w:val="ListParagraph"/>
        <w:numPr>
          <w:ilvl w:val="0"/>
          <w:numId w:val="9"/>
        </w:numPr>
      </w:pPr>
      <w:r>
        <w:t>The majority of patients (55%) that died had their last nivolumab prescription within the last 3 fortnights (infusions are generally fortnightly) before death. This may indicate that some patients were treated beyond disease progression, which is outside the PBS restriction.</w:t>
      </w:r>
    </w:p>
    <w:p w:rsidR="00732F47" w:rsidRDefault="00732F47" w:rsidP="00732F47">
      <w:pPr>
        <w:pStyle w:val="ListParagraph"/>
        <w:numPr>
          <w:ilvl w:val="0"/>
          <w:numId w:val="9"/>
        </w:numPr>
      </w:pPr>
      <w:r>
        <w:t>The median overall survival from the start of second-line nivolumab treatment was 1.69 years (20.3 months) and the mean was 1.47 years (17.6 months).</w:t>
      </w:r>
    </w:p>
    <w:p w:rsidR="00732F47" w:rsidRPr="004F7404" w:rsidRDefault="00732F47" w:rsidP="00732F47">
      <w:r>
        <w:t>For details of this</w:t>
      </w:r>
      <w:r w:rsidRPr="004F7404">
        <w:t xml:space="preserve"> DUSC consideration refer to the </w:t>
      </w:r>
      <w:r w:rsidRPr="0062062C">
        <w:t>Public Release Document</w:t>
      </w:r>
      <w:r w:rsidRPr="004F7404">
        <w:t xml:space="preserve"> from the June </w:t>
      </w:r>
      <w:r>
        <w:t>2020</w:t>
      </w:r>
      <w:r w:rsidRPr="004F7404">
        <w:t xml:space="preserve"> DUSC meeting.</w:t>
      </w:r>
      <w:r>
        <w:rPr>
          <w:rStyle w:val="FootnoteReference"/>
        </w:rPr>
        <w:footnoteReference w:id="9"/>
      </w:r>
    </w:p>
    <w:p w:rsidR="00E677DD" w:rsidRPr="005E22C2" w:rsidRDefault="00E677DD" w:rsidP="00CF5E22">
      <w:pPr>
        <w:pStyle w:val="Heading1"/>
      </w:pPr>
      <w:r w:rsidRPr="005E22C2">
        <w:lastRenderedPageBreak/>
        <w:t>Method</w:t>
      </w:r>
      <w:r w:rsidR="001B5D37" w:rsidRPr="005E22C2">
        <w:t>s</w:t>
      </w:r>
    </w:p>
    <w:p w:rsidR="00732F47" w:rsidRPr="006D3977" w:rsidRDefault="00732F47" w:rsidP="00732F47">
      <w:r w:rsidRPr="006D3977">
        <w:t xml:space="preserve">The report examines the use of nivolumab </w:t>
      </w:r>
      <w:r>
        <w:t xml:space="preserve">+ ipilimumab </w:t>
      </w:r>
      <w:r w:rsidRPr="006D3977">
        <w:t xml:space="preserve">for the </w:t>
      </w:r>
      <w:r>
        <w:t xml:space="preserve">first-line </w:t>
      </w:r>
      <w:r w:rsidRPr="006D3977">
        <w:t>treatment of RCC in the context of the whole RCC treatment market.</w:t>
      </w:r>
    </w:p>
    <w:p w:rsidR="00732F47" w:rsidRPr="006D3977" w:rsidRDefault="00732F47" w:rsidP="00732F47">
      <w:r w:rsidRPr="006D3977">
        <w:t xml:space="preserve">Prescriptions were extracted from the Services Australia prescription database for all PBS items that have an RCC restriction (48 items, see Appendix A, Table A.1) from 1 May 2009 (the listing date for sunitinib, the first medicine listed with an RCC restriction) until the end of </w:t>
      </w:r>
      <w:r>
        <w:t xml:space="preserve">June </w:t>
      </w:r>
      <w:r w:rsidRPr="006D3977">
        <w:t>20</w:t>
      </w:r>
      <w:r>
        <w:t>21</w:t>
      </w:r>
      <w:r w:rsidRPr="006D3977">
        <w:t xml:space="preserve"> (based on date of supply). Of these items there were four everolimus items (10131F, 10132G, 10133H &amp; 10135K) that had other indications in addition to RCC. For these items, prescriptions were classified as for treatment of RCC or not, based on the Services Australia Authority approval database restriction code or the Streamlined Authority code in the prescription database</w:t>
      </w:r>
    </w:p>
    <w:p w:rsidR="00732F47" w:rsidRPr="006D3977" w:rsidRDefault="00732F47" w:rsidP="00732F47">
      <w:r w:rsidRPr="006D3977">
        <w:t>As these analyses use date of supply prescription data, there may be small differences compared with publicly available Services Australia PBS date of processing data</w:t>
      </w:r>
      <w:r w:rsidRPr="006D3977">
        <w:rPr>
          <w:rStyle w:val="FootnoteReference"/>
        </w:rPr>
        <w:footnoteReference w:id="10"/>
      </w:r>
      <w:r w:rsidRPr="006D3977">
        <w:t xml:space="preserve"> which only includes subsidised PBS and Repatriation PBS (R/PBS) prescriptions (i.e. prescriptions under the patient co-payment are not included).  The Services Australia prescription database data used in this report includes under co-payment prescriptions from 1 April 2012.</w:t>
      </w:r>
    </w:p>
    <w:p w:rsidR="00C714D0" w:rsidRPr="005E22C2" w:rsidRDefault="00C714D0" w:rsidP="00CF5E22">
      <w:pPr>
        <w:pStyle w:val="Heading1"/>
      </w:pPr>
      <w:r w:rsidRPr="005E22C2">
        <w:t>Results</w:t>
      </w:r>
    </w:p>
    <w:p w:rsidR="00736041" w:rsidRPr="005E22C2" w:rsidRDefault="001B5D37" w:rsidP="00CF5E22">
      <w:pPr>
        <w:pStyle w:val="Heading2"/>
      </w:pPr>
      <w:r w:rsidRPr="005E22C2">
        <w:t xml:space="preserve">Analysis </w:t>
      </w:r>
      <w:r w:rsidR="00736041" w:rsidRPr="005E22C2">
        <w:t xml:space="preserve">of </w:t>
      </w:r>
      <w:r w:rsidR="0063631C">
        <w:t>d</w:t>
      </w:r>
      <w:r w:rsidR="00E677DD" w:rsidRPr="005E22C2">
        <w:t xml:space="preserve">rug </w:t>
      </w:r>
      <w:r w:rsidR="0063631C">
        <w:t>u</w:t>
      </w:r>
      <w:r w:rsidR="00E677DD" w:rsidRPr="005E22C2">
        <w:t>tilisation</w:t>
      </w:r>
    </w:p>
    <w:p w:rsidR="001729EF" w:rsidRDefault="001729EF" w:rsidP="001729EF">
      <w:pPr>
        <w:pStyle w:val="Heading3"/>
      </w:pPr>
      <w:r>
        <w:t>Prescription utilisation</w:t>
      </w:r>
    </w:p>
    <w:p w:rsidR="001729EF" w:rsidRDefault="001729EF" w:rsidP="001729EF">
      <w:pPr>
        <w:spacing w:before="60"/>
        <w:rPr>
          <w:b/>
        </w:rPr>
      </w:pPr>
      <w:r>
        <w:rPr>
          <w:noProof/>
        </w:rPr>
        <w:lastRenderedPageBreak/>
        <w:drawing>
          <wp:inline distT="0" distB="0" distL="0" distR="0" wp14:anchorId="0DD7B407" wp14:editId="5819F01F">
            <wp:extent cx="5702300" cy="3714750"/>
            <wp:effectExtent l="0" t="0" r="12700" b="0"/>
            <wp:docPr id="19" name="Chart 19" title="Figure 1: Prescriptions for the treatment of RCC by line of therapy and drug"/>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Pr="00663DB0">
        <w:rPr>
          <w:rStyle w:val="FiguretitleChar"/>
          <w:rFonts w:asciiTheme="minorHAnsi" w:hAnsiTheme="minorHAnsi" w:cstheme="minorHAnsi"/>
        </w:rPr>
        <w:t>Figure 1: Prescriptions for the treatment of RCC by line of therapy and drug</w:t>
      </w:r>
      <w:r w:rsidRPr="00663DB0">
        <w:rPr>
          <w:rStyle w:val="FiguretitleChar"/>
          <w:rFonts w:asciiTheme="minorHAnsi" w:hAnsiTheme="minorHAnsi" w:cstheme="minorHAnsi"/>
        </w:rPr>
        <w:br/>
      </w:r>
      <w:r w:rsidRPr="00B0780C">
        <w:rPr>
          <w:rFonts w:cstheme="minorHAnsi"/>
          <w:sz w:val="20"/>
        </w:rPr>
        <w:t>Note: Nivolumab</w:t>
      </w:r>
      <w:r>
        <w:rPr>
          <w:sz w:val="20"/>
        </w:rPr>
        <w:t xml:space="preserve"> + Ipilimumab for first-line RCC was PBS listed on 1 March 2019</w:t>
      </w:r>
    </w:p>
    <w:p w:rsidR="001729EF" w:rsidRDefault="001729EF" w:rsidP="001729EF">
      <w:r>
        <w:t>Figure 1 shows that second-line nivolumab has the most prescription utilisation in the RCC treatment market. The decrease in 2nd line nivolumab utilisation in 2019 Q4 is most likely due to the change in restriction on 1 September 2019 that allowed the use of 4 weekly flat dose infusions. Prior to this all infusions had been 2 weekly.</w:t>
      </w:r>
    </w:p>
    <w:p w:rsidR="001729EF" w:rsidRDefault="001729EF" w:rsidP="001729EF">
      <w:pPr>
        <w:rPr>
          <w:b/>
          <w:lang w:val="en-US"/>
        </w:rPr>
      </w:pPr>
      <w:r>
        <w:t>First-line nivolumab is the second most utilised medicine in the market. Utilisation of first-line ipilimumab is not as high as first-line nivolumab because combination treatment is only required for induction treatment which lasts 12 weeks (4 doses at 3 weekly intervals). After this, in the maintenance phase, nivolumab is prescribed as monotherapy.</w:t>
      </w:r>
    </w:p>
    <w:p w:rsidR="001729EF" w:rsidRDefault="001729EF" w:rsidP="001729EF">
      <w:pPr>
        <w:rPr>
          <w:rStyle w:val="FiguretitleChar"/>
          <w:lang w:val="en-AU"/>
        </w:rPr>
      </w:pPr>
    </w:p>
    <w:p w:rsidR="001729EF" w:rsidRDefault="001729EF" w:rsidP="001729EF">
      <w:pPr>
        <w:rPr>
          <w:rStyle w:val="FiguretitleChar"/>
        </w:rPr>
      </w:pPr>
      <w:r>
        <w:rPr>
          <w:noProof/>
        </w:rPr>
        <w:lastRenderedPageBreak/>
        <w:drawing>
          <wp:inline distT="0" distB="0" distL="0" distR="0" wp14:anchorId="67533CE1" wp14:editId="27BFC3E9">
            <wp:extent cx="5702300" cy="3714750"/>
            <wp:effectExtent l="0" t="0" r="12700" b="0"/>
            <wp:docPr id="17" name="Chart 17" title="Figure 2: Nivolumab and ipilimumab prescriptions for RCC by line of therapy"/>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Pr="00663DB0">
        <w:rPr>
          <w:rStyle w:val="FiguretitleChar"/>
          <w:rFonts w:asciiTheme="minorHAnsi" w:hAnsiTheme="minorHAnsi" w:cstheme="minorHAnsi"/>
        </w:rPr>
        <w:t>Figure 2: Nivolumab and ipilimumab prescriptions for RCC by line of therapy</w:t>
      </w:r>
    </w:p>
    <w:p w:rsidR="001729EF" w:rsidRDefault="001729EF" w:rsidP="001729EF">
      <w:pPr>
        <w:rPr>
          <w:lang w:val="en-US"/>
        </w:rPr>
      </w:pPr>
      <w:r>
        <w:rPr>
          <w:lang w:val="en-US"/>
        </w:rPr>
        <w:t>Figure 2 uses monthly instead of quarterly data to better discern the influence of three separate changes to listing. These were;</w:t>
      </w:r>
    </w:p>
    <w:p w:rsidR="001729EF" w:rsidRDefault="001729EF" w:rsidP="001729EF">
      <w:pPr>
        <w:pStyle w:val="ListParagraph"/>
        <w:numPr>
          <w:ilvl w:val="0"/>
          <w:numId w:val="13"/>
        </w:numPr>
        <w:rPr>
          <w:lang w:val="en-US"/>
        </w:rPr>
      </w:pPr>
      <w:r>
        <w:rPr>
          <w:lang w:val="en-US"/>
        </w:rPr>
        <w:t xml:space="preserve">the extension of nivolumab to first-line treatment on 1 March 2019; </w:t>
      </w:r>
    </w:p>
    <w:p w:rsidR="001729EF" w:rsidRDefault="001729EF" w:rsidP="001729EF">
      <w:pPr>
        <w:pStyle w:val="ListParagraph"/>
        <w:numPr>
          <w:ilvl w:val="0"/>
          <w:numId w:val="13"/>
        </w:numPr>
        <w:rPr>
          <w:lang w:val="en-US"/>
        </w:rPr>
      </w:pPr>
      <w:r>
        <w:t>the extension the first- &amp; second-line listing to allow use of 4 weekly flat dose infusions on 1 September 2019; and</w:t>
      </w:r>
    </w:p>
    <w:p w:rsidR="001729EF" w:rsidRDefault="001729EF" w:rsidP="001729EF">
      <w:pPr>
        <w:pStyle w:val="ListParagraph"/>
        <w:numPr>
          <w:ilvl w:val="0"/>
          <w:numId w:val="13"/>
        </w:numPr>
        <w:rPr>
          <w:lang w:val="en-US"/>
        </w:rPr>
      </w:pPr>
      <w:r>
        <w:rPr>
          <w:lang w:val="en-US"/>
        </w:rPr>
        <w:t xml:space="preserve">the change in authority level (Authority Required to Streamlined) for both first- &amp; second-line on 1 September 2019. </w:t>
      </w:r>
    </w:p>
    <w:p w:rsidR="001729EF" w:rsidRDefault="001729EF" w:rsidP="001729EF">
      <w:pPr>
        <w:keepNext/>
        <w:keepLines/>
        <w:spacing w:after="0"/>
      </w:pPr>
      <w:r>
        <w:rPr>
          <w:lang w:val="en-US"/>
        </w:rPr>
        <w:t xml:space="preserve">The extension of listing to allow </w:t>
      </w:r>
      <w:r>
        <w:t>4 weekly flat dose infusions from 1 September 2019 as an alternative to 2 weekly dosing does seem to have reduced the number of prescriptions for 2nd line nivolumab from that date. The utilisation of first-line nivolumab does not seem to have been impacted by this change.</w:t>
      </w:r>
    </w:p>
    <w:p w:rsidR="001729EF" w:rsidRDefault="001729EF" w:rsidP="001729EF">
      <w:pPr>
        <w:keepNext/>
        <w:keepLines/>
        <w:spacing w:after="0"/>
      </w:pPr>
    </w:p>
    <w:p w:rsidR="001729EF" w:rsidRDefault="001729EF" w:rsidP="001729EF">
      <w:pPr>
        <w:rPr>
          <w:lang w:val="en-US"/>
        </w:rPr>
      </w:pPr>
      <w:r>
        <w:rPr>
          <w:lang w:val="en-US"/>
        </w:rPr>
        <w:t>The third change to the listing of nivolumab was the change in authority level (Authority Required to Streamlined) for second-line initial and continuing prescriptions on 1 September 2019. First-line prescriptions for induction and grandfathering were Streamlined Authority from listing on 1 March 2019 (this applies to both nivolumab and ipilimumab). The maintenance phase, which only includes nivolumab, was Authority Required from 1 March 2019 and became Streamlined on 1 September 2019. There does not appear to be any obvious increase in utilisation due to the reduction in approval level on 1 September 2019 in either line of therapy. However, any such effect may have been masked by the other two changes to the listing.</w:t>
      </w:r>
    </w:p>
    <w:p w:rsidR="001729EF" w:rsidRDefault="001729EF" w:rsidP="001729EF">
      <w:pPr>
        <w:rPr>
          <w:lang w:val="en-US"/>
        </w:rPr>
      </w:pPr>
    </w:p>
    <w:p w:rsidR="001729EF" w:rsidRPr="00663DB0" w:rsidRDefault="001729EF" w:rsidP="001729EF">
      <w:pPr>
        <w:rPr>
          <w:rStyle w:val="FiguretitleChar"/>
          <w:rFonts w:asciiTheme="minorHAnsi" w:hAnsiTheme="minorHAnsi" w:cstheme="minorHAnsi"/>
          <w:lang w:val="en-AU"/>
        </w:rPr>
      </w:pPr>
      <w:r>
        <w:rPr>
          <w:noProof/>
        </w:rPr>
        <w:lastRenderedPageBreak/>
        <w:drawing>
          <wp:inline distT="0" distB="0" distL="0" distR="0" wp14:anchorId="3DB5375E" wp14:editId="2A074020">
            <wp:extent cx="5702300" cy="3721100"/>
            <wp:effectExtent l="0" t="0" r="12700" b="12700"/>
            <wp:docPr id="10" name="Chart 10" title="Figure 3: Nivolumab and ipilimumab prescriptions for first-line RCC by treatment phase"/>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Pr="00663DB0">
        <w:rPr>
          <w:rStyle w:val="FiguretitleChar"/>
          <w:rFonts w:asciiTheme="minorHAnsi" w:hAnsiTheme="minorHAnsi" w:cstheme="minorHAnsi"/>
        </w:rPr>
        <w:t>Figure 3: Nivolumab and ipilimumab prescriptions for first-line RCC by treatment phase</w:t>
      </w:r>
    </w:p>
    <w:p w:rsidR="001729EF" w:rsidRPr="00663DB0" w:rsidRDefault="001729EF" w:rsidP="001729EF">
      <w:pPr>
        <w:rPr>
          <w:rStyle w:val="FiguretitleChar"/>
          <w:rFonts w:asciiTheme="minorHAnsi" w:hAnsiTheme="minorHAnsi" w:cstheme="minorHAnsi"/>
          <w:b w:val="0"/>
        </w:rPr>
      </w:pPr>
      <w:r w:rsidRPr="00663DB0">
        <w:rPr>
          <w:rStyle w:val="FiguretitleChar"/>
          <w:rFonts w:asciiTheme="minorHAnsi" w:hAnsiTheme="minorHAnsi" w:cstheme="minorHAnsi"/>
          <w:b w:val="0"/>
        </w:rPr>
        <w:t>Figure 3 shows the extent of utilisation for grandfathering and the expected close match between the number of prescriptions for nivolumab and ipilimumab in the induction phase.</w:t>
      </w:r>
    </w:p>
    <w:p w:rsidR="001729EF" w:rsidRPr="00663DB0" w:rsidRDefault="001729EF" w:rsidP="001729EF">
      <w:pPr>
        <w:rPr>
          <w:rStyle w:val="FiguretitleChar"/>
          <w:rFonts w:asciiTheme="minorHAnsi" w:hAnsiTheme="minorHAnsi" w:cstheme="minorHAnsi"/>
        </w:rPr>
      </w:pPr>
      <w:r>
        <w:rPr>
          <w:noProof/>
        </w:rPr>
        <w:lastRenderedPageBreak/>
        <w:drawing>
          <wp:inline distT="0" distB="0" distL="0" distR="0" wp14:anchorId="3844CA00" wp14:editId="418982FF">
            <wp:extent cx="5702300" cy="3721100"/>
            <wp:effectExtent l="0" t="0" r="12700" b="12700"/>
            <wp:docPr id="8" name="Chart 8" title="Figure 4: Nivolumab and ipilimumab prescriptions for first-line RCC by hospital type and treatment phase"/>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Pr="00663DB0">
        <w:rPr>
          <w:rStyle w:val="FiguretitleChar"/>
          <w:rFonts w:asciiTheme="minorHAnsi" w:hAnsiTheme="minorHAnsi" w:cstheme="minorHAnsi"/>
        </w:rPr>
        <w:t>Figure 4: Nivolumab and ipilimumab prescriptions for first-line RCC by hospital type and treatment phase</w:t>
      </w:r>
    </w:p>
    <w:p w:rsidR="001729EF" w:rsidRPr="00663DB0" w:rsidRDefault="001729EF" w:rsidP="001729EF">
      <w:pPr>
        <w:rPr>
          <w:rStyle w:val="FiguretitleChar"/>
          <w:rFonts w:asciiTheme="minorHAnsi" w:hAnsiTheme="minorHAnsi" w:cstheme="minorHAnsi"/>
          <w:b w:val="0"/>
        </w:rPr>
      </w:pPr>
      <w:r w:rsidRPr="00663DB0">
        <w:rPr>
          <w:rStyle w:val="FiguretitleChar"/>
          <w:rFonts w:asciiTheme="minorHAnsi" w:hAnsiTheme="minorHAnsi" w:cstheme="minorHAnsi"/>
          <w:b w:val="0"/>
        </w:rPr>
        <w:t>Figure 4 shows that utilisation was initially greater in the private hospital settings and utilisation in the public hospital setting has been steadily increasing.</w:t>
      </w:r>
    </w:p>
    <w:p w:rsidR="001729EF" w:rsidRDefault="001729EF" w:rsidP="001729EF">
      <w:pPr>
        <w:rPr>
          <w:rStyle w:val="FiguretitleChar"/>
        </w:rPr>
      </w:pPr>
    </w:p>
    <w:p w:rsidR="001729EF" w:rsidRDefault="001729EF" w:rsidP="001729EF">
      <w:pPr>
        <w:rPr>
          <w:i/>
        </w:rPr>
      </w:pPr>
    </w:p>
    <w:p w:rsidR="001729EF" w:rsidRDefault="001729EF" w:rsidP="001729EF">
      <w:pPr>
        <w:spacing w:line="276" w:lineRule="auto"/>
        <w:rPr>
          <w:b/>
          <w:i/>
          <w:szCs w:val="28"/>
        </w:rPr>
      </w:pPr>
      <w:r>
        <w:br w:type="page"/>
      </w:r>
    </w:p>
    <w:p w:rsidR="001729EF" w:rsidRDefault="001729EF" w:rsidP="001729EF">
      <w:pPr>
        <w:pStyle w:val="Heading3"/>
      </w:pPr>
      <w:r>
        <w:lastRenderedPageBreak/>
        <w:t>Patients</w:t>
      </w:r>
    </w:p>
    <w:p w:rsidR="001729EF" w:rsidRDefault="001729EF" w:rsidP="001729EF"/>
    <w:p w:rsidR="001729EF" w:rsidRDefault="001729EF" w:rsidP="001729EF">
      <w:pPr>
        <w:rPr>
          <w:b/>
        </w:rPr>
      </w:pPr>
      <w:r>
        <w:rPr>
          <w:noProof/>
        </w:rPr>
        <w:drawing>
          <wp:inline distT="0" distB="0" distL="0" distR="0" wp14:anchorId="003326D2" wp14:editId="68364DF9">
            <wp:extent cx="5702300" cy="3714750"/>
            <wp:effectExtent l="0" t="0" r="12700" b="0"/>
            <wp:docPr id="6" name="Chart 6" title="Figure 5: Initiating and prevalent patients for the PBS treatment of RCC"/>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663DB0">
        <w:rPr>
          <w:rStyle w:val="FiguretitleChar"/>
          <w:rFonts w:asciiTheme="minorHAnsi" w:hAnsiTheme="minorHAnsi" w:cstheme="minorHAnsi"/>
        </w:rPr>
        <w:t>Figure 5: Initiating and prevalent patients for the PBS treatment of RCC</w:t>
      </w:r>
      <w:r>
        <w:rPr>
          <w:rStyle w:val="FiguretitleChar"/>
        </w:rPr>
        <w:br/>
      </w:r>
      <w:r>
        <w:rPr>
          <w:sz w:val="20"/>
        </w:rPr>
        <w:t>Note: initiating patients have no prior prescription for RCC treatment with any drug</w:t>
      </w:r>
    </w:p>
    <w:p w:rsidR="001729EF" w:rsidRDefault="001729EF" w:rsidP="001729EF">
      <w:pPr>
        <w:rPr>
          <w:lang w:val="en-US"/>
        </w:rPr>
      </w:pPr>
      <w:r>
        <w:t>Figure 5 shows the number of patients initiating treatment for RCC gradually increased until 2018 Q3 and has slowly decreased since then.</w:t>
      </w:r>
    </w:p>
    <w:p w:rsidR="001729EF" w:rsidRDefault="001729EF" w:rsidP="001729EF">
      <w:pPr>
        <w:rPr>
          <w:b/>
        </w:rPr>
      </w:pPr>
      <w:r>
        <w:rPr>
          <w:noProof/>
        </w:rPr>
        <w:lastRenderedPageBreak/>
        <w:drawing>
          <wp:inline distT="0" distB="0" distL="0" distR="0" wp14:anchorId="4F21D69E" wp14:editId="6033393F">
            <wp:extent cx="5702300" cy="3714750"/>
            <wp:effectExtent l="0" t="0" r="12700" b="0"/>
            <wp:docPr id="5" name="Chart 5" title="Figure 6: Prevalent patients for the treatment of RCC by line of therapy and drug"/>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Pr="00663DB0">
        <w:rPr>
          <w:rStyle w:val="FiguretitleChar"/>
          <w:rFonts w:asciiTheme="minorHAnsi" w:hAnsiTheme="minorHAnsi" w:cstheme="minorHAnsi"/>
        </w:rPr>
        <w:t>Figure 6: Prevalent patients for the treatment of RCC by line of therapy and drug</w:t>
      </w:r>
      <w:r>
        <w:rPr>
          <w:rStyle w:val="FiguretitleChar"/>
        </w:rPr>
        <w:br/>
      </w:r>
      <w:r>
        <w:rPr>
          <w:sz w:val="20"/>
          <w:szCs w:val="20"/>
        </w:rPr>
        <w:t>Note: patients can be prevalent to (i.e. supplied) more than one drug in a quarter</w:t>
      </w:r>
    </w:p>
    <w:p w:rsidR="001729EF" w:rsidRDefault="001729EF" w:rsidP="001729EF">
      <w:pPr>
        <w:rPr>
          <w:szCs w:val="20"/>
        </w:rPr>
      </w:pPr>
      <w:r>
        <w:rPr>
          <w:szCs w:val="20"/>
        </w:rPr>
        <w:t>In Figure 6:</w:t>
      </w:r>
    </w:p>
    <w:p w:rsidR="001729EF" w:rsidRDefault="001729EF" w:rsidP="001729EF">
      <w:pPr>
        <w:pStyle w:val="ListParagraph"/>
        <w:numPr>
          <w:ilvl w:val="0"/>
          <w:numId w:val="14"/>
        </w:numPr>
        <w:rPr>
          <w:szCs w:val="20"/>
        </w:rPr>
      </w:pPr>
      <w:r>
        <w:rPr>
          <w:szCs w:val="20"/>
        </w:rPr>
        <w:t>Second-line nivolumab was (as at 2021 Q2) the most utilised treatment, followed by first-line nivolumab and then 2nd line cabozantinib.</w:t>
      </w:r>
    </w:p>
    <w:p w:rsidR="001729EF" w:rsidRDefault="001729EF" w:rsidP="001729EF">
      <w:pPr>
        <w:pStyle w:val="ListParagraph"/>
        <w:numPr>
          <w:ilvl w:val="0"/>
          <w:numId w:val="14"/>
        </w:numPr>
        <w:rPr>
          <w:szCs w:val="20"/>
        </w:rPr>
      </w:pPr>
      <w:r>
        <w:rPr>
          <w:szCs w:val="20"/>
        </w:rPr>
        <w:t>First-line nivolumab looks to be mainly replacing first-line pazopanib.</w:t>
      </w:r>
    </w:p>
    <w:p w:rsidR="001729EF" w:rsidRDefault="001729EF" w:rsidP="001729EF">
      <w:pPr>
        <w:pStyle w:val="ListParagraph"/>
        <w:numPr>
          <w:ilvl w:val="0"/>
          <w:numId w:val="14"/>
        </w:numPr>
        <w:rPr>
          <w:b/>
        </w:rPr>
      </w:pPr>
      <w:r>
        <w:rPr>
          <w:szCs w:val="20"/>
        </w:rPr>
        <w:t>2nd line nivolumab looks to have mainly replaced 2nd line axitinib.</w:t>
      </w:r>
    </w:p>
    <w:p w:rsidR="001729EF" w:rsidRDefault="001729EF" w:rsidP="001729EF">
      <w:pPr>
        <w:pStyle w:val="ListParagraph"/>
        <w:numPr>
          <w:ilvl w:val="0"/>
          <w:numId w:val="14"/>
        </w:numPr>
        <w:rPr>
          <w:b/>
        </w:rPr>
      </w:pPr>
      <w:r>
        <w:rPr>
          <w:szCs w:val="20"/>
        </w:rPr>
        <w:t>2nd line cabozantinib is growing strongly and it looks to have reduced the growth of 2nd line nivolumab after it was listed on 1 June 2018.</w:t>
      </w:r>
    </w:p>
    <w:p w:rsidR="001729EF" w:rsidRDefault="001729EF" w:rsidP="001729EF">
      <w:pPr>
        <w:rPr>
          <w:b/>
          <w:lang w:val="en-US"/>
        </w:rPr>
      </w:pPr>
    </w:p>
    <w:p w:rsidR="001729EF" w:rsidRDefault="001729EF" w:rsidP="001729EF">
      <w:pPr>
        <w:rPr>
          <w:b/>
          <w:lang w:val="en-US"/>
        </w:rPr>
      </w:pPr>
      <w:r>
        <w:rPr>
          <w:noProof/>
        </w:rPr>
        <w:lastRenderedPageBreak/>
        <w:drawing>
          <wp:inline distT="0" distB="0" distL="0" distR="0" wp14:anchorId="28281B87" wp14:editId="25B4C444">
            <wp:extent cx="5702300" cy="3714750"/>
            <wp:effectExtent l="0" t="0" r="12700" b="0"/>
            <wp:docPr id="3" name="Chart 3" title="Figure 7: Initiating patients for the treatment of RCC by line of therapy and drug"/>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b/>
          <w:lang w:val="en-US"/>
        </w:rPr>
        <w:t xml:space="preserve">Figure 7: </w:t>
      </w:r>
      <w:r>
        <w:rPr>
          <w:b/>
        </w:rPr>
        <w:t>Initiating patients for the treatment of RCC by line of therapy and drug</w:t>
      </w:r>
      <w:r>
        <w:rPr>
          <w:b/>
        </w:rPr>
        <w:br/>
      </w:r>
      <w:r>
        <w:rPr>
          <w:sz w:val="20"/>
          <w:szCs w:val="20"/>
        </w:rPr>
        <w:t>Note: Patients can initiate more than one drug in a quarter</w:t>
      </w:r>
    </w:p>
    <w:p w:rsidR="001729EF" w:rsidRDefault="001729EF" w:rsidP="001729EF">
      <w:r>
        <w:t>Figure 7 shows that currently (as at 2021 Q2) first-line nivolumab and ipilimumab and 2nd line nivolumab are the two most commonly initiated treatments. As expected the number of patients initiating first-line nivolumab and first-line ipilimumab are similar.</w:t>
      </w:r>
    </w:p>
    <w:p w:rsidR="001729EF" w:rsidRDefault="001729EF" w:rsidP="001729EF">
      <w:pPr>
        <w:rPr>
          <w:b/>
          <w:lang w:val="en-US"/>
        </w:rPr>
      </w:pPr>
      <w:r>
        <w:rPr>
          <w:noProof/>
        </w:rPr>
        <w:lastRenderedPageBreak/>
        <w:drawing>
          <wp:inline distT="0" distB="0" distL="0" distR="0" wp14:anchorId="22DA1D5A" wp14:editId="24A4C576">
            <wp:extent cx="5702300" cy="3721100"/>
            <wp:effectExtent l="0" t="0" r="12700" b="12700"/>
            <wp:docPr id="2" name="Chart 2" title="Figure 8: Prevalent patients for the first-line nivolumab and ipilimumab by treatment phase "/>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Pr>
          <w:b/>
          <w:lang w:val="en-US"/>
        </w:rPr>
        <w:t xml:space="preserve">Figure 8: </w:t>
      </w:r>
      <w:r>
        <w:rPr>
          <w:b/>
        </w:rPr>
        <w:t xml:space="preserve">Prevalent patients for the first-line nivolumab and ipilimumab by treatment phase </w:t>
      </w:r>
      <w:r>
        <w:rPr>
          <w:b/>
        </w:rPr>
        <w:br/>
      </w:r>
      <w:r>
        <w:rPr>
          <w:sz w:val="20"/>
          <w:szCs w:val="20"/>
        </w:rPr>
        <w:t>Note: Patients can be prevalent to (i.e. supplied) more than one drug in a quarter. Patients are counted in the first treatment phase they have in a quarter</w:t>
      </w:r>
    </w:p>
    <w:p w:rsidR="001729EF" w:rsidRDefault="001729EF" w:rsidP="001729EF">
      <w:r>
        <w:t>There is a slight discrepancy between the number of patients prevalent to nivolumab and ipilimumab induction treatment. This will be investigated further in a patient level medicine sequence analysis later in the report.</w:t>
      </w:r>
    </w:p>
    <w:p w:rsidR="006A47F8" w:rsidRDefault="006A47F8" w:rsidP="006A47F8">
      <w:pPr>
        <w:pStyle w:val="Heading2"/>
      </w:pPr>
      <w:r>
        <w:t xml:space="preserve">Analysis </w:t>
      </w:r>
      <w:r w:rsidRPr="005E22C2">
        <w:t xml:space="preserve">of </w:t>
      </w:r>
      <w:r>
        <w:t>p</w:t>
      </w:r>
      <w:r w:rsidRPr="005E22C2">
        <w:t xml:space="preserve">redicted versus </w:t>
      </w:r>
      <w:r>
        <w:t>a</w:t>
      </w:r>
      <w:r w:rsidRPr="005E22C2">
        <w:t xml:space="preserve">ctual </w:t>
      </w:r>
      <w:r>
        <w:t>u</w:t>
      </w:r>
      <w:r w:rsidRPr="005E22C2">
        <w:t>tilisation</w:t>
      </w:r>
    </w:p>
    <w:p w:rsidR="006A47F8" w:rsidRPr="004B4DAB" w:rsidRDefault="006A47F8" w:rsidP="006A47F8">
      <w:pPr>
        <w:pStyle w:val="Tabletitle"/>
      </w:pPr>
      <w:r w:rsidRPr="004B4DAB">
        <w:t>Table 3</w:t>
      </w:r>
      <w:r>
        <w:t>: Predicted vs Actual analysis of nivolumab + ipilimumab for first-line RCC</w:t>
      </w:r>
    </w:p>
    <w:tbl>
      <w:tblPr>
        <w:tblW w:w="7402" w:type="dxa"/>
        <w:tblLook w:val="04A0" w:firstRow="1" w:lastRow="0" w:firstColumn="1" w:lastColumn="0" w:noHBand="0" w:noVBand="1"/>
      </w:tblPr>
      <w:tblGrid>
        <w:gridCol w:w="2098"/>
        <w:gridCol w:w="1984"/>
        <w:gridCol w:w="1660"/>
        <w:gridCol w:w="1660"/>
      </w:tblGrid>
      <w:tr w:rsidR="006A47F8" w:rsidRPr="0057417E" w:rsidTr="00165778">
        <w:trPr>
          <w:trHeight w:val="315"/>
        </w:trPr>
        <w:tc>
          <w:tcPr>
            <w:tcW w:w="2098"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6A47F8" w:rsidRPr="0057417E" w:rsidRDefault="006A47F8" w:rsidP="00165778">
            <w:pPr>
              <w:spacing w:after="0"/>
              <w:rPr>
                <w:rFonts w:ascii="Calibri" w:eastAsia="Times New Roman" w:hAnsi="Calibri" w:cs="Calibri"/>
                <w:color w:val="000000"/>
                <w:sz w:val="20"/>
                <w:szCs w:val="20"/>
              </w:rPr>
            </w:pPr>
            <w:r w:rsidRPr="0057417E">
              <w:rPr>
                <w:rFonts w:ascii="Calibri" w:eastAsia="Times New Roman" w:hAnsi="Calibri" w:cs="Calibri"/>
                <w:color w:val="000000"/>
                <w:sz w:val="20"/>
                <w:szCs w:val="20"/>
              </w:rPr>
              <w:t> </w:t>
            </w:r>
          </w:p>
        </w:tc>
        <w:tc>
          <w:tcPr>
            <w:tcW w:w="1984"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6A47F8" w:rsidRPr="0057417E" w:rsidRDefault="006A47F8" w:rsidP="00165778">
            <w:pPr>
              <w:spacing w:after="0"/>
              <w:rPr>
                <w:rFonts w:ascii="Calibri" w:eastAsia="Times New Roman" w:hAnsi="Calibri" w:cs="Calibri"/>
                <w:b/>
                <w:bCs/>
                <w:color w:val="000000"/>
                <w:sz w:val="20"/>
                <w:szCs w:val="20"/>
              </w:rPr>
            </w:pPr>
            <w:r w:rsidRPr="0057417E">
              <w:rPr>
                <w:rFonts w:ascii="Calibri" w:eastAsia="Times New Roman" w:hAnsi="Calibri" w:cs="Calibri"/>
                <w:b/>
                <w:bCs/>
                <w:color w:val="000000"/>
                <w:sz w:val="20"/>
                <w:szCs w:val="20"/>
              </w:rPr>
              <w:t> </w:t>
            </w:r>
          </w:p>
        </w:tc>
        <w:tc>
          <w:tcPr>
            <w:tcW w:w="166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6A47F8" w:rsidRPr="0057417E" w:rsidRDefault="006A47F8" w:rsidP="00165778">
            <w:pPr>
              <w:spacing w:after="0"/>
              <w:jc w:val="center"/>
              <w:rPr>
                <w:rFonts w:ascii="Calibri" w:eastAsia="Times New Roman" w:hAnsi="Calibri" w:cs="Calibri"/>
                <w:b/>
                <w:bCs/>
                <w:color w:val="000000"/>
                <w:sz w:val="20"/>
                <w:szCs w:val="20"/>
              </w:rPr>
            </w:pPr>
            <w:r w:rsidRPr="0057417E">
              <w:rPr>
                <w:rFonts w:ascii="Calibri" w:eastAsia="Times New Roman" w:hAnsi="Calibri" w:cs="Calibri"/>
                <w:b/>
                <w:bCs/>
                <w:color w:val="000000"/>
                <w:sz w:val="20"/>
                <w:szCs w:val="20"/>
              </w:rPr>
              <w:t>Year</w:t>
            </w:r>
            <w:r>
              <w:rPr>
                <w:rFonts w:ascii="Calibri" w:eastAsia="Times New Roman" w:hAnsi="Calibri" w:cs="Calibri"/>
                <w:b/>
                <w:bCs/>
                <w:color w:val="000000"/>
                <w:sz w:val="20"/>
                <w:szCs w:val="20"/>
              </w:rPr>
              <w:t xml:space="preserve"> </w:t>
            </w:r>
            <w:r w:rsidRPr="0057417E">
              <w:rPr>
                <w:rFonts w:ascii="Calibri" w:eastAsia="Times New Roman" w:hAnsi="Calibri" w:cs="Calibri"/>
                <w:b/>
                <w:bCs/>
                <w:color w:val="000000"/>
                <w:sz w:val="20"/>
                <w:szCs w:val="20"/>
              </w:rPr>
              <w:t>1</w:t>
            </w:r>
          </w:p>
        </w:tc>
        <w:tc>
          <w:tcPr>
            <w:tcW w:w="166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6A47F8" w:rsidRPr="0057417E" w:rsidRDefault="006A47F8" w:rsidP="00165778">
            <w:pPr>
              <w:spacing w:after="0"/>
              <w:jc w:val="center"/>
              <w:rPr>
                <w:rFonts w:ascii="Calibri" w:eastAsia="Times New Roman" w:hAnsi="Calibri" w:cs="Calibri"/>
                <w:b/>
                <w:bCs/>
                <w:color w:val="000000"/>
                <w:sz w:val="20"/>
                <w:szCs w:val="20"/>
              </w:rPr>
            </w:pPr>
            <w:r w:rsidRPr="0057417E">
              <w:rPr>
                <w:rFonts w:ascii="Calibri" w:eastAsia="Times New Roman" w:hAnsi="Calibri" w:cs="Calibri"/>
                <w:b/>
                <w:bCs/>
                <w:color w:val="000000"/>
                <w:sz w:val="20"/>
                <w:szCs w:val="20"/>
              </w:rPr>
              <w:t>Year 2</w:t>
            </w:r>
          </w:p>
        </w:tc>
      </w:tr>
      <w:tr w:rsidR="006A47F8" w:rsidRPr="0057417E" w:rsidTr="00165778">
        <w:trPr>
          <w:trHeight w:val="315"/>
        </w:trPr>
        <w:tc>
          <w:tcPr>
            <w:tcW w:w="2098" w:type="dxa"/>
            <w:vMerge/>
            <w:tcBorders>
              <w:top w:val="single" w:sz="4" w:space="0" w:color="auto"/>
              <w:left w:val="single" w:sz="4" w:space="0" w:color="auto"/>
              <w:bottom w:val="single" w:sz="4" w:space="0" w:color="auto"/>
              <w:right w:val="single" w:sz="4" w:space="0" w:color="auto"/>
            </w:tcBorders>
            <w:vAlign w:val="center"/>
            <w:hideMark/>
          </w:tcPr>
          <w:p w:rsidR="006A47F8" w:rsidRPr="0057417E" w:rsidRDefault="006A47F8" w:rsidP="00165778">
            <w:pPr>
              <w:spacing w:after="0"/>
              <w:rPr>
                <w:rFonts w:ascii="Calibri" w:eastAsia="Times New Roman" w:hAnsi="Calibri" w:cs="Calibri"/>
                <w:color w:val="000000"/>
                <w:sz w:val="20"/>
                <w:szCs w:val="20"/>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6A47F8" w:rsidRPr="0057417E" w:rsidRDefault="006A47F8" w:rsidP="00165778">
            <w:pPr>
              <w:spacing w:after="0"/>
              <w:rPr>
                <w:rFonts w:ascii="Calibri" w:eastAsia="Times New Roman" w:hAnsi="Calibri" w:cs="Calibri"/>
                <w:b/>
                <w:bCs/>
                <w:color w:val="000000"/>
                <w:sz w:val="20"/>
                <w:szCs w:val="20"/>
              </w:rPr>
            </w:pPr>
          </w:p>
        </w:tc>
        <w:tc>
          <w:tcPr>
            <w:tcW w:w="166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6A47F8" w:rsidRPr="0057417E" w:rsidRDefault="006A47F8" w:rsidP="00165778">
            <w:pPr>
              <w:spacing w:after="0"/>
              <w:jc w:val="center"/>
              <w:rPr>
                <w:rFonts w:ascii="Calibri" w:eastAsia="Times New Roman" w:hAnsi="Calibri" w:cs="Calibri"/>
                <w:b/>
                <w:bCs/>
                <w:color w:val="000000"/>
                <w:sz w:val="20"/>
                <w:szCs w:val="20"/>
              </w:rPr>
            </w:pPr>
            <w:r w:rsidRPr="0057417E">
              <w:rPr>
                <w:rFonts w:ascii="Calibri" w:eastAsia="Times New Roman" w:hAnsi="Calibri" w:cs="Calibri"/>
                <w:b/>
                <w:bCs/>
                <w:color w:val="000000"/>
                <w:sz w:val="20"/>
                <w:szCs w:val="20"/>
              </w:rPr>
              <w:t>Mar 19 to Feb 20</w:t>
            </w:r>
          </w:p>
        </w:tc>
        <w:tc>
          <w:tcPr>
            <w:tcW w:w="166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6A47F8" w:rsidRPr="0057417E" w:rsidRDefault="006A47F8" w:rsidP="00165778">
            <w:pPr>
              <w:spacing w:after="0"/>
              <w:jc w:val="center"/>
              <w:rPr>
                <w:rFonts w:ascii="Calibri" w:eastAsia="Times New Roman" w:hAnsi="Calibri" w:cs="Calibri"/>
                <w:b/>
                <w:bCs/>
                <w:color w:val="000000"/>
                <w:sz w:val="20"/>
                <w:szCs w:val="20"/>
              </w:rPr>
            </w:pPr>
            <w:r>
              <w:rPr>
                <w:rFonts w:ascii="Calibri" w:eastAsia="Times New Roman" w:hAnsi="Calibri" w:cs="Calibri"/>
                <w:b/>
                <w:bCs/>
                <w:color w:val="000000"/>
                <w:sz w:val="20"/>
                <w:szCs w:val="20"/>
              </w:rPr>
              <w:t>Mar 20</w:t>
            </w:r>
            <w:r w:rsidRPr="0057417E">
              <w:rPr>
                <w:rFonts w:ascii="Calibri" w:eastAsia="Times New Roman" w:hAnsi="Calibri" w:cs="Calibri"/>
                <w:b/>
                <w:bCs/>
                <w:color w:val="000000"/>
                <w:sz w:val="20"/>
                <w:szCs w:val="20"/>
              </w:rPr>
              <w:t xml:space="preserve"> to Feb 2</w:t>
            </w:r>
            <w:r>
              <w:rPr>
                <w:rFonts w:ascii="Calibri" w:eastAsia="Times New Roman" w:hAnsi="Calibri" w:cs="Calibri"/>
                <w:b/>
                <w:bCs/>
                <w:color w:val="000000"/>
                <w:sz w:val="20"/>
                <w:szCs w:val="20"/>
              </w:rPr>
              <w:t>1</w:t>
            </w:r>
          </w:p>
        </w:tc>
      </w:tr>
      <w:tr w:rsidR="006A47F8" w:rsidRPr="0057417E" w:rsidTr="00165778">
        <w:trPr>
          <w:trHeight w:val="20"/>
        </w:trPr>
        <w:tc>
          <w:tcPr>
            <w:tcW w:w="2098" w:type="dxa"/>
            <w:tcBorders>
              <w:top w:val="single" w:sz="4" w:space="0" w:color="auto"/>
              <w:left w:val="single" w:sz="4" w:space="0" w:color="auto"/>
              <w:bottom w:val="single" w:sz="4" w:space="0" w:color="auto"/>
            </w:tcBorders>
            <w:shd w:val="clear" w:color="auto" w:fill="D9D9D9" w:themeFill="background1" w:themeFillShade="D9"/>
            <w:noWrap/>
            <w:vAlign w:val="center"/>
            <w:hideMark/>
          </w:tcPr>
          <w:p w:rsidR="006A47F8" w:rsidRPr="0057417E" w:rsidRDefault="006A47F8" w:rsidP="00165778">
            <w:pPr>
              <w:spacing w:after="0"/>
              <w:rPr>
                <w:rFonts w:ascii="Calibri" w:eastAsia="Times New Roman" w:hAnsi="Calibri" w:cs="Calibri"/>
                <w:b/>
                <w:color w:val="000000"/>
                <w:sz w:val="20"/>
                <w:szCs w:val="20"/>
              </w:rPr>
            </w:pPr>
            <w:r w:rsidRPr="0057417E">
              <w:rPr>
                <w:rFonts w:ascii="Calibri" w:eastAsia="Times New Roman" w:hAnsi="Calibri" w:cs="Calibri"/>
                <w:b/>
                <w:color w:val="000000"/>
                <w:sz w:val="20"/>
                <w:szCs w:val="20"/>
              </w:rPr>
              <w:t>Ipilimumab</w:t>
            </w:r>
          </w:p>
        </w:tc>
        <w:tc>
          <w:tcPr>
            <w:tcW w:w="1984" w:type="dxa"/>
            <w:tcBorders>
              <w:top w:val="single" w:sz="4" w:space="0" w:color="auto"/>
              <w:bottom w:val="single" w:sz="4" w:space="0" w:color="auto"/>
            </w:tcBorders>
            <w:shd w:val="clear" w:color="auto" w:fill="D9D9D9" w:themeFill="background1" w:themeFillShade="D9"/>
            <w:vAlign w:val="center"/>
            <w:hideMark/>
          </w:tcPr>
          <w:p w:rsidR="006A47F8" w:rsidRPr="0057417E" w:rsidRDefault="006A47F8" w:rsidP="00165778">
            <w:pPr>
              <w:spacing w:after="0"/>
              <w:rPr>
                <w:rFonts w:ascii="Calibri" w:eastAsia="Times New Roman" w:hAnsi="Calibri" w:cs="Calibri"/>
                <w:color w:val="000000"/>
                <w:sz w:val="20"/>
                <w:szCs w:val="20"/>
              </w:rPr>
            </w:pPr>
            <w:r w:rsidRPr="0057417E">
              <w:rPr>
                <w:rFonts w:ascii="Calibri" w:eastAsia="Times New Roman" w:hAnsi="Calibri" w:cs="Calibri"/>
                <w:color w:val="000000"/>
                <w:sz w:val="20"/>
                <w:szCs w:val="20"/>
              </w:rPr>
              <w:t> </w:t>
            </w:r>
          </w:p>
        </w:tc>
        <w:tc>
          <w:tcPr>
            <w:tcW w:w="1660" w:type="dxa"/>
            <w:tcBorders>
              <w:top w:val="single" w:sz="4" w:space="0" w:color="auto"/>
              <w:bottom w:val="single" w:sz="4" w:space="0" w:color="auto"/>
            </w:tcBorders>
            <w:shd w:val="clear" w:color="auto" w:fill="D9D9D9" w:themeFill="background1" w:themeFillShade="D9"/>
            <w:vAlign w:val="center"/>
            <w:hideMark/>
          </w:tcPr>
          <w:p w:rsidR="006A47F8" w:rsidRPr="0057417E" w:rsidRDefault="006A47F8" w:rsidP="00165778">
            <w:pPr>
              <w:spacing w:after="0"/>
              <w:rPr>
                <w:rFonts w:ascii="Calibri" w:eastAsia="Times New Roman" w:hAnsi="Calibri" w:cs="Calibri"/>
                <w:color w:val="000000"/>
                <w:sz w:val="20"/>
                <w:szCs w:val="20"/>
              </w:rPr>
            </w:pPr>
          </w:p>
        </w:tc>
        <w:tc>
          <w:tcPr>
            <w:tcW w:w="1660" w:type="dxa"/>
            <w:tcBorders>
              <w:top w:val="single" w:sz="4" w:space="0" w:color="auto"/>
              <w:bottom w:val="single" w:sz="4" w:space="0" w:color="auto"/>
              <w:right w:val="single" w:sz="4" w:space="0" w:color="auto"/>
            </w:tcBorders>
            <w:shd w:val="clear" w:color="auto" w:fill="D9D9D9" w:themeFill="background1" w:themeFillShade="D9"/>
            <w:vAlign w:val="center"/>
            <w:hideMark/>
          </w:tcPr>
          <w:p w:rsidR="006A47F8" w:rsidRPr="0057417E" w:rsidRDefault="006A47F8" w:rsidP="00165778">
            <w:pPr>
              <w:spacing w:after="0"/>
              <w:jc w:val="center"/>
              <w:rPr>
                <w:rFonts w:ascii="Times New Roman" w:eastAsia="Times New Roman" w:hAnsi="Times New Roman" w:cs="Times New Roman"/>
                <w:sz w:val="20"/>
                <w:szCs w:val="20"/>
              </w:rPr>
            </w:pPr>
          </w:p>
        </w:tc>
      </w:tr>
      <w:tr w:rsidR="006A47F8" w:rsidRPr="0057417E" w:rsidTr="00165778">
        <w:trPr>
          <w:trHeight w:val="20"/>
        </w:trPr>
        <w:tc>
          <w:tcPr>
            <w:tcW w:w="209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47F8" w:rsidRPr="0057417E" w:rsidRDefault="006A47F8" w:rsidP="00165778">
            <w:pPr>
              <w:spacing w:after="0"/>
              <w:rPr>
                <w:rFonts w:ascii="Calibri" w:eastAsia="Times New Roman" w:hAnsi="Calibri" w:cs="Calibri"/>
                <w:color w:val="000000"/>
                <w:sz w:val="20"/>
                <w:szCs w:val="20"/>
              </w:rPr>
            </w:pPr>
            <w:r w:rsidRPr="0057417E">
              <w:rPr>
                <w:rFonts w:ascii="Calibri" w:eastAsia="Times New Roman" w:hAnsi="Calibri" w:cs="Calibri"/>
                <w:color w:val="000000"/>
                <w:sz w:val="20"/>
                <w:szCs w:val="20"/>
              </w:rPr>
              <w:t>Treated patients (PBS &amp; RPBS)</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rPr>
                <w:rFonts w:ascii="Calibri" w:eastAsia="Times New Roman" w:hAnsi="Calibri" w:cs="Calibri"/>
                <w:color w:val="000000"/>
                <w:sz w:val="20"/>
                <w:szCs w:val="20"/>
              </w:rPr>
            </w:pPr>
            <w:r w:rsidRPr="0057417E">
              <w:rPr>
                <w:rFonts w:ascii="Calibri" w:eastAsia="Times New Roman" w:hAnsi="Calibri" w:cs="Calibri"/>
                <w:color w:val="000000"/>
                <w:sz w:val="20"/>
                <w:szCs w:val="20"/>
              </w:rPr>
              <w:t>Predicted (P)</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jc w:val="center"/>
              <w:rPr>
                <w:rFonts w:ascii="Calibri" w:eastAsia="Times New Roman" w:hAnsi="Calibri" w:cs="Calibri"/>
                <w:color w:val="000000"/>
                <w:sz w:val="20"/>
                <w:szCs w:val="20"/>
              </w:rPr>
            </w:pPr>
            <w:r w:rsidRPr="0057417E">
              <w:rPr>
                <w:rFonts w:ascii="Calibri" w:eastAsia="Times New Roman" w:hAnsi="Calibri" w:cs="Calibri"/>
                <w:color w:val="000000"/>
                <w:sz w:val="20"/>
                <w:szCs w:val="20"/>
              </w:rPr>
              <w:t>335</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jc w:val="center"/>
              <w:rPr>
                <w:rFonts w:ascii="Calibri" w:eastAsia="Times New Roman" w:hAnsi="Calibri" w:cs="Calibri"/>
                <w:color w:val="000000"/>
                <w:sz w:val="20"/>
                <w:szCs w:val="20"/>
              </w:rPr>
            </w:pPr>
            <w:r w:rsidRPr="0057417E">
              <w:rPr>
                <w:rFonts w:ascii="Calibri" w:eastAsia="Times New Roman" w:hAnsi="Calibri" w:cs="Calibri"/>
                <w:color w:val="000000"/>
                <w:sz w:val="20"/>
                <w:szCs w:val="20"/>
              </w:rPr>
              <w:t>344</w:t>
            </w:r>
          </w:p>
        </w:tc>
      </w:tr>
      <w:tr w:rsidR="006A47F8" w:rsidRPr="0057417E" w:rsidTr="00165778">
        <w:trPr>
          <w:trHeight w:val="20"/>
        </w:trPr>
        <w:tc>
          <w:tcPr>
            <w:tcW w:w="2098" w:type="dxa"/>
            <w:vMerge/>
            <w:tcBorders>
              <w:top w:val="single" w:sz="4" w:space="0" w:color="auto"/>
              <w:left w:val="single" w:sz="4" w:space="0" w:color="auto"/>
              <w:bottom w:val="single" w:sz="4" w:space="0" w:color="auto"/>
              <w:right w:val="single" w:sz="4" w:space="0" w:color="auto"/>
            </w:tcBorders>
            <w:vAlign w:val="center"/>
            <w:hideMark/>
          </w:tcPr>
          <w:p w:rsidR="006A47F8" w:rsidRPr="0057417E" w:rsidRDefault="006A47F8" w:rsidP="00165778">
            <w:pPr>
              <w:spacing w:after="0"/>
              <w:rPr>
                <w:rFonts w:ascii="Calibri" w:eastAsia="Times New Roman" w:hAnsi="Calibri" w:cs="Calibri"/>
                <w:color w:val="000000"/>
                <w:sz w:val="2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rPr>
                <w:rFonts w:ascii="Calibri" w:eastAsia="Times New Roman" w:hAnsi="Calibri" w:cs="Calibri"/>
                <w:color w:val="000000"/>
                <w:sz w:val="20"/>
                <w:szCs w:val="20"/>
              </w:rPr>
            </w:pPr>
            <w:r w:rsidRPr="0057417E">
              <w:rPr>
                <w:rFonts w:ascii="Calibri" w:eastAsia="Times New Roman" w:hAnsi="Calibri" w:cs="Calibri"/>
                <w:color w:val="000000"/>
                <w:sz w:val="20"/>
                <w:szCs w:val="20"/>
              </w:rPr>
              <w:t>Actual (A)</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jc w:val="center"/>
              <w:rPr>
                <w:rFonts w:ascii="Calibri" w:eastAsia="Times New Roman" w:hAnsi="Calibri" w:cs="Calibri"/>
                <w:color w:val="000000"/>
                <w:sz w:val="20"/>
                <w:szCs w:val="20"/>
              </w:rPr>
            </w:pPr>
            <w:r w:rsidRPr="0057417E">
              <w:rPr>
                <w:rFonts w:ascii="Calibri" w:eastAsia="Times New Roman" w:hAnsi="Calibri" w:cs="Calibri"/>
                <w:color w:val="000000"/>
                <w:sz w:val="20"/>
                <w:szCs w:val="20"/>
              </w:rPr>
              <w:t>395</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jc w:val="center"/>
              <w:rPr>
                <w:rFonts w:ascii="Calibri" w:eastAsia="Times New Roman" w:hAnsi="Calibri" w:cs="Calibri"/>
                <w:color w:val="000000"/>
                <w:sz w:val="20"/>
                <w:szCs w:val="20"/>
              </w:rPr>
            </w:pPr>
            <w:r w:rsidRPr="0057417E">
              <w:rPr>
                <w:rFonts w:ascii="Calibri" w:eastAsia="Times New Roman" w:hAnsi="Calibri" w:cs="Calibri"/>
                <w:color w:val="000000"/>
                <w:sz w:val="20"/>
                <w:szCs w:val="20"/>
              </w:rPr>
              <w:t>404</w:t>
            </w:r>
          </w:p>
        </w:tc>
      </w:tr>
      <w:tr w:rsidR="006A47F8" w:rsidRPr="0057417E" w:rsidTr="00165778">
        <w:trPr>
          <w:trHeight w:val="20"/>
        </w:trPr>
        <w:tc>
          <w:tcPr>
            <w:tcW w:w="2098" w:type="dxa"/>
            <w:vMerge/>
            <w:tcBorders>
              <w:top w:val="single" w:sz="4" w:space="0" w:color="auto"/>
              <w:left w:val="single" w:sz="4" w:space="0" w:color="auto"/>
              <w:bottom w:val="single" w:sz="4" w:space="0" w:color="auto"/>
              <w:right w:val="single" w:sz="4" w:space="0" w:color="auto"/>
            </w:tcBorders>
            <w:vAlign w:val="center"/>
            <w:hideMark/>
          </w:tcPr>
          <w:p w:rsidR="006A47F8" w:rsidRPr="0057417E" w:rsidRDefault="006A47F8" w:rsidP="00165778">
            <w:pPr>
              <w:spacing w:after="0"/>
              <w:rPr>
                <w:rFonts w:ascii="Calibri" w:eastAsia="Times New Roman" w:hAnsi="Calibri" w:cs="Calibri"/>
                <w:color w:val="000000"/>
                <w:sz w:val="2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rPr>
                <w:rFonts w:ascii="Calibri" w:eastAsia="Times New Roman" w:hAnsi="Calibri" w:cs="Calibri"/>
                <w:color w:val="000000"/>
                <w:sz w:val="20"/>
                <w:szCs w:val="20"/>
              </w:rPr>
            </w:pPr>
            <w:r w:rsidRPr="0057417E">
              <w:rPr>
                <w:rFonts w:ascii="Calibri" w:eastAsia="Times New Roman" w:hAnsi="Calibri" w:cs="Calibri"/>
                <w:color w:val="000000"/>
                <w:sz w:val="20"/>
                <w:szCs w:val="20"/>
              </w:rPr>
              <w:t>% Difference (A-P)/P</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jc w:val="center"/>
              <w:rPr>
                <w:rFonts w:ascii="Calibri" w:eastAsia="Times New Roman" w:hAnsi="Calibri" w:cs="Calibri"/>
                <w:color w:val="000000"/>
                <w:sz w:val="20"/>
                <w:szCs w:val="20"/>
              </w:rPr>
            </w:pPr>
            <w:r w:rsidRPr="0057417E">
              <w:rPr>
                <w:rFonts w:ascii="Calibri" w:eastAsia="Times New Roman" w:hAnsi="Calibri" w:cs="Calibri"/>
                <w:color w:val="000000"/>
                <w:sz w:val="20"/>
                <w:szCs w:val="20"/>
              </w:rPr>
              <w:t>18%</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jc w:val="center"/>
              <w:rPr>
                <w:rFonts w:ascii="Calibri" w:eastAsia="Times New Roman" w:hAnsi="Calibri" w:cs="Calibri"/>
                <w:color w:val="000000"/>
                <w:sz w:val="20"/>
                <w:szCs w:val="20"/>
              </w:rPr>
            </w:pPr>
            <w:r w:rsidRPr="0057417E">
              <w:rPr>
                <w:rFonts w:ascii="Calibri" w:eastAsia="Times New Roman" w:hAnsi="Calibri" w:cs="Calibri"/>
                <w:color w:val="000000"/>
                <w:sz w:val="20"/>
                <w:szCs w:val="20"/>
              </w:rPr>
              <w:t>17%</w:t>
            </w:r>
          </w:p>
        </w:tc>
      </w:tr>
      <w:tr w:rsidR="006A47F8" w:rsidRPr="0057417E" w:rsidTr="00165778">
        <w:trPr>
          <w:trHeight w:val="20"/>
        </w:trPr>
        <w:tc>
          <w:tcPr>
            <w:tcW w:w="209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47F8" w:rsidRPr="0057417E" w:rsidRDefault="006A47F8" w:rsidP="00165778">
            <w:pPr>
              <w:spacing w:after="0"/>
              <w:rPr>
                <w:rFonts w:ascii="Calibri" w:eastAsia="Times New Roman" w:hAnsi="Calibri" w:cs="Calibri"/>
                <w:color w:val="000000"/>
                <w:sz w:val="20"/>
                <w:szCs w:val="20"/>
              </w:rPr>
            </w:pPr>
            <w:r w:rsidRPr="0057417E">
              <w:rPr>
                <w:rFonts w:ascii="Calibri" w:eastAsia="Times New Roman" w:hAnsi="Calibri" w:cs="Calibri"/>
                <w:color w:val="000000"/>
                <w:sz w:val="20"/>
                <w:szCs w:val="20"/>
              </w:rPr>
              <w:t xml:space="preserve">Prescriptions </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rPr>
                <w:rFonts w:ascii="Calibri" w:eastAsia="Times New Roman" w:hAnsi="Calibri" w:cs="Calibri"/>
                <w:color w:val="000000"/>
                <w:sz w:val="20"/>
                <w:szCs w:val="20"/>
              </w:rPr>
            </w:pPr>
            <w:r w:rsidRPr="0057417E">
              <w:rPr>
                <w:rFonts w:ascii="Calibri" w:eastAsia="Times New Roman" w:hAnsi="Calibri" w:cs="Calibri"/>
                <w:color w:val="000000"/>
                <w:sz w:val="20"/>
                <w:szCs w:val="20"/>
              </w:rPr>
              <w:t>Predicted (P)</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jc w:val="center"/>
              <w:rPr>
                <w:rFonts w:ascii="Calibri" w:eastAsia="Times New Roman" w:hAnsi="Calibri" w:cs="Calibri"/>
                <w:color w:val="000000"/>
                <w:sz w:val="20"/>
                <w:szCs w:val="20"/>
              </w:rPr>
            </w:pPr>
            <w:r w:rsidRPr="0057417E">
              <w:rPr>
                <w:rFonts w:ascii="Calibri" w:eastAsia="Times New Roman" w:hAnsi="Calibri" w:cs="Calibri"/>
                <w:color w:val="000000"/>
                <w:sz w:val="20"/>
                <w:szCs w:val="20"/>
              </w:rPr>
              <w:t>1,339</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jc w:val="center"/>
              <w:rPr>
                <w:rFonts w:ascii="Calibri" w:eastAsia="Times New Roman" w:hAnsi="Calibri" w:cs="Calibri"/>
                <w:color w:val="000000"/>
                <w:sz w:val="20"/>
                <w:szCs w:val="20"/>
              </w:rPr>
            </w:pPr>
            <w:r w:rsidRPr="0057417E">
              <w:rPr>
                <w:rFonts w:ascii="Calibri" w:eastAsia="Times New Roman" w:hAnsi="Calibri" w:cs="Calibri"/>
                <w:color w:val="000000"/>
                <w:sz w:val="20"/>
                <w:szCs w:val="20"/>
              </w:rPr>
              <w:t>1,376</w:t>
            </w:r>
          </w:p>
        </w:tc>
      </w:tr>
      <w:tr w:rsidR="006A47F8" w:rsidRPr="0057417E" w:rsidTr="00165778">
        <w:trPr>
          <w:trHeight w:val="20"/>
        </w:trPr>
        <w:tc>
          <w:tcPr>
            <w:tcW w:w="2098" w:type="dxa"/>
            <w:vMerge/>
            <w:tcBorders>
              <w:top w:val="single" w:sz="4" w:space="0" w:color="auto"/>
              <w:left w:val="single" w:sz="4" w:space="0" w:color="auto"/>
              <w:bottom w:val="single" w:sz="4" w:space="0" w:color="auto"/>
              <w:right w:val="single" w:sz="4" w:space="0" w:color="auto"/>
            </w:tcBorders>
            <w:vAlign w:val="center"/>
            <w:hideMark/>
          </w:tcPr>
          <w:p w:rsidR="006A47F8" w:rsidRPr="0057417E" w:rsidRDefault="006A47F8" w:rsidP="00165778">
            <w:pPr>
              <w:spacing w:after="0"/>
              <w:rPr>
                <w:rFonts w:ascii="Calibri" w:eastAsia="Times New Roman" w:hAnsi="Calibri" w:cs="Calibri"/>
                <w:color w:val="000000"/>
                <w:sz w:val="2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rPr>
                <w:rFonts w:ascii="Calibri" w:eastAsia="Times New Roman" w:hAnsi="Calibri" w:cs="Calibri"/>
                <w:color w:val="000000"/>
                <w:sz w:val="20"/>
                <w:szCs w:val="20"/>
              </w:rPr>
            </w:pPr>
            <w:r w:rsidRPr="0057417E">
              <w:rPr>
                <w:rFonts w:ascii="Calibri" w:eastAsia="Times New Roman" w:hAnsi="Calibri" w:cs="Calibri"/>
                <w:color w:val="000000"/>
                <w:sz w:val="20"/>
                <w:szCs w:val="20"/>
              </w:rPr>
              <w:t>Actual (A)</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jc w:val="center"/>
              <w:rPr>
                <w:rFonts w:ascii="Calibri" w:eastAsia="Times New Roman" w:hAnsi="Calibri" w:cs="Calibri"/>
                <w:color w:val="000000"/>
                <w:sz w:val="20"/>
                <w:szCs w:val="20"/>
              </w:rPr>
            </w:pPr>
            <w:r w:rsidRPr="0057417E">
              <w:rPr>
                <w:rFonts w:ascii="Calibri" w:eastAsia="Times New Roman" w:hAnsi="Calibri" w:cs="Calibri"/>
                <w:color w:val="000000"/>
                <w:sz w:val="20"/>
                <w:szCs w:val="20"/>
              </w:rPr>
              <w:t>1,239</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jc w:val="center"/>
              <w:rPr>
                <w:rFonts w:ascii="Calibri" w:eastAsia="Times New Roman" w:hAnsi="Calibri" w:cs="Calibri"/>
                <w:color w:val="000000"/>
                <w:sz w:val="20"/>
                <w:szCs w:val="20"/>
              </w:rPr>
            </w:pPr>
            <w:r w:rsidRPr="0057417E">
              <w:rPr>
                <w:rFonts w:ascii="Calibri" w:eastAsia="Times New Roman" w:hAnsi="Calibri" w:cs="Calibri"/>
                <w:color w:val="000000"/>
                <w:sz w:val="20"/>
                <w:szCs w:val="20"/>
              </w:rPr>
              <w:t>1,220</w:t>
            </w:r>
          </w:p>
        </w:tc>
      </w:tr>
      <w:tr w:rsidR="006A47F8" w:rsidRPr="0057417E" w:rsidTr="00165778">
        <w:trPr>
          <w:trHeight w:val="20"/>
        </w:trPr>
        <w:tc>
          <w:tcPr>
            <w:tcW w:w="2098" w:type="dxa"/>
            <w:vMerge/>
            <w:tcBorders>
              <w:top w:val="single" w:sz="4" w:space="0" w:color="auto"/>
              <w:left w:val="single" w:sz="4" w:space="0" w:color="auto"/>
              <w:bottom w:val="single" w:sz="4" w:space="0" w:color="auto"/>
              <w:right w:val="single" w:sz="4" w:space="0" w:color="auto"/>
            </w:tcBorders>
            <w:vAlign w:val="center"/>
            <w:hideMark/>
          </w:tcPr>
          <w:p w:rsidR="006A47F8" w:rsidRPr="0057417E" w:rsidRDefault="006A47F8" w:rsidP="00165778">
            <w:pPr>
              <w:spacing w:after="0"/>
              <w:rPr>
                <w:rFonts w:ascii="Calibri" w:eastAsia="Times New Roman" w:hAnsi="Calibri" w:cs="Calibri"/>
                <w:color w:val="000000"/>
                <w:sz w:val="2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rPr>
                <w:rFonts w:ascii="Calibri" w:eastAsia="Times New Roman" w:hAnsi="Calibri" w:cs="Calibri"/>
                <w:color w:val="000000"/>
                <w:sz w:val="20"/>
                <w:szCs w:val="20"/>
              </w:rPr>
            </w:pPr>
            <w:r w:rsidRPr="0057417E">
              <w:rPr>
                <w:rFonts w:ascii="Calibri" w:eastAsia="Times New Roman" w:hAnsi="Calibri" w:cs="Calibri"/>
                <w:color w:val="000000"/>
                <w:sz w:val="20"/>
                <w:szCs w:val="20"/>
              </w:rPr>
              <w:t>% Difference (A-P)/P</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jc w:val="center"/>
              <w:rPr>
                <w:rFonts w:ascii="Calibri" w:eastAsia="Times New Roman" w:hAnsi="Calibri" w:cs="Calibri"/>
                <w:color w:val="000000"/>
                <w:sz w:val="20"/>
                <w:szCs w:val="20"/>
              </w:rPr>
            </w:pPr>
            <w:r w:rsidRPr="0057417E">
              <w:rPr>
                <w:rFonts w:ascii="Calibri" w:eastAsia="Times New Roman" w:hAnsi="Calibri" w:cs="Calibri"/>
                <w:color w:val="000000"/>
                <w:sz w:val="20"/>
                <w:szCs w:val="20"/>
              </w:rPr>
              <w:t>-7%</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jc w:val="center"/>
              <w:rPr>
                <w:rFonts w:ascii="Calibri" w:eastAsia="Times New Roman" w:hAnsi="Calibri" w:cs="Calibri"/>
                <w:color w:val="000000"/>
                <w:sz w:val="20"/>
                <w:szCs w:val="20"/>
              </w:rPr>
            </w:pPr>
            <w:r w:rsidRPr="0057417E">
              <w:rPr>
                <w:rFonts w:ascii="Calibri" w:eastAsia="Times New Roman" w:hAnsi="Calibri" w:cs="Calibri"/>
                <w:color w:val="000000"/>
                <w:sz w:val="20"/>
                <w:szCs w:val="20"/>
              </w:rPr>
              <w:t>-11%</w:t>
            </w:r>
          </w:p>
        </w:tc>
      </w:tr>
      <w:tr w:rsidR="006A47F8" w:rsidRPr="0057417E" w:rsidTr="00165778">
        <w:trPr>
          <w:trHeight w:val="20"/>
        </w:trPr>
        <w:tc>
          <w:tcPr>
            <w:tcW w:w="209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47F8" w:rsidRPr="0057417E" w:rsidRDefault="006A47F8" w:rsidP="00165778">
            <w:pPr>
              <w:spacing w:after="0"/>
              <w:rPr>
                <w:rFonts w:ascii="Calibri" w:eastAsia="Times New Roman" w:hAnsi="Calibri" w:cs="Calibri"/>
                <w:color w:val="000000"/>
                <w:sz w:val="20"/>
                <w:szCs w:val="20"/>
              </w:rPr>
            </w:pPr>
            <w:r w:rsidRPr="0057417E">
              <w:rPr>
                <w:rFonts w:ascii="Calibri" w:eastAsia="Times New Roman" w:hAnsi="Calibri" w:cs="Calibri"/>
                <w:color w:val="000000"/>
                <w:sz w:val="20"/>
                <w:szCs w:val="20"/>
              </w:rPr>
              <w:t xml:space="preserve">Prescriptions per patient </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rPr>
                <w:rFonts w:ascii="Calibri" w:eastAsia="Times New Roman" w:hAnsi="Calibri" w:cs="Calibri"/>
                <w:color w:val="000000"/>
                <w:sz w:val="20"/>
                <w:szCs w:val="20"/>
              </w:rPr>
            </w:pPr>
            <w:r w:rsidRPr="0057417E">
              <w:rPr>
                <w:rFonts w:ascii="Calibri" w:eastAsia="Times New Roman" w:hAnsi="Calibri" w:cs="Calibri"/>
                <w:color w:val="000000"/>
                <w:sz w:val="20"/>
                <w:szCs w:val="20"/>
              </w:rPr>
              <w:t>Predicted (P)</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jc w:val="center"/>
              <w:rPr>
                <w:rFonts w:ascii="Calibri" w:eastAsia="Times New Roman" w:hAnsi="Calibri" w:cs="Calibri"/>
                <w:color w:val="000000"/>
                <w:sz w:val="20"/>
                <w:szCs w:val="20"/>
              </w:rPr>
            </w:pPr>
            <w:r w:rsidRPr="0057417E">
              <w:rPr>
                <w:rFonts w:ascii="Calibri" w:eastAsia="Times New Roman" w:hAnsi="Calibri" w:cs="Calibri"/>
                <w:color w:val="000000"/>
                <w:sz w:val="20"/>
                <w:szCs w:val="20"/>
              </w:rPr>
              <w:t>4.0</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jc w:val="center"/>
              <w:rPr>
                <w:rFonts w:ascii="Calibri" w:eastAsia="Times New Roman" w:hAnsi="Calibri" w:cs="Calibri"/>
                <w:color w:val="000000"/>
                <w:sz w:val="20"/>
                <w:szCs w:val="20"/>
              </w:rPr>
            </w:pPr>
            <w:r w:rsidRPr="0057417E">
              <w:rPr>
                <w:rFonts w:ascii="Calibri" w:eastAsia="Times New Roman" w:hAnsi="Calibri" w:cs="Calibri"/>
                <w:color w:val="000000"/>
                <w:sz w:val="20"/>
                <w:szCs w:val="20"/>
              </w:rPr>
              <w:t>4.0</w:t>
            </w:r>
          </w:p>
        </w:tc>
      </w:tr>
      <w:tr w:rsidR="006A47F8" w:rsidRPr="0057417E" w:rsidTr="00165778">
        <w:trPr>
          <w:trHeight w:val="20"/>
        </w:trPr>
        <w:tc>
          <w:tcPr>
            <w:tcW w:w="2098" w:type="dxa"/>
            <w:vMerge/>
            <w:tcBorders>
              <w:top w:val="single" w:sz="4" w:space="0" w:color="auto"/>
              <w:left w:val="single" w:sz="4" w:space="0" w:color="auto"/>
              <w:bottom w:val="single" w:sz="4" w:space="0" w:color="auto"/>
              <w:right w:val="single" w:sz="4" w:space="0" w:color="auto"/>
            </w:tcBorders>
            <w:vAlign w:val="center"/>
            <w:hideMark/>
          </w:tcPr>
          <w:p w:rsidR="006A47F8" w:rsidRPr="0057417E" w:rsidRDefault="006A47F8" w:rsidP="00165778">
            <w:pPr>
              <w:spacing w:after="0"/>
              <w:rPr>
                <w:rFonts w:ascii="Calibri" w:eastAsia="Times New Roman" w:hAnsi="Calibri" w:cs="Calibri"/>
                <w:color w:val="000000"/>
                <w:sz w:val="2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rPr>
                <w:rFonts w:ascii="Calibri" w:eastAsia="Times New Roman" w:hAnsi="Calibri" w:cs="Calibri"/>
                <w:color w:val="000000"/>
                <w:sz w:val="20"/>
                <w:szCs w:val="20"/>
              </w:rPr>
            </w:pPr>
            <w:r w:rsidRPr="0057417E">
              <w:rPr>
                <w:rFonts w:ascii="Calibri" w:eastAsia="Times New Roman" w:hAnsi="Calibri" w:cs="Calibri"/>
                <w:color w:val="000000"/>
                <w:sz w:val="20"/>
                <w:szCs w:val="20"/>
              </w:rPr>
              <w:t>Actual (A)</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jc w:val="center"/>
              <w:rPr>
                <w:rFonts w:ascii="Calibri" w:eastAsia="Times New Roman" w:hAnsi="Calibri" w:cs="Calibri"/>
                <w:color w:val="000000"/>
                <w:sz w:val="20"/>
                <w:szCs w:val="20"/>
              </w:rPr>
            </w:pPr>
            <w:r w:rsidRPr="0057417E">
              <w:rPr>
                <w:rFonts w:ascii="Calibri" w:eastAsia="Times New Roman" w:hAnsi="Calibri" w:cs="Calibri"/>
                <w:color w:val="000000"/>
                <w:sz w:val="20"/>
                <w:szCs w:val="20"/>
              </w:rPr>
              <w:t>3.1</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jc w:val="center"/>
              <w:rPr>
                <w:rFonts w:ascii="Calibri" w:eastAsia="Times New Roman" w:hAnsi="Calibri" w:cs="Calibri"/>
                <w:color w:val="000000"/>
                <w:sz w:val="20"/>
                <w:szCs w:val="20"/>
              </w:rPr>
            </w:pPr>
            <w:r w:rsidRPr="0057417E">
              <w:rPr>
                <w:rFonts w:ascii="Calibri" w:eastAsia="Times New Roman" w:hAnsi="Calibri" w:cs="Calibri"/>
                <w:color w:val="000000"/>
                <w:sz w:val="20"/>
                <w:szCs w:val="20"/>
              </w:rPr>
              <w:t>3.0</w:t>
            </w:r>
          </w:p>
        </w:tc>
      </w:tr>
      <w:tr w:rsidR="006A47F8" w:rsidRPr="0057417E" w:rsidTr="00165778">
        <w:trPr>
          <w:trHeight w:val="20"/>
        </w:trPr>
        <w:tc>
          <w:tcPr>
            <w:tcW w:w="2098" w:type="dxa"/>
            <w:vMerge/>
            <w:tcBorders>
              <w:top w:val="single" w:sz="4" w:space="0" w:color="auto"/>
              <w:left w:val="single" w:sz="4" w:space="0" w:color="auto"/>
              <w:bottom w:val="single" w:sz="4" w:space="0" w:color="auto"/>
              <w:right w:val="single" w:sz="4" w:space="0" w:color="auto"/>
            </w:tcBorders>
            <w:vAlign w:val="center"/>
            <w:hideMark/>
          </w:tcPr>
          <w:p w:rsidR="006A47F8" w:rsidRPr="0057417E" w:rsidRDefault="006A47F8" w:rsidP="00165778">
            <w:pPr>
              <w:spacing w:after="0"/>
              <w:rPr>
                <w:rFonts w:ascii="Calibri" w:eastAsia="Times New Roman" w:hAnsi="Calibri" w:cs="Calibri"/>
                <w:color w:val="000000"/>
                <w:sz w:val="2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rPr>
                <w:rFonts w:ascii="Calibri" w:eastAsia="Times New Roman" w:hAnsi="Calibri" w:cs="Calibri"/>
                <w:color w:val="000000"/>
                <w:sz w:val="20"/>
                <w:szCs w:val="20"/>
              </w:rPr>
            </w:pPr>
            <w:r w:rsidRPr="0057417E">
              <w:rPr>
                <w:rFonts w:ascii="Calibri" w:eastAsia="Times New Roman" w:hAnsi="Calibri" w:cs="Calibri"/>
                <w:color w:val="000000"/>
                <w:sz w:val="20"/>
                <w:szCs w:val="20"/>
              </w:rPr>
              <w:t>% Difference (A-P)/P</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jc w:val="center"/>
              <w:rPr>
                <w:rFonts w:ascii="Calibri" w:eastAsia="Times New Roman" w:hAnsi="Calibri" w:cs="Calibri"/>
                <w:color w:val="000000"/>
                <w:sz w:val="20"/>
                <w:szCs w:val="20"/>
              </w:rPr>
            </w:pPr>
            <w:r w:rsidRPr="0057417E">
              <w:rPr>
                <w:rFonts w:ascii="Calibri" w:eastAsia="Times New Roman" w:hAnsi="Calibri" w:cs="Calibri"/>
                <w:color w:val="000000"/>
                <w:sz w:val="20"/>
                <w:szCs w:val="20"/>
              </w:rPr>
              <w:t>-22%</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jc w:val="center"/>
              <w:rPr>
                <w:rFonts w:ascii="Calibri" w:eastAsia="Times New Roman" w:hAnsi="Calibri" w:cs="Calibri"/>
                <w:color w:val="000000"/>
                <w:sz w:val="20"/>
                <w:szCs w:val="20"/>
              </w:rPr>
            </w:pPr>
            <w:r w:rsidRPr="0057417E">
              <w:rPr>
                <w:rFonts w:ascii="Calibri" w:eastAsia="Times New Roman" w:hAnsi="Calibri" w:cs="Calibri"/>
                <w:color w:val="000000"/>
                <w:sz w:val="20"/>
                <w:szCs w:val="20"/>
              </w:rPr>
              <w:t>-25%</w:t>
            </w:r>
          </w:p>
        </w:tc>
      </w:tr>
      <w:tr w:rsidR="006A47F8" w:rsidRPr="0057417E" w:rsidTr="00165778">
        <w:trPr>
          <w:trHeight w:val="20"/>
        </w:trPr>
        <w:tc>
          <w:tcPr>
            <w:tcW w:w="209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47F8" w:rsidRPr="0057417E" w:rsidRDefault="006A47F8" w:rsidP="00165778">
            <w:pPr>
              <w:spacing w:after="0"/>
              <w:rPr>
                <w:rFonts w:ascii="Calibri" w:eastAsia="Times New Roman" w:hAnsi="Calibri" w:cs="Calibri"/>
                <w:color w:val="000000"/>
                <w:sz w:val="20"/>
                <w:szCs w:val="20"/>
              </w:rPr>
            </w:pPr>
            <w:r w:rsidRPr="0057417E">
              <w:rPr>
                <w:rFonts w:ascii="Calibri" w:eastAsia="Times New Roman" w:hAnsi="Calibri" w:cs="Calibri"/>
                <w:color w:val="000000"/>
                <w:sz w:val="20"/>
                <w:szCs w:val="20"/>
              </w:rPr>
              <w:t>PBS + RPBS expenditure</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rPr>
                <w:rFonts w:ascii="Calibri" w:eastAsia="Times New Roman" w:hAnsi="Calibri" w:cs="Calibri"/>
                <w:color w:val="000000"/>
                <w:sz w:val="20"/>
                <w:szCs w:val="20"/>
              </w:rPr>
            </w:pPr>
            <w:r w:rsidRPr="0057417E">
              <w:rPr>
                <w:rFonts w:ascii="Calibri" w:eastAsia="Times New Roman" w:hAnsi="Calibri" w:cs="Calibri"/>
                <w:color w:val="000000"/>
                <w:sz w:val="20"/>
                <w:szCs w:val="20"/>
              </w:rPr>
              <w:t>Predicted (P)</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8B1167" w:rsidRDefault="008B1167" w:rsidP="00165778">
            <w:pPr>
              <w:spacing w:after="0"/>
              <w:jc w:val="center"/>
              <w:rPr>
                <w:rFonts w:ascii="Calibri" w:eastAsia="Times New Roman" w:hAnsi="Calibri" w:cs="Calibri"/>
                <w:color w:val="000000"/>
                <w:sz w:val="20"/>
                <w:szCs w:val="20"/>
                <w:highlight w:val="black"/>
              </w:rPr>
            </w:pPr>
            <w:r>
              <w:rPr>
                <w:rFonts w:ascii="Calibri" w:eastAsia="Times New Roman" w:hAnsi="Calibri" w:cs="Calibri"/>
                <w:noProof/>
                <w:color w:val="000000"/>
                <w:sz w:val="20"/>
                <w:szCs w:val="20"/>
                <w:highlight w:val="black"/>
              </w:rPr>
              <w:t>'''''''''''''''''''''</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8B1167" w:rsidRDefault="008B1167" w:rsidP="00165778">
            <w:pPr>
              <w:spacing w:after="0"/>
              <w:jc w:val="center"/>
              <w:rPr>
                <w:rFonts w:ascii="Calibri" w:eastAsia="Times New Roman" w:hAnsi="Calibri" w:cs="Calibri"/>
                <w:color w:val="000000"/>
                <w:sz w:val="20"/>
                <w:szCs w:val="20"/>
                <w:highlight w:val="black"/>
              </w:rPr>
            </w:pPr>
            <w:r>
              <w:rPr>
                <w:rFonts w:ascii="Calibri" w:eastAsia="Times New Roman" w:hAnsi="Calibri" w:cs="Calibri"/>
                <w:noProof/>
                <w:color w:val="000000"/>
                <w:sz w:val="20"/>
                <w:szCs w:val="20"/>
                <w:highlight w:val="black"/>
              </w:rPr>
              <w:t>'''''''''''''''''''''''''</w:t>
            </w:r>
          </w:p>
        </w:tc>
      </w:tr>
      <w:tr w:rsidR="006A47F8" w:rsidRPr="0057417E" w:rsidTr="00165778">
        <w:trPr>
          <w:trHeight w:val="20"/>
        </w:trPr>
        <w:tc>
          <w:tcPr>
            <w:tcW w:w="2098" w:type="dxa"/>
            <w:vMerge/>
            <w:tcBorders>
              <w:top w:val="single" w:sz="4" w:space="0" w:color="auto"/>
              <w:left w:val="single" w:sz="4" w:space="0" w:color="auto"/>
              <w:bottom w:val="single" w:sz="4" w:space="0" w:color="auto"/>
              <w:right w:val="single" w:sz="4" w:space="0" w:color="auto"/>
            </w:tcBorders>
            <w:vAlign w:val="center"/>
            <w:hideMark/>
          </w:tcPr>
          <w:p w:rsidR="006A47F8" w:rsidRPr="0057417E" w:rsidRDefault="006A47F8" w:rsidP="00165778">
            <w:pPr>
              <w:spacing w:after="0"/>
              <w:rPr>
                <w:rFonts w:ascii="Calibri" w:eastAsia="Times New Roman" w:hAnsi="Calibri" w:cs="Calibri"/>
                <w:color w:val="000000"/>
                <w:sz w:val="2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rPr>
                <w:rFonts w:ascii="Calibri" w:eastAsia="Times New Roman" w:hAnsi="Calibri" w:cs="Calibri"/>
                <w:color w:val="000000"/>
                <w:sz w:val="20"/>
                <w:szCs w:val="20"/>
              </w:rPr>
            </w:pPr>
            <w:r w:rsidRPr="0057417E">
              <w:rPr>
                <w:rFonts w:ascii="Calibri" w:eastAsia="Times New Roman" w:hAnsi="Calibri" w:cs="Calibri"/>
                <w:color w:val="000000"/>
                <w:sz w:val="20"/>
                <w:szCs w:val="20"/>
              </w:rPr>
              <w:t>Actual (A)</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8B1167" w:rsidRDefault="008B1167" w:rsidP="00165778">
            <w:pPr>
              <w:spacing w:after="0"/>
              <w:jc w:val="center"/>
              <w:rPr>
                <w:rFonts w:ascii="Calibri" w:eastAsia="Times New Roman" w:hAnsi="Calibri" w:cs="Calibri"/>
                <w:color w:val="000000"/>
                <w:sz w:val="20"/>
                <w:szCs w:val="20"/>
                <w:highlight w:val="black"/>
              </w:rPr>
            </w:pPr>
            <w:r>
              <w:rPr>
                <w:rFonts w:ascii="Calibri" w:eastAsia="Times New Roman" w:hAnsi="Calibri" w:cs="Calibri"/>
                <w:noProof/>
                <w:color w:val="000000"/>
                <w:sz w:val="20"/>
                <w:szCs w:val="20"/>
                <w:highlight w:val="black"/>
              </w:rPr>
              <w:t>'''''''''''''''''''''</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8B1167" w:rsidRDefault="008B1167" w:rsidP="00165778">
            <w:pPr>
              <w:spacing w:after="0"/>
              <w:jc w:val="center"/>
              <w:rPr>
                <w:rFonts w:ascii="Calibri" w:eastAsia="Times New Roman" w:hAnsi="Calibri" w:cs="Calibri"/>
                <w:color w:val="000000"/>
                <w:sz w:val="20"/>
                <w:szCs w:val="20"/>
                <w:highlight w:val="black"/>
              </w:rPr>
            </w:pPr>
            <w:r>
              <w:rPr>
                <w:rFonts w:ascii="Calibri" w:eastAsia="Times New Roman" w:hAnsi="Calibri" w:cs="Calibri"/>
                <w:noProof/>
                <w:color w:val="000000"/>
                <w:sz w:val="20"/>
                <w:szCs w:val="20"/>
                <w:highlight w:val="black"/>
              </w:rPr>
              <w:t>'''''''''''''''''''''''''</w:t>
            </w:r>
          </w:p>
        </w:tc>
      </w:tr>
      <w:tr w:rsidR="006A47F8" w:rsidRPr="0057417E" w:rsidTr="00165778">
        <w:trPr>
          <w:trHeight w:val="20"/>
        </w:trPr>
        <w:tc>
          <w:tcPr>
            <w:tcW w:w="2098" w:type="dxa"/>
            <w:vMerge/>
            <w:tcBorders>
              <w:top w:val="single" w:sz="4" w:space="0" w:color="auto"/>
              <w:left w:val="single" w:sz="4" w:space="0" w:color="auto"/>
              <w:bottom w:val="single" w:sz="4" w:space="0" w:color="auto"/>
              <w:right w:val="single" w:sz="4" w:space="0" w:color="auto"/>
            </w:tcBorders>
            <w:vAlign w:val="center"/>
            <w:hideMark/>
          </w:tcPr>
          <w:p w:rsidR="006A47F8" w:rsidRPr="0057417E" w:rsidRDefault="006A47F8" w:rsidP="00165778">
            <w:pPr>
              <w:spacing w:after="0"/>
              <w:rPr>
                <w:rFonts w:ascii="Calibri" w:eastAsia="Times New Roman" w:hAnsi="Calibri" w:cs="Calibri"/>
                <w:color w:val="000000"/>
                <w:sz w:val="2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rPr>
                <w:rFonts w:ascii="Calibri" w:eastAsia="Times New Roman" w:hAnsi="Calibri" w:cs="Calibri"/>
                <w:color w:val="000000"/>
                <w:sz w:val="20"/>
                <w:szCs w:val="20"/>
              </w:rPr>
            </w:pPr>
            <w:r w:rsidRPr="0057417E">
              <w:rPr>
                <w:rFonts w:ascii="Calibri" w:eastAsia="Times New Roman" w:hAnsi="Calibri" w:cs="Calibri"/>
                <w:color w:val="000000"/>
                <w:sz w:val="20"/>
                <w:szCs w:val="20"/>
              </w:rPr>
              <w:t>% Difference (A-P)/P</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jc w:val="center"/>
              <w:rPr>
                <w:rFonts w:ascii="Calibri" w:eastAsia="Times New Roman" w:hAnsi="Calibri" w:cs="Calibri"/>
                <w:color w:val="000000"/>
                <w:sz w:val="20"/>
                <w:szCs w:val="20"/>
              </w:rPr>
            </w:pPr>
            <w:r w:rsidRPr="0057417E">
              <w:rPr>
                <w:rFonts w:ascii="Calibri" w:eastAsia="Times New Roman" w:hAnsi="Calibri" w:cs="Calibri"/>
                <w:color w:val="000000"/>
                <w:sz w:val="20"/>
                <w:szCs w:val="20"/>
              </w:rPr>
              <w:t>-36%</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jc w:val="center"/>
              <w:rPr>
                <w:rFonts w:ascii="Calibri" w:eastAsia="Times New Roman" w:hAnsi="Calibri" w:cs="Calibri"/>
                <w:color w:val="000000"/>
                <w:sz w:val="20"/>
                <w:szCs w:val="20"/>
              </w:rPr>
            </w:pPr>
            <w:r w:rsidRPr="0057417E">
              <w:rPr>
                <w:rFonts w:ascii="Calibri" w:eastAsia="Times New Roman" w:hAnsi="Calibri" w:cs="Calibri"/>
                <w:color w:val="000000"/>
                <w:sz w:val="20"/>
                <w:szCs w:val="20"/>
              </w:rPr>
              <w:t>-41%</w:t>
            </w:r>
          </w:p>
        </w:tc>
      </w:tr>
      <w:tr w:rsidR="006A47F8" w:rsidRPr="0057417E" w:rsidTr="00165778">
        <w:trPr>
          <w:trHeight w:val="20"/>
        </w:trPr>
        <w:tc>
          <w:tcPr>
            <w:tcW w:w="2098" w:type="dxa"/>
            <w:tcBorders>
              <w:top w:val="single" w:sz="4" w:space="0" w:color="auto"/>
              <w:left w:val="single" w:sz="4" w:space="0" w:color="auto"/>
              <w:bottom w:val="single" w:sz="4" w:space="0" w:color="auto"/>
            </w:tcBorders>
            <w:shd w:val="clear" w:color="auto" w:fill="D9D9D9" w:themeFill="background1" w:themeFillShade="D9"/>
            <w:noWrap/>
            <w:vAlign w:val="center"/>
            <w:hideMark/>
          </w:tcPr>
          <w:p w:rsidR="006A47F8" w:rsidRPr="0057417E" w:rsidRDefault="006A47F8" w:rsidP="00165778">
            <w:pPr>
              <w:spacing w:after="0"/>
              <w:rPr>
                <w:rFonts w:ascii="Calibri" w:eastAsia="Times New Roman" w:hAnsi="Calibri" w:cs="Calibri"/>
                <w:b/>
                <w:color w:val="000000"/>
                <w:sz w:val="20"/>
                <w:szCs w:val="20"/>
              </w:rPr>
            </w:pPr>
            <w:r w:rsidRPr="0057417E">
              <w:rPr>
                <w:rFonts w:ascii="Calibri" w:eastAsia="Times New Roman" w:hAnsi="Calibri" w:cs="Calibri"/>
                <w:b/>
                <w:color w:val="000000"/>
                <w:sz w:val="20"/>
                <w:szCs w:val="20"/>
              </w:rPr>
              <w:t>Nivolumab</w:t>
            </w:r>
          </w:p>
        </w:tc>
        <w:tc>
          <w:tcPr>
            <w:tcW w:w="1984" w:type="dxa"/>
            <w:tcBorders>
              <w:top w:val="single" w:sz="4" w:space="0" w:color="auto"/>
              <w:bottom w:val="single" w:sz="4" w:space="0" w:color="auto"/>
            </w:tcBorders>
            <w:shd w:val="clear" w:color="auto" w:fill="D9D9D9" w:themeFill="background1" w:themeFillShade="D9"/>
            <w:vAlign w:val="center"/>
            <w:hideMark/>
          </w:tcPr>
          <w:p w:rsidR="006A47F8" w:rsidRPr="0057417E" w:rsidRDefault="006A47F8" w:rsidP="00165778">
            <w:pPr>
              <w:spacing w:after="0"/>
              <w:rPr>
                <w:rFonts w:ascii="Calibri" w:eastAsia="Times New Roman" w:hAnsi="Calibri" w:cs="Calibri"/>
                <w:color w:val="000000"/>
                <w:sz w:val="20"/>
                <w:szCs w:val="20"/>
              </w:rPr>
            </w:pPr>
            <w:r w:rsidRPr="0057417E">
              <w:rPr>
                <w:rFonts w:ascii="Calibri" w:eastAsia="Times New Roman" w:hAnsi="Calibri" w:cs="Calibri"/>
                <w:color w:val="000000"/>
                <w:sz w:val="20"/>
                <w:szCs w:val="20"/>
              </w:rPr>
              <w:t> </w:t>
            </w:r>
          </w:p>
        </w:tc>
        <w:tc>
          <w:tcPr>
            <w:tcW w:w="1660" w:type="dxa"/>
            <w:tcBorders>
              <w:top w:val="single" w:sz="4" w:space="0" w:color="auto"/>
              <w:bottom w:val="single" w:sz="4" w:space="0" w:color="auto"/>
            </w:tcBorders>
            <w:shd w:val="clear" w:color="auto" w:fill="D9D9D9" w:themeFill="background1" w:themeFillShade="D9"/>
            <w:vAlign w:val="center"/>
            <w:hideMark/>
          </w:tcPr>
          <w:p w:rsidR="006A47F8" w:rsidRPr="0057417E" w:rsidRDefault="006A47F8" w:rsidP="00165778">
            <w:pPr>
              <w:spacing w:after="0"/>
              <w:rPr>
                <w:rFonts w:ascii="Calibri" w:eastAsia="Times New Roman" w:hAnsi="Calibri" w:cs="Calibri"/>
                <w:color w:val="000000"/>
                <w:sz w:val="20"/>
                <w:szCs w:val="20"/>
              </w:rPr>
            </w:pPr>
          </w:p>
        </w:tc>
        <w:tc>
          <w:tcPr>
            <w:tcW w:w="1660" w:type="dxa"/>
            <w:tcBorders>
              <w:top w:val="single" w:sz="4" w:space="0" w:color="auto"/>
              <w:bottom w:val="single" w:sz="4" w:space="0" w:color="auto"/>
              <w:right w:val="single" w:sz="4" w:space="0" w:color="auto"/>
            </w:tcBorders>
            <w:shd w:val="clear" w:color="auto" w:fill="D9D9D9" w:themeFill="background1" w:themeFillShade="D9"/>
            <w:vAlign w:val="center"/>
            <w:hideMark/>
          </w:tcPr>
          <w:p w:rsidR="006A47F8" w:rsidRPr="0057417E" w:rsidRDefault="006A47F8" w:rsidP="00165778">
            <w:pPr>
              <w:spacing w:after="0"/>
              <w:jc w:val="center"/>
              <w:rPr>
                <w:rFonts w:ascii="Times New Roman" w:eastAsia="Times New Roman" w:hAnsi="Times New Roman" w:cs="Times New Roman"/>
                <w:sz w:val="20"/>
                <w:szCs w:val="20"/>
              </w:rPr>
            </w:pPr>
          </w:p>
        </w:tc>
      </w:tr>
      <w:tr w:rsidR="006A47F8" w:rsidRPr="0057417E" w:rsidTr="00165778">
        <w:trPr>
          <w:trHeight w:val="20"/>
        </w:trPr>
        <w:tc>
          <w:tcPr>
            <w:tcW w:w="209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47F8" w:rsidRPr="0057417E" w:rsidRDefault="006A47F8" w:rsidP="00165778">
            <w:pPr>
              <w:spacing w:after="0"/>
              <w:rPr>
                <w:rFonts w:ascii="Calibri" w:eastAsia="Times New Roman" w:hAnsi="Calibri" w:cs="Calibri"/>
                <w:color w:val="000000"/>
                <w:sz w:val="20"/>
                <w:szCs w:val="20"/>
              </w:rPr>
            </w:pPr>
            <w:r w:rsidRPr="0057417E">
              <w:rPr>
                <w:rFonts w:ascii="Calibri" w:eastAsia="Times New Roman" w:hAnsi="Calibri" w:cs="Calibri"/>
                <w:color w:val="000000"/>
                <w:sz w:val="20"/>
                <w:szCs w:val="20"/>
              </w:rPr>
              <w:lastRenderedPageBreak/>
              <w:t>Treated patients (PBS &amp; RPBS)</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rPr>
                <w:rFonts w:ascii="Calibri" w:eastAsia="Times New Roman" w:hAnsi="Calibri" w:cs="Calibri"/>
                <w:color w:val="000000"/>
                <w:sz w:val="20"/>
                <w:szCs w:val="20"/>
              </w:rPr>
            </w:pPr>
            <w:r w:rsidRPr="0057417E">
              <w:rPr>
                <w:rFonts w:ascii="Calibri" w:eastAsia="Times New Roman" w:hAnsi="Calibri" w:cs="Calibri"/>
                <w:color w:val="000000"/>
                <w:sz w:val="20"/>
                <w:szCs w:val="20"/>
              </w:rPr>
              <w:t>Predicted (P)</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jc w:val="center"/>
              <w:rPr>
                <w:rFonts w:ascii="Calibri" w:eastAsia="Times New Roman" w:hAnsi="Calibri" w:cs="Calibri"/>
                <w:color w:val="000000"/>
                <w:sz w:val="20"/>
                <w:szCs w:val="20"/>
              </w:rPr>
            </w:pPr>
            <w:r w:rsidRPr="0057417E">
              <w:rPr>
                <w:rFonts w:ascii="Calibri" w:eastAsia="Times New Roman" w:hAnsi="Calibri" w:cs="Calibri"/>
                <w:color w:val="000000"/>
                <w:sz w:val="20"/>
                <w:szCs w:val="20"/>
              </w:rPr>
              <w:t>335</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jc w:val="center"/>
              <w:rPr>
                <w:rFonts w:ascii="Calibri" w:eastAsia="Times New Roman" w:hAnsi="Calibri" w:cs="Calibri"/>
                <w:color w:val="000000"/>
                <w:sz w:val="20"/>
                <w:szCs w:val="20"/>
              </w:rPr>
            </w:pPr>
            <w:r w:rsidRPr="0057417E">
              <w:rPr>
                <w:rFonts w:ascii="Calibri" w:eastAsia="Times New Roman" w:hAnsi="Calibri" w:cs="Calibri"/>
                <w:color w:val="000000"/>
                <w:sz w:val="20"/>
                <w:szCs w:val="20"/>
              </w:rPr>
              <w:t>344</w:t>
            </w:r>
          </w:p>
        </w:tc>
      </w:tr>
      <w:tr w:rsidR="006A47F8" w:rsidRPr="0057417E" w:rsidTr="00165778">
        <w:trPr>
          <w:trHeight w:val="20"/>
        </w:trPr>
        <w:tc>
          <w:tcPr>
            <w:tcW w:w="2098" w:type="dxa"/>
            <w:vMerge/>
            <w:tcBorders>
              <w:top w:val="single" w:sz="4" w:space="0" w:color="auto"/>
              <w:left w:val="single" w:sz="4" w:space="0" w:color="auto"/>
              <w:bottom w:val="single" w:sz="4" w:space="0" w:color="auto"/>
              <w:right w:val="single" w:sz="4" w:space="0" w:color="auto"/>
            </w:tcBorders>
            <w:vAlign w:val="center"/>
            <w:hideMark/>
          </w:tcPr>
          <w:p w:rsidR="006A47F8" w:rsidRPr="0057417E" w:rsidRDefault="006A47F8" w:rsidP="00165778">
            <w:pPr>
              <w:spacing w:after="0"/>
              <w:rPr>
                <w:rFonts w:ascii="Calibri" w:eastAsia="Times New Roman" w:hAnsi="Calibri" w:cs="Calibri"/>
                <w:color w:val="000000"/>
                <w:sz w:val="2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rPr>
                <w:rFonts w:ascii="Calibri" w:eastAsia="Times New Roman" w:hAnsi="Calibri" w:cs="Calibri"/>
                <w:color w:val="000000"/>
                <w:sz w:val="20"/>
                <w:szCs w:val="20"/>
              </w:rPr>
            </w:pPr>
            <w:r w:rsidRPr="0057417E">
              <w:rPr>
                <w:rFonts w:ascii="Calibri" w:eastAsia="Times New Roman" w:hAnsi="Calibri" w:cs="Calibri"/>
                <w:color w:val="000000"/>
                <w:sz w:val="20"/>
                <w:szCs w:val="20"/>
              </w:rPr>
              <w:t>Actual (A)</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jc w:val="center"/>
              <w:rPr>
                <w:rFonts w:ascii="Calibri" w:eastAsia="Times New Roman" w:hAnsi="Calibri" w:cs="Calibri"/>
                <w:color w:val="000000"/>
                <w:sz w:val="20"/>
                <w:szCs w:val="20"/>
              </w:rPr>
            </w:pPr>
            <w:r w:rsidRPr="0057417E">
              <w:rPr>
                <w:rFonts w:ascii="Calibri" w:eastAsia="Times New Roman" w:hAnsi="Calibri" w:cs="Calibri"/>
                <w:color w:val="000000"/>
                <w:sz w:val="20"/>
                <w:szCs w:val="20"/>
              </w:rPr>
              <w:t>442</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jc w:val="center"/>
              <w:rPr>
                <w:rFonts w:ascii="Calibri" w:eastAsia="Times New Roman" w:hAnsi="Calibri" w:cs="Calibri"/>
                <w:color w:val="000000"/>
                <w:sz w:val="20"/>
                <w:szCs w:val="20"/>
              </w:rPr>
            </w:pPr>
            <w:r w:rsidRPr="0057417E">
              <w:rPr>
                <w:rFonts w:ascii="Calibri" w:eastAsia="Times New Roman" w:hAnsi="Calibri" w:cs="Calibri"/>
                <w:color w:val="000000"/>
                <w:sz w:val="20"/>
                <w:szCs w:val="20"/>
              </w:rPr>
              <w:t>573</w:t>
            </w:r>
          </w:p>
        </w:tc>
      </w:tr>
      <w:tr w:rsidR="006A47F8" w:rsidRPr="0057417E" w:rsidTr="00165778">
        <w:trPr>
          <w:trHeight w:val="20"/>
        </w:trPr>
        <w:tc>
          <w:tcPr>
            <w:tcW w:w="2098" w:type="dxa"/>
            <w:vMerge/>
            <w:tcBorders>
              <w:top w:val="single" w:sz="4" w:space="0" w:color="auto"/>
              <w:left w:val="single" w:sz="4" w:space="0" w:color="auto"/>
              <w:bottom w:val="single" w:sz="4" w:space="0" w:color="auto"/>
              <w:right w:val="single" w:sz="4" w:space="0" w:color="auto"/>
            </w:tcBorders>
            <w:vAlign w:val="center"/>
            <w:hideMark/>
          </w:tcPr>
          <w:p w:rsidR="006A47F8" w:rsidRPr="0057417E" w:rsidRDefault="006A47F8" w:rsidP="00165778">
            <w:pPr>
              <w:spacing w:after="0"/>
              <w:rPr>
                <w:rFonts w:ascii="Calibri" w:eastAsia="Times New Roman" w:hAnsi="Calibri" w:cs="Calibri"/>
                <w:color w:val="000000"/>
                <w:sz w:val="2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rPr>
                <w:rFonts w:ascii="Calibri" w:eastAsia="Times New Roman" w:hAnsi="Calibri" w:cs="Calibri"/>
                <w:color w:val="000000"/>
                <w:sz w:val="20"/>
                <w:szCs w:val="20"/>
              </w:rPr>
            </w:pPr>
            <w:r w:rsidRPr="0057417E">
              <w:rPr>
                <w:rFonts w:ascii="Calibri" w:eastAsia="Times New Roman" w:hAnsi="Calibri" w:cs="Calibri"/>
                <w:color w:val="000000"/>
                <w:sz w:val="20"/>
                <w:szCs w:val="20"/>
              </w:rPr>
              <w:t>% Difference (A-P)/P</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jc w:val="center"/>
              <w:rPr>
                <w:rFonts w:ascii="Calibri" w:eastAsia="Times New Roman" w:hAnsi="Calibri" w:cs="Calibri"/>
                <w:color w:val="000000"/>
                <w:sz w:val="20"/>
                <w:szCs w:val="20"/>
              </w:rPr>
            </w:pPr>
            <w:r w:rsidRPr="0057417E">
              <w:rPr>
                <w:rFonts w:ascii="Calibri" w:eastAsia="Times New Roman" w:hAnsi="Calibri" w:cs="Calibri"/>
                <w:color w:val="000000"/>
                <w:sz w:val="20"/>
                <w:szCs w:val="20"/>
              </w:rPr>
              <w:t>32%</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jc w:val="center"/>
              <w:rPr>
                <w:rFonts w:ascii="Calibri" w:eastAsia="Times New Roman" w:hAnsi="Calibri" w:cs="Calibri"/>
                <w:color w:val="000000"/>
                <w:sz w:val="20"/>
                <w:szCs w:val="20"/>
              </w:rPr>
            </w:pPr>
            <w:r w:rsidRPr="0057417E">
              <w:rPr>
                <w:rFonts w:ascii="Calibri" w:eastAsia="Times New Roman" w:hAnsi="Calibri" w:cs="Calibri"/>
                <w:color w:val="000000"/>
                <w:sz w:val="20"/>
                <w:szCs w:val="20"/>
              </w:rPr>
              <w:t>67%</w:t>
            </w:r>
          </w:p>
        </w:tc>
      </w:tr>
      <w:tr w:rsidR="006A47F8" w:rsidRPr="0057417E" w:rsidTr="00165778">
        <w:trPr>
          <w:trHeight w:val="20"/>
        </w:trPr>
        <w:tc>
          <w:tcPr>
            <w:tcW w:w="209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47F8" w:rsidRPr="0057417E" w:rsidRDefault="006A47F8" w:rsidP="00165778">
            <w:pPr>
              <w:spacing w:after="0"/>
              <w:rPr>
                <w:rFonts w:ascii="Calibri" w:eastAsia="Times New Roman" w:hAnsi="Calibri" w:cs="Calibri"/>
                <w:color w:val="000000"/>
                <w:sz w:val="20"/>
                <w:szCs w:val="20"/>
              </w:rPr>
            </w:pPr>
            <w:r w:rsidRPr="0057417E">
              <w:rPr>
                <w:rFonts w:ascii="Calibri" w:eastAsia="Times New Roman" w:hAnsi="Calibri" w:cs="Calibri"/>
                <w:color w:val="000000"/>
                <w:sz w:val="20"/>
                <w:szCs w:val="20"/>
              </w:rPr>
              <w:t xml:space="preserve">Prescriptions </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rPr>
                <w:rFonts w:ascii="Calibri" w:eastAsia="Times New Roman" w:hAnsi="Calibri" w:cs="Calibri"/>
                <w:color w:val="000000"/>
                <w:sz w:val="20"/>
                <w:szCs w:val="20"/>
              </w:rPr>
            </w:pPr>
            <w:r w:rsidRPr="0057417E">
              <w:rPr>
                <w:rFonts w:ascii="Calibri" w:eastAsia="Times New Roman" w:hAnsi="Calibri" w:cs="Calibri"/>
                <w:color w:val="000000"/>
                <w:sz w:val="20"/>
                <w:szCs w:val="20"/>
              </w:rPr>
              <w:t>Predicted (P)</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jc w:val="center"/>
              <w:rPr>
                <w:rFonts w:ascii="Calibri" w:eastAsia="Times New Roman" w:hAnsi="Calibri" w:cs="Calibri"/>
                <w:color w:val="000000"/>
                <w:sz w:val="20"/>
                <w:szCs w:val="20"/>
              </w:rPr>
            </w:pPr>
            <w:r w:rsidRPr="0057417E">
              <w:rPr>
                <w:rFonts w:ascii="Calibri" w:eastAsia="Times New Roman" w:hAnsi="Calibri" w:cs="Calibri"/>
                <w:color w:val="000000"/>
                <w:sz w:val="20"/>
                <w:szCs w:val="20"/>
              </w:rPr>
              <w:t>8,033</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jc w:val="center"/>
              <w:rPr>
                <w:rFonts w:ascii="Calibri" w:eastAsia="Times New Roman" w:hAnsi="Calibri" w:cs="Calibri"/>
                <w:color w:val="000000"/>
                <w:sz w:val="20"/>
                <w:szCs w:val="20"/>
              </w:rPr>
            </w:pPr>
            <w:r w:rsidRPr="0057417E">
              <w:rPr>
                <w:rFonts w:ascii="Calibri" w:eastAsia="Times New Roman" w:hAnsi="Calibri" w:cs="Calibri"/>
                <w:color w:val="000000"/>
                <w:sz w:val="20"/>
                <w:szCs w:val="20"/>
              </w:rPr>
              <w:t>8,254</w:t>
            </w:r>
          </w:p>
        </w:tc>
      </w:tr>
      <w:tr w:rsidR="006A47F8" w:rsidRPr="0057417E" w:rsidTr="00165778">
        <w:trPr>
          <w:trHeight w:val="20"/>
        </w:trPr>
        <w:tc>
          <w:tcPr>
            <w:tcW w:w="2098" w:type="dxa"/>
            <w:vMerge/>
            <w:tcBorders>
              <w:top w:val="single" w:sz="4" w:space="0" w:color="auto"/>
              <w:left w:val="single" w:sz="4" w:space="0" w:color="auto"/>
              <w:bottom w:val="single" w:sz="4" w:space="0" w:color="auto"/>
              <w:right w:val="single" w:sz="4" w:space="0" w:color="auto"/>
            </w:tcBorders>
            <w:vAlign w:val="center"/>
            <w:hideMark/>
          </w:tcPr>
          <w:p w:rsidR="006A47F8" w:rsidRPr="0057417E" w:rsidRDefault="006A47F8" w:rsidP="00165778">
            <w:pPr>
              <w:spacing w:after="0"/>
              <w:rPr>
                <w:rFonts w:ascii="Calibri" w:eastAsia="Times New Roman" w:hAnsi="Calibri" w:cs="Calibri"/>
                <w:color w:val="000000"/>
                <w:sz w:val="2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rPr>
                <w:rFonts w:ascii="Calibri" w:eastAsia="Times New Roman" w:hAnsi="Calibri" w:cs="Calibri"/>
                <w:color w:val="000000"/>
                <w:sz w:val="20"/>
                <w:szCs w:val="20"/>
              </w:rPr>
            </w:pPr>
            <w:r w:rsidRPr="0057417E">
              <w:rPr>
                <w:rFonts w:ascii="Calibri" w:eastAsia="Times New Roman" w:hAnsi="Calibri" w:cs="Calibri"/>
                <w:color w:val="000000"/>
                <w:sz w:val="20"/>
                <w:szCs w:val="20"/>
              </w:rPr>
              <w:t>Actual (A)</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jc w:val="center"/>
              <w:rPr>
                <w:rFonts w:ascii="Calibri" w:eastAsia="Times New Roman" w:hAnsi="Calibri" w:cs="Calibri"/>
                <w:color w:val="000000"/>
                <w:sz w:val="20"/>
                <w:szCs w:val="20"/>
              </w:rPr>
            </w:pPr>
            <w:r w:rsidRPr="0057417E">
              <w:rPr>
                <w:rFonts w:ascii="Calibri" w:eastAsia="Times New Roman" w:hAnsi="Calibri" w:cs="Calibri"/>
                <w:color w:val="000000"/>
                <w:sz w:val="20"/>
                <w:szCs w:val="20"/>
              </w:rPr>
              <w:t>2,606</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jc w:val="center"/>
              <w:rPr>
                <w:rFonts w:ascii="Calibri" w:eastAsia="Times New Roman" w:hAnsi="Calibri" w:cs="Calibri"/>
                <w:color w:val="000000"/>
                <w:sz w:val="20"/>
                <w:szCs w:val="20"/>
              </w:rPr>
            </w:pPr>
            <w:r w:rsidRPr="0057417E">
              <w:rPr>
                <w:rFonts w:ascii="Calibri" w:eastAsia="Times New Roman" w:hAnsi="Calibri" w:cs="Calibri"/>
                <w:color w:val="000000"/>
                <w:sz w:val="20"/>
                <w:szCs w:val="20"/>
              </w:rPr>
              <w:t>3,278</w:t>
            </w:r>
          </w:p>
        </w:tc>
      </w:tr>
      <w:tr w:rsidR="006A47F8" w:rsidRPr="0057417E" w:rsidTr="00165778">
        <w:trPr>
          <w:trHeight w:val="20"/>
        </w:trPr>
        <w:tc>
          <w:tcPr>
            <w:tcW w:w="2098" w:type="dxa"/>
            <w:vMerge/>
            <w:tcBorders>
              <w:top w:val="single" w:sz="4" w:space="0" w:color="auto"/>
              <w:left w:val="single" w:sz="4" w:space="0" w:color="auto"/>
              <w:bottom w:val="single" w:sz="4" w:space="0" w:color="auto"/>
              <w:right w:val="single" w:sz="4" w:space="0" w:color="auto"/>
            </w:tcBorders>
            <w:vAlign w:val="center"/>
            <w:hideMark/>
          </w:tcPr>
          <w:p w:rsidR="006A47F8" w:rsidRPr="0057417E" w:rsidRDefault="006A47F8" w:rsidP="00165778">
            <w:pPr>
              <w:spacing w:after="0"/>
              <w:rPr>
                <w:rFonts w:ascii="Calibri" w:eastAsia="Times New Roman" w:hAnsi="Calibri" w:cs="Calibri"/>
                <w:color w:val="000000"/>
                <w:sz w:val="2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rPr>
                <w:rFonts w:ascii="Calibri" w:eastAsia="Times New Roman" w:hAnsi="Calibri" w:cs="Calibri"/>
                <w:color w:val="000000"/>
                <w:sz w:val="20"/>
                <w:szCs w:val="20"/>
              </w:rPr>
            </w:pPr>
            <w:r w:rsidRPr="0057417E">
              <w:rPr>
                <w:rFonts w:ascii="Calibri" w:eastAsia="Times New Roman" w:hAnsi="Calibri" w:cs="Calibri"/>
                <w:color w:val="000000"/>
                <w:sz w:val="20"/>
                <w:szCs w:val="20"/>
              </w:rPr>
              <w:t>% Difference (A-P)/P</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jc w:val="center"/>
              <w:rPr>
                <w:rFonts w:ascii="Calibri" w:eastAsia="Times New Roman" w:hAnsi="Calibri" w:cs="Calibri"/>
                <w:color w:val="000000"/>
                <w:sz w:val="20"/>
                <w:szCs w:val="20"/>
              </w:rPr>
            </w:pPr>
            <w:r w:rsidRPr="0057417E">
              <w:rPr>
                <w:rFonts w:ascii="Calibri" w:eastAsia="Times New Roman" w:hAnsi="Calibri" w:cs="Calibri"/>
                <w:color w:val="000000"/>
                <w:sz w:val="20"/>
                <w:szCs w:val="20"/>
              </w:rPr>
              <w:t>-68%</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jc w:val="center"/>
              <w:rPr>
                <w:rFonts w:ascii="Calibri" w:eastAsia="Times New Roman" w:hAnsi="Calibri" w:cs="Calibri"/>
                <w:color w:val="000000"/>
                <w:sz w:val="20"/>
                <w:szCs w:val="20"/>
              </w:rPr>
            </w:pPr>
            <w:r w:rsidRPr="0057417E">
              <w:rPr>
                <w:rFonts w:ascii="Calibri" w:eastAsia="Times New Roman" w:hAnsi="Calibri" w:cs="Calibri"/>
                <w:color w:val="000000"/>
                <w:sz w:val="20"/>
                <w:szCs w:val="20"/>
              </w:rPr>
              <w:t>-60%</w:t>
            </w:r>
          </w:p>
        </w:tc>
      </w:tr>
      <w:tr w:rsidR="006A47F8" w:rsidRPr="0057417E" w:rsidTr="00165778">
        <w:trPr>
          <w:trHeight w:val="20"/>
        </w:trPr>
        <w:tc>
          <w:tcPr>
            <w:tcW w:w="209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47F8" w:rsidRPr="0057417E" w:rsidRDefault="006A47F8" w:rsidP="00165778">
            <w:pPr>
              <w:spacing w:after="0"/>
              <w:rPr>
                <w:rFonts w:ascii="Calibri" w:eastAsia="Times New Roman" w:hAnsi="Calibri" w:cs="Calibri"/>
                <w:color w:val="000000"/>
                <w:sz w:val="20"/>
                <w:szCs w:val="20"/>
              </w:rPr>
            </w:pPr>
            <w:r w:rsidRPr="0057417E">
              <w:rPr>
                <w:rFonts w:ascii="Calibri" w:eastAsia="Times New Roman" w:hAnsi="Calibri" w:cs="Calibri"/>
                <w:color w:val="000000"/>
                <w:sz w:val="20"/>
                <w:szCs w:val="20"/>
              </w:rPr>
              <w:t xml:space="preserve">Prescriptions per patient </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rPr>
                <w:rFonts w:ascii="Calibri" w:eastAsia="Times New Roman" w:hAnsi="Calibri" w:cs="Calibri"/>
                <w:color w:val="000000"/>
                <w:sz w:val="20"/>
                <w:szCs w:val="20"/>
              </w:rPr>
            </w:pPr>
            <w:r w:rsidRPr="0057417E">
              <w:rPr>
                <w:rFonts w:ascii="Calibri" w:eastAsia="Times New Roman" w:hAnsi="Calibri" w:cs="Calibri"/>
                <w:color w:val="000000"/>
                <w:sz w:val="20"/>
                <w:szCs w:val="20"/>
              </w:rPr>
              <w:t>Predicted (P)</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jc w:val="center"/>
              <w:rPr>
                <w:rFonts w:ascii="Calibri" w:eastAsia="Times New Roman" w:hAnsi="Calibri" w:cs="Calibri"/>
                <w:color w:val="000000"/>
                <w:sz w:val="20"/>
                <w:szCs w:val="20"/>
              </w:rPr>
            </w:pPr>
            <w:r w:rsidRPr="0057417E">
              <w:rPr>
                <w:rFonts w:ascii="Calibri" w:eastAsia="Times New Roman" w:hAnsi="Calibri" w:cs="Calibri"/>
                <w:color w:val="000000"/>
                <w:sz w:val="20"/>
                <w:szCs w:val="20"/>
              </w:rPr>
              <w:t>24.0</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jc w:val="center"/>
              <w:rPr>
                <w:rFonts w:ascii="Calibri" w:eastAsia="Times New Roman" w:hAnsi="Calibri" w:cs="Calibri"/>
                <w:color w:val="000000"/>
                <w:sz w:val="20"/>
                <w:szCs w:val="20"/>
              </w:rPr>
            </w:pPr>
            <w:r w:rsidRPr="0057417E">
              <w:rPr>
                <w:rFonts w:ascii="Calibri" w:eastAsia="Times New Roman" w:hAnsi="Calibri" w:cs="Calibri"/>
                <w:color w:val="000000"/>
                <w:sz w:val="20"/>
                <w:szCs w:val="20"/>
              </w:rPr>
              <w:t>24.0</w:t>
            </w:r>
          </w:p>
        </w:tc>
      </w:tr>
      <w:tr w:rsidR="006A47F8" w:rsidRPr="0057417E" w:rsidTr="00165778">
        <w:trPr>
          <w:trHeight w:val="20"/>
        </w:trPr>
        <w:tc>
          <w:tcPr>
            <w:tcW w:w="2098" w:type="dxa"/>
            <w:vMerge/>
            <w:tcBorders>
              <w:top w:val="single" w:sz="4" w:space="0" w:color="auto"/>
              <w:left w:val="single" w:sz="4" w:space="0" w:color="auto"/>
              <w:bottom w:val="single" w:sz="4" w:space="0" w:color="auto"/>
              <w:right w:val="single" w:sz="4" w:space="0" w:color="auto"/>
            </w:tcBorders>
            <w:vAlign w:val="center"/>
            <w:hideMark/>
          </w:tcPr>
          <w:p w:rsidR="006A47F8" w:rsidRPr="0057417E" w:rsidRDefault="006A47F8" w:rsidP="00165778">
            <w:pPr>
              <w:spacing w:after="0"/>
              <w:rPr>
                <w:rFonts w:ascii="Calibri" w:eastAsia="Times New Roman" w:hAnsi="Calibri" w:cs="Calibri"/>
                <w:color w:val="000000"/>
                <w:sz w:val="2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rPr>
                <w:rFonts w:ascii="Calibri" w:eastAsia="Times New Roman" w:hAnsi="Calibri" w:cs="Calibri"/>
                <w:color w:val="000000"/>
                <w:sz w:val="20"/>
                <w:szCs w:val="20"/>
              </w:rPr>
            </w:pPr>
            <w:r w:rsidRPr="0057417E">
              <w:rPr>
                <w:rFonts w:ascii="Calibri" w:eastAsia="Times New Roman" w:hAnsi="Calibri" w:cs="Calibri"/>
                <w:color w:val="000000"/>
                <w:sz w:val="20"/>
                <w:szCs w:val="20"/>
              </w:rPr>
              <w:t>Actual (A)</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jc w:val="center"/>
              <w:rPr>
                <w:rFonts w:ascii="Calibri" w:eastAsia="Times New Roman" w:hAnsi="Calibri" w:cs="Calibri"/>
                <w:color w:val="000000"/>
                <w:sz w:val="20"/>
                <w:szCs w:val="20"/>
              </w:rPr>
            </w:pPr>
            <w:r w:rsidRPr="0057417E">
              <w:rPr>
                <w:rFonts w:ascii="Calibri" w:eastAsia="Times New Roman" w:hAnsi="Calibri" w:cs="Calibri"/>
                <w:color w:val="000000"/>
                <w:sz w:val="20"/>
                <w:szCs w:val="20"/>
              </w:rPr>
              <w:t>5.9</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jc w:val="center"/>
              <w:rPr>
                <w:rFonts w:ascii="Calibri" w:eastAsia="Times New Roman" w:hAnsi="Calibri" w:cs="Calibri"/>
                <w:color w:val="000000"/>
                <w:sz w:val="20"/>
                <w:szCs w:val="20"/>
              </w:rPr>
            </w:pPr>
            <w:r w:rsidRPr="0057417E">
              <w:rPr>
                <w:rFonts w:ascii="Calibri" w:eastAsia="Times New Roman" w:hAnsi="Calibri" w:cs="Calibri"/>
                <w:color w:val="000000"/>
                <w:sz w:val="20"/>
                <w:szCs w:val="20"/>
              </w:rPr>
              <w:t>5.7</w:t>
            </w:r>
          </w:p>
        </w:tc>
      </w:tr>
      <w:tr w:rsidR="006A47F8" w:rsidRPr="0057417E" w:rsidTr="00165778">
        <w:trPr>
          <w:trHeight w:val="20"/>
        </w:trPr>
        <w:tc>
          <w:tcPr>
            <w:tcW w:w="2098" w:type="dxa"/>
            <w:vMerge/>
            <w:tcBorders>
              <w:top w:val="single" w:sz="4" w:space="0" w:color="auto"/>
              <w:left w:val="single" w:sz="4" w:space="0" w:color="auto"/>
              <w:bottom w:val="single" w:sz="4" w:space="0" w:color="auto"/>
              <w:right w:val="single" w:sz="4" w:space="0" w:color="auto"/>
            </w:tcBorders>
            <w:vAlign w:val="center"/>
            <w:hideMark/>
          </w:tcPr>
          <w:p w:rsidR="006A47F8" w:rsidRPr="0057417E" w:rsidRDefault="006A47F8" w:rsidP="00165778">
            <w:pPr>
              <w:spacing w:after="0"/>
              <w:rPr>
                <w:rFonts w:ascii="Calibri" w:eastAsia="Times New Roman" w:hAnsi="Calibri" w:cs="Calibri"/>
                <w:color w:val="000000"/>
                <w:sz w:val="2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rPr>
                <w:rFonts w:ascii="Calibri" w:eastAsia="Times New Roman" w:hAnsi="Calibri" w:cs="Calibri"/>
                <w:color w:val="000000"/>
                <w:sz w:val="20"/>
                <w:szCs w:val="20"/>
              </w:rPr>
            </w:pPr>
            <w:r w:rsidRPr="0057417E">
              <w:rPr>
                <w:rFonts w:ascii="Calibri" w:eastAsia="Times New Roman" w:hAnsi="Calibri" w:cs="Calibri"/>
                <w:color w:val="000000"/>
                <w:sz w:val="20"/>
                <w:szCs w:val="20"/>
              </w:rPr>
              <w:t>% Difference (A-P)/P</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jc w:val="center"/>
              <w:rPr>
                <w:rFonts w:ascii="Calibri" w:eastAsia="Times New Roman" w:hAnsi="Calibri" w:cs="Calibri"/>
                <w:color w:val="000000"/>
                <w:sz w:val="20"/>
                <w:szCs w:val="20"/>
              </w:rPr>
            </w:pPr>
            <w:r>
              <w:rPr>
                <w:rFonts w:ascii="Calibri" w:hAnsi="Calibri" w:cs="Calibri"/>
                <w:color w:val="000000"/>
                <w:sz w:val="20"/>
                <w:szCs w:val="20"/>
              </w:rPr>
              <w:t>-75%</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jc w:val="center"/>
              <w:rPr>
                <w:rFonts w:ascii="Calibri" w:eastAsia="Times New Roman" w:hAnsi="Calibri" w:cs="Calibri"/>
                <w:color w:val="000000"/>
                <w:sz w:val="20"/>
                <w:szCs w:val="20"/>
              </w:rPr>
            </w:pPr>
            <w:r>
              <w:rPr>
                <w:rFonts w:ascii="Calibri" w:hAnsi="Calibri" w:cs="Calibri"/>
                <w:color w:val="000000"/>
                <w:sz w:val="20"/>
                <w:szCs w:val="20"/>
              </w:rPr>
              <w:t>-76%</w:t>
            </w:r>
          </w:p>
        </w:tc>
      </w:tr>
      <w:tr w:rsidR="006A47F8" w:rsidRPr="0057417E" w:rsidTr="00165778">
        <w:trPr>
          <w:trHeight w:val="20"/>
        </w:trPr>
        <w:tc>
          <w:tcPr>
            <w:tcW w:w="209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47F8" w:rsidRPr="0057417E" w:rsidRDefault="006A47F8" w:rsidP="00165778">
            <w:pPr>
              <w:spacing w:after="0"/>
              <w:rPr>
                <w:rFonts w:ascii="Calibri" w:eastAsia="Times New Roman" w:hAnsi="Calibri" w:cs="Calibri"/>
                <w:color w:val="000000"/>
                <w:sz w:val="20"/>
                <w:szCs w:val="20"/>
              </w:rPr>
            </w:pPr>
            <w:r w:rsidRPr="0057417E">
              <w:rPr>
                <w:rFonts w:ascii="Calibri" w:eastAsia="Times New Roman" w:hAnsi="Calibri" w:cs="Calibri"/>
                <w:color w:val="000000"/>
                <w:sz w:val="20"/>
                <w:szCs w:val="20"/>
              </w:rPr>
              <w:t>PBS + RPBS expenditure</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rPr>
                <w:rFonts w:ascii="Calibri" w:eastAsia="Times New Roman" w:hAnsi="Calibri" w:cs="Calibri"/>
                <w:color w:val="000000"/>
                <w:sz w:val="20"/>
                <w:szCs w:val="20"/>
              </w:rPr>
            </w:pPr>
            <w:r w:rsidRPr="0057417E">
              <w:rPr>
                <w:rFonts w:ascii="Calibri" w:eastAsia="Times New Roman" w:hAnsi="Calibri" w:cs="Calibri"/>
                <w:color w:val="000000"/>
                <w:sz w:val="20"/>
                <w:szCs w:val="20"/>
              </w:rPr>
              <w:t>Predicted (P)</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8B1167" w:rsidRDefault="008B1167" w:rsidP="00165778">
            <w:pPr>
              <w:spacing w:after="0"/>
              <w:jc w:val="center"/>
              <w:rPr>
                <w:rFonts w:ascii="Calibri" w:eastAsia="Times New Roman" w:hAnsi="Calibri" w:cs="Calibri"/>
                <w:color w:val="000000"/>
                <w:sz w:val="20"/>
                <w:szCs w:val="20"/>
                <w:highlight w:val="black"/>
              </w:rPr>
            </w:pPr>
            <w:r>
              <w:rPr>
                <w:rFonts w:ascii="Calibri" w:eastAsia="Times New Roman" w:hAnsi="Calibri" w:cs="Calibri"/>
                <w:noProof/>
                <w:color w:val="000000"/>
                <w:sz w:val="20"/>
                <w:szCs w:val="20"/>
                <w:highlight w:val="black"/>
              </w:rPr>
              <w:t>'''''''''''''''''''''</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8B1167" w:rsidRDefault="008B1167" w:rsidP="00165778">
            <w:pPr>
              <w:spacing w:after="0"/>
              <w:jc w:val="center"/>
              <w:rPr>
                <w:rFonts w:ascii="Calibri" w:eastAsia="Times New Roman" w:hAnsi="Calibri" w:cs="Calibri"/>
                <w:color w:val="000000"/>
                <w:sz w:val="20"/>
                <w:szCs w:val="20"/>
                <w:highlight w:val="black"/>
              </w:rPr>
            </w:pPr>
            <w:r>
              <w:rPr>
                <w:rFonts w:ascii="Calibri" w:eastAsia="Times New Roman" w:hAnsi="Calibri" w:cs="Calibri"/>
                <w:noProof/>
                <w:color w:val="000000"/>
                <w:sz w:val="20"/>
                <w:szCs w:val="20"/>
                <w:highlight w:val="black"/>
              </w:rPr>
              <w:t>'''''''''''''''''''''''''</w:t>
            </w:r>
          </w:p>
        </w:tc>
      </w:tr>
      <w:tr w:rsidR="006A47F8" w:rsidRPr="0057417E" w:rsidTr="00165778">
        <w:trPr>
          <w:trHeight w:val="20"/>
        </w:trPr>
        <w:tc>
          <w:tcPr>
            <w:tcW w:w="2098" w:type="dxa"/>
            <w:vMerge/>
            <w:tcBorders>
              <w:top w:val="single" w:sz="4" w:space="0" w:color="auto"/>
              <w:left w:val="single" w:sz="4" w:space="0" w:color="auto"/>
              <w:bottom w:val="single" w:sz="4" w:space="0" w:color="auto"/>
              <w:right w:val="single" w:sz="4" w:space="0" w:color="auto"/>
            </w:tcBorders>
            <w:vAlign w:val="center"/>
            <w:hideMark/>
          </w:tcPr>
          <w:p w:rsidR="006A47F8" w:rsidRPr="0057417E" w:rsidRDefault="006A47F8" w:rsidP="00165778">
            <w:pPr>
              <w:spacing w:after="0"/>
              <w:rPr>
                <w:rFonts w:ascii="Calibri" w:eastAsia="Times New Roman" w:hAnsi="Calibri" w:cs="Calibri"/>
                <w:color w:val="000000"/>
                <w:sz w:val="2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rPr>
                <w:rFonts w:ascii="Calibri" w:eastAsia="Times New Roman" w:hAnsi="Calibri" w:cs="Calibri"/>
                <w:color w:val="000000"/>
                <w:sz w:val="20"/>
                <w:szCs w:val="20"/>
              </w:rPr>
            </w:pPr>
            <w:r w:rsidRPr="0057417E">
              <w:rPr>
                <w:rFonts w:ascii="Calibri" w:eastAsia="Times New Roman" w:hAnsi="Calibri" w:cs="Calibri"/>
                <w:color w:val="000000"/>
                <w:sz w:val="20"/>
                <w:szCs w:val="20"/>
              </w:rPr>
              <w:t>Actual (A)</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8B1167" w:rsidRDefault="008B1167" w:rsidP="00165778">
            <w:pPr>
              <w:spacing w:after="0"/>
              <w:jc w:val="center"/>
              <w:rPr>
                <w:rFonts w:ascii="Calibri" w:eastAsia="Times New Roman" w:hAnsi="Calibri" w:cs="Calibri"/>
                <w:color w:val="000000"/>
                <w:sz w:val="20"/>
                <w:szCs w:val="20"/>
                <w:highlight w:val="black"/>
              </w:rPr>
            </w:pPr>
            <w:r>
              <w:rPr>
                <w:rFonts w:ascii="Calibri" w:eastAsia="Times New Roman" w:hAnsi="Calibri" w:cs="Calibri"/>
                <w:noProof/>
                <w:color w:val="000000"/>
                <w:sz w:val="20"/>
                <w:szCs w:val="20"/>
                <w:highlight w:val="black"/>
              </w:rPr>
              <w:t>'''''''''''''''''''''</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8B1167" w:rsidRDefault="008B1167" w:rsidP="00165778">
            <w:pPr>
              <w:spacing w:after="0"/>
              <w:jc w:val="center"/>
              <w:rPr>
                <w:rFonts w:ascii="Calibri" w:eastAsia="Times New Roman" w:hAnsi="Calibri" w:cs="Calibri"/>
                <w:color w:val="000000"/>
                <w:sz w:val="20"/>
                <w:szCs w:val="20"/>
                <w:highlight w:val="black"/>
              </w:rPr>
            </w:pPr>
            <w:r>
              <w:rPr>
                <w:rFonts w:ascii="Calibri" w:eastAsia="Times New Roman" w:hAnsi="Calibri" w:cs="Calibri"/>
                <w:noProof/>
                <w:color w:val="000000"/>
                <w:sz w:val="20"/>
                <w:szCs w:val="20"/>
                <w:highlight w:val="black"/>
              </w:rPr>
              <w:t>'''''''''''''''''''''</w:t>
            </w:r>
          </w:p>
        </w:tc>
      </w:tr>
      <w:tr w:rsidR="006A47F8" w:rsidRPr="0057417E" w:rsidTr="00165778">
        <w:trPr>
          <w:trHeight w:val="20"/>
        </w:trPr>
        <w:tc>
          <w:tcPr>
            <w:tcW w:w="2098" w:type="dxa"/>
            <w:vMerge/>
            <w:tcBorders>
              <w:top w:val="single" w:sz="4" w:space="0" w:color="auto"/>
              <w:left w:val="single" w:sz="4" w:space="0" w:color="auto"/>
              <w:bottom w:val="single" w:sz="4" w:space="0" w:color="auto"/>
              <w:right w:val="single" w:sz="4" w:space="0" w:color="auto"/>
            </w:tcBorders>
            <w:vAlign w:val="center"/>
            <w:hideMark/>
          </w:tcPr>
          <w:p w:rsidR="006A47F8" w:rsidRPr="0057417E" w:rsidRDefault="006A47F8" w:rsidP="00165778">
            <w:pPr>
              <w:spacing w:after="0"/>
              <w:rPr>
                <w:rFonts w:ascii="Calibri" w:eastAsia="Times New Roman" w:hAnsi="Calibri" w:cs="Calibri"/>
                <w:color w:val="000000"/>
                <w:sz w:val="2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rPr>
                <w:rFonts w:ascii="Calibri" w:eastAsia="Times New Roman" w:hAnsi="Calibri" w:cs="Calibri"/>
                <w:color w:val="000000"/>
                <w:sz w:val="20"/>
                <w:szCs w:val="20"/>
              </w:rPr>
            </w:pPr>
            <w:r w:rsidRPr="0057417E">
              <w:rPr>
                <w:rFonts w:ascii="Calibri" w:eastAsia="Times New Roman" w:hAnsi="Calibri" w:cs="Calibri"/>
                <w:color w:val="000000"/>
                <w:sz w:val="20"/>
                <w:szCs w:val="20"/>
              </w:rPr>
              <w:t>% Difference (A-P)/P</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jc w:val="center"/>
              <w:rPr>
                <w:rFonts w:ascii="Calibri" w:eastAsia="Times New Roman" w:hAnsi="Calibri" w:cs="Calibri"/>
                <w:color w:val="000000"/>
                <w:sz w:val="20"/>
                <w:szCs w:val="20"/>
              </w:rPr>
            </w:pPr>
            <w:r w:rsidRPr="0057417E">
              <w:rPr>
                <w:rFonts w:ascii="Calibri" w:eastAsia="Times New Roman" w:hAnsi="Calibri" w:cs="Calibri"/>
                <w:color w:val="000000"/>
                <w:sz w:val="20"/>
                <w:szCs w:val="20"/>
              </w:rPr>
              <w:t>-75%</w:t>
            </w:r>
          </w:p>
        </w:tc>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7F8" w:rsidRPr="0057417E" w:rsidRDefault="006A47F8" w:rsidP="00165778">
            <w:pPr>
              <w:spacing w:after="0"/>
              <w:jc w:val="center"/>
              <w:rPr>
                <w:rFonts w:ascii="Calibri" w:eastAsia="Times New Roman" w:hAnsi="Calibri" w:cs="Calibri"/>
                <w:color w:val="000000"/>
                <w:sz w:val="20"/>
                <w:szCs w:val="20"/>
              </w:rPr>
            </w:pPr>
            <w:r w:rsidRPr="0057417E">
              <w:rPr>
                <w:rFonts w:ascii="Calibri" w:eastAsia="Times New Roman" w:hAnsi="Calibri" w:cs="Calibri"/>
                <w:color w:val="000000"/>
                <w:sz w:val="20"/>
                <w:szCs w:val="20"/>
              </w:rPr>
              <w:t>-62%</w:t>
            </w:r>
          </w:p>
        </w:tc>
      </w:tr>
    </w:tbl>
    <w:p w:rsidR="006A47F8" w:rsidRPr="008B1167" w:rsidRDefault="008B1167" w:rsidP="006A47F8">
      <w:pPr>
        <w:pStyle w:val="Notes"/>
        <w:rPr>
          <w:highlight w:val="black"/>
        </w:rPr>
      </w:pPr>
      <w:r>
        <w:rPr>
          <w:rFonts w:ascii="Calibri" w:eastAsia="Times New Roman" w:hAnsi="Calibri" w:cs="Calibri"/>
          <w:noProof/>
          <w:color w:val="000000"/>
          <w:highlight w:val="black"/>
        </w:rPr>
        <w:t xml:space="preserve">'''''''''''''' ''''''''''''''''''' ''''''''''' '''''''''''''''''''' ''' ''''''''''''''''''''''' '''' '''''''''''''''''''''''''''''''' </w:t>
      </w:r>
    </w:p>
    <w:p w:rsidR="006A47F8" w:rsidRDefault="006A47F8" w:rsidP="006A47F8">
      <w:r>
        <w:t>The predicted figures in the above table are the final estimates agreed with the sponsor after the November 2018 PBAC recommendation.</w:t>
      </w:r>
    </w:p>
    <w:p w:rsidR="006A47F8" w:rsidRDefault="006A47F8" w:rsidP="006A47F8">
      <w:r>
        <w:t xml:space="preserve">In Table 3, for ipilimumab the actual number patients was 18% and 17% more than predicted in Years 1 and 2 respectively. </w:t>
      </w:r>
      <w:r w:rsidRPr="00D925E6">
        <w:t xml:space="preserve"> </w:t>
      </w:r>
      <w:r>
        <w:t>For nivolumab the actual number of patients was 32% and 67% more than predicted in Years 1 and 2 respectively. As this is combination therapy, one might expect the number of patients treated with nivolumab and ipilimumab to be the same in Year 1. However there are slightly more nivolumab patients (442) than ipilimumab patients (395). The reason for this may be grandfathered patients who already completed the induction phase prior to starting PBS nivolumab in the maintenance phase. This will be investigated in a sequence analysis later in this report.</w:t>
      </w:r>
    </w:p>
    <w:p w:rsidR="006A47F8" w:rsidRDefault="006A47F8" w:rsidP="006A47F8">
      <w:r>
        <w:t>Both medicines have lower than expected prescriptions and expenditure in both years. This is due to the lower than expected prescriptions per patient. This will be investigated in the “Distribution of number of prescriptions in 12 months after initiation” analysis and the “</w:t>
      </w:r>
      <w:r w:rsidRPr="00792CC0">
        <w:t xml:space="preserve">Dose distribution of </w:t>
      </w:r>
      <w:r>
        <w:t>first-</w:t>
      </w:r>
      <w:r w:rsidRPr="00792CC0">
        <w:t>line nivolumab infusions</w:t>
      </w:r>
      <w:r>
        <w:t>” analysis later in this report. The assumption that patients will get 24 prescription per year is based on a fortnightly dosing regimen in the maintenance phase. However many patients changed to the monthly regimen when it became available on 1 September 2019.</w:t>
      </w:r>
    </w:p>
    <w:p w:rsidR="006A47F8" w:rsidRDefault="006A47F8" w:rsidP="006A47F8">
      <w:r w:rsidRPr="00680625">
        <w:t>In Study CA209214</w:t>
      </w:r>
      <w:r>
        <w:t>, the pivotal trial in the submission to the July 2018 PBAC</w:t>
      </w:r>
      <w:r w:rsidRPr="00680625">
        <w:t xml:space="preserve">, the median duration of study therapy </w:t>
      </w:r>
      <w:r>
        <w:t>for</w:t>
      </w:r>
      <w:r w:rsidRPr="00680625">
        <w:t xml:space="preserve"> </w:t>
      </w:r>
      <w:r>
        <w:t>NIVO + IPI</w:t>
      </w:r>
      <w:r w:rsidRPr="00680625">
        <w:t xml:space="preserve"> </w:t>
      </w:r>
      <w:r>
        <w:t xml:space="preserve">was </w:t>
      </w:r>
      <w:r w:rsidRPr="00680625">
        <w:t>7.85 months</w:t>
      </w:r>
      <w:r>
        <w:t xml:space="preserve"> in all treated subjects and 7.37 months for intermediate/poor risk patients (p 66 of submission). This was estimated from Kaplan-Meier curves and not limited to 12 months follow-up and so the actual treatment time of 6.1 months in a 12 </w:t>
      </w:r>
      <w:r w:rsidR="00A74575">
        <w:t>month</w:t>
      </w:r>
      <w:r>
        <w:t xml:space="preserve"> period calculated in this report (see treatment time analysis in Figure 12) is not dissimilar to that reported in the pivotal trial.</w:t>
      </w:r>
    </w:p>
    <w:p w:rsidR="006A47F8" w:rsidRDefault="006A47F8" w:rsidP="006A47F8">
      <w:r>
        <w:t>The reason the submission used a much longer estimated length of treatment was (p66):</w:t>
      </w:r>
    </w:p>
    <w:p w:rsidR="006A47F8" w:rsidRPr="00EF67E7" w:rsidRDefault="006A47F8" w:rsidP="006A47F8">
      <w:r>
        <w:t>“</w:t>
      </w:r>
      <w:r w:rsidRPr="00EF67E7">
        <w:rPr>
          <w:i/>
        </w:rPr>
        <w:t xml:space="preserve">It is acknowledged that given the extent of patients still continuing on treatment in Study CA209214 (20.8%), it is likely that the average duration of therapy has not reached sufficient maturity, with the exception of </w:t>
      </w:r>
      <w:r>
        <w:rPr>
          <w:i/>
        </w:rPr>
        <w:t>ipilimumab</w:t>
      </w:r>
      <w:r w:rsidRPr="00EF67E7">
        <w:rPr>
          <w:i/>
        </w:rPr>
        <w:t xml:space="preserve"> which was only administered in the induction phase for a maximum of 4 cycles.  Consequently, the modelled duration of therapy for </w:t>
      </w:r>
      <w:r>
        <w:rPr>
          <w:i/>
        </w:rPr>
        <w:t>nivolumab</w:t>
      </w:r>
      <w:r w:rsidRPr="00EF67E7">
        <w:rPr>
          <w:i/>
        </w:rPr>
        <w:t xml:space="preserve"> and sunitinib from the economic model (refer to Section 3) is used to determine the cost per patient that is applied financial estimates (refer to Section 4).</w:t>
      </w:r>
      <w:r>
        <w:t xml:space="preserve">” </w:t>
      </w:r>
    </w:p>
    <w:p w:rsidR="006A47F8" w:rsidRDefault="006A47F8" w:rsidP="006A47F8">
      <w:r>
        <w:lastRenderedPageBreak/>
        <w:t>Page 187 to the submission stated;</w:t>
      </w:r>
    </w:p>
    <w:p w:rsidR="006A47F8" w:rsidRPr="00F5688B" w:rsidRDefault="006A47F8" w:rsidP="006A47F8">
      <w:r>
        <w:rPr>
          <w:rFonts w:eastAsiaTheme="majorEastAsia" w:cstheme="majorBidi"/>
          <w:bCs/>
          <w:szCs w:val="26"/>
        </w:rPr>
        <w:t>“</w:t>
      </w:r>
      <w:r w:rsidRPr="00F524D0">
        <w:rPr>
          <w:rFonts w:eastAsiaTheme="majorEastAsia" w:cstheme="majorBidi"/>
          <w:bCs/>
          <w:i/>
          <w:szCs w:val="26"/>
        </w:rPr>
        <w:t xml:space="preserve">the mean extrapolated value from the economic evaluation minus the induction phase (assumed this was equivalent to IPI) was applied in the financial estimates (34.3 - 3.6 = 30.7 infusions). </w:t>
      </w:r>
      <w:r w:rsidRPr="00F524D0">
        <w:rPr>
          <w:i/>
        </w:rPr>
        <w:t>As the mean duration of NIVO + IPI exceeds one calendar year the number of infusions applied per patient was spread over 1-3 years depending on date of initiation.</w:t>
      </w:r>
      <w:r>
        <w:rPr>
          <w:i/>
        </w:rPr>
        <w:t>”</w:t>
      </w:r>
    </w:p>
    <w:p w:rsidR="006A47F8" w:rsidRDefault="006A47F8" w:rsidP="006A47F8">
      <w:r>
        <w:t>The submission then applied a “half-year correction” to allow for patients initiating through the year. The minor submission to the November 2018 PBAC made adjustments to the time horizon of the economic model and the duration of therapy. Page 10 to the minor submission states;</w:t>
      </w:r>
    </w:p>
    <w:p w:rsidR="006A47F8" w:rsidRDefault="006A47F8" w:rsidP="006A47F8">
      <w:pPr>
        <w:pStyle w:val="NoSpacing"/>
        <w:spacing w:line="276" w:lineRule="auto"/>
        <w:rPr>
          <w:i/>
        </w:rPr>
      </w:pPr>
      <w:r w:rsidRPr="006202CB">
        <w:rPr>
          <w:i/>
        </w:rPr>
        <w:t>the Sponsor has adjusted the financial estimates to account for the potential additional costs in clinical practice associated with patients who experience adverse events during NIVO+IPI induction and go on to receive nivolumab monotherapy, rather than discontinue as was required by the trial protocol.  In Study CA209214, 13.4% of patients discontinued NIVO+IPI during the induction phase due to drug toxicity.  The revised financial estimates apply an increased cost of NIVO maintenance infusions per patient (13.4% increase to the modelled mean duration of maintenance therapy from the economic evaluation) to proxy the proportion of patients in Study CA209214 who discontinue NIVO+IPI during the induction phase but may go on to receive NIVO monotherapy in clinical practice.</w:t>
      </w:r>
    </w:p>
    <w:p w:rsidR="006A47F8" w:rsidRDefault="006A47F8" w:rsidP="006A47F8">
      <w:pPr>
        <w:pStyle w:val="NoSpacing"/>
        <w:spacing w:line="276" w:lineRule="auto"/>
        <w:rPr>
          <w:i/>
        </w:rPr>
      </w:pPr>
    </w:p>
    <w:p w:rsidR="006A47F8" w:rsidRDefault="006A47F8" w:rsidP="006A47F8">
      <w:pPr>
        <w:pStyle w:val="NoSpacing"/>
        <w:spacing w:line="276" w:lineRule="auto"/>
      </w:pPr>
      <w:r>
        <w:t>Page 13 further states;</w:t>
      </w:r>
    </w:p>
    <w:p w:rsidR="006A47F8" w:rsidRPr="006202CB" w:rsidRDefault="006A47F8" w:rsidP="006A47F8">
      <w:pPr>
        <w:pStyle w:val="NoSpacing"/>
        <w:spacing w:line="276" w:lineRule="auto"/>
        <w:rPr>
          <w:i/>
        </w:rPr>
      </w:pPr>
      <w:r w:rsidRPr="006202CB">
        <w:rPr>
          <w:i/>
        </w:rPr>
        <w:t xml:space="preserve">Several changes in assumptions have impacted the estimated cost of NIVO+IPI to PBS/RPBS between the July 2018 Major submission and the revised base case.  While an increase in the number of patients (grandfather restriction, 2020 listing) and duration of maintenance therapy (30.7 to 33.06 respectively) were key drivers for the 14% increase in infusions over the forecast period, this was outweighed by the reduction in the proposed price (NIVO 100mg: </w:t>
      </w:r>
      <w:r w:rsidR="008B1167">
        <w:rPr>
          <w:i/>
          <w:noProof/>
          <w:color w:val="000000"/>
          <w:highlight w:val="black"/>
        </w:rPr>
        <w:t>'''''''''''''''''' '' ''''''''''''''</w:t>
      </w:r>
      <w:r w:rsidRPr="006202CB">
        <w:rPr>
          <w:i/>
        </w:rPr>
        <w:t xml:space="preserve">; IPI 50mg: </w:t>
      </w:r>
      <w:r w:rsidR="008B1167">
        <w:rPr>
          <w:i/>
          <w:noProof/>
          <w:color w:val="000000"/>
          <w:highlight w:val="black"/>
        </w:rPr>
        <w:t>'''''''''''' ''' '''''''''''''''''''</w:t>
      </w:r>
      <w:r w:rsidRPr="006202CB">
        <w:rPr>
          <w:i/>
        </w:rPr>
        <w:t xml:space="preserve">) culminated in a 7.4% reduction in total costs to the PBS/RPBS for Year 1 to Year 6.  </w:t>
      </w:r>
    </w:p>
    <w:p w:rsidR="006A47F8" w:rsidRPr="006202CB" w:rsidRDefault="006A47F8" w:rsidP="006A47F8">
      <w:pPr>
        <w:pStyle w:val="NoSpacing"/>
        <w:spacing w:line="276" w:lineRule="auto"/>
        <w:rPr>
          <w:i/>
        </w:rPr>
      </w:pPr>
    </w:p>
    <w:p w:rsidR="006A47F8" w:rsidRDefault="006A47F8" w:rsidP="006A47F8">
      <w:pPr>
        <w:pStyle w:val="NoSpacing"/>
        <w:spacing w:line="276" w:lineRule="auto"/>
        <w:rPr>
          <w:rFonts w:eastAsiaTheme="majorEastAsia" w:cstheme="majorBidi"/>
          <w:bCs/>
          <w:szCs w:val="26"/>
        </w:rPr>
      </w:pPr>
      <w:r>
        <w:rPr>
          <w:rFonts w:eastAsiaTheme="majorEastAsia" w:cstheme="majorBidi"/>
          <w:bCs/>
          <w:szCs w:val="26"/>
        </w:rPr>
        <w:t>Since the submission assumed fortnightly doses, this translates to a mean length of maintenance therapy of 33.06 x 2 = 66 weeks, for a total length of therapy of 78 weeks (including 12 weeks of induction therapy). This is an average of 18 months of therapy which is very different to the median value of 7.85 months from the clinical trial.</w:t>
      </w:r>
    </w:p>
    <w:p w:rsidR="006A47F8" w:rsidRDefault="006A47F8" w:rsidP="006A47F8">
      <w:pPr>
        <w:pStyle w:val="NoSpacing"/>
        <w:spacing w:line="276" w:lineRule="auto"/>
        <w:rPr>
          <w:rFonts w:eastAsiaTheme="majorEastAsia" w:cstheme="majorBidi"/>
          <w:bCs/>
          <w:szCs w:val="26"/>
        </w:rPr>
      </w:pPr>
    </w:p>
    <w:p w:rsidR="006A47F8" w:rsidRDefault="006A47F8" w:rsidP="006A47F8">
      <w:pPr>
        <w:pStyle w:val="NoSpacing"/>
        <w:spacing w:line="276" w:lineRule="auto"/>
        <w:rPr>
          <w:rFonts w:eastAsiaTheme="majorEastAsia" w:cstheme="majorBidi"/>
          <w:bCs/>
          <w:szCs w:val="26"/>
        </w:rPr>
      </w:pPr>
      <w:r>
        <w:rPr>
          <w:rFonts w:eastAsiaTheme="majorEastAsia" w:cstheme="majorBidi"/>
          <w:bCs/>
          <w:szCs w:val="26"/>
        </w:rPr>
        <w:t xml:space="preserve">In the final agreed estimates, instead of having a patient’s 18 month treatment carry over from their initiating year to the next, a simplified approach was taken where all initiating patients were deemed to have had 4 induction and 20 fortnightly maintenance nivolumab prescriptions in the year they initiated and none in subsequent years. The reasons for this simplified approach are not recorded. As shown in the Predicted vs Actual analysis (see Table 3), even though this simplified estimate was less that that specified in the November </w:t>
      </w:r>
      <w:r>
        <w:rPr>
          <w:rFonts w:eastAsiaTheme="majorEastAsia" w:cstheme="majorBidi"/>
          <w:bCs/>
          <w:szCs w:val="26"/>
        </w:rPr>
        <w:lastRenderedPageBreak/>
        <w:t xml:space="preserve">2018 minor submission, it was still a large </w:t>
      </w:r>
      <w:r w:rsidR="00A74575">
        <w:rPr>
          <w:rFonts w:eastAsiaTheme="majorEastAsia" w:cstheme="majorBidi"/>
          <w:bCs/>
          <w:szCs w:val="26"/>
        </w:rPr>
        <w:t>overestimate</w:t>
      </w:r>
      <w:r>
        <w:rPr>
          <w:rFonts w:eastAsiaTheme="majorEastAsia" w:cstheme="majorBidi"/>
          <w:bCs/>
          <w:szCs w:val="26"/>
        </w:rPr>
        <w:t xml:space="preserve"> of nivolumab prescriptions per patient.</w:t>
      </w:r>
    </w:p>
    <w:p w:rsidR="006A47F8" w:rsidRPr="007169A6" w:rsidRDefault="006A47F8" w:rsidP="006A47F8">
      <w:pPr>
        <w:pStyle w:val="Heading2"/>
      </w:pPr>
      <w:r w:rsidRPr="00AF58BC">
        <w:t>Other analyses:</w:t>
      </w:r>
    </w:p>
    <w:p w:rsidR="006A47F8" w:rsidRPr="007169A6" w:rsidRDefault="006A47F8" w:rsidP="006A47F8">
      <w:pPr>
        <w:pStyle w:val="Heading3"/>
      </w:pPr>
      <w:r>
        <w:t>Distribution of number of prescriptions in 12 months after initiation</w:t>
      </w:r>
    </w:p>
    <w:p w:rsidR="006A47F8" w:rsidRDefault="006A47F8" w:rsidP="006A47F8">
      <w:r>
        <w:t>This analysis investigates the discrepancy between the predicted and actual prescriptions per patient shown in Table 3. The predicted prescriptions per patient are based on the number of prescriptions expected in the year(s) from patient initiation, not in the year(s) since listing of the medicines for this indication. Thus a more valid comparison may be to the number of prescriptions in the 12 months after patient initiation.</w:t>
      </w:r>
    </w:p>
    <w:p w:rsidR="006A47F8" w:rsidRDefault="006A47F8" w:rsidP="006A47F8">
      <w:pPr>
        <w:rPr>
          <w:b/>
        </w:rPr>
      </w:pPr>
    </w:p>
    <w:p w:rsidR="006A47F8" w:rsidRPr="001D227C" w:rsidRDefault="006A47F8" w:rsidP="006A47F8">
      <w:r>
        <w:rPr>
          <w:noProof/>
        </w:rPr>
        <w:drawing>
          <wp:inline distT="0" distB="0" distL="0" distR="0" wp14:anchorId="60380972" wp14:editId="60CF427D">
            <wp:extent cx="5687695" cy="3704590"/>
            <wp:effectExtent l="0" t="0" r="8255" b="10160"/>
            <wp:docPr id="21" name="Chart 21" title="Figure 9: Distribution of prescriptions per patient in 12 months after initiation to each medicine for first-line treatment."/>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Pr="001D227C">
        <w:rPr>
          <w:b/>
        </w:rPr>
        <w:t xml:space="preserve">Figure 9: Distribution of </w:t>
      </w:r>
      <w:r>
        <w:rPr>
          <w:b/>
        </w:rPr>
        <w:t>pre</w:t>
      </w:r>
      <w:r w:rsidRPr="001D227C">
        <w:rPr>
          <w:b/>
        </w:rPr>
        <w:t>script</w:t>
      </w:r>
      <w:r>
        <w:rPr>
          <w:b/>
        </w:rPr>
        <w:t>ions</w:t>
      </w:r>
      <w:r w:rsidRPr="001D227C">
        <w:rPr>
          <w:b/>
        </w:rPr>
        <w:t xml:space="preserve"> per patient in 12 months after initiation to each medicine for </w:t>
      </w:r>
      <w:r>
        <w:rPr>
          <w:b/>
        </w:rPr>
        <w:t>first-</w:t>
      </w:r>
      <w:r w:rsidRPr="001D227C">
        <w:rPr>
          <w:b/>
        </w:rPr>
        <w:t>line treatment.</w:t>
      </w:r>
    </w:p>
    <w:p w:rsidR="006A47F8" w:rsidRDefault="006A47F8" w:rsidP="006A47F8">
      <w:r>
        <w:t xml:space="preserve">Figure 9 shows the prescriptions per patient </w:t>
      </w:r>
      <w:r w:rsidRPr="001D227C">
        <w:t xml:space="preserve">in 12 months after initiation to each medicine for </w:t>
      </w:r>
      <w:r>
        <w:t>first-</w:t>
      </w:r>
      <w:r w:rsidRPr="001D227C">
        <w:t>line treatment</w:t>
      </w:r>
      <w:r>
        <w:t xml:space="preserve"> for all patients who have at least 12 months follow up in the data (i.e. patients initiating from March 2019 to the end of June 2020). There were 480 ipilimumab initiating patients who had a mean and median of 3.4 and 4 prescriptions respectively. This is close to the expected value of 4 prescriptions for induction treatment. There were 554 nivolumab initiating patients who had a mean and median of 7.8 and 6 prescriptions respectively. This is a lot less than the expected 24 prescriptions, consisting of 4 induction and 20 maintenance. These figures imply that on average there was only 7.8 – 4 = 3.8 maintenance prescriptions instead of the expected 20. Even allowing for the </w:t>
      </w:r>
      <w:r>
        <w:lastRenderedPageBreak/>
        <w:t>introduction of monthly treatment in September 2019 which reduced the number of expected maintenance prescriptions to as low as 10 for patients who started maintenance treatment after September 2019 and took up the monthly treatment option. The relative frequency of the fortnightly and monthly options will be examined in the analysis below.</w:t>
      </w:r>
    </w:p>
    <w:p w:rsidR="006A47F8" w:rsidRPr="00985DBF" w:rsidRDefault="006A47F8" w:rsidP="006A47F8">
      <w:pPr>
        <w:rPr>
          <w:b/>
          <w:i/>
        </w:rPr>
      </w:pPr>
      <w:r w:rsidRPr="00985DBF">
        <w:rPr>
          <w:b/>
          <w:i/>
        </w:rPr>
        <w:t xml:space="preserve">Dose distribution of </w:t>
      </w:r>
      <w:r>
        <w:rPr>
          <w:b/>
          <w:i/>
        </w:rPr>
        <w:t>first-</w:t>
      </w:r>
      <w:r w:rsidRPr="00985DBF">
        <w:rPr>
          <w:b/>
          <w:i/>
        </w:rPr>
        <w:t>line nivolumab infusions</w:t>
      </w:r>
    </w:p>
    <w:p w:rsidR="006A47F8" w:rsidRDefault="006A47F8" w:rsidP="006A47F8">
      <w:r>
        <w:t>The nivolumab restriction for first-line maintenance treatment was extended on 1 September 2019 to allow a flat 240 mg every two weeks dosing, or a flat 480 mg every four weeks dosing. The results below are presented for the periods prior to 1 September 2019, 1 year post (i.e. 1 September 2019 to 31 August 2020) and the remainder (1 September 2020 to 30 June 2021) post this change.</w:t>
      </w:r>
    </w:p>
    <w:p w:rsidR="006A47F8" w:rsidRDefault="006A47F8" w:rsidP="006A47F8">
      <w:pPr>
        <w:spacing w:after="0"/>
        <w:rPr>
          <w:b/>
        </w:rPr>
      </w:pPr>
      <w:r>
        <w:rPr>
          <w:noProof/>
        </w:rPr>
        <w:drawing>
          <wp:inline distT="0" distB="0" distL="0" distR="0" wp14:anchorId="0A369AB8" wp14:editId="6BDA2822">
            <wp:extent cx="5687695" cy="3704590"/>
            <wp:effectExtent l="0" t="0" r="8255" b="10160"/>
            <wp:docPr id="15" name="Chart 15" title="Figure 10: Dose distribution of first-line nivolumab maintenance infusions for pre &amp; post restriction change. "/>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Pr>
          <w:b/>
          <w:lang w:val="en-US"/>
        </w:rPr>
        <w:t>Figure 10</w:t>
      </w:r>
      <w:r w:rsidRPr="00085801">
        <w:rPr>
          <w:b/>
          <w:lang w:val="en-US"/>
        </w:rPr>
        <w:t xml:space="preserve">: </w:t>
      </w:r>
      <w:r w:rsidRPr="00085801">
        <w:rPr>
          <w:b/>
        </w:rPr>
        <w:t xml:space="preserve">Dose distribution of </w:t>
      </w:r>
      <w:r w:rsidR="006B2706">
        <w:rPr>
          <w:b/>
        </w:rPr>
        <w:t>first-</w:t>
      </w:r>
      <w:r w:rsidRPr="00085801">
        <w:rPr>
          <w:b/>
        </w:rPr>
        <w:t xml:space="preserve">line nivolumab </w:t>
      </w:r>
      <w:r>
        <w:rPr>
          <w:b/>
        </w:rPr>
        <w:t xml:space="preserve">maintenance </w:t>
      </w:r>
      <w:r w:rsidRPr="00085801">
        <w:rPr>
          <w:b/>
        </w:rPr>
        <w:t>infusions</w:t>
      </w:r>
      <w:r>
        <w:rPr>
          <w:b/>
        </w:rPr>
        <w:t xml:space="preserve"> for pre &amp; post restriction change. </w:t>
      </w:r>
    </w:p>
    <w:p w:rsidR="006A47F8" w:rsidRDefault="006A47F8" w:rsidP="006A47F8">
      <w:pPr>
        <w:spacing w:after="0"/>
        <w:rPr>
          <w:sz w:val="20"/>
          <w:szCs w:val="20"/>
        </w:rPr>
      </w:pPr>
      <w:r w:rsidRPr="00483B38">
        <w:rPr>
          <w:sz w:val="20"/>
          <w:szCs w:val="20"/>
        </w:rPr>
        <w:t>Note: each infusion is supplied on a separate prescription</w:t>
      </w:r>
    </w:p>
    <w:p w:rsidR="006A47F8" w:rsidRPr="00460E2F" w:rsidRDefault="006A47F8" w:rsidP="006A47F8">
      <w:pPr>
        <w:spacing w:after="0"/>
        <w:rPr>
          <w:b/>
        </w:rPr>
      </w:pPr>
    </w:p>
    <w:p w:rsidR="006A47F8" w:rsidRDefault="006A47F8" w:rsidP="006A47F8">
      <w:pPr>
        <w:spacing w:after="0"/>
      </w:pPr>
      <w:r>
        <w:t xml:space="preserve">Figure 10 shows that there was a large shift to the flat 480mg 4 weekly dosing after the restriction change. In the most recent period, approximately 67% of nivolumab maintenance infusions have been 480mg. The doses not 480 mg or in the 221 to 240mg range would be for the </w:t>
      </w:r>
      <w:r w:rsidRPr="007425C4">
        <w:t>weight-based 3 mg/kg every two weeks dosing</w:t>
      </w:r>
      <w:r>
        <w:t>. Those in the 221 to 240mg range could be for either the weight based dosing or flat 240mg 2 weekly dosing. It should be noted at each 480mg dose covers double the period of treatment of the other doses, so it is more dominant as a percentage of treatment than Figure 10 suggests.</w:t>
      </w:r>
    </w:p>
    <w:p w:rsidR="006A47F8" w:rsidRDefault="006A47F8" w:rsidP="006A47F8">
      <w:pPr>
        <w:spacing w:after="0"/>
      </w:pPr>
    </w:p>
    <w:p w:rsidR="006A47F8" w:rsidRDefault="006A47F8" w:rsidP="006A47F8">
      <w:pPr>
        <w:spacing w:after="0"/>
      </w:pPr>
      <w:r>
        <w:t xml:space="preserve">The equivalent dose distribution graphs for induction treatment for both ipilimumab and nivolumab do not show much variation across these periods because the restriction change </w:t>
      </w:r>
      <w:r>
        <w:lastRenderedPageBreak/>
        <w:t xml:space="preserve">did not apply to these items and so these are not presented in this report. The median and mean doses for induction ipilimumab in the most recent period (1 September 2020 to 30 June 2021) were 80 and 83.5mg respectively. The median and mean doses for induction nivolumab in the most recent period (1 September 2020 to 30 June 2021) were 240 and 251mg respectively. </w:t>
      </w:r>
    </w:p>
    <w:p w:rsidR="006A47F8" w:rsidRPr="007169A6" w:rsidRDefault="006A47F8" w:rsidP="006A47F8">
      <w:pPr>
        <w:pStyle w:val="Heading3"/>
      </w:pPr>
      <w:r w:rsidRPr="007169A6">
        <w:t xml:space="preserve">Drug initiation sequence for </w:t>
      </w:r>
      <w:r>
        <w:t>first-</w:t>
      </w:r>
      <w:r w:rsidRPr="007169A6">
        <w:t>line nivolumab patients</w:t>
      </w:r>
    </w:p>
    <w:p w:rsidR="006A47F8" w:rsidRDefault="006A47F8" w:rsidP="006A47F8">
      <w:pPr>
        <w:sectPr w:rsidR="006A47F8" w:rsidSect="00DD188C">
          <w:headerReference w:type="even" r:id="rId18"/>
          <w:headerReference w:type="default" r:id="rId19"/>
          <w:footerReference w:type="even" r:id="rId20"/>
          <w:footerReference w:type="default" r:id="rId21"/>
          <w:headerReference w:type="first" r:id="rId22"/>
          <w:footerReference w:type="first" r:id="rId23"/>
          <w:pgSz w:w="11906" w:h="16838"/>
          <w:pgMar w:top="1644" w:right="1361" w:bottom="1644" w:left="1588" w:header="709" w:footer="709" w:gutter="0"/>
          <w:cols w:space="708"/>
          <w:docGrid w:linePitch="360"/>
        </w:sectPr>
      </w:pPr>
      <w:r>
        <w:t>Table 4 shows the drug initiation sequence for all initiators to first-line nivolumab or ipilimumab treatment. This includes all prescriptions indicated for RCC from 1 May 2009 (the listing of sunitinib for RCC) to the end of June 2021. This captures any treatment for RCC before or after first-line nivolumab or ipilimumab treatment.</w:t>
      </w:r>
    </w:p>
    <w:p w:rsidR="006A47F8" w:rsidRDefault="006A47F8" w:rsidP="006A47F8">
      <w:pPr>
        <w:keepNext/>
        <w:keepLines/>
        <w:spacing w:after="0"/>
        <w:rPr>
          <w:b/>
        </w:rPr>
      </w:pPr>
      <w:r>
        <w:rPr>
          <w:b/>
        </w:rPr>
        <w:lastRenderedPageBreak/>
        <w:t>Table 4</w:t>
      </w:r>
      <w:r w:rsidRPr="00A922D3">
        <w:rPr>
          <w:b/>
        </w:rPr>
        <w:t xml:space="preserve">: </w:t>
      </w:r>
      <w:r>
        <w:rPr>
          <w:b/>
        </w:rPr>
        <w:t xml:space="preserve">Drug initiation </w:t>
      </w:r>
      <w:r w:rsidRPr="00A922D3">
        <w:rPr>
          <w:b/>
        </w:rPr>
        <w:t xml:space="preserve">sequences </w:t>
      </w:r>
      <w:r>
        <w:rPr>
          <w:b/>
        </w:rPr>
        <w:t xml:space="preserve">for first-line </w:t>
      </w:r>
      <w:r w:rsidRPr="007D4FE7">
        <w:rPr>
          <w:b/>
        </w:rPr>
        <w:t xml:space="preserve">nivolumab </w:t>
      </w:r>
      <w:r>
        <w:rPr>
          <w:b/>
        </w:rPr>
        <w:t xml:space="preserve">or ipilimumab </w:t>
      </w:r>
      <w:r w:rsidRPr="007D4FE7">
        <w:rPr>
          <w:b/>
        </w:rPr>
        <w:t>patients</w:t>
      </w:r>
    </w:p>
    <w:tbl>
      <w:tblPr>
        <w:tblStyle w:val="TableGrid"/>
        <w:tblW w:w="14195" w:type="dxa"/>
        <w:tblLook w:val="04A0" w:firstRow="1" w:lastRow="0" w:firstColumn="1" w:lastColumn="0" w:noHBand="0" w:noVBand="1"/>
        <w:tblCaption w:val="Table 4: Drug initiation sequences for first-line nivolumab or ipilimumab patients"/>
      </w:tblPr>
      <w:tblGrid>
        <w:gridCol w:w="11282"/>
        <w:gridCol w:w="897"/>
        <w:gridCol w:w="1134"/>
        <w:gridCol w:w="882"/>
      </w:tblGrid>
      <w:tr w:rsidR="006A47F8" w:rsidRPr="007D4FE7" w:rsidTr="00165778">
        <w:trPr>
          <w:trHeight w:val="20"/>
        </w:trPr>
        <w:tc>
          <w:tcPr>
            <w:tcW w:w="11282" w:type="dxa"/>
            <w:shd w:val="clear" w:color="auto" w:fill="BFBFBF" w:themeFill="background1" w:themeFillShade="BF"/>
            <w:noWrap/>
            <w:vAlign w:val="center"/>
            <w:hideMark/>
          </w:tcPr>
          <w:p w:rsidR="006A47F8" w:rsidRPr="00A335B7" w:rsidRDefault="006A47F8" w:rsidP="00165778">
            <w:pPr>
              <w:keepNext/>
              <w:keepLines/>
              <w:rPr>
                <w:rFonts w:cstheme="minorHAnsi"/>
                <w:b/>
                <w:bCs/>
                <w:sz w:val="20"/>
                <w:szCs w:val="20"/>
              </w:rPr>
            </w:pPr>
            <w:r w:rsidRPr="00A335B7">
              <w:rPr>
                <w:rFonts w:cstheme="minorHAnsi"/>
                <w:b/>
                <w:bCs/>
                <w:sz w:val="20"/>
                <w:szCs w:val="20"/>
              </w:rPr>
              <w:t>Drug initiation sequence</w:t>
            </w:r>
          </w:p>
        </w:tc>
        <w:tc>
          <w:tcPr>
            <w:tcW w:w="897" w:type="dxa"/>
            <w:shd w:val="clear" w:color="auto" w:fill="BFBFBF" w:themeFill="background1" w:themeFillShade="BF"/>
            <w:noWrap/>
            <w:vAlign w:val="center"/>
            <w:hideMark/>
          </w:tcPr>
          <w:p w:rsidR="006A47F8" w:rsidRPr="00A335B7" w:rsidRDefault="006A47F8" w:rsidP="00165778">
            <w:pPr>
              <w:keepNext/>
              <w:keepLines/>
              <w:rPr>
                <w:rFonts w:cstheme="minorHAnsi"/>
                <w:b/>
                <w:bCs/>
                <w:sz w:val="20"/>
                <w:szCs w:val="20"/>
              </w:rPr>
            </w:pPr>
            <w:r w:rsidRPr="00A335B7">
              <w:rPr>
                <w:rFonts w:cstheme="minorHAnsi"/>
                <w:b/>
                <w:bCs/>
                <w:sz w:val="20"/>
                <w:szCs w:val="20"/>
              </w:rPr>
              <w:t>Patients</w:t>
            </w:r>
          </w:p>
        </w:tc>
        <w:tc>
          <w:tcPr>
            <w:tcW w:w="1134" w:type="dxa"/>
            <w:shd w:val="clear" w:color="auto" w:fill="BFBFBF" w:themeFill="background1" w:themeFillShade="BF"/>
            <w:noWrap/>
            <w:vAlign w:val="center"/>
            <w:hideMark/>
          </w:tcPr>
          <w:p w:rsidR="006A47F8" w:rsidRPr="00A335B7" w:rsidRDefault="006A47F8" w:rsidP="00165778">
            <w:pPr>
              <w:keepNext/>
              <w:keepLines/>
              <w:jc w:val="center"/>
              <w:rPr>
                <w:rFonts w:cstheme="minorHAnsi"/>
                <w:b/>
                <w:bCs/>
                <w:sz w:val="20"/>
                <w:szCs w:val="20"/>
              </w:rPr>
            </w:pPr>
            <w:r w:rsidRPr="00A335B7">
              <w:rPr>
                <w:rFonts w:cstheme="minorHAnsi"/>
                <w:b/>
                <w:bCs/>
                <w:sz w:val="20"/>
                <w:szCs w:val="20"/>
              </w:rPr>
              <w:t>% Patients</w:t>
            </w:r>
          </w:p>
        </w:tc>
        <w:tc>
          <w:tcPr>
            <w:tcW w:w="882" w:type="dxa"/>
            <w:shd w:val="clear" w:color="auto" w:fill="BFBFBF" w:themeFill="background1" w:themeFillShade="BF"/>
            <w:noWrap/>
            <w:vAlign w:val="center"/>
            <w:hideMark/>
          </w:tcPr>
          <w:p w:rsidR="006A47F8" w:rsidRPr="00A335B7" w:rsidRDefault="006A47F8" w:rsidP="00165778">
            <w:pPr>
              <w:keepNext/>
              <w:keepLines/>
              <w:rPr>
                <w:rFonts w:cstheme="minorHAnsi"/>
                <w:b/>
                <w:bCs/>
                <w:sz w:val="20"/>
                <w:szCs w:val="20"/>
              </w:rPr>
            </w:pPr>
            <w:r w:rsidRPr="00A335B7">
              <w:rPr>
                <w:rFonts w:cstheme="minorHAnsi"/>
                <w:b/>
                <w:bCs/>
                <w:sz w:val="20"/>
                <w:szCs w:val="20"/>
              </w:rPr>
              <w:t>Ranking</w:t>
            </w:r>
          </w:p>
        </w:tc>
      </w:tr>
      <w:tr w:rsidR="006A47F8" w:rsidRPr="00E45CF9" w:rsidTr="00165778">
        <w:trPr>
          <w:trHeight w:val="20"/>
        </w:trPr>
        <w:tc>
          <w:tcPr>
            <w:tcW w:w="11282" w:type="dxa"/>
            <w:noWrap/>
            <w:vAlign w:val="bottom"/>
          </w:tcPr>
          <w:p w:rsidR="006A47F8" w:rsidRPr="00E45CF9" w:rsidRDefault="006A47F8" w:rsidP="00165778">
            <w:pPr>
              <w:keepNext/>
              <w:keepLines/>
              <w:rPr>
                <w:rFonts w:cstheme="minorHAnsi"/>
                <w:sz w:val="18"/>
                <w:szCs w:val="16"/>
              </w:rPr>
            </w:pPr>
            <w:r w:rsidRPr="00E45CF9">
              <w:rPr>
                <w:rFonts w:ascii="Calibri" w:hAnsi="Calibri" w:cs="Calibri"/>
                <w:sz w:val="18"/>
                <w:szCs w:val="16"/>
              </w:rPr>
              <w:t>1st line, ipilimumab, Induction -&gt; 1st line, nivolumab, Induction(sd)</w:t>
            </w:r>
          </w:p>
        </w:tc>
        <w:tc>
          <w:tcPr>
            <w:tcW w:w="897"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183</w:t>
            </w:r>
          </w:p>
        </w:tc>
        <w:tc>
          <w:tcPr>
            <w:tcW w:w="1134"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16.3%</w:t>
            </w:r>
          </w:p>
        </w:tc>
        <w:tc>
          <w:tcPr>
            <w:tcW w:w="882"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1</w:t>
            </w:r>
          </w:p>
        </w:tc>
      </w:tr>
      <w:tr w:rsidR="006A47F8" w:rsidRPr="00E45CF9" w:rsidTr="00165778">
        <w:trPr>
          <w:trHeight w:val="20"/>
        </w:trPr>
        <w:tc>
          <w:tcPr>
            <w:tcW w:w="11282" w:type="dxa"/>
            <w:noWrap/>
            <w:vAlign w:val="bottom"/>
          </w:tcPr>
          <w:p w:rsidR="006A47F8" w:rsidRPr="00E45CF9" w:rsidRDefault="006A47F8" w:rsidP="00165778">
            <w:pPr>
              <w:keepNext/>
              <w:keepLines/>
              <w:rPr>
                <w:rFonts w:cstheme="minorHAnsi"/>
                <w:sz w:val="18"/>
                <w:szCs w:val="16"/>
              </w:rPr>
            </w:pPr>
            <w:r w:rsidRPr="00E45CF9">
              <w:rPr>
                <w:rFonts w:ascii="Calibri" w:hAnsi="Calibri" w:cs="Calibri"/>
                <w:sz w:val="18"/>
                <w:szCs w:val="16"/>
              </w:rPr>
              <w:t>1st line, ipilimumab, Induction -&gt; 1st line, nivolumab, Induction(sd) -&gt; 1st line, nivolumab, Maintenance</w:t>
            </w:r>
          </w:p>
        </w:tc>
        <w:tc>
          <w:tcPr>
            <w:tcW w:w="897"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125</w:t>
            </w:r>
          </w:p>
        </w:tc>
        <w:tc>
          <w:tcPr>
            <w:tcW w:w="1134"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11.1%</w:t>
            </w:r>
          </w:p>
        </w:tc>
        <w:tc>
          <w:tcPr>
            <w:tcW w:w="882"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2</w:t>
            </w:r>
          </w:p>
        </w:tc>
      </w:tr>
      <w:tr w:rsidR="006A47F8" w:rsidRPr="00E45CF9" w:rsidTr="00165778">
        <w:trPr>
          <w:trHeight w:val="20"/>
        </w:trPr>
        <w:tc>
          <w:tcPr>
            <w:tcW w:w="11282" w:type="dxa"/>
            <w:noWrap/>
            <w:vAlign w:val="bottom"/>
          </w:tcPr>
          <w:p w:rsidR="006A47F8" w:rsidRPr="00E45CF9" w:rsidRDefault="006A47F8" w:rsidP="00165778">
            <w:pPr>
              <w:keepNext/>
              <w:keepLines/>
              <w:rPr>
                <w:rFonts w:cstheme="minorHAnsi"/>
                <w:sz w:val="18"/>
                <w:szCs w:val="16"/>
              </w:rPr>
            </w:pPr>
            <w:r w:rsidRPr="00E45CF9">
              <w:rPr>
                <w:rFonts w:ascii="Calibri" w:hAnsi="Calibri" w:cs="Calibri"/>
                <w:sz w:val="18"/>
                <w:szCs w:val="16"/>
              </w:rPr>
              <w:t>1st line, nivolumab, Maintenance</w:t>
            </w:r>
          </w:p>
        </w:tc>
        <w:tc>
          <w:tcPr>
            <w:tcW w:w="897"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91</w:t>
            </w:r>
          </w:p>
        </w:tc>
        <w:tc>
          <w:tcPr>
            <w:tcW w:w="1134"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8.1%</w:t>
            </w:r>
          </w:p>
        </w:tc>
        <w:tc>
          <w:tcPr>
            <w:tcW w:w="882"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3</w:t>
            </w:r>
          </w:p>
        </w:tc>
      </w:tr>
      <w:tr w:rsidR="006A47F8" w:rsidRPr="00E45CF9" w:rsidTr="00165778">
        <w:trPr>
          <w:trHeight w:val="20"/>
        </w:trPr>
        <w:tc>
          <w:tcPr>
            <w:tcW w:w="11282" w:type="dxa"/>
            <w:noWrap/>
            <w:vAlign w:val="bottom"/>
          </w:tcPr>
          <w:p w:rsidR="006A47F8" w:rsidRPr="00E45CF9" w:rsidRDefault="006A47F8" w:rsidP="00165778">
            <w:pPr>
              <w:keepNext/>
              <w:keepLines/>
              <w:rPr>
                <w:rFonts w:cstheme="minorHAnsi"/>
                <w:sz w:val="18"/>
                <w:szCs w:val="16"/>
              </w:rPr>
            </w:pPr>
            <w:r w:rsidRPr="00E45CF9">
              <w:rPr>
                <w:rFonts w:ascii="Calibri" w:hAnsi="Calibri" w:cs="Calibri"/>
                <w:sz w:val="18"/>
                <w:szCs w:val="16"/>
              </w:rPr>
              <w:t>1st line, ipilimumab, Induction -&gt; 2nd line, nivolumab(sd)</w:t>
            </w:r>
          </w:p>
        </w:tc>
        <w:tc>
          <w:tcPr>
            <w:tcW w:w="897"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81</w:t>
            </w:r>
          </w:p>
        </w:tc>
        <w:tc>
          <w:tcPr>
            <w:tcW w:w="1134"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7.2%</w:t>
            </w:r>
          </w:p>
        </w:tc>
        <w:tc>
          <w:tcPr>
            <w:tcW w:w="882"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4</w:t>
            </w:r>
          </w:p>
        </w:tc>
      </w:tr>
      <w:tr w:rsidR="006A47F8" w:rsidRPr="00E45CF9" w:rsidTr="00165778">
        <w:trPr>
          <w:trHeight w:val="20"/>
        </w:trPr>
        <w:tc>
          <w:tcPr>
            <w:tcW w:w="11282" w:type="dxa"/>
            <w:noWrap/>
            <w:vAlign w:val="bottom"/>
          </w:tcPr>
          <w:p w:rsidR="006A47F8" w:rsidRPr="00E45CF9" w:rsidRDefault="006A47F8" w:rsidP="00165778">
            <w:pPr>
              <w:keepNext/>
              <w:keepLines/>
              <w:rPr>
                <w:rFonts w:cstheme="minorHAnsi"/>
                <w:sz w:val="18"/>
                <w:szCs w:val="16"/>
              </w:rPr>
            </w:pPr>
            <w:r w:rsidRPr="00E45CF9">
              <w:rPr>
                <w:rFonts w:ascii="Calibri" w:hAnsi="Calibri" w:cs="Calibri"/>
                <w:sz w:val="18"/>
                <w:szCs w:val="16"/>
              </w:rPr>
              <w:t>1st line, ipilimumab, Induction -&gt; 1st line, nivolumab, Induction(sd) -&gt; 2nd line, nivolumab</w:t>
            </w:r>
          </w:p>
        </w:tc>
        <w:tc>
          <w:tcPr>
            <w:tcW w:w="897"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67</w:t>
            </w:r>
          </w:p>
        </w:tc>
        <w:tc>
          <w:tcPr>
            <w:tcW w:w="1134"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6.0%</w:t>
            </w:r>
          </w:p>
        </w:tc>
        <w:tc>
          <w:tcPr>
            <w:tcW w:w="882"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5</w:t>
            </w:r>
          </w:p>
        </w:tc>
      </w:tr>
      <w:tr w:rsidR="006A47F8" w:rsidRPr="00E45CF9" w:rsidTr="00165778">
        <w:trPr>
          <w:trHeight w:val="20"/>
        </w:trPr>
        <w:tc>
          <w:tcPr>
            <w:tcW w:w="11282" w:type="dxa"/>
            <w:noWrap/>
            <w:vAlign w:val="bottom"/>
          </w:tcPr>
          <w:p w:rsidR="006A47F8" w:rsidRPr="00E45CF9" w:rsidRDefault="006A47F8" w:rsidP="00165778">
            <w:pPr>
              <w:keepNext/>
              <w:keepLines/>
              <w:rPr>
                <w:rFonts w:cstheme="minorHAnsi"/>
                <w:sz w:val="18"/>
                <w:szCs w:val="16"/>
              </w:rPr>
            </w:pPr>
            <w:r w:rsidRPr="00E45CF9">
              <w:rPr>
                <w:rFonts w:ascii="Calibri" w:hAnsi="Calibri" w:cs="Calibri"/>
                <w:sz w:val="18"/>
                <w:szCs w:val="16"/>
              </w:rPr>
              <w:t>1st line, ipilimumab, Induction -&gt; 1st line, nivolumab, Induction(sd) -&gt; 1st line, sunitinib</w:t>
            </w:r>
          </w:p>
        </w:tc>
        <w:tc>
          <w:tcPr>
            <w:tcW w:w="897"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28</w:t>
            </w:r>
          </w:p>
        </w:tc>
        <w:tc>
          <w:tcPr>
            <w:tcW w:w="1134"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2.5%</w:t>
            </w:r>
          </w:p>
        </w:tc>
        <w:tc>
          <w:tcPr>
            <w:tcW w:w="882"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6</w:t>
            </w:r>
          </w:p>
        </w:tc>
      </w:tr>
      <w:tr w:rsidR="006A47F8" w:rsidRPr="00E45CF9" w:rsidTr="00165778">
        <w:trPr>
          <w:trHeight w:val="20"/>
        </w:trPr>
        <w:tc>
          <w:tcPr>
            <w:tcW w:w="11282" w:type="dxa"/>
            <w:noWrap/>
            <w:vAlign w:val="bottom"/>
          </w:tcPr>
          <w:p w:rsidR="006A47F8" w:rsidRPr="00E45CF9" w:rsidRDefault="006A47F8" w:rsidP="00165778">
            <w:pPr>
              <w:keepNext/>
              <w:keepLines/>
              <w:rPr>
                <w:rFonts w:cstheme="minorHAnsi"/>
                <w:sz w:val="18"/>
                <w:szCs w:val="16"/>
              </w:rPr>
            </w:pPr>
            <w:r w:rsidRPr="00E45CF9">
              <w:rPr>
                <w:rFonts w:ascii="Calibri" w:hAnsi="Calibri" w:cs="Calibri"/>
                <w:sz w:val="18"/>
                <w:szCs w:val="16"/>
              </w:rPr>
              <w:t>1st line, ipilimumab, Induction -&gt; 1st line, nivolumab, Induction(sd) -&gt; 1st line, pazopanib</w:t>
            </w:r>
          </w:p>
        </w:tc>
        <w:tc>
          <w:tcPr>
            <w:tcW w:w="897"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24</w:t>
            </w:r>
          </w:p>
        </w:tc>
        <w:tc>
          <w:tcPr>
            <w:tcW w:w="1134"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2.1%</w:t>
            </w:r>
          </w:p>
        </w:tc>
        <w:tc>
          <w:tcPr>
            <w:tcW w:w="882"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7</w:t>
            </w:r>
          </w:p>
        </w:tc>
      </w:tr>
      <w:tr w:rsidR="006A47F8" w:rsidRPr="00E45CF9" w:rsidTr="00165778">
        <w:trPr>
          <w:trHeight w:val="20"/>
        </w:trPr>
        <w:tc>
          <w:tcPr>
            <w:tcW w:w="11282" w:type="dxa"/>
            <w:noWrap/>
            <w:vAlign w:val="bottom"/>
          </w:tcPr>
          <w:p w:rsidR="006A47F8" w:rsidRPr="00E45CF9" w:rsidRDefault="006A47F8" w:rsidP="00165778">
            <w:pPr>
              <w:keepNext/>
              <w:keepLines/>
              <w:rPr>
                <w:rFonts w:cstheme="minorHAnsi"/>
                <w:sz w:val="18"/>
                <w:szCs w:val="16"/>
              </w:rPr>
            </w:pPr>
            <w:r w:rsidRPr="00E45CF9">
              <w:rPr>
                <w:rFonts w:ascii="Calibri" w:hAnsi="Calibri" w:cs="Calibri"/>
                <w:sz w:val="18"/>
                <w:szCs w:val="16"/>
              </w:rPr>
              <w:t>1st line, nivolumab, Induction -&gt; 1st line, ipilimumab, Induction</w:t>
            </w:r>
          </w:p>
        </w:tc>
        <w:tc>
          <w:tcPr>
            <w:tcW w:w="897"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23</w:t>
            </w:r>
          </w:p>
        </w:tc>
        <w:tc>
          <w:tcPr>
            <w:tcW w:w="1134"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2.0%</w:t>
            </w:r>
          </w:p>
        </w:tc>
        <w:tc>
          <w:tcPr>
            <w:tcW w:w="882"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8</w:t>
            </w:r>
          </w:p>
        </w:tc>
      </w:tr>
      <w:tr w:rsidR="006A47F8" w:rsidRPr="00E45CF9" w:rsidTr="00165778">
        <w:trPr>
          <w:trHeight w:val="20"/>
        </w:trPr>
        <w:tc>
          <w:tcPr>
            <w:tcW w:w="11282" w:type="dxa"/>
            <w:noWrap/>
            <w:vAlign w:val="bottom"/>
          </w:tcPr>
          <w:p w:rsidR="006A47F8" w:rsidRPr="00E45CF9" w:rsidRDefault="006A47F8" w:rsidP="00165778">
            <w:pPr>
              <w:keepNext/>
              <w:keepLines/>
              <w:rPr>
                <w:rFonts w:cstheme="minorHAnsi"/>
                <w:sz w:val="18"/>
                <w:szCs w:val="16"/>
              </w:rPr>
            </w:pPr>
            <w:r w:rsidRPr="00E45CF9">
              <w:rPr>
                <w:rFonts w:ascii="Calibri" w:hAnsi="Calibri" w:cs="Calibri"/>
                <w:sz w:val="18"/>
                <w:szCs w:val="16"/>
              </w:rPr>
              <w:t>1st line, ipilimumab, Induction -&gt; 1st line, nivolumab, Induction(sd) -&gt; 1st line, nivolumab, Maintenance -&gt; 2nd line, nivolumab</w:t>
            </w:r>
          </w:p>
        </w:tc>
        <w:tc>
          <w:tcPr>
            <w:tcW w:w="897"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18</w:t>
            </w:r>
          </w:p>
        </w:tc>
        <w:tc>
          <w:tcPr>
            <w:tcW w:w="1134"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1.6%</w:t>
            </w:r>
          </w:p>
        </w:tc>
        <w:tc>
          <w:tcPr>
            <w:tcW w:w="882"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9</w:t>
            </w:r>
          </w:p>
        </w:tc>
      </w:tr>
      <w:tr w:rsidR="006A47F8" w:rsidRPr="00E45CF9" w:rsidTr="00165778">
        <w:trPr>
          <w:trHeight w:val="20"/>
        </w:trPr>
        <w:tc>
          <w:tcPr>
            <w:tcW w:w="11282" w:type="dxa"/>
            <w:noWrap/>
            <w:vAlign w:val="bottom"/>
          </w:tcPr>
          <w:p w:rsidR="006A47F8" w:rsidRPr="00E45CF9" w:rsidRDefault="006A47F8" w:rsidP="00165778">
            <w:pPr>
              <w:keepNext/>
              <w:keepLines/>
              <w:rPr>
                <w:rFonts w:cstheme="minorHAnsi"/>
                <w:sz w:val="18"/>
                <w:szCs w:val="16"/>
              </w:rPr>
            </w:pPr>
            <w:r w:rsidRPr="00E45CF9">
              <w:rPr>
                <w:rFonts w:ascii="Calibri" w:hAnsi="Calibri" w:cs="Calibri"/>
                <w:sz w:val="18"/>
                <w:szCs w:val="16"/>
              </w:rPr>
              <w:t>1st line, ipilimumab, Induction -&gt; 1st line, nivolumab, Induction(sd) -&gt; 1st line, nivolumab, Maintenance -&gt; 1st line, sunitinib</w:t>
            </w:r>
          </w:p>
        </w:tc>
        <w:tc>
          <w:tcPr>
            <w:tcW w:w="897"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17</w:t>
            </w:r>
          </w:p>
        </w:tc>
        <w:tc>
          <w:tcPr>
            <w:tcW w:w="1134"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1.5%</w:t>
            </w:r>
          </w:p>
        </w:tc>
        <w:tc>
          <w:tcPr>
            <w:tcW w:w="882"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10</w:t>
            </w:r>
          </w:p>
        </w:tc>
      </w:tr>
      <w:tr w:rsidR="006A47F8" w:rsidRPr="00E45CF9" w:rsidTr="00165778">
        <w:trPr>
          <w:trHeight w:val="20"/>
        </w:trPr>
        <w:tc>
          <w:tcPr>
            <w:tcW w:w="11282" w:type="dxa"/>
            <w:noWrap/>
            <w:vAlign w:val="bottom"/>
          </w:tcPr>
          <w:p w:rsidR="006A47F8" w:rsidRPr="00E45CF9" w:rsidRDefault="006A47F8" w:rsidP="00165778">
            <w:pPr>
              <w:keepNext/>
              <w:keepLines/>
              <w:rPr>
                <w:rFonts w:cstheme="minorHAnsi"/>
                <w:sz w:val="18"/>
                <w:szCs w:val="16"/>
              </w:rPr>
            </w:pPr>
            <w:r w:rsidRPr="00E45CF9">
              <w:rPr>
                <w:rFonts w:ascii="Calibri" w:hAnsi="Calibri" w:cs="Calibri"/>
                <w:sz w:val="18"/>
                <w:szCs w:val="16"/>
              </w:rPr>
              <w:t>1st line, nivolumab, Induction</w:t>
            </w:r>
          </w:p>
        </w:tc>
        <w:tc>
          <w:tcPr>
            <w:tcW w:w="897"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15</w:t>
            </w:r>
          </w:p>
        </w:tc>
        <w:tc>
          <w:tcPr>
            <w:tcW w:w="1134"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1.3%</w:t>
            </w:r>
          </w:p>
        </w:tc>
        <w:tc>
          <w:tcPr>
            <w:tcW w:w="882"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11</w:t>
            </w:r>
          </w:p>
        </w:tc>
      </w:tr>
      <w:tr w:rsidR="006A47F8" w:rsidRPr="00E45CF9" w:rsidTr="00165778">
        <w:trPr>
          <w:trHeight w:val="20"/>
        </w:trPr>
        <w:tc>
          <w:tcPr>
            <w:tcW w:w="11282" w:type="dxa"/>
            <w:noWrap/>
            <w:vAlign w:val="bottom"/>
          </w:tcPr>
          <w:p w:rsidR="006A47F8" w:rsidRPr="00E45CF9" w:rsidRDefault="006A47F8" w:rsidP="00165778">
            <w:pPr>
              <w:keepNext/>
              <w:keepLines/>
              <w:rPr>
                <w:rFonts w:cstheme="minorHAnsi"/>
                <w:sz w:val="18"/>
                <w:szCs w:val="16"/>
              </w:rPr>
            </w:pPr>
            <w:r w:rsidRPr="00E45CF9">
              <w:rPr>
                <w:rFonts w:ascii="Calibri" w:hAnsi="Calibri" w:cs="Calibri"/>
                <w:sz w:val="18"/>
                <w:szCs w:val="16"/>
              </w:rPr>
              <w:t>1st line, nivolumab, Induction -&gt; 1st line, ipilimumab, Induction -&gt; 1st line, nivolumab, Maintenance</w:t>
            </w:r>
          </w:p>
        </w:tc>
        <w:tc>
          <w:tcPr>
            <w:tcW w:w="897"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14</w:t>
            </w:r>
          </w:p>
        </w:tc>
        <w:tc>
          <w:tcPr>
            <w:tcW w:w="1134"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1.2%</w:t>
            </w:r>
          </w:p>
        </w:tc>
        <w:tc>
          <w:tcPr>
            <w:tcW w:w="882"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12</w:t>
            </w:r>
          </w:p>
        </w:tc>
      </w:tr>
      <w:tr w:rsidR="006A47F8" w:rsidRPr="00E45CF9" w:rsidTr="00165778">
        <w:trPr>
          <w:trHeight w:val="20"/>
        </w:trPr>
        <w:tc>
          <w:tcPr>
            <w:tcW w:w="11282" w:type="dxa"/>
            <w:noWrap/>
            <w:vAlign w:val="bottom"/>
          </w:tcPr>
          <w:p w:rsidR="006A47F8" w:rsidRPr="00E45CF9" w:rsidRDefault="006A47F8" w:rsidP="00165778">
            <w:pPr>
              <w:keepNext/>
              <w:keepLines/>
              <w:rPr>
                <w:rFonts w:cstheme="minorHAnsi"/>
                <w:sz w:val="18"/>
                <w:szCs w:val="16"/>
              </w:rPr>
            </w:pPr>
            <w:r w:rsidRPr="00E45CF9">
              <w:rPr>
                <w:rFonts w:ascii="Calibri" w:hAnsi="Calibri" w:cs="Calibri"/>
                <w:sz w:val="18"/>
                <w:szCs w:val="16"/>
              </w:rPr>
              <w:t>1st line, ipilimumab, Induction -&gt; 1st line, nivolumab, Induction(sd) -&gt; 1st line, nivolumab, Maintenance -&gt; 1st line, pazopanib</w:t>
            </w:r>
          </w:p>
        </w:tc>
        <w:tc>
          <w:tcPr>
            <w:tcW w:w="897"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13</w:t>
            </w:r>
          </w:p>
        </w:tc>
        <w:tc>
          <w:tcPr>
            <w:tcW w:w="1134"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1.2%</w:t>
            </w:r>
          </w:p>
        </w:tc>
        <w:tc>
          <w:tcPr>
            <w:tcW w:w="882"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13</w:t>
            </w:r>
          </w:p>
        </w:tc>
      </w:tr>
      <w:tr w:rsidR="006A47F8" w:rsidRPr="00E45CF9" w:rsidTr="00165778">
        <w:trPr>
          <w:trHeight w:val="20"/>
        </w:trPr>
        <w:tc>
          <w:tcPr>
            <w:tcW w:w="11282" w:type="dxa"/>
            <w:noWrap/>
            <w:vAlign w:val="bottom"/>
          </w:tcPr>
          <w:p w:rsidR="006A47F8" w:rsidRPr="00E45CF9" w:rsidRDefault="006A47F8" w:rsidP="00165778">
            <w:pPr>
              <w:keepNext/>
              <w:keepLines/>
              <w:rPr>
                <w:rFonts w:cstheme="minorHAnsi"/>
                <w:sz w:val="18"/>
                <w:szCs w:val="16"/>
              </w:rPr>
            </w:pPr>
            <w:r w:rsidRPr="00E45CF9">
              <w:rPr>
                <w:rFonts w:ascii="Calibri" w:hAnsi="Calibri" w:cs="Calibri"/>
                <w:sz w:val="18"/>
                <w:szCs w:val="16"/>
              </w:rPr>
              <w:t>1st line, ipilimumab, Induction -&gt; 2nd line, nivolumab(sd) -&gt; 1st line, nivolumab, Maintenance</w:t>
            </w:r>
          </w:p>
        </w:tc>
        <w:tc>
          <w:tcPr>
            <w:tcW w:w="897"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12</w:t>
            </w:r>
          </w:p>
        </w:tc>
        <w:tc>
          <w:tcPr>
            <w:tcW w:w="1134"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1.1%</w:t>
            </w:r>
          </w:p>
        </w:tc>
        <w:tc>
          <w:tcPr>
            <w:tcW w:w="882"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14</w:t>
            </w:r>
          </w:p>
        </w:tc>
      </w:tr>
      <w:tr w:rsidR="006A47F8" w:rsidRPr="00E45CF9" w:rsidTr="00165778">
        <w:trPr>
          <w:trHeight w:val="20"/>
        </w:trPr>
        <w:tc>
          <w:tcPr>
            <w:tcW w:w="11282" w:type="dxa"/>
            <w:noWrap/>
            <w:vAlign w:val="bottom"/>
          </w:tcPr>
          <w:p w:rsidR="006A47F8" w:rsidRPr="00E45CF9" w:rsidRDefault="006A47F8" w:rsidP="00165778">
            <w:pPr>
              <w:keepNext/>
              <w:keepLines/>
              <w:rPr>
                <w:rFonts w:cstheme="minorHAnsi"/>
                <w:sz w:val="18"/>
                <w:szCs w:val="16"/>
              </w:rPr>
            </w:pPr>
            <w:r w:rsidRPr="00E45CF9">
              <w:rPr>
                <w:rFonts w:ascii="Calibri" w:hAnsi="Calibri" w:cs="Calibri"/>
                <w:sz w:val="18"/>
                <w:szCs w:val="16"/>
              </w:rPr>
              <w:t>1st line, nivolumab, Induction -&gt; 1st line, ipilimumab, Induction -&gt; 2nd line, nivolumab</w:t>
            </w:r>
          </w:p>
        </w:tc>
        <w:tc>
          <w:tcPr>
            <w:tcW w:w="897"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11</w:t>
            </w:r>
          </w:p>
        </w:tc>
        <w:tc>
          <w:tcPr>
            <w:tcW w:w="1134"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1.0%</w:t>
            </w:r>
          </w:p>
        </w:tc>
        <w:tc>
          <w:tcPr>
            <w:tcW w:w="882"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15</w:t>
            </w:r>
          </w:p>
        </w:tc>
      </w:tr>
      <w:tr w:rsidR="006A47F8" w:rsidRPr="00E45CF9" w:rsidTr="00165778">
        <w:trPr>
          <w:trHeight w:val="20"/>
        </w:trPr>
        <w:tc>
          <w:tcPr>
            <w:tcW w:w="11282" w:type="dxa"/>
            <w:noWrap/>
            <w:vAlign w:val="bottom"/>
          </w:tcPr>
          <w:p w:rsidR="006A47F8" w:rsidRPr="00E45CF9" w:rsidRDefault="006A47F8" w:rsidP="00165778">
            <w:pPr>
              <w:keepNext/>
              <w:keepLines/>
              <w:rPr>
                <w:rFonts w:cstheme="minorHAnsi"/>
                <w:sz w:val="18"/>
                <w:szCs w:val="16"/>
              </w:rPr>
            </w:pPr>
            <w:r w:rsidRPr="00E45CF9">
              <w:rPr>
                <w:rFonts w:ascii="Calibri" w:hAnsi="Calibri" w:cs="Calibri"/>
                <w:sz w:val="18"/>
                <w:szCs w:val="16"/>
              </w:rPr>
              <w:t>1st line, ipilimumab, Induction -&gt; 2nd line, nivolumab(sd) -&gt; 1st line, sunitinib</w:t>
            </w:r>
          </w:p>
        </w:tc>
        <w:tc>
          <w:tcPr>
            <w:tcW w:w="897"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10</w:t>
            </w:r>
          </w:p>
        </w:tc>
        <w:tc>
          <w:tcPr>
            <w:tcW w:w="1134"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0.9%</w:t>
            </w:r>
          </w:p>
        </w:tc>
        <w:tc>
          <w:tcPr>
            <w:tcW w:w="882"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16</w:t>
            </w:r>
          </w:p>
        </w:tc>
      </w:tr>
      <w:tr w:rsidR="006A47F8" w:rsidRPr="00E45CF9" w:rsidTr="00165778">
        <w:trPr>
          <w:trHeight w:val="20"/>
        </w:trPr>
        <w:tc>
          <w:tcPr>
            <w:tcW w:w="11282" w:type="dxa"/>
            <w:noWrap/>
            <w:vAlign w:val="bottom"/>
          </w:tcPr>
          <w:p w:rsidR="006A47F8" w:rsidRPr="00E45CF9" w:rsidRDefault="006A47F8" w:rsidP="00165778">
            <w:pPr>
              <w:keepNext/>
              <w:keepLines/>
              <w:rPr>
                <w:rFonts w:cstheme="minorHAnsi"/>
                <w:sz w:val="18"/>
                <w:szCs w:val="16"/>
              </w:rPr>
            </w:pPr>
            <w:r w:rsidRPr="00E45CF9">
              <w:rPr>
                <w:rFonts w:ascii="Calibri" w:hAnsi="Calibri" w:cs="Calibri"/>
                <w:sz w:val="18"/>
                <w:szCs w:val="16"/>
              </w:rPr>
              <w:t>1st line, ipilimumab, Induction -&gt; 1st line, nivolumab, Induction(sd) -&gt; 1st line, pazopanib -&gt; 2nd line, cabozantinib</w:t>
            </w:r>
          </w:p>
        </w:tc>
        <w:tc>
          <w:tcPr>
            <w:tcW w:w="897"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9</w:t>
            </w:r>
          </w:p>
        </w:tc>
        <w:tc>
          <w:tcPr>
            <w:tcW w:w="1134"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0.8%</w:t>
            </w:r>
          </w:p>
        </w:tc>
        <w:tc>
          <w:tcPr>
            <w:tcW w:w="882"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17</w:t>
            </w:r>
          </w:p>
        </w:tc>
      </w:tr>
      <w:tr w:rsidR="006A47F8" w:rsidRPr="00E45CF9" w:rsidTr="00165778">
        <w:trPr>
          <w:trHeight w:val="20"/>
        </w:trPr>
        <w:tc>
          <w:tcPr>
            <w:tcW w:w="11282" w:type="dxa"/>
            <w:noWrap/>
            <w:vAlign w:val="bottom"/>
          </w:tcPr>
          <w:p w:rsidR="006A47F8" w:rsidRPr="00E45CF9" w:rsidRDefault="006A47F8" w:rsidP="00165778">
            <w:pPr>
              <w:keepNext/>
              <w:keepLines/>
              <w:rPr>
                <w:rFonts w:cstheme="minorHAnsi"/>
                <w:sz w:val="18"/>
                <w:szCs w:val="16"/>
              </w:rPr>
            </w:pPr>
            <w:r w:rsidRPr="00E45CF9">
              <w:rPr>
                <w:rFonts w:ascii="Calibri" w:hAnsi="Calibri" w:cs="Calibri"/>
                <w:sz w:val="18"/>
                <w:szCs w:val="16"/>
              </w:rPr>
              <w:t>1st line, ipilimumab, Induction -&gt; 1st line, nivolumab, Induction(sd) -&gt; 2nd line, cabozantinib</w:t>
            </w:r>
          </w:p>
        </w:tc>
        <w:tc>
          <w:tcPr>
            <w:tcW w:w="897"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8</w:t>
            </w:r>
          </w:p>
        </w:tc>
        <w:tc>
          <w:tcPr>
            <w:tcW w:w="1134"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0.7%</w:t>
            </w:r>
          </w:p>
        </w:tc>
        <w:tc>
          <w:tcPr>
            <w:tcW w:w="882"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18</w:t>
            </w:r>
          </w:p>
        </w:tc>
      </w:tr>
      <w:tr w:rsidR="006A47F8" w:rsidRPr="00E45CF9" w:rsidTr="00165778">
        <w:trPr>
          <w:trHeight w:val="20"/>
        </w:trPr>
        <w:tc>
          <w:tcPr>
            <w:tcW w:w="11282" w:type="dxa"/>
            <w:noWrap/>
            <w:vAlign w:val="bottom"/>
          </w:tcPr>
          <w:p w:rsidR="006A47F8" w:rsidRPr="00E45CF9" w:rsidRDefault="006A47F8" w:rsidP="00165778">
            <w:pPr>
              <w:keepNext/>
              <w:keepLines/>
              <w:rPr>
                <w:rFonts w:cstheme="minorHAnsi"/>
                <w:sz w:val="18"/>
                <w:szCs w:val="16"/>
              </w:rPr>
            </w:pPr>
            <w:r w:rsidRPr="00E45CF9">
              <w:rPr>
                <w:rFonts w:ascii="Calibri" w:hAnsi="Calibri" w:cs="Calibri"/>
                <w:sz w:val="18"/>
                <w:szCs w:val="16"/>
              </w:rPr>
              <w:t>1st line, ipilimumab, Induction</w:t>
            </w:r>
          </w:p>
        </w:tc>
        <w:tc>
          <w:tcPr>
            <w:tcW w:w="897"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8</w:t>
            </w:r>
          </w:p>
        </w:tc>
        <w:tc>
          <w:tcPr>
            <w:tcW w:w="1134"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0.7%</w:t>
            </w:r>
          </w:p>
        </w:tc>
        <w:tc>
          <w:tcPr>
            <w:tcW w:w="882"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19</w:t>
            </w:r>
          </w:p>
        </w:tc>
      </w:tr>
      <w:tr w:rsidR="006A47F8" w:rsidRPr="00E45CF9" w:rsidTr="00165778">
        <w:trPr>
          <w:trHeight w:val="20"/>
        </w:trPr>
        <w:tc>
          <w:tcPr>
            <w:tcW w:w="11282" w:type="dxa"/>
            <w:noWrap/>
            <w:vAlign w:val="bottom"/>
          </w:tcPr>
          <w:p w:rsidR="006A47F8" w:rsidRPr="00E45CF9" w:rsidRDefault="006A47F8" w:rsidP="00165778">
            <w:pPr>
              <w:keepNext/>
              <w:keepLines/>
              <w:rPr>
                <w:rFonts w:cstheme="minorHAnsi"/>
                <w:sz w:val="18"/>
                <w:szCs w:val="16"/>
              </w:rPr>
            </w:pPr>
            <w:r w:rsidRPr="00E45CF9">
              <w:rPr>
                <w:rFonts w:ascii="Calibri" w:hAnsi="Calibri" w:cs="Calibri"/>
                <w:sz w:val="18"/>
                <w:szCs w:val="16"/>
              </w:rPr>
              <w:t>1st line, ipilimumab, Induction -&gt; 1st line, nivolumab, Induction(sd) -&gt; 1st line, sunitinib -&gt; 2nd line, cabozantinib</w:t>
            </w:r>
          </w:p>
        </w:tc>
        <w:tc>
          <w:tcPr>
            <w:tcW w:w="897"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8</w:t>
            </w:r>
          </w:p>
        </w:tc>
        <w:tc>
          <w:tcPr>
            <w:tcW w:w="1134"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0.7%</w:t>
            </w:r>
          </w:p>
        </w:tc>
        <w:tc>
          <w:tcPr>
            <w:tcW w:w="882"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20</w:t>
            </w:r>
          </w:p>
        </w:tc>
      </w:tr>
      <w:tr w:rsidR="006A47F8" w:rsidRPr="00E45CF9" w:rsidTr="00165778">
        <w:trPr>
          <w:trHeight w:val="20"/>
        </w:trPr>
        <w:tc>
          <w:tcPr>
            <w:tcW w:w="11282" w:type="dxa"/>
            <w:noWrap/>
            <w:vAlign w:val="bottom"/>
          </w:tcPr>
          <w:p w:rsidR="006A47F8" w:rsidRPr="00E45CF9" w:rsidRDefault="006A47F8" w:rsidP="00165778">
            <w:pPr>
              <w:keepNext/>
              <w:keepLines/>
              <w:rPr>
                <w:rFonts w:cstheme="minorHAnsi"/>
                <w:sz w:val="18"/>
                <w:szCs w:val="16"/>
              </w:rPr>
            </w:pPr>
            <w:r w:rsidRPr="00E45CF9">
              <w:rPr>
                <w:rFonts w:ascii="Calibri" w:hAnsi="Calibri" w:cs="Calibri"/>
                <w:sz w:val="18"/>
                <w:szCs w:val="16"/>
              </w:rPr>
              <w:t>1st line, pazopanib -&gt; 2nd line, nivolumab -&gt; 1st line, nivolumab, Maintenance</w:t>
            </w:r>
          </w:p>
        </w:tc>
        <w:tc>
          <w:tcPr>
            <w:tcW w:w="897"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7</w:t>
            </w:r>
          </w:p>
        </w:tc>
        <w:tc>
          <w:tcPr>
            <w:tcW w:w="1134"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0.6%</w:t>
            </w:r>
          </w:p>
        </w:tc>
        <w:tc>
          <w:tcPr>
            <w:tcW w:w="882"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21</w:t>
            </w:r>
          </w:p>
        </w:tc>
      </w:tr>
      <w:tr w:rsidR="006A47F8" w:rsidRPr="00E45CF9" w:rsidTr="00165778">
        <w:trPr>
          <w:trHeight w:val="20"/>
        </w:trPr>
        <w:tc>
          <w:tcPr>
            <w:tcW w:w="11282" w:type="dxa"/>
            <w:noWrap/>
            <w:vAlign w:val="bottom"/>
          </w:tcPr>
          <w:p w:rsidR="006A47F8" w:rsidRPr="00E45CF9" w:rsidRDefault="006A47F8" w:rsidP="00165778">
            <w:pPr>
              <w:keepNext/>
              <w:keepLines/>
              <w:rPr>
                <w:rFonts w:cstheme="minorHAnsi"/>
                <w:sz w:val="18"/>
                <w:szCs w:val="16"/>
              </w:rPr>
            </w:pPr>
            <w:r w:rsidRPr="00E45CF9">
              <w:rPr>
                <w:rFonts w:ascii="Calibri" w:hAnsi="Calibri" w:cs="Calibri"/>
                <w:sz w:val="18"/>
                <w:szCs w:val="16"/>
              </w:rPr>
              <w:t>1st line, ipilimumab, Induction -&gt; 1st line, nivolumab, Induction(sd) -&gt; 2nd line, nivolumab -&gt; 1st line, nivolumab, Maintenance</w:t>
            </w:r>
          </w:p>
        </w:tc>
        <w:tc>
          <w:tcPr>
            <w:tcW w:w="897"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7</w:t>
            </w:r>
          </w:p>
        </w:tc>
        <w:tc>
          <w:tcPr>
            <w:tcW w:w="1134"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0.6%</w:t>
            </w:r>
          </w:p>
        </w:tc>
        <w:tc>
          <w:tcPr>
            <w:tcW w:w="882"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22</w:t>
            </w:r>
          </w:p>
        </w:tc>
      </w:tr>
      <w:tr w:rsidR="006A47F8" w:rsidRPr="00E45CF9" w:rsidTr="00165778">
        <w:trPr>
          <w:trHeight w:val="20"/>
        </w:trPr>
        <w:tc>
          <w:tcPr>
            <w:tcW w:w="11282" w:type="dxa"/>
            <w:noWrap/>
            <w:vAlign w:val="bottom"/>
          </w:tcPr>
          <w:p w:rsidR="006A47F8" w:rsidRPr="00E45CF9" w:rsidRDefault="006A47F8" w:rsidP="00165778">
            <w:pPr>
              <w:keepNext/>
              <w:keepLines/>
              <w:rPr>
                <w:rFonts w:cstheme="minorHAnsi"/>
                <w:sz w:val="18"/>
                <w:szCs w:val="16"/>
              </w:rPr>
            </w:pPr>
            <w:r w:rsidRPr="00E45CF9">
              <w:rPr>
                <w:rFonts w:ascii="Calibri" w:hAnsi="Calibri" w:cs="Calibri"/>
                <w:sz w:val="18"/>
                <w:szCs w:val="16"/>
              </w:rPr>
              <w:t>2nd line, nivolumab -&gt; 1st line, ipilimumab, Induction</w:t>
            </w:r>
          </w:p>
        </w:tc>
        <w:tc>
          <w:tcPr>
            <w:tcW w:w="897"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7</w:t>
            </w:r>
          </w:p>
        </w:tc>
        <w:tc>
          <w:tcPr>
            <w:tcW w:w="1134"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0.6%</w:t>
            </w:r>
          </w:p>
        </w:tc>
        <w:tc>
          <w:tcPr>
            <w:tcW w:w="882"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23</w:t>
            </w:r>
          </w:p>
        </w:tc>
      </w:tr>
      <w:tr w:rsidR="006A47F8" w:rsidRPr="00E45CF9" w:rsidTr="00165778">
        <w:trPr>
          <w:trHeight w:val="20"/>
        </w:trPr>
        <w:tc>
          <w:tcPr>
            <w:tcW w:w="11282" w:type="dxa"/>
            <w:noWrap/>
            <w:vAlign w:val="bottom"/>
          </w:tcPr>
          <w:p w:rsidR="006A47F8" w:rsidRPr="00E45CF9" w:rsidRDefault="006A47F8" w:rsidP="00165778">
            <w:pPr>
              <w:keepNext/>
              <w:keepLines/>
              <w:rPr>
                <w:rFonts w:cstheme="minorHAnsi"/>
                <w:sz w:val="18"/>
                <w:szCs w:val="16"/>
              </w:rPr>
            </w:pPr>
            <w:r w:rsidRPr="00E45CF9">
              <w:rPr>
                <w:rFonts w:ascii="Calibri" w:hAnsi="Calibri" w:cs="Calibri"/>
                <w:sz w:val="18"/>
                <w:szCs w:val="16"/>
              </w:rPr>
              <w:t>1st line, ipilimumab, Induction -&gt; 1st line, nivolumab, Induction(sd) -&gt; 1st line, nivolumab, Maintenance -&gt; 2nd line, cabozantinib</w:t>
            </w:r>
          </w:p>
        </w:tc>
        <w:tc>
          <w:tcPr>
            <w:tcW w:w="897"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6</w:t>
            </w:r>
          </w:p>
        </w:tc>
        <w:tc>
          <w:tcPr>
            <w:tcW w:w="1134"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0.5%</w:t>
            </w:r>
          </w:p>
        </w:tc>
        <w:tc>
          <w:tcPr>
            <w:tcW w:w="882"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24</w:t>
            </w:r>
          </w:p>
        </w:tc>
      </w:tr>
      <w:tr w:rsidR="006A47F8" w:rsidRPr="00E45CF9" w:rsidTr="00165778">
        <w:trPr>
          <w:trHeight w:val="20"/>
        </w:trPr>
        <w:tc>
          <w:tcPr>
            <w:tcW w:w="11282" w:type="dxa"/>
            <w:noWrap/>
            <w:vAlign w:val="bottom"/>
          </w:tcPr>
          <w:p w:rsidR="006A47F8" w:rsidRPr="00E45CF9" w:rsidRDefault="006A47F8" w:rsidP="00165778">
            <w:pPr>
              <w:keepNext/>
              <w:keepLines/>
              <w:rPr>
                <w:rFonts w:cstheme="minorHAnsi"/>
                <w:sz w:val="18"/>
                <w:szCs w:val="16"/>
              </w:rPr>
            </w:pPr>
            <w:r w:rsidRPr="00E45CF9">
              <w:rPr>
                <w:rFonts w:ascii="Calibri" w:hAnsi="Calibri" w:cs="Calibri"/>
                <w:sz w:val="18"/>
                <w:szCs w:val="16"/>
              </w:rPr>
              <w:t>1st line, sunitinib -&gt; 1st line, nivolumab, Induction -&gt; 2nd line, nivolumab</w:t>
            </w:r>
          </w:p>
        </w:tc>
        <w:tc>
          <w:tcPr>
            <w:tcW w:w="897"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&lt;=5</w:t>
            </w:r>
          </w:p>
        </w:tc>
        <w:tc>
          <w:tcPr>
            <w:tcW w:w="1134"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&lt;=0.4%</w:t>
            </w:r>
          </w:p>
        </w:tc>
        <w:tc>
          <w:tcPr>
            <w:tcW w:w="882"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25</w:t>
            </w:r>
          </w:p>
        </w:tc>
      </w:tr>
      <w:tr w:rsidR="006A47F8" w:rsidRPr="00E45CF9" w:rsidTr="00165778">
        <w:trPr>
          <w:trHeight w:val="20"/>
        </w:trPr>
        <w:tc>
          <w:tcPr>
            <w:tcW w:w="11282" w:type="dxa"/>
            <w:noWrap/>
            <w:vAlign w:val="bottom"/>
          </w:tcPr>
          <w:p w:rsidR="006A47F8" w:rsidRPr="00E45CF9" w:rsidRDefault="006A47F8" w:rsidP="00165778">
            <w:pPr>
              <w:keepNext/>
              <w:keepLines/>
              <w:rPr>
                <w:rFonts w:cstheme="minorHAnsi"/>
                <w:sz w:val="18"/>
                <w:szCs w:val="16"/>
              </w:rPr>
            </w:pPr>
            <w:r w:rsidRPr="00E45CF9">
              <w:rPr>
                <w:rFonts w:ascii="Calibri" w:hAnsi="Calibri" w:cs="Calibri"/>
                <w:sz w:val="18"/>
                <w:szCs w:val="16"/>
              </w:rPr>
              <w:t>1st line, ipilimumab, Induction -&gt; 1st line, nivolumab, Maintenance(sd)</w:t>
            </w:r>
          </w:p>
        </w:tc>
        <w:tc>
          <w:tcPr>
            <w:tcW w:w="897"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&lt;=5</w:t>
            </w:r>
          </w:p>
        </w:tc>
        <w:tc>
          <w:tcPr>
            <w:tcW w:w="1134"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&lt;=0.4%</w:t>
            </w:r>
          </w:p>
        </w:tc>
        <w:tc>
          <w:tcPr>
            <w:tcW w:w="882"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26</w:t>
            </w:r>
          </w:p>
        </w:tc>
      </w:tr>
      <w:tr w:rsidR="006A47F8" w:rsidRPr="00E45CF9" w:rsidTr="00165778">
        <w:trPr>
          <w:trHeight w:val="20"/>
        </w:trPr>
        <w:tc>
          <w:tcPr>
            <w:tcW w:w="11282" w:type="dxa"/>
            <w:noWrap/>
            <w:vAlign w:val="bottom"/>
          </w:tcPr>
          <w:p w:rsidR="006A47F8" w:rsidRPr="00E45CF9" w:rsidRDefault="006A47F8" w:rsidP="00165778">
            <w:pPr>
              <w:keepNext/>
              <w:keepLines/>
              <w:rPr>
                <w:rFonts w:cstheme="minorHAnsi"/>
                <w:sz w:val="18"/>
                <w:szCs w:val="16"/>
              </w:rPr>
            </w:pPr>
            <w:r w:rsidRPr="00E45CF9">
              <w:rPr>
                <w:rFonts w:ascii="Calibri" w:hAnsi="Calibri" w:cs="Calibri"/>
                <w:sz w:val="18"/>
                <w:szCs w:val="16"/>
              </w:rPr>
              <w:t>1st line, ipilimumab, Induction -&gt; 1st line, nivolumab, Induction(sd) -&gt; 1st line, nivolumab, Maintenance -&gt; 1st line, pazopanib -&gt; 2nd line, cabozantinib</w:t>
            </w:r>
          </w:p>
        </w:tc>
        <w:tc>
          <w:tcPr>
            <w:tcW w:w="897"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&lt;=5</w:t>
            </w:r>
          </w:p>
        </w:tc>
        <w:tc>
          <w:tcPr>
            <w:tcW w:w="1134"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&lt;=0.4%</w:t>
            </w:r>
          </w:p>
        </w:tc>
        <w:tc>
          <w:tcPr>
            <w:tcW w:w="882"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27</w:t>
            </w:r>
          </w:p>
        </w:tc>
      </w:tr>
      <w:tr w:rsidR="006A47F8" w:rsidRPr="00E45CF9" w:rsidTr="00165778">
        <w:trPr>
          <w:trHeight w:val="20"/>
        </w:trPr>
        <w:tc>
          <w:tcPr>
            <w:tcW w:w="11282" w:type="dxa"/>
            <w:noWrap/>
            <w:vAlign w:val="bottom"/>
          </w:tcPr>
          <w:p w:rsidR="006A47F8" w:rsidRPr="00E45CF9" w:rsidRDefault="006A47F8" w:rsidP="00165778">
            <w:pPr>
              <w:keepNext/>
              <w:keepLines/>
              <w:rPr>
                <w:rFonts w:cstheme="minorHAnsi"/>
                <w:sz w:val="18"/>
                <w:szCs w:val="16"/>
              </w:rPr>
            </w:pPr>
            <w:r w:rsidRPr="00E45CF9">
              <w:rPr>
                <w:rFonts w:ascii="Calibri" w:hAnsi="Calibri" w:cs="Calibri"/>
                <w:sz w:val="18"/>
                <w:szCs w:val="16"/>
              </w:rPr>
              <w:t>1st line, sunitinib -&gt; 2nd line, nivolumab -&gt; 1st line, nivolumab, Maintenance</w:t>
            </w:r>
          </w:p>
        </w:tc>
        <w:tc>
          <w:tcPr>
            <w:tcW w:w="897"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&lt;=5</w:t>
            </w:r>
          </w:p>
        </w:tc>
        <w:tc>
          <w:tcPr>
            <w:tcW w:w="1134"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&lt;=0.4%</w:t>
            </w:r>
          </w:p>
        </w:tc>
        <w:tc>
          <w:tcPr>
            <w:tcW w:w="882"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28</w:t>
            </w:r>
          </w:p>
        </w:tc>
      </w:tr>
      <w:tr w:rsidR="006A47F8" w:rsidRPr="00E45CF9" w:rsidTr="00165778">
        <w:trPr>
          <w:trHeight w:val="20"/>
        </w:trPr>
        <w:tc>
          <w:tcPr>
            <w:tcW w:w="11282" w:type="dxa"/>
            <w:noWrap/>
            <w:vAlign w:val="bottom"/>
          </w:tcPr>
          <w:p w:rsidR="006A47F8" w:rsidRPr="00E45CF9" w:rsidRDefault="006A47F8" w:rsidP="00165778">
            <w:pPr>
              <w:keepNext/>
              <w:keepLines/>
              <w:rPr>
                <w:rFonts w:cstheme="minorHAnsi"/>
                <w:sz w:val="18"/>
                <w:szCs w:val="16"/>
              </w:rPr>
            </w:pPr>
            <w:r w:rsidRPr="00E45CF9">
              <w:rPr>
                <w:rFonts w:ascii="Calibri" w:hAnsi="Calibri" w:cs="Calibri"/>
                <w:sz w:val="18"/>
                <w:szCs w:val="16"/>
              </w:rPr>
              <w:t>1st line, ipilimumab, Induction -&gt; 1st line, nivolumab, Induction(sd) -&gt; 1st line, nivolumab, Maintenance -&gt; 1st line, sunitinib -&gt; 2nd line, cabozantinib</w:t>
            </w:r>
          </w:p>
        </w:tc>
        <w:tc>
          <w:tcPr>
            <w:tcW w:w="897"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&lt;=5</w:t>
            </w:r>
          </w:p>
        </w:tc>
        <w:tc>
          <w:tcPr>
            <w:tcW w:w="1134"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&lt;=0.4%</w:t>
            </w:r>
          </w:p>
        </w:tc>
        <w:tc>
          <w:tcPr>
            <w:tcW w:w="882"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29</w:t>
            </w:r>
          </w:p>
        </w:tc>
      </w:tr>
      <w:tr w:rsidR="006A47F8" w:rsidRPr="00E45CF9" w:rsidTr="00165778">
        <w:trPr>
          <w:trHeight w:val="20"/>
        </w:trPr>
        <w:tc>
          <w:tcPr>
            <w:tcW w:w="11282" w:type="dxa"/>
            <w:noWrap/>
            <w:vAlign w:val="bottom"/>
          </w:tcPr>
          <w:p w:rsidR="006A47F8" w:rsidRPr="00E45CF9" w:rsidRDefault="006A47F8" w:rsidP="00165778">
            <w:pPr>
              <w:keepNext/>
              <w:keepLines/>
              <w:rPr>
                <w:rFonts w:cstheme="minorHAnsi"/>
                <w:sz w:val="18"/>
                <w:szCs w:val="16"/>
              </w:rPr>
            </w:pPr>
            <w:r w:rsidRPr="00E45CF9">
              <w:rPr>
                <w:rFonts w:ascii="Calibri" w:hAnsi="Calibri" w:cs="Calibri"/>
                <w:sz w:val="18"/>
                <w:szCs w:val="16"/>
              </w:rPr>
              <w:t>1st line, ipilimumab, Induction -&gt; 1st line, nivolumab, Induction(sd) -&gt; 2nd line, nivolumab -&gt; 1st line, sunitinib</w:t>
            </w:r>
          </w:p>
        </w:tc>
        <w:tc>
          <w:tcPr>
            <w:tcW w:w="897"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&lt;=5</w:t>
            </w:r>
          </w:p>
        </w:tc>
        <w:tc>
          <w:tcPr>
            <w:tcW w:w="1134"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&lt;=0.4%</w:t>
            </w:r>
          </w:p>
        </w:tc>
        <w:tc>
          <w:tcPr>
            <w:tcW w:w="882"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30</w:t>
            </w:r>
          </w:p>
        </w:tc>
      </w:tr>
      <w:tr w:rsidR="006A47F8" w:rsidRPr="00E45CF9" w:rsidTr="00165778">
        <w:trPr>
          <w:trHeight w:val="20"/>
        </w:trPr>
        <w:tc>
          <w:tcPr>
            <w:tcW w:w="11282" w:type="dxa"/>
            <w:noWrap/>
            <w:vAlign w:val="bottom"/>
          </w:tcPr>
          <w:p w:rsidR="006A47F8" w:rsidRPr="00E45CF9" w:rsidRDefault="006A47F8" w:rsidP="00165778">
            <w:pPr>
              <w:keepNext/>
              <w:keepLines/>
              <w:rPr>
                <w:rFonts w:cstheme="minorHAnsi"/>
                <w:sz w:val="18"/>
                <w:szCs w:val="16"/>
              </w:rPr>
            </w:pPr>
            <w:r w:rsidRPr="00E45CF9">
              <w:rPr>
                <w:rFonts w:ascii="Calibri" w:hAnsi="Calibri" w:cs="Calibri"/>
                <w:sz w:val="18"/>
                <w:szCs w:val="16"/>
              </w:rPr>
              <w:t xml:space="preserve">Other </w:t>
            </w:r>
          </w:p>
        </w:tc>
        <w:tc>
          <w:tcPr>
            <w:tcW w:w="897"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303</w:t>
            </w:r>
          </w:p>
        </w:tc>
        <w:tc>
          <w:tcPr>
            <w:tcW w:w="1134"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26.9%</w:t>
            </w:r>
          </w:p>
        </w:tc>
        <w:tc>
          <w:tcPr>
            <w:tcW w:w="882" w:type="dxa"/>
            <w:noWrap/>
            <w:vAlign w:val="bottom"/>
          </w:tcPr>
          <w:p w:rsidR="006A47F8" w:rsidRPr="00E45CF9" w:rsidRDefault="006A47F8" w:rsidP="00165778">
            <w:pPr>
              <w:keepNext/>
              <w:keepLines/>
              <w:jc w:val="center"/>
              <w:rPr>
                <w:rFonts w:cstheme="minorHAnsi"/>
                <w:sz w:val="18"/>
                <w:szCs w:val="16"/>
              </w:rPr>
            </w:pPr>
          </w:p>
        </w:tc>
      </w:tr>
      <w:tr w:rsidR="006A47F8" w:rsidRPr="00E45CF9" w:rsidTr="00165778">
        <w:trPr>
          <w:trHeight w:val="20"/>
        </w:trPr>
        <w:tc>
          <w:tcPr>
            <w:tcW w:w="11282" w:type="dxa"/>
            <w:noWrap/>
            <w:vAlign w:val="bottom"/>
          </w:tcPr>
          <w:p w:rsidR="006A47F8" w:rsidRPr="00E45CF9" w:rsidRDefault="006A47F8" w:rsidP="00165778">
            <w:pPr>
              <w:keepNext/>
              <w:keepLines/>
              <w:rPr>
                <w:rFonts w:cstheme="minorHAnsi"/>
                <w:sz w:val="18"/>
                <w:szCs w:val="16"/>
              </w:rPr>
            </w:pPr>
            <w:r w:rsidRPr="00E45CF9">
              <w:rPr>
                <w:rFonts w:ascii="Calibri" w:hAnsi="Calibri" w:cs="Calibri"/>
                <w:sz w:val="18"/>
                <w:szCs w:val="16"/>
              </w:rPr>
              <w:t>Total</w:t>
            </w:r>
          </w:p>
        </w:tc>
        <w:tc>
          <w:tcPr>
            <w:tcW w:w="897"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1,125</w:t>
            </w:r>
          </w:p>
        </w:tc>
        <w:tc>
          <w:tcPr>
            <w:tcW w:w="1134" w:type="dxa"/>
            <w:noWrap/>
            <w:vAlign w:val="bottom"/>
          </w:tcPr>
          <w:p w:rsidR="006A47F8" w:rsidRPr="00E45CF9" w:rsidRDefault="006A47F8" w:rsidP="00165778">
            <w:pPr>
              <w:keepNext/>
              <w:keepLines/>
              <w:jc w:val="center"/>
              <w:rPr>
                <w:rFonts w:cstheme="minorHAnsi"/>
                <w:sz w:val="18"/>
                <w:szCs w:val="16"/>
              </w:rPr>
            </w:pPr>
            <w:r w:rsidRPr="00E45CF9">
              <w:rPr>
                <w:rFonts w:ascii="Calibri" w:hAnsi="Calibri" w:cs="Calibri"/>
                <w:sz w:val="18"/>
                <w:szCs w:val="16"/>
              </w:rPr>
              <w:t>100%</w:t>
            </w:r>
          </w:p>
        </w:tc>
        <w:tc>
          <w:tcPr>
            <w:tcW w:w="882" w:type="dxa"/>
            <w:noWrap/>
            <w:vAlign w:val="bottom"/>
          </w:tcPr>
          <w:p w:rsidR="006A47F8" w:rsidRPr="00E45CF9" w:rsidRDefault="006A47F8" w:rsidP="00165778">
            <w:pPr>
              <w:keepNext/>
              <w:keepLines/>
              <w:jc w:val="center"/>
              <w:rPr>
                <w:rFonts w:cstheme="minorHAnsi"/>
                <w:sz w:val="18"/>
                <w:szCs w:val="16"/>
              </w:rPr>
            </w:pPr>
          </w:p>
        </w:tc>
      </w:tr>
    </w:tbl>
    <w:p w:rsidR="006A47F8" w:rsidRPr="00A14AE1" w:rsidRDefault="006A47F8" w:rsidP="006A47F8">
      <w:pPr>
        <w:keepNext/>
        <w:keepLines/>
        <w:spacing w:after="0"/>
        <w:rPr>
          <w:sz w:val="20"/>
          <w:szCs w:val="20"/>
        </w:rPr>
        <w:sectPr w:rsidR="006A47F8" w:rsidRPr="00A14AE1" w:rsidSect="00FB1D79">
          <w:pgSz w:w="16838" w:h="11906" w:orient="landscape"/>
          <w:pgMar w:top="1588" w:right="1644" w:bottom="1361" w:left="1644" w:header="709" w:footer="709" w:gutter="0"/>
          <w:cols w:space="708"/>
          <w:docGrid w:linePitch="360"/>
        </w:sectPr>
      </w:pPr>
      <w:r w:rsidRPr="00460E2F">
        <w:rPr>
          <w:sz w:val="20"/>
          <w:szCs w:val="20"/>
        </w:rPr>
        <w:t>Note: sd = same day initiation as prior drug in sequence</w:t>
      </w:r>
    </w:p>
    <w:p w:rsidR="006A47F8" w:rsidRDefault="006A47F8" w:rsidP="006A47F8">
      <w:r>
        <w:lastRenderedPageBreak/>
        <w:t>Table 4 shows that the most common initiation sequence was first-line nivolumab + ipilimumab both supplied on the same day (16.3%). The 2</w:t>
      </w:r>
      <w:r w:rsidRPr="00EA5CA0">
        <w:rPr>
          <w:vertAlign w:val="superscript"/>
        </w:rPr>
        <w:t>nd</w:t>
      </w:r>
      <w:r>
        <w:t xml:space="preserve"> most common was the same as the first and followed by first-line nivolumab maintenance treatment (11.1%). The 3</w:t>
      </w:r>
      <w:r w:rsidRPr="00EA5CA0">
        <w:rPr>
          <w:vertAlign w:val="superscript"/>
        </w:rPr>
        <w:t>rd</w:t>
      </w:r>
      <w:r>
        <w:t xml:space="preserve"> most common was first-line nivolumab maintenance treatment only (8.1%). This is outside the restriction, except if this is a grandfathered patient (see Appendix B for the grandfathering restrictions). In this is the case then the grandfathering PBS item should have been used rather than the regular maintenance treatment item. The 4</w:t>
      </w:r>
      <w:r w:rsidRPr="00FC3C3C">
        <w:rPr>
          <w:vertAlign w:val="superscript"/>
        </w:rPr>
        <w:t>th</w:t>
      </w:r>
      <w:r>
        <w:t xml:space="preserve"> (7.2%), 5</w:t>
      </w:r>
      <w:r w:rsidRPr="00430870">
        <w:rPr>
          <w:vertAlign w:val="superscript"/>
        </w:rPr>
        <w:t>th</w:t>
      </w:r>
      <w:r>
        <w:t xml:space="preserve"> (6.0%) and 9</w:t>
      </w:r>
      <w:r w:rsidRPr="002B72C2">
        <w:rPr>
          <w:vertAlign w:val="superscript"/>
        </w:rPr>
        <w:t>th</w:t>
      </w:r>
      <w:r>
        <w:t xml:space="preserve"> (1.6%) most common show the incorrect use of 2</w:t>
      </w:r>
      <w:r w:rsidRPr="00430870">
        <w:rPr>
          <w:vertAlign w:val="superscript"/>
        </w:rPr>
        <w:t>nd</w:t>
      </w:r>
      <w:r>
        <w:t xml:space="preserve"> line nivolumab items rather than the first-line induction and maintenance items. </w:t>
      </w:r>
    </w:p>
    <w:p w:rsidR="006A47F8" w:rsidRDefault="006A47F8" w:rsidP="006A47F8">
      <w:r>
        <w:t>This use of incorrect PBS item codes would explain some of the less than expected number of actual nivolumab prescriptions per patient (see Table 3 and Figure 9) as these analyses only counted first-line nivolumab prescriptions. To investigate the size of this effect, the distribution of the number of prescriptions in 12 months after initiation was re-calculated with 2</w:t>
      </w:r>
      <w:r w:rsidRPr="002D77ED">
        <w:rPr>
          <w:vertAlign w:val="superscript"/>
        </w:rPr>
        <w:t>nd</w:t>
      </w:r>
      <w:r>
        <w:t xml:space="preserve"> line nivolumab scripts included for all patients that initiated first-line nivolumab or ipilimumab.</w:t>
      </w:r>
    </w:p>
    <w:p w:rsidR="006A47F8" w:rsidRDefault="006A47F8" w:rsidP="006A47F8">
      <w:pPr>
        <w:spacing w:after="0" w:line="276" w:lineRule="auto"/>
        <w:rPr>
          <w:b/>
        </w:rPr>
      </w:pPr>
      <w:r>
        <w:rPr>
          <w:noProof/>
        </w:rPr>
        <w:drawing>
          <wp:inline distT="0" distB="0" distL="0" distR="0" wp14:anchorId="2B428F66" wp14:editId="3383F706">
            <wp:extent cx="5687695" cy="3704590"/>
            <wp:effectExtent l="0" t="0" r="8255" b="10160"/>
            <wp:docPr id="18" name="Chart 18" title="Figure 11: Distribution of prescriptions per patient in 12 months after initiation to each medicine for first-line treatment. "/>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Pr="001D227C">
        <w:rPr>
          <w:b/>
        </w:rPr>
        <w:t xml:space="preserve">Figure </w:t>
      </w:r>
      <w:r>
        <w:rPr>
          <w:b/>
        </w:rPr>
        <w:t>11</w:t>
      </w:r>
      <w:r w:rsidRPr="001D227C">
        <w:rPr>
          <w:b/>
        </w:rPr>
        <w:t xml:space="preserve">: Distribution of </w:t>
      </w:r>
      <w:r>
        <w:rPr>
          <w:b/>
        </w:rPr>
        <w:t>pre</w:t>
      </w:r>
      <w:r w:rsidRPr="001D227C">
        <w:rPr>
          <w:b/>
        </w:rPr>
        <w:t>script</w:t>
      </w:r>
      <w:r>
        <w:rPr>
          <w:b/>
        </w:rPr>
        <w:t>ions</w:t>
      </w:r>
      <w:r w:rsidRPr="001D227C">
        <w:rPr>
          <w:b/>
        </w:rPr>
        <w:t xml:space="preserve"> per patient in 12 months after initiation to each medicine for </w:t>
      </w:r>
      <w:r>
        <w:rPr>
          <w:b/>
        </w:rPr>
        <w:t>first-</w:t>
      </w:r>
      <w:r w:rsidRPr="001D227C">
        <w:rPr>
          <w:b/>
        </w:rPr>
        <w:t>line treatment.</w:t>
      </w:r>
      <w:r>
        <w:rPr>
          <w:b/>
        </w:rPr>
        <w:t xml:space="preserve"> </w:t>
      </w:r>
    </w:p>
    <w:p w:rsidR="006A47F8" w:rsidRDefault="006A47F8" w:rsidP="006A47F8">
      <w:pPr>
        <w:spacing w:after="0" w:line="276" w:lineRule="auto"/>
        <w:rPr>
          <w:sz w:val="20"/>
          <w:szCs w:val="20"/>
        </w:rPr>
      </w:pPr>
      <w:r w:rsidRPr="00460E2F">
        <w:rPr>
          <w:sz w:val="20"/>
          <w:szCs w:val="20"/>
        </w:rPr>
        <w:t xml:space="preserve">Note: Second-line </w:t>
      </w:r>
      <w:r>
        <w:rPr>
          <w:sz w:val="20"/>
          <w:szCs w:val="20"/>
        </w:rPr>
        <w:t>nivolumab scripts also included</w:t>
      </w:r>
    </w:p>
    <w:p w:rsidR="006A47F8" w:rsidRPr="00460E2F" w:rsidRDefault="006A47F8" w:rsidP="006A47F8">
      <w:pPr>
        <w:spacing w:after="0" w:line="276" w:lineRule="auto"/>
        <w:rPr>
          <w:b/>
        </w:rPr>
      </w:pPr>
    </w:p>
    <w:p w:rsidR="006A47F8" w:rsidRDefault="006A47F8" w:rsidP="006A47F8">
      <w:r>
        <w:t xml:space="preserve">Comparing Figure 11 to Figure 9 shows that the inclusion of the second-line nivolumab scripts has increased the number of nivolumab scripts per patient after initiating first-line therapy. The peaks as 14 and 24 scripts would correspond to patients who are still on treatment at the end of 12 months and are using 4 &amp; 2 weekly dosing respectively for their maintenance treatment. The mean and median number of nivolumab scripts per patient </w:t>
      </w:r>
      <w:r>
        <w:lastRenderedPageBreak/>
        <w:t>has increased to 9.6 and 8 respectively (up from 7.8 and 6 when 2</w:t>
      </w:r>
      <w:r w:rsidRPr="001C1057">
        <w:rPr>
          <w:vertAlign w:val="superscript"/>
        </w:rPr>
        <w:t>nd</w:t>
      </w:r>
      <w:r>
        <w:t xml:space="preserve"> line nivolumab was not included). It is still difficult to compare these numbers to the predicted 24 nivolumab scripts per patient (see Table 3) because the predicted maintenance scripts were </w:t>
      </w:r>
      <w:r w:rsidR="00776A43">
        <w:t>assumed</w:t>
      </w:r>
      <w:r>
        <w:t xml:space="preserve"> to be 2 weekly dosing, whereas the actuals are a mixture of 2 and 4 weekly dosing. To enable this comparison the prescriptions </w:t>
      </w:r>
      <w:r w:rsidR="00776A43">
        <w:t>were</w:t>
      </w:r>
      <w:r>
        <w:t xml:space="preserve"> converted to treatment time based on allocating 3 weeks to induction treatment prescriptions (both ipilimumab and nivolumab), 4 weeks to nivolumab prescriptions that have a dose of 480 mg and 2 weeks to all other dose nivolumab prescriptions (i.e. both weight based and 240mg flat dose infusions have a frequency of 2 weeks).</w:t>
      </w:r>
    </w:p>
    <w:p w:rsidR="006A47F8" w:rsidRDefault="006A47F8" w:rsidP="006A47F8">
      <w:pPr>
        <w:spacing w:after="0" w:line="276" w:lineRule="auto"/>
        <w:rPr>
          <w:b/>
        </w:rPr>
      </w:pPr>
      <w:r>
        <w:rPr>
          <w:noProof/>
        </w:rPr>
        <w:drawing>
          <wp:inline distT="0" distB="0" distL="0" distR="0" wp14:anchorId="68A87925" wp14:editId="223C63B9">
            <wp:extent cx="5687695" cy="3704590"/>
            <wp:effectExtent l="0" t="0" r="8255" b="10160"/>
            <wp:docPr id="16" name="Chart 16" title="Figure 12: Distribution of treatment time per patient in 12 months after initiation to each medicine for first-line treatment. "/>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Pr="001D227C">
        <w:rPr>
          <w:b/>
        </w:rPr>
        <w:t xml:space="preserve">Figure </w:t>
      </w:r>
      <w:r>
        <w:rPr>
          <w:b/>
        </w:rPr>
        <w:t>12</w:t>
      </w:r>
      <w:r w:rsidRPr="001D227C">
        <w:rPr>
          <w:b/>
        </w:rPr>
        <w:t xml:space="preserve">: Distribution of </w:t>
      </w:r>
      <w:r>
        <w:rPr>
          <w:b/>
        </w:rPr>
        <w:t>treatment time</w:t>
      </w:r>
      <w:r w:rsidRPr="001D227C">
        <w:rPr>
          <w:b/>
        </w:rPr>
        <w:t xml:space="preserve"> per patient in 12 months after initiation to each medicine for </w:t>
      </w:r>
      <w:r>
        <w:rPr>
          <w:b/>
        </w:rPr>
        <w:t>first-</w:t>
      </w:r>
      <w:r w:rsidRPr="001D227C">
        <w:rPr>
          <w:b/>
        </w:rPr>
        <w:t>line treatment.</w:t>
      </w:r>
      <w:r>
        <w:rPr>
          <w:b/>
        </w:rPr>
        <w:t xml:space="preserve"> </w:t>
      </w:r>
    </w:p>
    <w:p w:rsidR="006A47F8" w:rsidRPr="000E58CE" w:rsidRDefault="006A47F8" w:rsidP="006A47F8">
      <w:pPr>
        <w:spacing w:after="0" w:line="276" w:lineRule="auto"/>
        <w:rPr>
          <w:sz w:val="20"/>
          <w:szCs w:val="20"/>
        </w:rPr>
      </w:pPr>
      <w:r w:rsidRPr="000E58CE">
        <w:rPr>
          <w:sz w:val="20"/>
          <w:szCs w:val="20"/>
        </w:rPr>
        <w:t>Note: 2</w:t>
      </w:r>
      <w:r w:rsidRPr="000E58CE">
        <w:rPr>
          <w:sz w:val="20"/>
          <w:szCs w:val="20"/>
          <w:vertAlign w:val="superscript"/>
        </w:rPr>
        <w:t>nd</w:t>
      </w:r>
      <w:r w:rsidRPr="000E58CE">
        <w:rPr>
          <w:sz w:val="20"/>
          <w:szCs w:val="20"/>
        </w:rPr>
        <w:t xml:space="preserve"> line </w:t>
      </w:r>
      <w:r>
        <w:rPr>
          <w:sz w:val="20"/>
          <w:szCs w:val="20"/>
        </w:rPr>
        <w:t>nivolumab scripts also included</w:t>
      </w:r>
    </w:p>
    <w:p w:rsidR="006A47F8" w:rsidRPr="000E58CE" w:rsidRDefault="006A47F8" w:rsidP="006A47F8">
      <w:pPr>
        <w:spacing w:after="0" w:line="276" w:lineRule="auto"/>
        <w:rPr>
          <w:b/>
        </w:rPr>
      </w:pPr>
    </w:p>
    <w:p w:rsidR="006A47F8" w:rsidRDefault="006A47F8" w:rsidP="006A47F8">
      <w:pPr>
        <w:spacing w:line="276" w:lineRule="auto"/>
      </w:pPr>
      <w:r>
        <w:t>Treatment time in weeks was converted to months and rounded up to the nearest month for Figure 12. The mean and median treatment times were 27 weeks (6.1 months) and 21 weeks (4.8 months). The predicted 24 prescriptions per patient, implied a mean treatment time of 12 months (the 4 induction scripts would take 12 weeks and the 20 maintenance scripts would take 40 weeks, a total of 52 weeks). That is, all patients would still be on treatment 12 months after initiation. Thus the actual mean treatment time for nivolumab (6.1 months) was approximately half of the predicted.</w:t>
      </w:r>
    </w:p>
    <w:p w:rsidR="006A47F8" w:rsidRPr="00A12191" w:rsidRDefault="006A47F8" w:rsidP="006A47F8">
      <w:pPr>
        <w:rPr>
          <w:b/>
          <w:bCs/>
          <w:u w:val="single"/>
        </w:rPr>
      </w:pPr>
    </w:p>
    <w:p w:rsidR="00591512" w:rsidRDefault="00AB3733" w:rsidP="00F73113">
      <w:pPr>
        <w:pStyle w:val="Heading1"/>
      </w:pPr>
      <w:r>
        <w:lastRenderedPageBreak/>
        <w:t>D</w:t>
      </w:r>
      <w:r w:rsidR="007346C7" w:rsidRPr="005E22C2">
        <w:t>iscussion</w:t>
      </w:r>
    </w:p>
    <w:p w:rsidR="006A47F8" w:rsidRDefault="006A47F8" w:rsidP="006A47F8">
      <w:pPr>
        <w:pStyle w:val="NoSpacing"/>
        <w:rPr>
          <w:rFonts w:eastAsiaTheme="majorEastAsia" w:cstheme="majorBidi"/>
          <w:bCs/>
          <w:szCs w:val="26"/>
        </w:rPr>
      </w:pPr>
      <w:r>
        <w:rPr>
          <w:rFonts w:eastAsiaTheme="majorEastAsia" w:cstheme="majorBidi"/>
          <w:bCs/>
          <w:szCs w:val="26"/>
        </w:rPr>
        <w:t>Second-</w:t>
      </w:r>
      <w:r w:rsidRPr="004401DC">
        <w:rPr>
          <w:rFonts w:eastAsiaTheme="majorEastAsia" w:cstheme="majorBidi"/>
          <w:bCs/>
          <w:szCs w:val="26"/>
        </w:rPr>
        <w:t xml:space="preserve">line nivolumab is the most common PBS treatment for RCC. </w:t>
      </w:r>
      <w:r>
        <w:rPr>
          <w:rFonts w:eastAsiaTheme="majorEastAsia" w:cstheme="majorBidi"/>
          <w:bCs/>
          <w:szCs w:val="26"/>
        </w:rPr>
        <w:t>In 2021</w:t>
      </w:r>
      <w:r w:rsidRPr="004401DC">
        <w:rPr>
          <w:rFonts w:eastAsiaTheme="majorEastAsia" w:cstheme="majorBidi"/>
          <w:bCs/>
          <w:szCs w:val="26"/>
        </w:rPr>
        <w:t xml:space="preserve"> Q</w:t>
      </w:r>
      <w:r>
        <w:rPr>
          <w:rFonts w:eastAsiaTheme="majorEastAsia" w:cstheme="majorBidi"/>
          <w:bCs/>
          <w:szCs w:val="26"/>
        </w:rPr>
        <w:t>2</w:t>
      </w:r>
      <w:r w:rsidRPr="004401DC">
        <w:rPr>
          <w:rFonts w:eastAsiaTheme="majorEastAsia" w:cstheme="majorBidi"/>
          <w:bCs/>
          <w:szCs w:val="26"/>
        </w:rPr>
        <w:t xml:space="preserve"> there </w:t>
      </w:r>
      <w:r>
        <w:rPr>
          <w:rFonts w:eastAsiaTheme="majorEastAsia" w:cstheme="majorBidi"/>
          <w:bCs/>
          <w:szCs w:val="26"/>
        </w:rPr>
        <w:t>were</w:t>
      </w:r>
      <w:r w:rsidRPr="004401DC">
        <w:rPr>
          <w:rFonts w:eastAsiaTheme="majorEastAsia" w:cstheme="majorBidi"/>
          <w:bCs/>
          <w:szCs w:val="26"/>
        </w:rPr>
        <w:t xml:space="preserve"> 1,</w:t>
      </w:r>
      <w:r>
        <w:rPr>
          <w:rFonts w:eastAsiaTheme="majorEastAsia" w:cstheme="majorBidi"/>
          <w:bCs/>
          <w:szCs w:val="26"/>
        </w:rPr>
        <w:t>579</w:t>
      </w:r>
      <w:r w:rsidRPr="004401DC">
        <w:rPr>
          <w:rFonts w:eastAsiaTheme="majorEastAsia" w:cstheme="majorBidi"/>
          <w:bCs/>
          <w:szCs w:val="26"/>
        </w:rPr>
        <w:t xml:space="preserve"> patients receiving PBS treatment for RCC, of these 4</w:t>
      </w:r>
      <w:r>
        <w:rPr>
          <w:rFonts w:eastAsiaTheme="majorEastAsia" w:cstheme="majorBidi"/>
          <w:bCs/>
          <w:szCs w:val="26"/>
        </w:rPr>
        <w:t>72</w:t>
      </w:r>
      <w:r w:rsidRPr="004401DC">
        <w:rPr>
          <w:rFonts w:eastAsiaTheme="majorEastAsia" w:cstheme="majorBidi"/>
          <w:bCs/>
          <w:szCs w:val="26"/>
        </w:rPr>
        <w:t xml:space="preserve"> </w:t>
      </w:r>
      <w:r>
        <w:rPr>
          <w:rFonts w:eastAsiaTheme="majorEastAsia" w:cstheme="majorBidi"/>
          <w:bCs/>
          <w:szCs w:val="26"/>
        </w:rPr>
        <w:t>received second-</w:t>
      </w:r>
      <w:r w:rsidRPr="004401DC">
        <w:rPr>
          <w:rFonts w:eastAsiaTheme="majorEastAsia" w:cstheme="majorBidi"/>
          <w:bCs/>
          <w:szCs w:val="26"/>
        </w:rPr>
        <w:t>line nivolumab.</w:t>
      </w:r>
      <w:r>
        <w:rPr>
          <w:rFonts w:eastAsiaTheme="majorEastAsia" w:cstheme="majorBidi"/>
          <w:bCs/>
          <w:szCs w:val="26"/>
        </w:rPr>
        <w:t xml:space="preserve"> The second most common treatment is first-line nivolumab, with 312 patients being treated in 2021 Q2.</w:t>
      </w:r>
    </w:p>
    <w:p w:rsidR="006A47F8" w:rsidRPr="004401DC" w:rsidRDefault="006A47F8" w:rsidP="006A47F8">
      <w:pPr>
        <w:pStyle w:val="NoSpacing"/>
        <w:rPr>
          <w:rFonts w:eastAsiaTheme="majorEastAsia" w:cstheme="majorBidi"/>
          <w:bCs/>
          <w:szCs w:val="26"/>
        </w:rPr>
      </w:pPr>
    </w:p>
    <w:p w:rsidR="006A47F8" w:rsidRDefault="006A47F8" w:rsidP="006A47F8">
      <w:pPr>
        <w:pStyle w:val="NoSpacing"/>
        <w:rPr>
          <w:rFonts w:eastAsiaTheme="majorEastAsia" w:cstheme="majorBidi"/>
          <w:bCs/>
          <w:szCs w:val="26"/>
        </w:rPr>
      </w:pPr>
      <w:r>
        <w:rPr>
          <w:rFonts w:eastAsiaTheme="majorEastAsia" w:cstheme="majorBidi"/>
          <w:bCs/>
          <w:szCs w:val="26"/>
        </w:rPr>
        <w:t>For ipilimumab, i</w:t>
      </w:r>
      <w:r w:rsidRPr="004401DC">
        <w:rPr>
          <w:rFonts w:eastAsiaTheme="majorEastAsia" w:cstheme="majorBidi"/>
          <w:bCs/>
          <w:szCs w:val="26"/>
        </w:rPr>
        <w:t>n both Year</w:t>
      </w:r>
      <w:r>
        <w:rPr>
          <w:rFonts w:eastAsiaTheme="majorEastAsia" w:cstheme="majorBidi"/>
          <w:bCs/>
          <w:szCs w:val="26"/>
        </w:rPr>
        <w:t>s</w:t>
      </w:r>
      <w:r w:rsidRPr="004401DC">
        <w:rPr>
          <w:rFonts w:eastAsiaTheme="majorEastAsia" w:cstheme="majorBidi"/>
          <w:bCs/>
          <w:szCs w:val="26"/>
        </w:rPr>
        <w:t xml:space="preserve"> 1 and 2</w:t>
      </w:r>
      <w:r>
        <w:rPr>
          <w:rFonts w:eastAsiaTheme="majorEastAsia" w:cstheme="majorBidi"/>
          <w:bCs/>
          <w:szCs w:val="26"/>
        </w:rPr>
        <w:t xml:space="preserve"> after listing there were</w:t>
      </w:r>
      <w:r w:rsidRPr="004401DC">
        <w:rPr>
          <w:rFonts w:eastAsiaTheme="majorEastAsia" w:cstheme="majorBidi"/>
          <w:bCs/>
          <w:szCs w:val="26"/>
        </w:rPr>
        <w:t xml:space="preserve"> </w:t>
      </w:r>
      <w:r>
        <w:rPr>
          <w:rFonts w:eastAsiaTheme="majorEastAsia" w:cstheme="majorBidi"/>
          <w:bCs/>
          <w:szCs w:val="26"/>
        </w:rPr>
        <w:t>slightly m</w:t>
      </w:r>
      <w:r w:rsidRPr="004401DC">
        <w:rPr>
          <w:rFonts w:eastAsiaTheme="majorEastAsia" w:cstheme="majorBidi"/>
          <w:bCs/>
          <w:szCs w:val="26"/>
        </w:rPr>
        <w:t xml:space="preserve">ore patients than predicted. However there were </w:t>
      </w:r>
      <w:r>
        <w:rPr>
          <w:rFonts w:eastAsiaTheme="majorEastAsia" w:cstheme="majorBidi"/>
          <w:bCs/>
          <w:szCs w:val="26"/>
        </w:rPr>
        <w:t xml:space="preserve">slightly </w:t>
      </w:r>
      <w:r w:rsidRPr="004401DC">
        <w:rPr>
          <w:rFonts w:eastAsiaTheme="majorEastAsia" w:cstheme="majorBidi"/>
          <w:bCs/>
          <w:szCs w:val="26"/>
        </w:rPr>
        <w:t xml:space="preserve">less prescriptions than predicted because the prescriptions per patient were </w:t>
      </w:r>
      <w:r>
        <w:rPr>
          <w:rFonts w:eastAsiaTheme="majorEastAsia" w:cstheme="majorBidi"/>
          <w:bCs/>
          <w:szCs w:val="26"/>
        </w:rPr>
        <w:t xml:space="preserve">less </w:t>
      </w:r>
      <w:r w:rsidRPr="004401DC">
        <w:rPr>
          <w:rFonts w:eastAsiaTheme="majorEastAsia" w:cstheme="majorBidi"/>
          <w:bCs/>
          <w:szCs w:val="26"/>
        </w:rPr>
        <w:t>tha</w:t>
      </w:r>
      <w:r>
        <w:rPr>
          <w:rFonts w:eastAsiaTheme="majorEastAsia" w:cstheme="majorBidi"/>
          <w:bCs/>
          <w:szCs w:val="26"/>
        </w:rPr>
        <w:t>n</w:t>
      </w:r>
      <w:r w:rsidRPr="004401DC">
        <w:rPr>
          <w:rFonts w:eastAsiaTheme="majorEastAsia" w:cstheme="majorBidi"/>
          <w:bCs/>
          <w:szCs w:val="26"/>
        </w:rPr>
        <w:t xml:space="preserve"> predicted.</w:t>
      </w:r>
      <w:r>
        <w:rPr>
          <w:rFonts w:eastAsiaTheme="majorEastAsia" w:cstheme="majorBidi"/>
          <w:bCs/>
          <w:szCs w:val="26"/>
        </w:rPr>
        <w:t xml:space="preserve"> This can be explained by the estimates assuming that all patients will complete the induction phase (i.e. 4 prescriptions). Figure 9 shows that 38% of patients received less than the full course of 4 ipilimumab scripts.</w:t>
      </w:r>
    </w:p>
    <w:p w:rsidR="006A47F8" w:rsidRDefault="006A47F8" w:rsidP="006A47F8">
      <w:pPr>
        <w:pStyle w:val="NoSpacing"/>
        <w:rPr>
          <w:rFonts w:eastAsiaTheme="majorEastAsia" w:cstheme="majorBidi"/>
          <w:bCs/>
          <w:szCs w:val="26"/>
        </w:rPr>
      </w:pPr>
    </w:p>
    <w:p w:rsidR="006A47F8" w:rsidRPr="00712D6D" w:rsidRDefault="006A47F8" w:rsidP="006A47F8">
      <w:pPr>
        <w:pStyle w:val="NoSpacing"/>
        <w:rPr>
          <w:rFonts w:eastAsiaTheme="majorEastAsia" w:cstheme="majorBidi"/>
          <w:bCs/>
          <w:szCs w:val="26"/>
        </w:rPr>
      </w:pPr>
      <w:r w:rsidRPr="00712D6D">
        <w:rPr>
          <w:rFonts w:eastAsiaTheme="majorEastAsia" w:cstheme="majorBidi"/>
          <w:bCs/>
          <w:szCs w:val="26"/>
        </w:rPr>
        <w:t>For nivolumab, there were 32% and 67% more patients tha</w:t>
      </w:r>
      <w:r w:rsidR="00EF5634">
        <w:rPr>
          <w:rFonts w:eastAsiaTheme="majorEastAsia" w:cstheme="majorBidi"/>
          <w:bCs/>
          <w:szCs w:val="26"/>
        </w:rPr>
        <w:t>n</w:t>
      </w:r>
      <w:r w:rsidRPr="00712D6D">
        <w:rPr>
          <w:rFonts w:eastAsiaTheme="majorEastAsia" w:cstheme="majorBidi"/>
          <w:bCs/>
          <w:szCs w:val="26"/>
        </w:rPr>
        <w:t xml:space="preserve"> expected in Years 1 and 2 respectively. In Year 1 there were more nivolumab patients (442) than ipilimumab patients (395). This can be explained by the results of the drug initiation sequence analysis (Table 4) which shows that over the period from the listing of first-line nivolumab (1 March 2019) to the end of June 2021 there were 91 patients that were supplied only first-line nivolumab (maintenance phase) prescriptions. This pattern of use was outside the PBS restrictions. Some of these may have been grandfathering patients who failed to be allocated the specific PBS item code for such patients. In Year 2 an additional factor that could explain the more than expected number of patients was the presence of continuing patients from Year 1. These had not been factored into the estimates.</w:t>
      </w:r>
    </w:p>
    <w:p w:rsidR="006A47F8" w:rsidRPr="00712D6D" w:rsidRDefault="006A47F8" w:rsidP="006A47F8">
      <w:pPr>
        <w:pStyle w:val="NoSpacing"/>
        <w:rPr>
          <w:rFonts w:eastAsiaTheme="majorEastAsia" w:cstheme="majorBidi"/>
          <w:bCs/>
          <w:szCs w:val="26"/>
        </w:rPr>
      </w:pPr>
    </w:p>
    <w:p w:rsidR="006A47F8" w:rsidRPr="0064353A" w:rsidRDefault="006A47F8" w:rsidP="006A47F8">
      <w:pPr>
        <w:pStyle w:val="NoSpacing"/>
        <w:rPr>
          <w:rFonts w:eastAsiaTheme="majorEastAsia" w:cstheme="majorBidi"/>
          <w:bCs/>
          <w:szCs w:val="26"/>
        </w:rPr>
      </w:pPr>
      <w:r w:rsidRPr="00712D6D">
        <w:rPr>
          <w:rFonts w:eastAsiaTheme="majorEastAsia" w:cstheme="majorBidi"/>
          <w:bCs/>
          <w:szCs w:val="26"/>
        </w:rPr>
        <w:t>For nivolumab, there were 75% and 76% less scripts per patient tha</w:t>
      </w:r>
      <w:r w:rsidR="00EF5634">
        <w:rPr>
          <w:rFonts w:eastAsiaTheme="majorEastAsia" w:cstheme="majorBidi"/>
          <w:bCs/>
          <w:szCs w:val="26"/>
        </w:rPr>
        <w:t>n</w:t>
      </w:r>
      <w:r w:rsidRPr="00712D6D">
        <w:rPr>
          <w:rFonts w:eastAsiaTheme="majorEastAsia" w:cstheme="majorBidi"/>
          <w:bCs/>
          <w:szCs w:val="26"/>
        </w:rPr>
        <w:t xml:space="preserve"> expected in Years 1 and 2 respectively. This is mainly due to the overestimation of the average length of</w:t>
      </w:r>
      <w:r>
        <w:rPr>
          <w:rFonts w:eastAsiaTheme="majorEastAsia" w:cstheme="majorBidi"/>
          <w:bCs/>
          <w:szCs w:val="26"/>
        </w:rPr>
        <w:t xml:space="preserve"> treatment in the submissions and final agreed estimates. A second factor is the shift from 2 to 4 weekly dosing after the 1 September 2019 restriction change. A third factor was the incorrect use of PBS item codes where some patients who initiate first-line nivolumab + ipilimumab treatment used second-line nivolumab treatment items for their first-line maintenance treatment (see Table 4).</w:t>
      </w:r>
    </w:p>
    <w:p w:rsidR="001310AE" w:rsidRDefault="00C050B6" w:rsidP="00F73113">
      <w:pPr>
        <w:pStyle w:val="Heading1"/>
      </w:pPr>
      <w:r w:rsidRPr="00C050B6">
        <w:t xml:space="preserve">Actions undertaken by the </w:t>
      </w:r>
      <w:r w:rsidR="00801E74">
        <w:t xml:space="preserve">DUSC </w:t>
      </w:r>
      <w:r w:rsidRPr="00C050B6">
        <w:t>Secretariat</w:t>
      </w:r>
    </w:p>
    <w:p w:rsidR="006A47F8" w:rsidRDefault="006A47F8" w:rsidP="006A47F8">
      <w:pPr>
        <w:pStyle w:val="Heading1"/>
        <w:spacing w:before="0" w:after="0"/>
        <w:rPr>
          <w:rFonts w:eastAsiaTheme="minorEastAsia" w:cstheme="minorBidi"/>
          <w:b w:val="0"/>
          <w:bCs w:val="0"/>
          <w:sz w:val="24"/>
          <w:szCs w:val="24"/>
        </w:rPr>
      </w:pPr>
      <w:r w:rsidRPr="001B0F81">
        <w:rPr>
          <w:rFonts w:eastAsiaTheme="minorEastAsia" w:cstheme="minorBidi"/>
          <w:b w:val="0"/>
          <w:bCs w:val="0"/>
          <w:sz w:val="24"/>
          <w:szCs w:val="24"/>
        </w:rPr>
        <w:t xml:space="preserve">The report was provided to </w:t>
      </w:r>
      <w:r>
        <w:rPr>
          <w:rFonts w:eastAsiaTheme="minorEastAsia" w:cstheme="minorBidi"/>
          <w:b w:val="0"/>
          <w:bCs w:val="0"/>
          <w:sz w:val="24"/>
          <w:szCs w:val="24"/>
        </w:rPr>
        <w:t>the sponsor of nivolumab and ipilimumab</w:t>
      </w:r>
      <w:r w:rsidRPr="001B0F81">
        <w:rPr>
          <w:rFonts w:eastAsiaTheme="minorEastAsia" w:cstheme="minorBidi"/>
          <w:b w:val="0"/>
          <w:bCs w:val="0"/>
          <w:sz w:val="24"/>
          <w:szCs w:val="24"/>
        </w:rPr>
        <w:t xml:space="preserve">. </w:t>
      </w:r>
    </w:p>
    <w:p w:rsidR="006A47F8" w:rsidRDefault="006A47F8" w:rsidP="006A47F8">
      <w:pPr>
        <w:pStyle w:val="Heading1"/>
      </w:pPr>
      <w:r>
        <w:br w:type="page"/>
      </w:r>
      <w:r>
        <w:lastRenderedPageBreak/>
        <w:t>DUSC consideration</w:t>
      </w:r>
    </w:p>
    <w:p w:rsidR="006A47F8" w:rsidRPr="00E52489" w:rsidRDefault="006A47F8" w:rsidP="006A47F8">
      <w:pPr>
        <w:rPr>
          <w:i/>
        </w:rPr>
      </w:pPr>
      <w:r w:rsidRPr="00E52489">
        <w:rPr>
          <w:i/>
        </w:rPr>
        <w:t>DUSC considered that:</w:t>
      </w:r>
    </w:p>
    <w:p w:rsidR="006A47F8" w:rsidRPr="00E52489" w:rsidRDefault="006A47F8" w:rsidP="006A47F8">
      <w:pPr>
        <w:numPr>
          <w:ilvl w:val="0"/>
          <w:numId w:val="1"/>
        </w:numPr>
        <w:spacing w:after="0"/>
        <w:rPr>
          <w:rFonts w:eastAsia="SimSun"/>
          <w:bCs/>
          <w:i/>
        </w:rPr>
      </w:pPr>
      <w:r w:rsidRPr="00E52489">
        <w:rPr>
          <w:rFonts w:eastAsia="SimSun"/>
          <w:bCs/>
          <w:i/>
        </w:rPr>
        <w:t>The various restriction changes made on 1 September 2019 did not materially impact the utilisation of nivolumab + ipilimumab.</w:t>
      </w:r>
    </w:p>
    <w:p w:rsidR="006A47F8" w:rsidRPr="00E52489" w:rsidRDefault="006A47F8" w:rsidP="006A47F8">
      <w:pPr>
        <w:numPr>
          <w:ilvl w:val="0"/>
          <w:numId w:val="1"/>
        </w:numPr>
        <w:spacing w:after="0"/>
        <w:rPr>
          <w:rFonts w:eastAsia="SimSun"/>
          <w:bCs/>
          <w:i/>
        </w:rPr>
      </w:pPr>
      <w:r w:rsidRPr="00E52489">
        <w:rPr>
          <w:rFonts w:eastAsia="SimSun"/>
          <w:bCs/>
          <w:i/>
        </w:rPr>
        <w:t>The predicted number of patients in the final agreed estimates turned out to be reasonably accurate.</w:t>
      </w:r>
    </w:p>
    <w:p w:rsidR="006A47F8" w:rsidRDefault="006A47F8" w:rsidP="006A47F8">
      <w:pPr>
        <w:numPr>
          <w:ilvl w:val="0"/>
          <w:numId w:val="1"/>
        </w:numPr>
        <w:spacing w:after="0"/>
        <w:rPr>
          <w:rFonts w:eastAsia="SimSun"/>
          <w:bCs/>
          <w:i/>
        </w:rPr>
      </w:pPr>
      <w:r w:rsidRPr="00E52489">
        <w:rPr>
          <w:rFonts w:eastAsia="SimSun"/>
          <w:bCs/>
          <w:i/>
        </w:rPr>
        <w:t>Actual prescription numbers for nivolumab were less than predicted. This c</w:t>
      </w:r>
      <w:r>
        <w:rPr>
          <w:rFonts w:eastAsia="SimSun"/>
          <w:bCs/>
          <w:i/>
        </w:rPr>
        <w:t>ould</w:t>
      </w:r>
      <w:r w:rsidRPr="00E52489">
        <w:rPr>
          <w:rFonts w:eastAsia="SimSun"/>
          <w:bCs/>
          <w:i/>
        </w:rPr>
        <w:t xml:space="preserve"> be explained by a number of factors including:</w:t>
      </w:r>
      <w:r w:rsidRPr="00E52489">
        <w:rPr>
          <w:rFonts w:eastAsia="SimSun"/>
          <w:bCs/>
          <w:i/>
        </w:rPr>
        <w:br/>
        <w:t>- A move from fortnightly to monthly dosing (and prescriptions) after th</w:t>
      </w:r>
      <w:r>
        <w:rPr>
          <w:rFonts w:eastAsia="SimSun"/>
          <w:bCs/>
          <w:i/>
        </w:rPr>
        <w:t>is</w:t>
      </w:r>
      <w:r w:rsidRPr="00E52489">
        <w:rPr>
          <w:rFonts w:eastAsia="SimSun"/>
          <w:bCs/>
          <w:i/>
        </w:rPr>
        <w:t xml:space="preserve"> was allowed by a restriction change on 1 September 2019.</w:t>
      </w:r>
      <w:r w:rsidRPr="00E52489">
        <w:rPr>
          <w:rFonts w:eastAsia="SimSun"/>
          <w:bCs/>
          <w:i/>
        </w:rPr>
        <w:br/>
        <w:t xml:space="preserve">- Inaccurate application of PBS item numbers. Further analysis revealed that there was some use of </w:t>
      </w:r>
      <w:r>
        <w:rPr>
          <w:rFonts w:eastAsia="SimSun"/>
          <w:bCs/>
          <w:i/>
        </w:rPr>
        <w:t>second-</w:t>
      </w:r>
      <w:r w:rsidRPr="00E52489">
        <w:rPr>
          <w:rFonts w:eastAsia="SimSun"/>
          <w:bCs/>
          <w:i/>
        </w:rPr>
        <w:t xml:space="preserve"> line nivolumab treatment items for first-line maintenance treatment and these prescriptions were not counted in the actuals of the predicted versus actual comparison for first-line nivolumab.</w:t>
      </w:r>
      <w:r w:rsidRPr="00E52489">
        <w:rPr>
          <w:rFonts w:eastAsia="SimSun"/>
          <w:bCs/>
          <w:i/>
        </w:rPr>
        <w:br/>
        <w:t xml:space="preserve">- Surviving population not yet mature. </w:t>
      </w:r>
    </w:p>
    <w:p w:rsidR="006A47F8" w:rsidRPr="00E52489" w:rsidRDefault="006A47F8" w:rsidP="006A47F8">
      <w:pPr>
        <w:numPr>
          <w:ilvl w:val="0"/>
          <w:numId w:val="1"/>
        </w:numPr>
        <w:spacing w:after="0"/>
        <w:rPr>
          <w:rFonts w:eastAsia="SimSun"/>
          <w:bCs/>
          <w:i/>
        </w:rPr>
      </w:pPr>
      <w:r>
        <w:rPr>
          <w:rFonts w:eastAsia="SimSun"/>
          <w:bCs/>
          <w:i/>
        </w:rPr>
        <w:t>The report should be modified to not say that length of treatment was overestimated.</w:t>
      </w:r>
    </w:p>
    <w:p w:rsidR="006A47F8" w:rsidRDefault="006A47F8" w:rsidP="006A47F8"/>
    <w:p w:rsidR="006A47F8" w:rsidRPr="004E522E" w:rsidRDefault="006A47F8" w:rsidP="006A47F8">
      <w:pPr>
        <w:rPr>
          <w:i/>
        </w:rPr>
      </w:pPr>
      <w:r w:rsidRPr="004E522E">
        <w:rPr>
          <w:i/>
        </w:rPr>
        <w:t xml:space="preserve">DUSC noted the actual prescriptions per patient in Years 1 and 2 after listing are often less than that estimated in submissions and final agreed estimates. This may indicate a need for more guidance on </w:t>
      </w:r>
      <w:r>
        <w:rPr>
          <w:i/>
        </w:rPr>
        <w:t xml:space="preserve">the method(s) of translating from estimated patients treated to estimated prescription utilisation </w:t>
      </w:r>
      <w:r w:rsidRPr="004E522E">
        <w:rPr>
          <w:i/>
        </w:rPr>
        <w:t>in the PBAC Guidelines and the Utilisation and Cost Model Workbook for PBAC Submissions User Manual.</w:t>
      </w:r>
    </w:p>
    <w:p w:rsidR="006A47F8" w:rsidRDefault="006A47F8" w:rsidP="006A47F8">
      <w:pPr>
        <w:pStyle w:val="Heading1"/>
      </w:pPr>
      <w:r>
        <w:t>DUSC actions</w:t>
      </w:r>
    </w:p>
    <w:p w:rsidR="006A47F8" w:rsidRPr="00D66D77" w:rsidRDefault="006A47F8" w:rsidP="006A47F8">
      <w:pPr>
        <w:rPr>
          <w:i/>
        </w:rPr>
      </w:pPr>
      <w:r w:rsidRPr="00D66D77">
        <w:rPr>
          <w:i/>
        </w:rPr>
        <w:t xml:space="preserve">DUSC requested that the report be provided to the PBAC for consideration. </w:t>
      </w:r>
    </w:p>
    <w:p w:rsidR="006A47F8" w:rsidRDefault="006A47F8" w:rsidP="006A47F8">
      <w:pPr>
        <w:pStyle w:val="Heading1"/>
      </w:pPr>
      <w:r w:rsidRPr="0092516A">
        <w:t>Context for analysis</w:t>
      </w:r>
    </w:p>
    <w:p w:rsidR="006A47F8" w:rsidRDefault="006A47F8" w:rsidP="006A47F8">
      <w:r>
        <w:t>The DUSC is a Sub Committee of the Pharmaceutical Benefits Advisory Committee (PBAC). The DUSC assesses estimates on projected usage and financial cost of medicines.</w:t>
      </w:r>
    </w:p>
    <w:p w:rsidR="006A47F8" w:rsidRDefault="006A47F8" w:rsidP="006A47F8">
      <w:r>
        <w:t xml:space="preserve">The DUSC also analyses data on actual use of medicines, including the utilisation of PBS listed medicines, and provides advice to the PBAC on these matters. This may include outlining how the current utilisation of PBS medicines compares with the use as recommended by the PBAC. </w:t>
      </w:r>
    </w:p>
    <w:p w:rsidR="006A47F8" w:rsidRDefault="006A47F8" w:rsidP="006A47F8">
      <w:r>
        <w:t>The DUSC operates in accordance with the quality use of medicines objective of the National Medicines Policy and considers that the DUSC utilisation analyses will assist consumers and health professionals to better understand the costs, benefits and risks of medicines.</w:t>
      </w:r>
    </w:p>
    <w:p w:rsidR="006A47F8" w:rsidRDefault="006A47F8" w:rsidP="006A47F8">
      <w:r>
        <w:lastRenderedPageBreak/>
        <w:t>The utilisation analysis report was provided to the pharmaceutical sponsors of each drug and comments on the report were provided to DUSC prior to its consideration of the analysis.</w:t>
      </w:r>
    </w:p>
    <w:p w:rsidR="006A47F8" w:rsidRDefault="006A47F8" w:rsidP="006A47F8">
      <w:pPr>
        <w:pStyle w:val="Heading1"/>
      </w:pPr>
      <w:r>
        <w:t>Sponsor</w:t>
      </w:r>
      <w:r w:rsidRPr="0092516A">
        <w:t>s</w:t>
      </w:r>
      <w:r>
        <w:t>’</w:t>
      </w:r>
      <w:r w:rsidRPr="0092516A">
        <w:t xml:space="preserve"> comments</w:t>
      </w:r>
    </w:p>
    <w:p w:rsidR="001055BF" w:rsidRDefault="001055BF" w:rsidP="006A47F8">
      <w:pPr>
        <w:rPr>
          <w:highlight w:val="yellow"/>
        </w:rPr>
      </w:pPr>
      <w:r w:rsidRPr="001055BF">
        <w:t>Bristol-Myers Squibb Australia Pty Ltd</w:t>
      </w:r>
      <w:r w:rsidR="00663DB0">
        <w:t xml:space="preserve">: </w:t>
      </w:r>
      <w:r w:rsidR="00663DB0" w:rsidRPr="00663DB0">
        <w:t>The sponsor has no comment</w:t>
      </w:r>
      <w:r w:rsidR="00663DB0">
        <w:t>.</w:t>
      </w:r>
    </w:p>
    <w:p w:rsidR="006A47F8" w:rsidRDefault="006A47F8" w:rsidP="006A47F8">
      <w:pPr>
        <w:pStyle w:val="Heading1"/>
      </w:pPr>
      <w:r w:rsidRPr="00A4020E">
        <w:t>Disclaimer</w:t>
      </w:r>
    </w:p>
    <w:p w:rsidR="006A47F8" w:rsidRDefault="006A47F8" w:rsidP="006A47F8">
      <w:r>
        <w:t>The information provided in this report does not constitute medical advice and is not intended to take the place of professional medical advice or care.  It is not intended to define what constitutes reasonable, appropriate or best care for any individual for any given health issue.  The information should not be used as a substitute for the judgement and skill of a medical practitioner.</w:t>
      </w:r>
    </w:p>
    <w:p w:rsidR="006A47F8" w:rsidRDefault="006A47F8" w:rsidP="006A47F8">
      <w:r>
        <w:t>The Department of Health (DoH) has made all reasonable efforts to ensure that information provided in this report is accurate. The information provided in this report was up-to-date when it was considered by the Drug Utilisation Sub-committee of the Pharmaceutical Benefits Advisory Committee.  The context for that information may have changed since publication.</w:t>
      </w:r>
    </w:p>
    <w:p w:rsidR="006A47F8" w:rsidRDefault="006A47F8" w:rsidP="006A47F8">
      <w:r>
        <w:t xml:space="preserve">To the extent provided by law, DoH makes no warranties or representations as to accuracy or completeness of information contained in this report. </w:t>
      </w:r>
    </w:p>
    <w:p w:rsidR="006A47F8" w:rsidRDefault="006A47F8" w:rsidP="006A47F8">
      <w:r>
        <w:t>To the fullest extent permitted by law, neither the DoH nor any DoH employee is liable for any liability, loss, claim, damage, expense, injury or personal injury (including death), whether direct or indirect (including consequential loss and loss of profits) and however incurred (including in tort), caused or contributed to by any person’s use or misuse of the information available from this report or contained on any third party website referred to in this report.</w:t>
      </w:r>
    </w:p>
    <w:p w:rsidR="006A47F8" w:rsidRPr="006A47F8" w:rsidRDefault="006A47F8" w:rsidP="006A47F8">
      <w:pPr>
        <w:spacing w:line="276" w:lineRule="auto"/>
        <w:rPr>
          <w:rFonts w:eastAsiaTheme="majorEastAsia" w:cstheme="majorBidi"/>
          <w:b/>
          <w:bCs/>
          <w:sz w:val="32"/>
          <w:szCs w:val="32"/>
        </w:rPr>
      </w:pPr>
    </w:p>
    <w:p w:rsidR="004B306F" w:rsidRDefault="004B306F" w:rsidP="00F73113">
      <w:pPr>
        <w:pStyle w:val="Heading1"/>
      </w:pPr>
      <w:r>
        <w:t>References</w:t>
      </w:r>
    </w:p>
    <w:p w:rsidR="00792948" w:rsidRPr="00792948" w:rsidRDefault="00792948" w:rsidP="00792948">
      <w:r>
        <w:t xml:space="preserve">Please use Vancouver style.  A citation style guide is available at </w:t>
      </w:r>
      <w:r w:rsidRPr="00792948">
        <w:t>http://jppr.shpa.org.au/lib/pdf/reference_citation_guide.pdf</w:t>
      </w:r>
      <w:r>
        <w:t>.</w:t>
      </w:r>
    </w:p>
    <w:p w:rsidR="002C6E0C" w:rsidRDefault="002C6E0C" w:rsidP="00F73113">
      <w:pPr>
        <w:pStyle w:val="Heading1"/>
      </w:pPr>
      <w:r>
        <w:t>Appendices</w:t>
      </w:r>
    </w:p>
    <w:p w:rsidR="005F0017" w:rsidRDefault="009A537C" w:rsidP="006A47F8">
      <w:pPr>
        <w:rPr>
          <w:b/>
          <w:sz w:val="28"/>
          <w:szCs w:val="28"/>
          <w:lang w:eastAsia="en-US"/>
        </w:rPr>
      </w:pPr>
      <w:r>
        <w:rPr>
          <w:b/>
          <w:sz w:val="28"/>
        </w:rPr>
        <w:t>Appendix A</w:t>
      </w:r>
    </w:p>
    <w:p w:rsidR="006A47F8" w:rsidRPr="006D7511" w:rsidRDefault="006A47F8" w:rsidP="006A47F8">
      <w:pPr>
        <w:spacing w:after="0"/>
        <w:rPr>
          <w:b/>
          <w:sz w:val="20"/>
        </w:rPr>
      </w:pPr>
      <w:r w:rsidRPr="006D7511">
        <w:rPr>
          <w:b/>
        </w:rPr>
        <w:lastRenderedPageBreak/>
        <w:t>Table A.1: PBS items that have an RCC restriction</w:t>
      </w:r>
      <w:r>
        <w:rPr>
          <w:b/>
        </w:rPr>
        <w:br/>
      </w:r>
      <w:r w:rsidRPr="006D7511">
        <w:rPr>
          <w:sz w:val="20"/>
        </w:rPr>
        <w:t xml:space="preserve">Note: All items are RCC </w:t>
      </w:r>
      <w:r>
        <w:rPr>
          <w:sz w:val="20"/>
        </w:rPr>
        <w:t xml:space="preserve">indication </w:t>
      </w:r>
      <w:r w:rsidRPr="006D7511">
        <w:rPr>
          <w:sz w:val="20"/>
        </w:rPr>
        <w:t>specific except those highlighted in</w:t>
      </w:r>
      <w:r w:rsidRPr="006262C3">
        <w:rPr>
          <w:b/>
          <w:sz w:val="20"/>
        </w:rPr>
        <w:t xml:space="preserve"> bold</w:t>
      </w:r>
      <w:r>
        <w:rPr>
          <w:b/>
          <w:sz w:val="20"/>
        </w:rPr>
        <w:t xml:space="preserve"> italicised text</w:t>
      </w:r>
      <w:r>
        <w:rPr>
          <w:sz w:val="20"/>
        </w:rPr>
        <w:t xml:space="preserve">. </w:t>
      </w:r>
      <w:r w:rsidRPr="006D7511">
        <w:rPr>
          <w:sz w:val="20"/>
        </w:rPr>
        <w:t>For these items prescriptions were classified for RCC or not, based on the authority approval database restriction code or the Streamlined Authority code.</w:t>
      </w:r>
    </w:p>
    <w:tbl>
      <w:tblPr>
        <w:tblStyle w:val="TableGrid"/>
        <w:tblW w:w="9278" w:type="dxa"/>
        <w:tblLook w:val="04A0" w:firstRow="1" w:lastRow="0" w:firstColumn="1" w:lastColumn="0" w:noHBand="0" w:noVBand="1"/>
        <w:tblCaption w:val="Table A.1: PBS items that have an RCC restriction"/>
      </w:tblPr>
      <w:tblGrid>
        <w:gridCol w:w="1455"/>
        <w:gridCol w:w="907"/>
        <w:gridCol w:w="1984"/>
        <w:gridCol w:w="1020"/>
        <w:gridCol w:w="907"/>
        <w:gridCol w:w="3005"/>
      </w:tblGrid>
      <w:tr w:rsidR="006A47F8" w:rsidRPr="00C1266D" w:rsidTr="00165778">
        <w:trPr>
          <w:trHeight w:val="300"/>
        </w:trPr>
        <w:tc>
          <w:tcPr>
            <w:tcW w:w="1455" w:type="dxa"/>
            <w:shd w:val="clear" w:color="auto" w:fill="BFBFBF" w:themeFill="background1" w:themeFillShade="BF"/>
            <w:noWrap/>
            <w:hideMark/>
          </w:tcPr>
          <w:p w:rsidR="006A47F8" w:rsidRPr="00C1266D" w:rsidRDefault="006A47F8" w:rsidP="00165778">
            <w:pPr>
              <w:rPr>
                <w:rFonts w:cstheme="minorHAnsi"/>
                <w:b/>
                <w:bCs/>
                <w:sz w:val="20"/>
                <w:szCs w:val="20"/>
              </w:rPr>
            </w:pPr>
            <w:r w:rsidRPr="00C1266D">
              <w:rPr>
                <w:rFonts w:cstheme="minorHAnsi"/>
                <w:b/>
                <w:bCs/>
                <w:sz w:val="20"/>
                <w:szCs w:val="20"/>
              </w:rPr>
              <w:t>Drug</w:t>
            </w:r>
          </w:p>
        </w:tc>
        <w:tc>
          <w:tcPr>
            <w:tcW w:w="907" w:type="dxa"/>
            <w:shd w:val="clear" w:color="auto" w:fill="BFBFBF" w:themeFill="background1" w:themeFillShade="BF"/>
            <w:noWrap/>
            <w:hideMark/>
          </w:tcPr>
          <w:p w:rsidR="006A47F8" w:rsidRPr="00C1266D" w:rsidRDefault="006A47F8" w:rsidP="00165778">
            <w:pPr>
              <w:rPr>
                <w:rFonts w:cstheme="minorHAnsi"/>
                <w:b/>
                <w:bCs/>
                <w:sz w:val="20"/>
                <w:szCs w:val="20"/>
              </w:rPr>
            </w:pPr>
            <w:r>
              <w:rPr>
                <w:rFonts w:cstheme="minorHAnsi"/>
                <w:b/>
                <w:bCs/>
                <w:sz w:val="20"/>
                <w:szCs w:val="20"/>
              </w:rPr>
              <w:t>L</w:t>
            </w:r>
            <w:r w:rsidRPr="00C1266D">
              <w:rPr>
                <w:rFonts w:cstheme="minorHAnsi"/>
                <w:b/>
                <w:bCs/>
                <w:sz w:val="20"/>
                <w:szCs w:val="20"/>
              </w:rPr>
              <w:t>ine</w:t>
            </w:r>
            <w:r>
              <w:rPr>
                <w:rFonts w:cstheme="minorHAnsi"/>
                <w:b/>
                <w:bCs/>
                <w:sz w:val="20"/>
                <w:szCs w:val="20"/>
              </w:rPr>
              <w:t xml:space="preserve"> of therapy</w:t>
            </w:r>
          </w:p>
        </w:tc>
        <w:tc>
          <w:tcPr>
            <w:tcW w:w="1984" w:type="dxa"/>
            <w:shd w:val="clear" w:color="auto" w:fill="BFBFBF" w:themeFill="background1" w:themeFillShade="BF"/>
            <w:noWrap/>
            <w:hideMark/>
          </w:tcPr>
          <w:p w:rsidR="006A47F8" w:rsidRPr="00C1266D" w:rsidRDefault="006A47F8" w:rsidP="00165778">
            <w:pPr>
              <w:rPr>
                <w:rFonts w:cstheme="minorHAnsi"/>
                <w:b/>
                <w:bCs/>
                <w:sz w:val="20"/>
                <w:szCs w:val="20"/>
              </w:rPr>
            </w:pPr>
            <w:r w:rsidRPr="00C1266D">
              <w:rPr>
                <w:rFonts w:cstheme="minorHAnsi"/>
                <w:b/>
                <w:bCs/>
                <w:sz w:val="20"/>
                <w:szCs w:val="20"/>
              </w:rPr>
              <w:t>Phase*</w:t>
            </w:r>
          </w:p>
        </w:tc>
        <w:tc>
          <w:tcPr>
            <w:tcW w:w="1020" w:type="dxa"/>
            <w:shd w:val="clear" w:color="auto" w:fill="BFBFBF" w:themeFill="background1" w:themeFillShade="BF"/>
            <w:noWrap/>
            <w:hideMark/>
          </w:tcPr>
          <w:p w:rsidR="006A47F8" w:rsidRPr="00C1266D" w:rsidRDefault="006A47F8" w:rsidP="00165778">
            <w:pPr>
              <w:rPr>
                <w:rFonts w:cstheme="minorHAnsi"/>
                <w:b/>
                <w:bCs/>
                <w:sz w:val="20"/>
                <w:szCs w:val="20"/>
              </w:rPr>
            </w:pPr>
            <w:r>
              <w:rPr>
                <w:rFonts w:cstheme="minorHAnsi"/>
                <w:b/>
                <w:bCs/>
                <w:sz w:val="20"/>
                <w:szCs w:val="20"/>
              </w:rPr>
              <w:t xml:space="preserve">Item </w:t>
            </w:r>
            <w:r w:rsidRPr="00C1266D">
              <w:rPr>
                <w:rFonts w:cstheme="minorHAnsi"/>
                <w:b/>
                <w:bCs/>
                <w:sz w:val="20"/>
                <w:szCs w:val="20"/>
              </w:rPr>
              <w:t>code</w:t>
            </w:r>
          </w:p>
        </w:tc>
        <w:tc>
          <w:tcPr>
            <w:tcW w:w="907" w:type="dxa"/>
            <w:shd w:val="clear" w:color="auto" w:fill="BFBFBF" w:themeFill="background1" w:themeFillShade="BF"/>
            <w:noWrap/>
            <w:hideMark/>
          </w:tcPr>
          <w:p w:rsidR="006A47F8" w:rsidRPr="00C1266D" w:rsidRDefault="006A47F8" w:rsidP="00165778">
            <w:pPr>
              <w:rPr>
                <w:rFonts w:cstheme="minorHAnsi"/>
                <w:b/>
                <w:bCs/>
                <w:sz w:val="20"/>
                <w:szCs w:val="20"/>
              </w:rPr>
            </w:pPr>
            <w:r>
              <w:rPr>
                <w:rFonts w:cstheme="minorHAnsi"/>
                <w:b/>
                <w:bCs/>
                <w:sz w:val="20"/>
                <w:szCs w:val="20"/>
              </w:rPr>
              <w:t xml:space="preserve">Hospital </w:t>
            </w:r>
            <w:r w:rsidRPr="00C1266D">
              <w:rPr>
                <w:rFonts w:cstheme="minorHAnsi"/>
                <w:b/>
                <w:bCs/>
                <w:sz w:val="20"/>
                <w:szCs w:val="20"/>
              </w:rPr>
              <w:t>type*</w:t>
            </w:r>
          </w:p>
        </w:tc>
        <w:tc>
          <w:tcPr>
            <w:tcW w:w="3005" w:type="dxa"/>
            <w:shd w:val="clear" w:color="auto" w:fill="BFBFBF" w:themeFill="background1" w:themeFillShade="BF"/>
            <w:noWrap/>
            <w:hideMark/>
          </w:tcPr>
          <w:p w:rsidR="006A47F8" w:rsidRPr="00C1266D" w:rsidRDefault="006A47F8" w:rsidP="00165778">
            <w:pPr>
              <w:rPr>
                <w:rFonts w:cstheme="minorHAnsi"/>
                <w:b/>
                <w:bCs/>
                <w:sz w:val="20"/>
                <w:szCs w:val="20"/>
              </w:rPr>
            </w:pPr>
            <w:r>
              <w:rPr>
                <w:rFonts w:cstheme="minorHAnsi"/>
                <w:b/>
                <w:bCs/>
                <w:sz w:val="20"/>
                <w:szCs w:val="20"/>
              </w:rPr>
              <w:t>Form &amp; strength</w:t>
            </w:r>
          </w:p>
        </w:tc>
      </w:tr>
      <w:tr w:rsidR="006A47F8" w:rsidRPr="00C1266D" w:rsidTr="00165778">
        <w:trPr>
          <w:trHeight w:val="300"/>
        </w:trPr>
        <w:tc>
          <w:tcPr>
            <w:tcW w:w="1455" w:type="dxa"/>
            <w:noWrap/>
            <w:hideMark/>
          </w:tcPr>
          <w:p w:rsidR="006A47F8" w:rsidRPr="00C1266D" w:rsidRDefault="006A47F8" w:rsidP="00165778">
            <w:pPr>
              <w:rPr>
                <w:rFonts w:cstheme="minorHAnsi"/>
                <w:bCs/>
                <w:sz w:val="20"/>
                <w:szCs w:val="20"/>
              </w:rPr>
            </w:pPr>
            <w:r w:rsidRPr="00C1266D">
              <w:rPr>
                <w:rFonts w:cstheme="minorHAnsi"/>
                <w:bCs/>
                <w:sz w:val="20"/>
                <w:szCs w:val="20"/>
              </w:rPr>
              <w:t>AXITINIB</w:t>
            </w:r>
          </w:p>
        </w:tc>
        <w:tc>
          <w:tcPr>
            <w:tcW w:w="907" w:type="dxa"/>
            <w:noWrap/>
            <w:hideMark/>
          </w:tcPr>
          <w:p w:rsidR="006A47F8" w:rsidRPr="00C1266D" w:rsidRDefault="006A47F8" w:rsidP="00165778">
            <w:pPr>
              <w:rPr>
                <w:rFonts w:cstheme="minorHAnsi"/>
                <w:bCs/>
                <w:sz w:val="20"/>
                <w:szCs w:val="20"/>
              </w:rPr>
            </w:pPr>
            <w:r w:rsidRPr="00C1266D">
              <w:rPr>
                <w:rFonts w:cstheme="minorHAnsi"/>
                <w:bCs/>
                <w:sz w:val="20"/>
                <w:szCs w:val="20"/>
              </w:rPr>
              <w:t>2nd line</w:t>
            </w:r>
          </w:p>
        </w:tc>
        <w:tc>
          <w:tcPr>
            <w:tcW w:w="1984" w:type="dxa"/>
            <w:noWrap/>
          </w:tcPr>
          <w:p w:rsidR="006A47F8" w:rsidRPr="00C1266D" w:rsidRDefault="006A47F8" w:rsidP="00165778">
            <w:pPr>
              <w:rPr>
                <w:rFonts w:cstheme="minorHAnsi"/>
                <w:sz w:val="20"/>
                <w:szCs w:val="20"/>
              </w:rPr>
            </w:pP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10539Q</w:t>
            </w:r>
          </w:p>
        </w:tc>
        <w:tc>
          <w:tcPr>
            <w:tcW w:w="907" w:type="dxa"/>
            <w:noWrap/>
          </w:tcPr>
          <w:p w:rsidR="006A47F8" w:rsidRPr="00C1266D" w:rsidRDefault="006A47F8" w:rsidP="00165778">
            <w:pPr>
              <w:rPr>
                <w:rFonts w:cstheme="minorHAnsi"/>
                <w:sz w:val="20"/>
                <w:szCs w:val="20"/>
              </w:rPr>
            </w:pP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Tablet 1 mg</w:t>
            </w:r>
          </w:p>
        </w:tc>
      </w:tr>
      <w:tr w:rsidR="006A47F8" w:rsidRPr="00C1266D" w:rsidTr="00165778">
        <w:trPr>
          <w:trHeight w:val="300"/>
        </w:trPr>
        <w:tc>
          <w:tcPr>
            <w:tcW w:w="1455" w:type="dxa"/>
            <w:noWrap/>
            <w:hideMark/>
          </w:tcPr>
          <w:p w:rsidR="006A47F8" w:rsidRPr="00C1266D" w:rsidRDefault="006A47F8" w:rsidP="00165778">
            <w:pPr>
              <w:rPr>
                <w:rFonts w:cstheme="minorHAnsi"/>
                <w:sz w:val="20"/>
                <w:szCs w:val="20"/>
              </w:rPr>
            </w:pPr>
          </w:p>
        </w:tc>
        <w:tc>
          <w:tcPr>
            <w:tcW w:w="907" w:type="dxa"/>
            <w:noWrap/>
            <w:hideMark/>
          </w:tcPr>
          <w:p w:rsidR="006A47F8" w:rsidRPr="00C1266D" w:rsidRDefault="006A47F8" w:rsidP="00165778">
            <w:pPr>
              <w:rPr>
                <w:rFonts w:cstheme="minorHAnsi"/>
                <w:sz w:val="20"/>
                <w:szCs w:val="20"/>
              </w:rPr>
            </w:pPr>
          </w:p>
        </w:tc>
        <w:tc>
          <w:tcPr>
            <w:tcW w:w="1984" w:type="dxa"/>
            <w:noWrap/>
          </w:tcPr>
          <w:p w:rsidR="006A47F8" w:rsidRPr="00C1266D" w:rsidRDefault="006A47F8" w:rsidP="00165778">
            <w:pPr>
              <w:rPr>
                <w:rFonts w:cstheme="minorHAnsi"/>
                <w:sz w:val="20"/>
                <w:szCs w:val="20"/>
              </w:rPr>
            </w:pP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10540R</w:t>
            </w:r>
          </w:p>
        </w:tc>
        <w:tc>
          <w:tcPr>
            <w:tcW w:w="907" w:type="dxa"/>
            <w:noWrap/>
          </w:tcPr>
          <w:p w:rsidR="006A47F8" w:rsidRPr="00C1266D" w:rsidRDefault="006A47F8" w:rsidP="00165778">
            <w:pPr>
              <w:rPr>
                <w:rFonts w:cstheme="minorHAnsi"/>
                <w:sz w:val="20"/>
                <w:szCs w:val="20"/>
              </w:rPr>
            </w:pP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Tablet 5 mg</w:t>
            </w:r>
          </w:p>
        </w:tc>
      </w:tr>
      <w:tr w:rsidR="006A47F8" w:rsidRPr="00C1266D" w:rsidTr="00165778">
        <w:trPr>
          <w:trHeight w:val="300"/>
        </w:trPr>
        <w:tc>
          <w:tcPr>
            <w:tcW w:w="1455" w:type="dxa"/>
            <w:noWrap/>
            <w:hideMark/>
          </w:tcPr>
          <w:p w:rsidR="006A47F8" w:rsidRPr="00C1266D" w:rsidRDefault="006A47F8" w:rsidP="00165778">
            <w:pPr>
              <w:rPr>
                <w:rFonts w:cstheme="minorHAnsi"/>
                <w:sz w:val="20"/>
                <w:szCs w:val="20"/>
              </w:rPr>
            </w:pPr>
          </w:p>
        </w:tc>
        <w:tc>
          <w:tcPr>
            <w:tcW w:w="907" w:type="dxa"/>
            <w:noWrap/>
            <w:hideMark/>
          </w:tcPr>
          <w:p w:rsidR="006A47F8" w:rsidRPr="00C1266D" w:rsidRDefault="006A47F8" w:rsidP="00165778">
            <w:pPr>
              <w:rPr>
                <w:rFonts w:cstheme="minorHAnsi"/>
                <w:sz w:val="20"/>
                <w:szCs w:val="20"/>
              </w:rPr>
            </w:pPr>
          </w:p>
        </w:tc>
        <w:tc>
          <w:tcPr>
            <w:tcW w:w="1984" w:type="dxa"/>
            <w:noWrap/>
          </w:tcPr>
          <w:p w:rsidR="006A47F8" w:rsidRPr="00C1266D" w:rsidRDefault="006A47F8" w:rsidP="00165778">
            <w:pPr>
              <w:rPr>
                <w:rFonts w:cstheme="minorHAnsi"/>
                <w:sz w:val="20"/>
                <w:szCs w:val="20"/>
              </w:rPr>
            </w:pP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10556N</w:t>
            </w:r>
          </w:p>
        </w:tc>
        <w:tc>
          <w:tcPr>
            <w:tcW w:w="907" w:type="dxa"/>
            <w:noWrap/>
          </w:tcPr>
          <w:p w:rsidR="006A47F8" w:rsidRPr="00C1266D" w:rsidRDefault="006A47F8" w:rsidP="00165778">
            <w:pPr>
              <w:rPr>
                <w:rFonts w:cstheme="minorHAnsi"/>
                <w:sz w:val="20"/>
                <w:szCs w:val="20"/>
              </w:rPr>
            </w:pP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Tablet 5 mg</w:t>
            </w:r>
          </w:p>
        </w:tc>
      </w:tr>
      <w:tr w:rsidR="006A47F8" w:rsidRPr="00C1266D" w:rsidTr="00165778">
        <w:trPr>
          <w:trHeight w:val="300"/>
        </w:trPr>
        <w:tc>
          <w:tcPr>
            <w:tcW w:w="1455" w:type="dxa"/>
            <w:noWrap/>
            <w:hideMark/>
          </w:tcPr>
          <w:p w:rsidR="006A47F8" w:rsidRPr="00C1266D" w:rsidRDefault="006A47F8" w:rsidP="00165778">
            <w:pPr>
              <w:rPr>
                <w:rFonts w:cstheme="minorHAnsi"/>
                <w:sz w:val="20"/>
                <w:szCs w:val="20"/>
              </w:rPr>
            </w:pPr>
          </w:p>
        </w:tc>
        <w:tc>
          <w:tcPr>
            <w:tcW w:w="907" w:type="dxa"/>
            <w:noWrap/>
            <w:hideMark/>
          </w:tcPr>
          <w:p w:rsidR="006A47F8" w:rsidRPr="00C1266D" w:rsidRDefault="006A47F8" w:rsidP="00165778">
            <w:pPr>
              <w:rPr>
                <w:rFonts w:cstheme="minorHAnsi"/>
                <w:sz w:val="20"/>
                <w:szCs w:val="20"/>
              </w:rPr>
            </w:pPr>
          </w:p>
        </w:tc>
        <w:tc>
          <w:tcPr>
            <w:tcW w:w="1984" w:type="dxa"/>
            <w:noWrap/>
          </w:tcPr>
          <w:p w:rsidR="006A47F8" w:rsidRPr="00C1266D" w:rsidRDefault="006A47F8" w:rsidP="00165778">
            <w:pPr>
              <w:rPr>
                <w:rFonts w:cstheme="minorHAnsi"/>
                <w:sz w:val="20"/>
                <w:szCs w:val="20"/>
              </w:rPr>
            </w:pP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10572K</w:t>
            </w:r>
          </w:p>
        </w:tc>
        <w:tc>
          <w:tcPr>
            <w:tcW w:w="907" w:type="dxa"/>
            <w:noWrap/>
          </w:tcPr>
          <w:p w:rsidR="006A47F8" w:rsidRPr="00C1266D" w:rsidRDefault="006A47F8" w:rsidP="00165778">
            <w:pPr>
              <w:rPr>
                <w:rFonts w:cstheme="minorHAnsi"/>
                <w:sz w:val="20"/>
                <w:szCs w:val="20"/>
              </w:rPr>
            </w:pP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Tablet 1 mg</w:t>
            </w:r>
          </w:p>
        </w:tc>
      </w:tr>
      <w:tr w:rsidR="006A47F8" w:rsidRPr="00C1266D" w:rsidTr="00165778">
        <w:trPr>
          <w:trHeight w:val="300"/>
        </w:trPr>
        <w:tc>
          <w:tcPr>
            <w:tcW w:w="1455" w:type="dxa"/>
            <w:noWrap/>
            <w:hideMark/>
          </w:tcPr>
          <w:p w:rsidR="006A47F8" w:rsidRPr="00C1266D" w:rsidRDefault="006A47F8" w:rsidP="00165778">
            <w:pPr>
              <w:rPr>
                <w:rFonts w:cstheme="minorHAnsi"/>
                <w:bCs/>
                <w:sz w:val="20"/>
                <w:szCs w:val="20"/>
              </w:rPr>
            </w:pPr>
            <w:r w:rsidRPr="00C1266D">
              <w:rPr>
                <w:rFonts w:cstheme="minorHAnsi"/>
                <w:bCs/>
                <w:sz w:val="20"/>
                <w:szCs w:val="20"/>
              </w:rPr>
              <w:t>CABOZANTINIB</w:t>
            </w:r>
          </w:p>
        </w:tc>
        <w:tc>
          <w:tcPr>
            <w:tcW w:w="907" w:type="dxa"/>
            <w:noWrap/>
            <w:hideMark/>
          </w:tcPr>
          <w:p w:rsidR="006A47F8" w:rsidRPr="00C1266D" w:rsidRDefault="006A47F8" w:rsidP="00165778">
            <w:pPr>
              <w:rPr>
                <w:rFonts w:cstheme="minorHAnsi"/>
                <w:bCs/>
                <w:sz w:val="20"/>
                <w:szCs w:val="20"/>
              </w:rPr>
            </w:pPr>
            <w:r w:rsidRPr="00C1266D">
              <w:rPr>
                <w:rFonts w:cstheme="minorHAnsi"/>
                <w:bCs/>
                <w:sz w:val="20"/>
                <w:szCs w:val="20"/>
              </w:rPr>
              <w:t>2nd line</w:t>
            </w:r>
          </w:p>
        </w:tc>
        <w:tc>
          <w:tcPr>
            <w:tcW w:w="1984" w:type="dxa"/>
            <w:noWrap/>
          </w:tcPr>
          <w:p w:rsidR="006A47F8" w:rsidRPr="00C1266D" w:rsidRDefault="006A47F8" w:rsidP="00165778">
            <w:pPr>
              <w:rPr>
                <w:rFonts w:cstheme="minorHAnsi"/>
                <w:sz w:val="20"/>
                <w:szCs w:val="20"/>
              </w:rPr>
            </w:pP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11360X</w:t>
            </w:r>
          </w:p>
        </w:tc>
        <w:tc>
          <w:tcPr>
            <w:tcW w:w="907" w:type="dxa"/>
            <w:noWrap/>
          </w:tcPr>
          <w:p w:rsidR="006A47F8" w:rsidRPr="00C1266D" w:rsidRDefault="006A47F8" w:rsidP="00165778">
            <w:pPr>
              <w:rPr>
                <w:rFonts w:cstheme="minorHAnsi"/>
                <w:sz w:val="20"/>
                <w:szCs w:val="20"/>
              </w:rPr>
            </w:pP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Tablet 60 mg</w:t>
            </w:r>
          </w:p>
        </w:tc>
      </w:tr>
      <w:tr w:rsidR="006A47F8" w:rsidRPr="00C1266D" w:rsidTr="00165778">
        <w:trPr>
          <w:trHeight w:val="300"/>
        </w:trPr>
        <w:tc>
          <w:tcPr>
            <w:tcW w:w="1455" w:type="dxa"/>
            <w:noWrap/>
            <w:hideMark/>
          </w:tcPr>
          <w:p w:rsidR="006A47F8" w:rsidRPr="00C1266D" w:rsidRDefault="006A47F8" w:rsidP="00165778">
            <w:pPr>
              <w:rPr>
                <w:rFonts w:cstheme="minorHAnsi"/>
                <w:sz w:val="20"/>
                <w:szCs w:val="20"/>
              </w:rPr>
            </w:pPr>
          </w:p>
        </w:tc>
        <w:tc>
          <w:tcPr>
            <w:tcW w:w="907" w:type="dxa"/>
            <w:noWrap/>
            <w:hideMark/>
          </w:tcPr>
          <w:p w:rsidR="006A47F8" w:rsidRPr="00C1266D" w:rsidRDefault="006A47F8" w:rsidP="00165778">
            <w:pPr>
              <w:rPr>
                <w:rFonts w:cstheme="minorHAnsi"/>
                <w:sz w:val="20"/>
                <w:szCs w:val="20"/>
              </w:rPr>
            </w:pPr>
          </w:p>
        </w:tc>
        <w:tc>
          <w:tcPr>
            <w:tcW w:w="1984" w:type="dxa"/>
            <w:noWrap/>
          </w:tcPr>
          <w:p w:rsidR="006A47F8" w:rsidRPr="00C1266D" w:rsidRDefault="006A47F8" w:rsidP="00165778">
            <w:pPr>
              <w:rPr>
                <w:rFonts w:cstheme="minorHAnsi"/>
                <w:sz w:val="20"/>
                <w:szCs w:val="20"/>
              </w:rPr>
            </w:pPr>
            <w:bookmarkStart w:id="0" w:name="_GoBack"/>
            <w:bookmarkEnd w:id="0"/>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11367G</w:t>
            </w:r>
          </w:p>
        </w:tc>
        <w:tc>
          <w:tcPr>
            <w:tcW w:w="907" w:type="dxa"/>
            <w:noWrap/>
          </w:tcPr>
          <w:p w:rsidR="006A47F8" w:rsidRPr="00C1266D" w:rsidRDefault="006A47F8" w:rsidP="00165778">
            <w:pPr>
              <w:rPr>
                <w:rFonts w:cstheme="minorHAnsi"/>
                <w:sz w:val="20"/>
                <w:szCs w:val="20"/>
              </w:rPr>
            </w:pP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Tablet 60 mg</w:t>
            </w:r>
          </w:p>
        </w:tc>
      </w:tr>
      <w:tr w:rsidR="006A47F8" w:rsidRPr="00C1266D" w:rsidTr="00165778">
        <w:trPr>
          <w:trHeight w:val="300"/>
        </w:trPr>
        <w:tc>
          <w:tcPr>
            <w:tcW w:w="1455" w:type="dxa"/>
            <w:noWrap/>
            <w:hideMark/>
          </w:tcPr>
          <w:p w:rsidR="006A47F8" w:rsidRPr="00C1266D" w:rsidRDefault="006A47F8" w:rsidP="00165778">
            <w:pPr>
              <w:rPr>
                <w:rFonts w:cstheme="minorHAnsi"/>
                <w:sz w:val="20"/>
                <w:szCs w:val="20"/>
              </w:rPr>
            </w:pPr>
          </w:p>
        </w:tc>
        <w:tc>
          <w:tcPr>
            <w:tcW w:w="907" w:type="dxa"/>
            <w:noWrap/>
            <w:hideMark/>
          </w:tcPr>
          <w:p w:rsidR="006A47F8" w:rsidRPr="00C1266D" w:rsidRDefault="006A47F8" w:rsidP="00165778">
            <w:pPr>
              <w:rPr>
                <w:rFonts w:cstheme="minorHAnsi"/>
                <w:sz w:val="20"/>
                <w:szCs w:val="20"/>
              </w:rPr>
            </w:pPr>
          </w:p>
        </w:tc>
        <w:tc>
          <w:tcPr>
            <w:tcW w:w="1984" w:type="dxa"/>
            <w:noWrap/>
          </w:tcPr>
          <w:p w:rsidR="006A47F8" w:rsidRPr="00C1266D" w:rsidRDefault="006A47F8" w:rsidP="00165778">
            <w:pPr>
              <w:rPr>
                <w:rFonts w:cstheme="minorHAnsi"/>
                <w:sz w:val="20"/>
                <w:szCs w:val="20"/>
              </w:rPr>
            </w:pP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11368H</w:t>
            </w:r>
          </w:p>
        </w:tc>
        <w:tc>
          <w:tcPr>
            <w:tcW w:w="907" w:type="dxa"/>
            <w:noWrap/>
          </w:tcPr>
          <w:p w:rsidR="006A47F8" w:rsidRPr="00C1266D" w:rsidRDefault="006A47F8" w:rsidP="00165778">
            <w:pPr>
              <w:rPr>
                <w:rFonts w:cstheme="minorHAnsi"/>
                <w:sz w:val="20"/>
                <w:szCs w:val="20"/>
              </w:rPr>
            </w:pP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Tablet 40 mg</w:t>
            </w:r>
          </w:p>
        </w:tc>
      </w:tr>
      <w:tr w:rsidR="006A47F8" w:rsidRPr="00C1266D" w:rsidTr="00165778">
        <w:trPr>
          <w:trHeight w:val="300"/>
        </w:trPr>
        <w:tc>
          <w:tcPr>
            <w:tcW w:w="1455" w:type="dxa"/>
            <w:noWrap/>
            <w:hideMark/>
          </w:tcPr>
          <w:p w:rsidR="006A47F8" w:rsidRPr="00C1266D" w:rsidRDefault="006A47F8" w:rsidP="00165778">
            <w:pPr>
              <w:rPr>
                <w:rFonts w:cstheme="minorHAnsi"/>
                <w:sz w:val="20"/>
                <w:szCs w:val="20"/>
              </w:rPr>
            </w:pPr>
          </w:p>
        </w:tc>
        <w:tc>
          <w:tcPr>
            <w:tcW w:w="907" w:type="dxa"/>
            <w:noWrap/>
            <w:hideMark/>
          </w:tcPr>
          <w:p w:rsidR="006A47F8" w:rsidRPr="00C1266D" w:rsidRDefault="006A47F8" w:rsidP="00165778">
            <w:pPr>
              <w:rPr>
                <w:rFonts w:cstheme="minorHAnsi"/>
                <w:sz w:val="20"/>
                <w:szCs w:val="20"/>
              </w:rPr>
            </w:pPr>
          </w:p>
        </w:tc>
        <w:tc>
          <w:tcPr>
            <w:tcW w:w="1984" w:type="dxa"/>
            <w:noWrap/>
          </w:tcPr>
          <w:p w:rsidR="006A47F8" w:rsidRPr="00C1266D" w:rsidRDefault="006A47F8" w:rsidP="00165778">
            <w:pPr>
              <w:rPr>
                <w:rFonts w:cstheme="minorHAnsi"/>
                <w:sz w:val="20"/>
                <w:szCs w:val="20"/>
              </w:rPr>
            </w:pP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11369J</w:t>
            </w:r>
          </w:p>
        </w:tc>
        <w:tc>
          <w:tcPr>
            <w:tcW w:w="907" w:type="dxa"/>
            <w:noWrap/>
          </w:tcPr>
          <w:p w:rsidR="006A47F8" w:rsidRPr="00C1266D" w:rsidRDefault="006A47F8" w:rsidP="00165778">
            <w:pPr>
              <w:rPr>
                <w:rFonts w:cstheme="minorHAnsi"/>
                <w:sz w:val="20"/>
                <w:szCs w:val="20"/>
              </w:rPr>
            </w:pP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Tablet 40 mg</w:t>
            </w:r>
          </w:p>
        </w:tc>
      </w:tr>
      <w:tr w:rsidR="006A47F8" w:rsidRPr="00C1266D" w:rsidTr="00165778">
        <w:trPr>
          <w:trHeight w:val="300"/>
        </w:trPr>
        <w:tc>
          <w:tcPr>
            <w:tcW w:w="1455" w:type="dxa"/>
            <w:noWrap/>
            <w:hideMark/>
          </w:tcPr>
          <w:p w:rsidR="006A47F8" w:rsidRPr="00C1266D" w:rsidRDefault="006A47F8" w:rsidP="00165778">
            <w:pPr>
              <w:rPr>
                <w:rFonts w:cstheme="minorHAnsi"/>
                <w:sz w:val="20"/>
                <w:szCs w:val="20"/>
              </w:rPr>
            </w:pPr>
          </w:p>
        </w:tc>
        <w:tc>
          <w:tcPr>
            <w:tcW w:w="907" w:type="dxa"/>
            <w:noWrap/>
            <w:hideMark/>
          </w:tcPr>
          <w:p w:rsidR="006A47F8" w:rsidRPr="00C1266D" w:rsidRDefault="006A47F8" w:rsidP="00165778">
            <w:pPr>
              <w:rPr>
                <w:rFonts w:cstheme="minorHAnsi"/>
                <w:sz w:val="20"/>
                <w:szCs w:val="20"/>
              </w:rPr>
            </w:pPr>
          </w:p>
        </w:tc>
        <w:tc>
          <w:tcPr>
            <w:tcW w:w="1984" w:type="dxa"/>
            <w:noWrap/>
          </w:tcPr>
          <w:p w:rsidR="006A47F8" w:rsidRPr="00C1266D" w:rsidRDefault="006A47F8" w:rsidP="00165778">
            <w:pPr>
              <w:rPr>
                <w:rFonts w:cstheme="minorHAnsi"/>
                <w:sz w:val="20"/>
                <w:szCs w:val="20"/>
              </w:rPr>
            </w:pP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11371L</w:t>
            </w:r>
          </w:p>
        </w:tc>
        <w:tc>
          <w:tcPr>
            <w:tcW w:w="907" w:type="dxa"/>
            <w:noWrap/>
          </w:tcPr>
          <w:p w:rsidR="006A47F8" w:rsidRPr="00C1266D" w:rsidRDefault="006A47F8" w:rsidP="00165778">
            <w:pPr>
              <w:rPr>
                <w:rFonts w:cstheme="minorHAnsi"/>
                <w:sz w:val="20"/>
                <w:szCs w:val="20"/>
              </w:rPr>
            </w:pP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Tablet 20 mg</w:t>
            </w:r>
          </w:p>
        </w:tc>
      </w:tr>
      <w:tr w:rsidR="006A47F8" w:rsidRPr="00C1266D" w:rsidTr="00165778">
        <w:trPr>
          <w:trHeight w:val="300"/>
        </w:trPr>
        <w:tc>
          <w:tcPr>
            <w:tcW w:w="1455" w:type="dxa"/>
            <w:noWrap/>
            <w:hideMark/>
          </w:tcPr>
          <w:p w:rsidR="006A47F8" w:rsidRPr="00C1266D" w:rsidRDefault="006A47F8" w:rsidP="00165778">
            <w:pPr>
              <w:rPr>
                <w:rFonts w:cstheme="minorHAnsi"/>
                <w:sz w:val="20"/>
                <w:szCs w:val="20"/>
              </w:rPr>
            </w:pPr>
          </w:p>
        </w:tc>
        <w:tc>
          <w:tcPr>
            <w:tcW w:w="907" w:type="dxa"/>
            <w:noWrap/>
            <w:hideMark/>
          </w:tcPr>
          <w:p w:rsidR="006A47F8" w:rsidRPr="00C1266D" w:rsidRDefault="006A47F8" w:rsidP="00165778">
            <w:pPr>
              <w:rPr>
                <w:rFonts w:cstheme="minorHAnsi"/>
                <w:sz w:val="20"/>
                <w:szCs w:val="20"/>
              </w:rPr>
            </w:pPr>
          </w:p>
        </w:tc>
        <w:tc>
          <w:tcPr>
            <w:tcW w:w="1984" w:type="dxa"/>
            <w:noWrap/>
          </w:tcPr>
          <w:p w:rsidR="006A47F8" w:rsidRPr="00C1266D" w:rsidRDefault="006A47F8" w:rsidP="00165778">
            <w:pPr>
              <w:rPr>
                <w:rFonts w:cstheme="minorHAnsi"/>
                <w:sz w:val="20"/>
                <w:szCs w:val="20"/>
              </w:rPr>
            </w:pP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11374P</w:t>
            </w:r>
          </w:p>
        </w:tc>
        <w:tc>
          <w:tcPr>
            <w:tcW w:w="907" w:type="dxa"/>
            <w:noWrap/>
          </w:tcPr>
          <w:p w:rsidR="006A47F8" w:rsidRPr="00C1266D" w:rsidRDefault="006A47F8" w:rsidP="00165778">
            <w:pPr>
              <w:rPr>
                <w:rFonts w:cstheme="minorHAnsi"/>
                <w:sz w:val="20"/>
                <w:szCs w:val="20"/>
              </w:rPr>
            </w:pP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Tablet 20 mg</w:t>
            </w:r>
          </w:p>
        </w:tc>
      </w:tr>
      <w:tr w:rsidR="006A47F8" w:rsidRPr="00C1266D" w:rsidTr="00165778">
        <w:trPr>
          <w:trHeight w:val="300"/>
        </w:trPr>
        <w:tc>
          <w:tcPr>
            <w:tcW w:w="1455" w:type="dxa"/>
            <w:noWrap/>
            <w:hideMark/>
          </w:tcPr>
          <w:p w:rsidR="006A47F8" w:rsidRPr="00C1266D" w:rsidRDefault="006A47F8" w:rsidP="00165778">
            <w:pPr>
              <w:rPr>
                <w:rFonts w:cstheme="minorHAnsi"/>
                <w:bCs/>
                <w:sz w:val="20"/>
                <w:szCs w:val="20"/>
              </w:rPr>
            </w:pPr>
            <w:r w:rsidRPr="00C1266D">
              <w:rPr>
                <w:rFonts w:cstheme="minorHAnsi"/>
                <w:bCs/>
                <w:sz w:val="20"/>
                <w:szCs w:val="20"/>
              </w:rPr>
              <w:t>EVEROLIMUS</w:t>
            </w:r>
          </w:p>
        </w:tc>
        <w:tc>
          <w:tcPr>
            <w:tcW w:w="907" w:type="dxa"/>
            <w:noWrap/>
            <w:hideMark/>
          </w:tcPr>
          <w:p w:rsidR="006A47F8" w:rsidRPr="00C1266D" w:rsidRDefault="006A47F8" w:rsidP="00165778">
            <w:pPr>
              <w:rPr>
                <w:rFonts w:cstheme="minorHAnsi"/>
                <w:bCs/>
                <w:sz w:val="20"/>
                <w:szCs w:val="20"/>
              </w:rPr>
            </w:pPr>
            <w:r w:rsidRPr="00C1266D">
              <w:rPr>
                <w:rFonts w:cstheme="minorHAnsi"/>
                <w:bCs/>
                <w:sz w:val="20"/>
                <w:szCs w:val="20"/>
              </w:rPr>
              <w:t>2nd line</w:t>
            </w:r>
          </w:p>
        </w:tc>
        <w:tc>
          <w:tcPr>
            <w:tcW w:w="1984" w:type="dxa"/>
            <w:noWrap/>
          </w:tcPr>
          <w:p w:rsidR="006A47F8" w:rsidRPr="00C1266D" w:rsidRDefault="006A47F8" w:rsidP="00165778">
            <w:pPr>
              <w:rPr>
                <w:rFonts w:cstheme="minorHAnsi"/>
                <w:sz w:val="20"/>
                <w:szCs w:val="20"/>
              </w:rPr>
            </w:pPr>
          </w:p>
        </w:tc>
        <w:tc>
          <w:tcPr>
            <w:tcW w:w="1020" w:type="dxa"/>
            <w:noWrap/>
            <w:hideMark/>
          </w:tcPr>
          <w:p w:rsidR="006A47F8" w:rsidRPr="00B20CC2" w:rsidRDefault="006A47F8" w:rsidP="00165778">
            <w:pPr>
              <w:rPr>
                <w:rFonts w:cstheme="minorHAnsi"/>
                <w:b/>
                <w:bCs/>
                <w:i/>
                <w:sz w:val="20"/>
                <w:szCs w:val="20"/>
              </w:rPr>
            </w:pPr>
            <w:r w:rsidRPr="00B20CC2">
              <w:rPr>
                <w:rFonts w:cstheme="minorHAnsi"/>
                <w:b/>
                <w:bCs/>
                <w:i/>
                <w:sz w:val="20"/>
                <w:szCs w:val="20"/>
              </w:rPr>
              <w:t>10131F</w:t>
            </w:r>
          </w:p>
        </w:tc>
        <w:tc>
          <w:tcPr>
            <w:tcW w:w="907" w:type="dxa"/>
            <w:noWrap/>
          </w:tcPr>
          <w:p w:rsidR="006A47F8" w:rsidRPr="00C1266D" w:rsidRDefault="006A47F8" w:rsidP="00165778">
            <w:pPr>
              <w:rPr>
                <w:rFonts w:cstheme="minorHAnsi"/>
                <w:sz w:val="20"/>
                <w:szCs w:val="20"/>
              </w:rPr>
            </w:pP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Tablet 5 mg</w:t>
            </w:r>
          </w:p>
        </w:tc>
      </w:tr>
      <w:tr w:rsidR="006A47F8" w:rsidRPr="00C1266D" w:rsidTr="00165778">
        <w:trPr>
          <w:trHeight w:val="300"/>
        </w:trPr>
        <w:tc>
          <w:tcPr>
            <w:tcW w:w="1455" w:type="dxa"/>
            <w:noWrap/>
            <w:hideMark/>
          </w:tcPr>
          <w:p w:rsidR="006A47F8" w:rsidRPr="00C1266D" w:rsidRDefault="006A47F8" w:rsidP="00165778">
            <w:pPr>
              <w:rPr>
                <w:rFonts w:cstheme="minorHAnsi"/>
                <w:sz w:val="20"/>
                <w:szCs w:val="20"/>
              </w:rPr>
            </w:pPr>
          </w:p>
        </w:tc>
        <w:tc>
          <w:tcPr>
            <w:tcW w:w="907" w:type="dxa"/>
            <w:noWrap/>
            <w:hideMark/>
          </w:tcPr>
          <w:p w:rsidR="006A47F8" w:rsidRPr="00C1266D" w:rsidRDefault="006A47F8" w:rsidP="00165778">
            <w:pPr>
              <w:rPr>
                <w:rFonts w:cstheme="minorHAnsi"/>
                <w:sz w:val="20"/>
                <w:szCs w:val="20"/>
              </w:rPr>
            </w:pPr>
          </w:p>
        </w:tc>
        <w:tc>
          <w:tcPr>
            <w:tcW w:w="1984" w:type="dxa"/>
            <w:noWrap/>
          </w:tcPr>
          <w:p w:rsidR="006A47F8" w:rsidRPr="00C1266D" w:rsidRDefault="006A47F8" w:rsidP="00165778">
            <w:pPr>
              <w:rPr>
                <w:rFonts w:cstheme="minorHAnsi"/>
                <w:sz w:val="20"/>
                <w:szCs w:val="20"/>
              </w:rPr>
            </w:pPr>
          </w:p>
        </w:tc>
        <w:tc>
          <w:tcPr>
            <w:tcW w:w="1020" w:type="dxa"/>
            <w:noWrap/>
            <w:hideMark/>
          </w:tcPr>
          <w:p w:rsidR="006A47F8" w:rsidRPr="00B20CC2" w:rsidRDefault="006A47F8" w:rsidP="00165778">
            <w:pPr>
              <w:rPr>
                <w:rFonts w:cstheme="minorHAnsi"/>
                <w:b/>
                <w:bCs/>
                <w:i/>
                <w:sz w:val="20"/>
                <w:szCs w:val="20"/>
              </w:rPr>
            </w:pPr>
            <w:r w:rsidRPr="00B20CC2">
              <w:rPr>
                <w:rFonts w:cstheme="minorHAnsi"/>
                <w:b/>
                <w:bCs/>
                <w:i/>
                <w:sz w:val="20"/>
                <w:szCs w:val="20"/>
              </w:rPr>
              <w:t>10132G</w:t>
            </w:r>
          </w:p>
        </w:tc>
        <w:tc>
          <w:tcPr>
            <w:tcW w:w="907" w:type="dxa"/>
            <w:noWrap/>
          </w:tcPr>
          <w:p w:rsidR="006A47F8" w:rsidRPr="00C1266D" w:rsidRDefault="006A47F8" w:rsidP="00165778">
            <w:pPr>
              <w:rPr>
                <w:rFonts w:cstheme="minorHAnsi"/>
                <w:sz w:val="20"/>
                <w:szCs w:val="20"/>
              </w:rPr>
            </w:pP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Tablet 10 mg</w:t>
            </w:r>
          </w:p>
        </w:tc>
      </w:tr>
      <w:tr w:rsidR="006A47F8" w:rsidRPr="00C1266D" w:rsidTr="00165778">
        <w:trPr>
          <w:trHeight w:val="300"/>
        </w:trPr>
        <w:tc>
          <w:tcPr>
            <w:tcW w:w="1455" w:type="dxa"/>
            <w:noWrap/>
            <w:hideMark/>
          </w:tcPr>
          <w:p w:rsidR="006A47F8" w:rsidRPr="00C1266D" w:rsidRDefault="006A47F8" w:rsidP="00165778">
            <w:pPr>
              <w:rPr>
                <w:rFonts w:cstheme="minorHAnsi"/>
                <w:sz w:val="20"/>
                <w:szCs w:val="20"/>
              </w:rPr>
            </w:pPr>
          </w:p>
        </w:tc>
        <w:tc>
          <w:tcPr>
            <w:tcW w:w="907" w:type="dxa"/>
            <w:noWrap/>
            <w:hideMark/>
          </w:tcPr>
          <w:p w:rsidR="006A47F8" w:rsidRPr="00C1266D" w:rsidRDefault="006A47F8" w:rsidP="00165778">
            <w:pPr>
              <w:rPr>
                <w:rFonts w:cstheme="minorHAnsi"/>
                <w:sz w:val="20"/>
                <w:szCs w:val="20"/>
              </w:rPr>
            </w:pPr>
          </w:p>
        </w:tc>
        <w:tc>
          <w:tcPr>
            <w:tcW w:w="1984" w:type="dxa"/>
            <w:noWrap/>
          </w:tcPr>
          <w:p w:rsidR="006A47F8" w:rsidRPr="00C1266D" w:rsidRDefault="006A47F8" w:rsidP="00165778">
            <w:pPr>
              <w:rPr>
                <w:rFonts w:cstheme="minorHAnsi"/>
                <w:sz w:val="20"/>
                <w:szCs w:val="20"/>
              </w:rPr>
            </w:pPr>
          </w:p>
        </w:tc>
        <w:tc>
          <w:tcPr>
            <w:tcW w:w="1020" w:type="dxa"/>
            <w:noWrap/>
            <w:hideMark/>
          </w:tcPr>
          <w:p w:rsidR="006A47F8" w:rsidRPr="00B20CC2" w:rsidRDefault="006A47F8" w:rsidP="00165778">
            <w:pPr>
              <w:rPr>
                <w:rFonts w:cstheme="minorHAnsi"/>
                <w:b/>
                <w:bCs/>
                <w:i/>
                <w:sz w:val="20"/>
                <w:szCs w:val="20"/>
              </w:rPr>
            </w:pPr>
            <w:r w:rsidRPr="00B20CC2">
              <w:rPr>
                <w:rFonts w:cstheme="minorHAnsi"/>
                <w:b/>
                <w:bCs/>
                <w:i/>
                <w:sz w:val="20"/>
                <w:szCs w:val="20"/>
              </w:rPr>
              <w:t>10133H</w:t>
            </w:r>
          </w:p>
        </w:tc>
        <w:tc>
          <w:tcPr>
            <w:tcW w:w="907" w:type="dxa"/>
            <w:noWrap/>
          </w:tcPr>
          <w:p w:rsidR="006A47F8" w:rsidRPr="00C1266D" w:rsidRDefault="006A47F8" w:rsidP="00165778">
            <w:pPr>
              <w:rPr>
                <w:rFonts w:cstheme="minorHAnsi"/>
                <w:sz w:val="20"/>
                <w:szCs w:val="20"/>
              </w:rPr>
            </w:pP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Tablet 5 mg</w:t>
            </w:r>
          </w:p>
        </w:tc>
      </w:tr>
      <w:tr w:rsidR="006A47F8" w:rsidRPr="00C1266D" w:rsidTr="00165778">
        <w:trPr>
          <w:trHeight w:val="300"/>
        </w:trPr>
        <w:tc>
          <w:tcPr>
            <w:tcW w:w="1455" w:type="dxa"/>
            <w:noWrap/>
            <w:hideMark/>
          </w:tcPr>
          <w:p w:rsidR="006A47F8" w:rsidRPr="00C1266D" w:rsidRDefault="006A47F8" w:rsidP="00165778">
            <w:pPr>
              <w:rPr>
                <w:rFonts w:cstheme="minorHAnsi"/>
                <w:sz w:val="20"/>
                <w:szCs w:val="20"/>
              </w:rPr>
            </w:pPr>
          </w:p>
        </w:tc>
        <w:tc>
          <w:tcPr>
            <w:tcW w:w="907" w:type="dxa"/>
            <w:noWrap/>
            <w:hideMark/>
          </w:tcPr>
          <w:p w:rsidR="006A47F8" w:rsidRPr="00C1266D" w:rsidRDefault="006A47F8" w:rsidP="00165778">
            <w:pPr>
              <w:rPr>
                <w:rFonts w:cstheme="minorHAnsi"/>
                <w:sz w:val="20"/>
                <w:szCs w:val="20"/>
              </w:rPr>
            </w:pPr>
          </w:p>
        </w:tc>
        <w:tc>
          <w:tcPr>
            <w:tcW w:w="1984" w:type="dxa"/>
            <w:noWrap/>
            <w:hideMark/>
          </w:tcPr>
          <w:p w:rsidR="006A47F8" w:rsidRPr="00C1266D" w:rsidRDefault="006A47F8" w:rsidP="00165778">
            <w:pPr>
              <w:rPr>
                <w:rFonts w:cstheme="minorHAnsi"/>
                <w:sz w:val="20"/>
                <w:szCs w:val="20"/>
              </w:rPr>
            </w:pPr>
          </w:p>
        </w:tc>
        <w:tc>
          <w:tcPr>
            <w:tcW w:w="1020" w:type="dxa"/>
            <w:noWrap/>
            <w:hideMark/>
          </w:tcPr>
          <w:p w:rsidR="006A47F8" w:rsidRPr="00B20CC2" w:rsidRDefault="006A47F8" w:rsidP="00165778">
            <w:pPr>
              <w:rPr>
                <w:rFonts w:cstheme="minorHAnsi"/>
                <w:b/>
                <w:bCs/>
                <w:i/>
                <w:sz w:val="20"/>
                <w:szCs w:val="20"/>
              </w:rPr>
            </w:pPr>
            <w:r w:rsidRPr="00B20CC2">
              <w:rPr>
                <w:rFonts w:cstheme="minorHAnsi"/>
                <w:b/>
                <w:bCs/>
                <w:i/>
                <w:sz w:val="20"/>
                <w:szCs w:val="20"/>
              </w:rPr>
              <w:t>10135K</w:t>
            </w:r>
          </w:p>
        </w:tc>
        <w:tc>
          <w:tcPr>
            <w:tcW w:w="907" w:type="dxa"/>
            <w:noWrap/>
          </w:tcPr>
          <w:p w:rsidR="006A47F8" w:rsidRPr="00C1266D" w:rsidRDefault="006A47F8" w:rsidP="00165778">
            <w:pPr>
              <w:rPr>
                <w:rFonts w:cstheme="minorHAnsi"/>
                <w:sz w:val="20"/>
                <w:szCs w:val="20"/>
              </w:rPr>
            </w:pP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Tablet 10 mg</w:t>
            </w:r>
          </w:p>
        </w:tc>
      </w:tr>
      <w:tr w:rsidR="006A47F8" w:rsidRPr="00C1266D" w:rsidTr="00165778">
        <w:trPr>
          <w:trHeight w:val="300"/>
        </w:trPr>
        <w:tc>
          <w:tcPr>
            <w:tcW w:w="1455" w:type="dxa"/>
            <w:noWrap/>
            <w:hideMark/>
          </w:tcPr>
          <w:p w:rsidR="006A47F8" w:rsidRPr="00C1266D" w:rsidRDefault="006A47F8" w:rsidP="00165778">
            <w:pPr>
              <w:rPr>
                <w:rFonts w:cstheme="minorHAnsi"/>
                <w:sz w:val="20"/>
                <w:szCs w:val="20"/>
              </w:rPr>
            </w:pPr>
          </w:p>
        </w:tc>
        <w:tc>
          <w:tcPr>
            <w:tcW w:w="907" w:type="dxa"/>
            <w:noWrap/>
            <w:hideMark/>
          </w:tcPr>
          <w:p w:rsidR="006A47F8" w:rsidRPr="00C1266D" w:rsidRDefault="006A47F8" w:rsidP="00165778">
            <w:pPr>
              <w:rPr>
                <w:rFonts w:cstheme="minorHAnsi"/>
                <w:sz w:val="20"/>
                <w:szCs w:val="20"/>
              </w:rPr>
            </w:pPr>
          </w:p>
        </w:tc>
        <w:tc>
          <w:tcPr>
            <w:tcW w:w="1984" w:type="dxa"/>
            <w:noWrap/>
            <w:hideMark/>
          </w:tcPr>
          <w:p w:rsidR="006A47F8" w:rsidRPr="00C1266D" w:rsidRDefault="006A47F8" w:rsidP="00165778">
            <w:pPr>
              <w:rPr>
                <w:rFonts w:cstheme="minorHAnsi"/>
                <w:sz w:val="20"/>
                <w:szCs w:val="20"/>
              </w:rPr>
            </w:pP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11257L</w:t>
            </w:r>
          </w:p>
        </w:tc>
        <w:tc>
          <w:tcPr>
            <w:tcW w:w="907" w:type="dxa"/>
            <w:noWrap/>
          </w:tcPr>
          <w:p w:rsidR="006A47F8" w:rsidRPr="00C1266D" w:rsidRDefault="006A47F8" w:rsidP="00165778">
            <w:pPr>
              <w:rPr>
                <w:rFonts w:cstheme="minorHAnsi"/>
                <w:sz w:val="20"/>
                <w:szCs w:val="20"/>
              </w:rPr>
            </w:pP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Tablet 5 mg</w:t>
            </w:r>
          </w:p>
        </w:tc>
      </w:tr>
      <w:tr w:rsidR="006A47F8" w:rsidRPr="00C1266D" w:rsidTr="00165778">
        <w:trPr>
          <w:trHeight w:val="300"/>
        </w:trPr>
        <w:tc>
          <w:tcPr>
            <w:tcW w:w="1455" w:type="dxa"/>
            <w:noWrap/>
            <w:hideMark/>
          </w:tcPr>
          <w:p w:rsidR="006A47F8" w:rsidRPr="00C1266D" w:rsidRDefault="006A47F8" w:rsidP="00165778">
            <w:pPr>
              <w:rPr>
                <w:rFonts w:cstheme="minorHAnsi"/>
                <w:sz w:val="20"/>
                <w:szCs w:val="20"/>
              </w:rPr>
            </w:pPr>
          </w:p>
        </w:tc>
        <w:tc>
          <w:tcPr>
            <w:tcW w:w="907" w:type="dxa"/>
            <w:noWrap/>
            <w:hideMark/>
          </w:tcPr>
          <w:p w:rsidR="006A47F8" w:rsidRPr="00C1266D" w:rsidRDefault="006A47F8" w:rsidP="00165778">
            <w:pPr>
              <w:rPr>
                <w:rFonts w:cstheme="minorHAnsi"/>
                <w:sz w:val="20"/>
                <w:szCs w:val="20"/>
              </w:rPr>
            </w:pPr>
          </w:p>
        </w:tc>
        <w:tc>
          <w:tcPr>
            <w:tcW w:w="1984" w:type="dxa"/>
            <w:noWrap/>
            <w:hideMark/>
          </w:tcPr>
          <w:p w:rsidR="006A47F8" w:rsidRPr="00C1266D" w:rsidRDefault="006A47F8" w:rsidP="00165778">
            <w:pPr>
              <w:rPr>
                <w:rFonts w:cstheme="minorHAnsi"/>
                <w:sz w:val="20"/>
                <w:szCs w:val="20"/>
              </w:rPr>
            </w:pP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11262R</w:t>
            </w:r>
          </w:p>
        </w:tc>
        <w:tc>
          <w:tcPr>
            <w:tcW w:w="907" w:type="dxa"/>
            <w:noWrap/>
          </w:tcPr>
          <w:p w:rsidR="006A47F8" w:rsidRPr="00C1266D" w:rsidRDefault="006A47F8" w:rsidP="00165778">
            <w:pPr>
              <w:rPr>
                <w:rFonts w:cstheme="minorHAnsi"/>
                <w:sz w:val="20"/>
                <w:szCs w:val="20"/>
              </w:rPr>
            </w:pP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Tablet 10 mg</w:t>
            </w:r>
          </w:p>
        </w:tc>
      </w:tr>
      <w:tr w:rsidR="006A47F8" w:rsidRPr="00C1266D" w:rsidTr="00165778">
        <w:trPr>
          <w:trHeight w:val="300"/>
        </w:trPr>
        <w:tc>
          <w:tcPr>
            <w:tcW w:w="1455" w:type="dxa"/>
            <w:noWrap/>
            <w:hideMark/>
          </w:tcPr>
          <w:p w:rsidR="006A47F8" w:rsidRPr="00C1266D" w:rsidRDefault="006A47F8" w:rsidP="00165778">
            <w:pPr>
              <w:rPr>
                <w:rFonts w:cstheme="minorHAnsi"/>
                <w:bCs/>
                <w:sz w:val="20"/>
                <w:szCs w:val="20"/>
              </w:rPr>
            </w:pPr>
            <w:r w:rsidRPr="00C1266D">
              <w:rPr>
                <w:rFonts w:cstheme="minorHAnsi"/>
                <w:bCs/>
                <w:sz w:val="20"/>
                <w:szCs w:val="20"/>
              </w:rPr>
              <w:t>IPILIMUMAB</w:t>
            </w:r>
          </w:p>
        </w:tc>
        <w:tc>
          <w:tcPr>
            <w:tcW w:w="907" w:type="dxa"/>
            <w:noWrap/>
            <w:hideMark/>
          </w:tcPr>
          <w:p w:rsidR="006A47F8" w:rsidRPr="00C1266D" w:rsidRDefault="006A47F8" w:rsidP="00165778">
            <w:pPr>
              <w:rPr>
                <w:rFonts w:cstheme="minorHAnsi"/>
                <w:bCs/>
                <w:sz w:val="20"/>
                <w:szCs w:val="20"/>
              </w:rPr>
            </w:pPr>
            <w:r>
              <w:rPr>
                <w:rFonts w:cstheme="minorHAnsi"/>
                <w:bCs/>
                <w:sz w:val="20"/>
                <w:szCs w:val="20"/>
              </w:rPr>
              <w:t>first-</w:t>
            </w:r>
            <w:r w:rsidRPr="00C1266D">
              <w:rPr>
                <w:rFonts w:cstheme="minorHAnsi"/>
                <w:bCs/>
                <w:sz w:val="20"/>
                <w:szCs w:val="20"/>
              </w:rPr>
              <w:t>line</w:t>
            </w:r>
          </w:p>
        </w:tc>
        <w:tc>
          <w:tcPr>
            <w:tcW w:w="1984" w:type="dxa"/>
            <w:noWrap/>
            <w:hideMark/>
          </w:tcPr>
          <w:p w:rsidR="006A47F8" w:rsidRPr="00C1266D" w:rsidRDefault="006A47F8" w:rsidP="00165778">
            <w:pPr>
              <w:rPr>
                <w:rFonts w:cstheme="minorHAnsi"/>
                <w:sz w:val="20"/>
                <w:szCs w:val="20"/>
              </w:rPr>
            </w:pPr>
            <w:r w:rsidRPr="00C1266D">
              <w:rPr>
                <w:rFonts w:cstheme="minorHAnsi"/>
                <w:sz w:val="20"/>
                <w:szCs w:val="20"/>
              </w:rPr>
              <w:t>Induction treatment</w:t>
            </w: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11628B</w:t>
            </w:r>
          </w:p>
        </w:tc>
        <w:tc>
          <w:tcPr>
            <w:tcW w:w="907" w:type="dxa"/>
            <w:noWrap/>
            <w:hideMark/>
          </w:tcPr>
          <w:p w:rsidR="006A47F8" w:rsidRPr="00C1266D" w:rsidRDefault="006A47F8" w:rsidP="00165778">
            <w:pPr>
              <w:rPr>
                <w:rFonts w:cstheme="minorHAnsi"/>
                <w:sz w:val="20"/>
                <w:szCs w:val="20"/>
              </w:rPr>
            </w:pPr>
            <w:r w:rsidRPr="00C1266D">
              <w:rPr>
                <w:rFonts w:cstheme="minorHAnsi"/>
                <w:sz w:val="20"/>
                <w:szCs w:val="20"/>
              </w:rPr>
              <w:t>Public</w:t>
            </w: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Injection concentrate for I.V. infusion 50 mg in 10 mL</w:t>
            </w:r>
          </w:p>
        </w:tc>
      </w:tr>
      <w:tr w:rsidR="006A47F8" w:rsidRPr="00C1266D" w:rsidTr="00165778">
        <w:trPr>
          <w:trHeight w:val="300"/>
        </w:trPr>
        <w:tc>
          <w:tcPr>
            <w:tcW w:w="1455" w:type="dxa"/>
            <w:noWrap/>
            <w:hideMark/>
          </w:tcPr>
          <w:p w:rsidR="006A47F8" w:rsidRPr="00C1266D" w:rsidRDefault="006A47F8" w:rsidP="00165778">
            <w:pPr>
              <w:rPr>
                <w:rFonts w:cstheme="minorHAnsi"/>
                <w:sz w:val="20"/>
                <w:szCs w:val="20"/>
              </w:rPr>
            </w:pPr>
          </w:p>
        </w:tc>
        <w:tc>
          <w:tcPr>
            <w:tcW w:w="907" w:type="dxa"/>
            <w:noWrap/>
            <w:hideMark/>
          </w:tcPr>
          <w:p w:rsidR="006A47F8" w:rsidRPr="00C1266D" w:rsidRDefault="006A47F8" w:rsidP="00165778">
            <w:pPr>
              <w:rPr>
                <w:rFonts w:cstheme="minorHAnsi"/>
                <w:sz w:val="20"/>
                <w:szCs w:val="20"/>
              </w:rPr>
            </w:pPr>
          </w:p>
        </w:tc>
        <w:tc>
          <w:tcPr>
            <w:tcW w:w="1984" w:type="dxa"/>
            <w:noWrap/>
            <w:hideMark/>
          </w:tcPr>
          <w:p w:rsidR="006A47F8" w:rsidRPr="00C1266D" w:rsidRDefault="006A47F8" w:rsidP="00165778">
            <w:pPr>
              <w:rPr>
                <w:rFonts w:cstheme="minorHAnsi"/>
                <w:sz w:val="20"/>
                <w:szCs w:val="20"/>
              </w:rPr>
            </w:pP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11644W</w:t>
            </w:r>
          </w:p>
        </w:tc>
        <w:tc>
          <w:tcPr>
            <w:tcW w:w="907" w:type="dxa"/>
            <w:noWrap/>
            <w:hideMark/>
          </w:tcPr>
          <w:p w:rsidR="006A47F8" w:rsidRPr="00C1266D" w:rsidRDefault="006A47F8" w:rsidP="00165778">
            <w:pPr>
              <w:rPr>
                <w:rFonts w:cstheme="minorHAnsi"/>
                <w:sz w:val="20"/>
                <w:szCs w:val="20"/>
              </w:rPr>
            </w:pPr>
            <w:r w:rsidRPr="00C1266D">
              <w:rPr>
                <w:rFonts w:cstheme="minorHAnsi"/>
                <w:sz w:val="20"/>
                <w:szCs w:val="20"/>
              </w:rPr>
              <w:t>Private</w:t>
            </w: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Injection concentrate for I.V. infusion 50 mg in 10 mL</w:t>
            </w:r>
          </w:p>
        </w:tc>
      </w:tr>
      <w:tr w:rsidR="006A47F8" w:rsidRPr="00C1266D" w:rsidTr="00165778">
        <w:trPr>
          <w:trHeight w:val="300"/>
        </w:trPr>
        <w:tc>
          <w:tcPr>
            <w:tcW w:w="1455" w:type="dxa"/>
            <w:noWrap/>
            <w:hideMark/>
          </w:tcPr>
          <w:p w:rsidR="006A47F8" w:rsidRPr="00C1266D" w:rsidRDefault="006A47F8" w:rsidP="00165778">
            <w:pPr>
              <w:rPr>
                <w:rFonts w:cstheme="minorHAnsi"/>
                <w:sz w:val="20"/>
                <w:szCs w:val="20"/>
              </w:rPr>
            </w:pPr>
          </w:p>
        </w:tc>
        <w:tc>
          <w:tcPr>
            <w:tcW w:w="907" w:type="dxa"/>
            <w:noWrap/>
            <w:hideMark/>
          </w:tcPr>
          <w:p w:rsidR="006A47F8" w:rsidRPr="00C1266D" w:rsidRDefault="006A47F8" w:rsidP="00165778">
            <w:pPr>
              <w:rPr>
                <w:rFonts w:cstheme="minorHAnsi"/>
                <w:sz w:val="20"/>
                <w:szCs w:val="20"/>
              </w:rPr>
            </w:pPr>
          </w:p>
        </w:tc>
        <w:tc>
          <w:tcPr>
            <w:tcW w:w="1984" w:type="dxa"/>
            <w:noWrap/>
            <w:hideMark/>
          </w:tcPr>
          <w:p w:rsidR="006A47F8" w:rsidRPr="00C1266D" w:rsidRDefault="006A47F8" w:rsidP="00165778">
            <w:pPr>
              <w:rPr>
                <w:rFonts w:cstheme="minorHAnsi"/>
                <w:sz w:val="20"/>
                <w:szCs w:val="20"/>
              </w:rPr>
            </w:pPr>
            <w:r w:rsidRPr="00C1266D">
              <w:rPr>
                <w:rFonts w:cstheme="minorHAnsi"/>
                <w:sz w:val="20"/>
                <w:szCs w:val="20"/>
              </w:rPr>
              <w:t>Induction treatment - Grandfather patients</w:t>
            </w: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11641Q</w:t>
            </w:r>
          </w:p>
        </w:tc>
        <w:tc>
          <w:tcPr>
            <w:tcW w:w="907" w:type="dxa"/>
            <w:noWrap/>
            <w:hideMark/>
          </w:tcPr>
          <w:p w:rsidR="006A47F8" w:rsidRPr="00C1266D" w:rsidRDefault="006A47F8" w:rsidP="00165778">
            <w:pPr>
              <w:rPr>
                <w:rFonts w:cstheme="minorHAnsi"/>
                <w:sz w:val="20"/>
                <w:szCs w:val="20"/>
              </w:rPr>
            </w:pPr>
            <w:r w:rsidRPr="00C1266D">
              <w:rPr>
                <w:rFonts w:cstheme="minorHAnsi"/>
                <w:sz w:val="20"/>
                <w:szCs w:val="20"/>
              </w:rPr>
              <w:t>Public</w:t>
            </w: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Injection concentrate for I.V. infusion 50 mg in 10 mL</w:t>
            </w:r>
          </w:p>
        </w:tc>
      </w:tr>
      <w:tr w:rsidR="006A47F8" w:rsidRPr="00C1266D" w:rsidTr="00165778">
        <w:trPr>
          <w:trHeight w:val="300"/>
        </w:trPr>
        <w:tc>
          <w:tcPr>
            <w:tcW w:w="1455" w:type="dxa"/>
            <w:noWrap/>
            <w:hideMark/>
          </w:tcPr>
          <w:p w:rsidR="006A47F8" w:rsidRPr="00C1266D" w:rsidRDefault="006A47F8" w:rsidP="00165778">
            <w:pPr>
              <w:rPr>
                <w:rFonts w:cstheme="minorHAnsi"/>
                <w:sz w:val="20"/>
                <w:szCs w:val="20"/>
              </w:rPr>
            </w:pPr>
          </w:p>
        </w:tc>
        <w:tc>
          <w:tcPr>
            <w:tcW w:w="907" w:type="dxa"/>
            <w:noWrap/>
            <w:hideMark/>
          </w:tcPr>
          <w:p w:rsidR="006A47F8" w:rsidRPr="00C1266D" w:rsidRDefault="006A47F8" w:rsidP="00165778">
            <w:pPr>
              <w:rPr>
                <w:rFonts w:cstheme="minorHAnsi"/>
                <w:sz w:val="20"/>
                <w:szCs w:val="20"/>
              </w:rPr>
            </w:pPr>
          </w:p>
        </w:tc>
        <w:tc>
          <w:tcPr>
            <w:tcW w:w="1984" w:type="dxa"/>
            <w:noWrap/>
            <w:hideMark/>
          </w:tcPr>
          <w:p w:rsidR="006A47F8" w:rsidRPr="00C1266D" w:rsidRDefault="006A47F8" w:rsidP="00165778">
            <w:pPr>
              <w:rPr>
                <w:rFonts w:cstheme="minorHAnsi"/>
                <w:sz w:val="20"/>
                <w:szCs w:val="20"/>
              </w:rPr>
            </w:pP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11647B</w:t>
            </w:r>
          </w:p>
        </w:tc>
        <w:tc>
          <w:tcPr>
            <w:tcW w:w="907" w:type="dxa"/>
            <w:noWrap/>
            <w:hideMark/>
          </w:tcPr>
          <w:p w:rsidR="006A47F8" w:rsidRPr="00C1266D" w:rsidRDefault="006A47F8" w:rsidP="00165778">
            <w:pPr>
              <w:rPr>
                <w:rFonts w:cstheme="minorHAnsi"/>
                <w:sz w:val="20"/>
                <w:szCs w:val="20"/>
              </w:rPr>
            </w:pPr>
            <w:r w:rsidRPr="00C1266D">
              <w:rPr>
                <w:rFonts w:cstheme="minorHAnsi"/>
                <w:sz w:val="20"/>
                <w:szCs w:val="20"/>
              </w:rPr>
              <w:t>Private</w:t>
            </w: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Injection concentrate for I.V. infusion 50 mg in 10 mL</w:t>
            </w:r>
          </w:p>
        </w:tc>
      </w:tr>
      <w:tr w:rsidR="006A47F8" w:rsidRPr="00C1266D" w:rsidTr="00165778">
        <w:trPr>
          <w:trHeight w:val="300"/>
        </w:trPr>
        <w:tc>
          <w:tcPr>
            <w:tcW w:w="1455" w:type="dxa"/>
            <w:noWrap/>
            <w:hideMark/>
          </w:tcPr>
          <w:p w:rsidR="006A47F8" w:rsidRPr="00C1266D" w:rsidRDefault="006A47F8" w:rsidP="00165778">
            <w:pPr>
              <w:rPr>
                <w:rFonts w:cstheme="minorHAnsi"/>
                <w:bCs/>
                <w:sz w:val="20"/>
                <w:szCs w:val="20"/>
              </w:rPr>
            </w:pPr>
            <w:r w:rsidRPr="00C1266D">
              <w:rPr>
                <w:rFonts w:cstheme="minorHAnsi"/>
                <w:bCs/>
                <w:sz w:val="20"/>
                <w:szCs w:val="20"/>
              </w:rPr>
              <w:t>NIVOLUMAB</w:t>
            </w:r>
          </w:p>
        </w:tc>
        <w:tc>
          <w:tcPr>
            <w:tcW w:w="907" w:type="dxa"/>
            <w:noWrap/>
            <w:hideMark/>
          </w:tcPr>
          <w:p w:rsidR="006A47F8" w:rsidRPr="00C1266D" w:rsidRDefault="006A47F8" w:rsidP="00165778">
            <w:pPr>
              <w:rPr>
                <w:rFonts w:cstheme="minorHAnsi"/>
                <w:bCs/>
                <w:sz w:val="20"/>
                <w:szCs w:val="20"/>
              </w:rPr>
            </w:pPr>
            <w:r>
              <w:rPr>
                <w:rFonts w:cstheme="minorHAnsi"/>
                <w:bCs/>
                <w:sz w:val="20"/>
                <w:szCs w:val="20"/>
              </w:rPr>
              <w:t>first-</w:t>
            </w:r>
            <w:r w:rsidRPr="00C1266D">
              <w:rPr>
                <w:rFonts w:cstheme="minorHAnsi"/>
                <w:bCs/>
                <w:sz w:val="20"/>
                <w:szCs w:val="20"/>
              </w:rPr>
              <w:t>line</w:t>
            </w:r>
          </w:p>
        </w:tc>
        <w:tc>
          <w:tcPr>
            <w:tcW w:w="1984" w:type="dxa"/>
            <w:noWrap/>
            <w:hideMark/>
          </w:tcPr>
          <w:p w:rsidR="006A47F8" w:rsidRPr="00C1266D" w:rsidRDefault="006A47F8" w:rsidP="00165778">
            <w:pPr>
              <w:rPr>
                <w:rFonts w:cstheme="minorHAnsi"/>
                <w:sz w:val="20"/>
                <w:szCs w:val="20"/>
              </w:rPr>
            </w:pPr>
            <w:r w:rsidRPr="00C1266D">
              <w:rPr>
                <w:rFonts w:cstheme="minorHAnsi"/>
                <w:sz w:val="20"/>
                <w:szCs w:val="20"/>
              </w:rPr>
              <w:t>Grandfather patients</w:t>
            </w: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11631E</w:t>
            </w:r>
          </w:p>
        </w:tc>
        <w:tc>
          <w:tcPr>
            <w:tcW w:w="907" w:type="dxa"/>
            <w:noWrap/>
            <w:hideMark/>
          </w:tcPr>
          <w:p w:rsidR="006A47F8" w:rsidRPr="00C1266D" w:rsidRDefault="006A47F8" w:rsidP="00165778">
            <w:pPr>
              <w:rPr>
                <w:rFonts w:cstheme="minorHAnsi"/>
                <w:sz w:val="20"/>
                <w:szCs w:val="20"/>
              </w:rPr>
            </w:pPr>
            <w:r w:rsidRPr="00C1266D">
              <w:rPr>
                <w:rFonts w:cstheme="minorHAnsi"/>
                <w:sz w:val="20"/>
                <w:szCs w:val="20"/>
              </w:rPr>
              <w:t>Public</w:t>
            </w: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Injection concentrate for I.V. infusion 100 mg in 10 mL</w:t>
            </w:r>
          </w:p>
        </w:tc>
      </w:tr>
      <w:tr w:rsidR="006A47F8" w:rsidRPr="00C1266D" w:rsidTr="00165778">
        <w:trPr>
          <w:trHeight w:val="300"/>
        </w:trPr>
        <w:tc>
          <w:tcPr>
            <w:tcW w:w="1455" w:type="dxa"/>
            <w:noWrap/>
            <w:hideMark/>
          </w:tcPr>
          <w:p w:rsidR="006A47F8" w:rsidRPr="00C1266D" w:rsidRDefault="006A47F8" w:rsidP="00165778">
            <w:pPr>
              <w:rPr>
                <w:rFonts w:cstheme="minorHAnsi"/>
                <w:sz w:val="20"/>
                <w:szCs w:val="20"/>
              </w:rPr>
            </w:pPr>
          </w:p>
        </w:tc>
        <w:tc>
          <w:tcPr>
            <w:tcW w:w="907" w:type="dxa"/>
            <w:noWrap/>
            <w:hideMark/>
          </w:tcPr>
          <w:p w:rsidR="006A47F8" w:rsidRPr="00C1266D" w:rsidRDefault="006A47F8" w:rsidP="00165778">
            <w:pPr>
              <w:rPr>
                <w:rFonts w:cstheme="minorHAnsi"/>
                <w:sz w:val="20"/>
                <w:szCs w:val="20"/>
              </w:rPr>
            </w:pPr>
          </w:p>
        </w:tc>
        <w:tc>
          <w:tcPr>
            <w:tcW w:w="1984" w:type="dxa"/>
            <w:noWrap/>
            <w:hideMark/>
          </w:tcPr>
          <w:p w:rsidR="006A47F8" w:rsidRPr="00C1266D" w:rsidRDefault="006A47F8" w:rsidP="00165778">
            <w:pPr>
              <w:rPr>
                <w:rFonts w:cstheme="minorHAnsi"/>
                <w:sz w:val="20"/>
                <w:szCs w:val="20"/>
              </w:rPr>
            </w:pP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11635J</w:t>
            </w:r>
          </w:p>
        </w:tc>
        <w:tc>
          <w:tcPr>
            <w:tcW w:w="907" w:type="dxa"/>
            <w:noWrap/>
            <w:hideMark/>
          </w:tcPr>
          <w:p w:rsidR="006A47F8" w:rsidRPr="00C1266D" w:rsidRDefault="006A47F8" w:rsidP="00165778">
            <w:pPr>
              <w:rPr>
                <w:rFonts w:cstheme="minorHAnsi"/>
                <w:sz w:val="20"/>
                <w:szCs w:val="20"/>
              </w:rPr>
            </w:pPr>
            <w:r w:rsidRPr="00C1266D">
              <w:rPr>
                <w:rFonts w:cstheme="minorHAnsi"/>
                <w:sz w:val="20"/>
                <w:szCs w:val="20"/>
              </w:rPr>
              <w:t>Private</w:t>
            </w: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Injection concentrate for I.V. infusion 100 mg in 10 mL</w:t>
            </w:r>
          </w:p>
        </w:tc>
      </w:tr>
      <w:tr w:rsidR="006A47F8" w:rsidRPr="00C1266D" w:rsidTr="00165778">
        <w:trPr>
          <w:trHeight w:val="300"/>
        </w:trPr>
        <w:tc>
          <w:tcPr>
            <w:tcW w:w="1455" w:type="dxa"/>
            <w:noWrap/>
            <w:hideMark/>
          </w:tcPr>
          <w:p w:rsidR="006A47F8" w:rsidRPr="00C1266D" w:rsidRDefault="006A47F8" w:rsidP="00165778">
            <w:pPr>
              <w:rPr>
                <w:rFonts w:cstheme="minorHAnsi"/>
                <w:sz w:val="20"/>
                <w:szCs w:val="20"/>
              </w:rPr>
            </w:pPr>
          </w:p>
        </w:tc>
        <w:tc>
          <w:tcPr>
            <w:tcW w:w="907" w:type="dxa"/>
            <w:noWrap/>
            <w:hideMark/>
          </w:tcPr>
          <w:p w:rsidR="006A47F8" w:rsidRPr="00C1266D" w:rsidRDefault="006A47F8" w:rsidP="00165778">
            <w:pPr>
              <w:rPr>
                <w:rFonts w:cstheme="minorHAnsi"/>
                <w:sz w:val="20"/>
                <w:szCs w:val="20"/>
              </w:rPr>
            </w:pPr>
          </w:p>
        </w:tc>
        <w:tc>
          <w:tcPr>
            <w:tcW w:w="1984" w:type="dxa"/>
            <w:noWrap/>
            <w:hideMark/>
          </w:tcPr>
          <w:p w:rsidR="006A47F8" w:rsidRPr="00C1266D" w:rsidRDefault="006A47F8" w:rsidP="00165778">
            <w:pPr>
              <w:rPr>
                <w:rFonts w:cstheme="minorHAnsi"/>
                <w:sz w:val="20"/>
                <w:szCs w:val="20"/>
              </w:rPr>
            </w:pPr>
            <w:r w:rsidRPr="00C1266D">
              <w:rPr>
                <w:rFonts w:cstheme="minorHAnsi"/>
                <w:sz w:val="20"/>
                <w:szCs w:val="20"/>
              </w:rPr>
              <w:t>Induction treatment</w:t>
            </w: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11627Y</w:t>
            </w:r>
          </w:p>
        </w:tc>
        <w:tc>
          <w:tcPr>
            <w:tcW w:w="907" w:type="dxa"/>
            <w:noWrap/>
            <w:hideMark/>
          </w:tcPr>
          <w:p w:rsidR="006A47F8" w:rsidRPr="00C1266D" w:rsidRDefault="006A47F8" w:rsidP="00165778">
            <w:pPr>
              <w:rPr>
                <w:rFonts w:cstheme="minorHAnsi"/>
                <w:sz w:val="20"/>
                <w:szCs w:val="20"/>
              </w:rPr>
            </w:pPr>
            <w:r w:rsidRPr="00C1266D">
              <w:rPr>
                <w:rFonts w:cstheme="minorHAnsi"/>
                <w:sz w:val="20"/>
                <w:szCs w:val="20"/>
              </w:rPr>
              <w:t>Private</w:t>
            </w: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Injection concentrate for I.V. infusion 100 mg in 10 mL</w:t>
            </w:r>
          </w:p>
        </w:tc>
      </w:tr>
      <w:tr w:rsidR="006A47F8" w:rsidRPr="00C1266D" w:rsidTr="00165778">
        <w:trPr>
          <w:trHeight w:val="300"/>
        </w:trPr>
        <w:tc>
          <w:tcPr>
            <w:tcW w:w="1455" w:type="dxa"/>
            <w:noWrap/>
            <w:hideMark/>
          </w:tcPr>
          <w:p w:rsidR="006A47F8" w:rsidRPr="00C1266D" w:rsidRDefault="006A47F8" w:rsidP="00165778">
            <w:pPr>
              <w:rPr>
                <w:rFonts w:cstheme="minorHAnsi"/>
                <w:sz w:val="20"/>
                <w:szCs w:val="20"/>
              </w:rPr>
            </w:pPr>
          </w:p>
        </w:tc>
        <w:tc>
          <w:tcPr>
            <w:tcW w:w="907" w:type="dxa"/>
            <w:noWrap/>
            <w:hideMark/>
          </w:tcPr>
          <w:p w:rsidR="006A47F8" w:rsidRPr="00C1266D" w:rsidRDefault="006A47F8" w:rsidP="00165778">
            <w:pPr>
              <w:rPr>
                <w:rFonts w:cstheme="minorHAnsi"/>
                <w:sz w:val="20"/>
                <w:szCs w:val="20"/>
              </w:rPr>
            </w:pPr>
          </w:p>
        </w:tc>
        <w:tc>
          <w:tcPr>
            <w:tcW w:w="1984" w:type="dxa"/>
            <w:noWrap/>
            <w:hideMark/>
          </w:tcPr>
          <w:p w:rsidR="006A47F8" w:rsidRPr="00C1266D" w:rsidRDefault="006A47F8" w:rsidP="00165778">
            <w:pPr>
              <w:rPr>
                <w:rFonts w:cstheme="minorHAnsi"/>
                <w:sz w:val="20"/>
                <w:szCs w:val="20"/>
              </w:rPr>
            </w:pP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11636K</w:t>
            </w:r>
          </w:p>
        </w:tc>
        <w:tc>
          <w:tcPr>
            <w:tcW w:w="907" w:type="dxa"/>
            <w:noWrap/>
            <w:hideMark/>
          </w:tcPr>
          <w:p w:rsidR="006A47F8" w:rsidRPr="00C1266D" w:rsidRDefault="006A47F8" w:rsidP="00165778">
            <w:pPr>
              <w:rPr>
                <w:rFonts w:cstheme="minorHAnsi"/>
                <w:sz w:val="20"/>
                <w:szCs w:val="20"/>
              </w:rPr>
            </w:pPr>
            <w:r w:rsidRPr="00C1266D">
              <w:rPr>
                <w:rFonts w:cstheme="minorHAnsi"/>
                <w:sz w:val="20"/>
                <w:szCs w:val="20"/>
              </w:rPr>
              <w:t>Public</w:t>
            </w: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Injection concentrate for I.V. infusion 100 mg in 10 mL</w:t>
            </w:r>
          </w:p>
        </w:tc>
      </w:tr>
      <w:tr w:rsidR="006A47F8" w:rsidRPr="00C1266D" w:rsidTr="00165778">
        <w:trPr>
          <w:trHeight w:val="300"/>
        </w:trPr>
        <w:tc>
          <w:tcPr>
            <w:tcW w:w="1455" w:type="dxa"/>
            <w:noWrap/>
            <w:hideMark/>
          </w:tcPr>
          <w:p w:rsidR="006A47F8" w:rsidRPr="00C1266D" w:rsidRDefault="006A47F8" w:rsidP="00165778">
            <w:pPr>
              <w:rPr>
                <w:rFonts w:cstheme="minorHAnsi"/>
                <w:sz w:val="20"/>
                <w:szCs w:val="20"/>
              </w:rPr>
            </w:pPr>
          </w:p>
        </w:tc>
        <w:tc>
          <w:tcPr>
            <w:tcW w:w="907" w:type="dxa"/>
            <w:noWrap/>
            <w:hideMark/>
          </w:tcPr>
          <w:p w:rsidR="006A47F8" w:rsidRPr="00C1266D" w:rsidRDefault="006A47F8" w:rsidP="00165778">
            <w:pPr>
              <w:rPr>
                <w:rFonts w:cstheme="minorHAnsi"/>
                <w:sz w:val="20"/>
                <w:szCs w:val="20"/>
              </w:rPr>
            </w:pPr>
          </w:p>
        </w:tc>
        <w:tc>
          <w:tcPr>
            <w:tcW w:w="1984" w:type="dxa"/>
            <w:noWrap/>
            <w:hideMark/>
          </w:tcPr>
          <w:p w:rsidR="006A47F8" w:rsidRPr="00C1266D" w:rsidRDefault="006A47F8" w:rsidP="00165778">
            <w:pPr>
              <w:rPr>
                <w:rFonts w:cstheme="minorHAnsi"/>
                <w:sz w:val="20"/>
                <w:szCs w:val="20"/>
              </w:rPr>
            </w:pPr>
            <w:r w:rsidRPr="00C1266D">
              <w:rPr>
                <w:rFonts w:cstheme="minorHAnsi"/>
                <w:sz w:val="20"/>
                <w:szCs w:val="20"/>
              </w:rPr>
              <w:t>Maintenance treatment</w:t>
            </w: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11626X</w:t>
            </w:r>
          </w:p>
        </w:tc>
        <w:tc>
          <w:tcPr>
            <w:tcW w:w="907" w:type="dxa"/>
            <w:noWrap/>
            <w:hideMark/>
          </w:tcPr>
          <w:p w:rsidR="006A47F8" w:rsidRPr="00C1266D" w:rsidRDefault="006A47F8" w:rsidP="00165778">
            <w:pPr>
              <w:rPr>
                <w:rFonts w:cstheme="minorHAnsi"/>
                <w:sz w:val="20"/>
                <w:szCs w:val="20"/>
              </w:rPr>
            </w:pPr>
            <w:r w:rsidRPr="00C1266D">
              <w:rPr>
                <w:rFonts w:cstheme="minorHAnsi"/>
                <w:sz w:val="20"/>
                <w:szCs w:val="20"/>
              </w:rPr>
              <w:t>Private</w:t>
            </w: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Injection concentrate for I.V. infusion 100 mg in 10 mL</w:t>
            </w:r>
          </w:p>
        </w:tc>
      </w:tr>
      <w:tr w:rsidR="006A47F8" w:rsidRPr="00C1266D" w:rsidTr="00165778">
        <w:trPr>
          <w:trHeight w:val="300"/>
        </w:trPr>
        <w:tc>
          <w:tcPr>
            <w:tcW w:w="1455" w:type="dxa"/>
            <w:noWrap/>
            <w:hideMark/>
          </w:tcPr>
          <w:p w:rsidR="006A47F8" w:rsidRPr="00C1266D" w:rsidRDefault="006A47F8" w:rsidP="00165778">
            <w:pPr>
              <w:rPr>
                <w:rFonts w:cstheme="minorHAnsi"/>
                <w:sz w:val="20"/>
                <w:szCs w:val="20"/>
              </w:rPr>
            </w:pPr>
          </w:p>
        </w:tc>
        <w:tc>
          <w:tcPr>
            <w:tcW w:w="907" w:type="dxa"/>
            <w:noWrap/>
            <w:hideMark/>
          </w:tcPr>
          <w:p w:rsidR="006A47F8" w:rsidRPr="00C1266D" w:rsidRDefault="006A47F8" w:rsidP="00165778">
            <w:pPr>
              <w:rPr>
                <w:rFonts w:cstheme="minorHAnsi"/>
                <w:sz w:val="20"/>
                <w:szCs w:val="20"/>
              </w:rPr>
            </w:pPr>
          </w:p>
        </w:tc>
        <w:tc>
          <w:tcPr>
            <w:tcW w:w="1984" w:type="dxa"/>
            <w:noWrap/>
            <w:hideMark/>
          </w:tcPr>
          <w:p w:rsidR="006A47F8" w:rsidRPr="00C1266D" w:rsidRDefault="006A47F8" w:rsidP="00165778">
            <w:pPr>
              <w:rPr>
                <w:rFonts w:cstheme="minorHAnsi"/>
                <w:sz w:val="20"/>
                <w:szCs w:val="20"/>
              </w:rPr>
            </w:pP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11642R</w:t>
            </w:r>
          </w:p>
        </w:tc>
        <w:tc>
          <w:tcPr>
            <w:tcW w:w="907" w:type="dxa"/>
            <w:noWrap/>
            <w:hideMark/>
          </w:tcPr>
          <w:p w:rsidR="006A47F8" w:rsidRPr="00C1266D" w:rsidRDefault="006A47F8" w:rsidP="00165778">
            <w:pPr>
              <w:rPr>
                <w:rFonts w:cstheme="minorHAnsi"/>
                <w:sz w:val="20"/>
                <w:szCs w:val="20"/>
              </w:rPr>
            </w:pPr>
            <w:r w:rsidRPr="00C1266D">
              <w:rPr>
                <w:rFonts w:cstheme="minorHAnsi"/>
                <w:sz w:val="20"/>
                <w:szCs w:val="20"/>
              </w:rPr>
              <w:t>Public</w:t>
            </w: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Injection concentrate for I.V. infusion 100 mg in 10 mL</w:t>
            </w:r>
          </w:p>
        </w:tc>
      </w:tr>
      <w:tr w:rsidR="006A47F8" w:rsidRPr="00C1266D" w:rsidTr="00165778">
        <w:trPr>
          <w:trHeight w:val="300"/>
        </w:trPr>
        <w:tc>
          <w:tcPr>
            <w:tcW w:w="1455" w:type="dxa"/>
            <w:noWrap/>
            <w:hideMark/>
          </w:tcPr>
          <w:p w:rsidR="006A47F8" w:rsidRPr="00C1266D" w:rsidRDefault="006A47F8" w:rsidP="00165778">
            <w:pPr>
              <w:rPr>
                <w:rFonts w:cstheme="minorHAnsi"/>
                <w:sz w:val="20"/>
                <w:szCs w:val="20"/>
              </w:rPr>
            </w:pPr>
          </w:p>
        </w:tc>
        <w:tc>
          <w:tcPr>
            <w:tcW w:w="907" w:type="dxa"/>
            <w:noWrap/>
            <w:hideMark/>
          </w:tcPr>
          <w:p w:rsidR="006A47F8" w:rsidRPr="00C1266D" w:rsidRDefault="006A47F8" w:rsidP="00165778">
            <w:pPr>
              <w:rPr>
                <w:rFonts w:cstheme="minorHAnsi"/>
                <w:bCs/>
                <w:sz w:val="20"/>
                <w:szCs w:val="20"/>
              </w:rPr>
            </w:pPr>
            <w:r w:rsidRPr="00C1266D">
              <w:rPr>
                <w:rFonts w:cstheme="minorHAnsi"/>
                <w:bCs/>
                <w:sz w:val="20"/>
                <w:szCs w:val="20"/>
              </w:rPr>
              <w:t>2nd line</w:t>
            </w:r>
          </w:p>
        </w:tc>
        <w:tc>
          <w:tcPr>
            <w:tcW w:w="1984" w:type="dxa"/>
            <w:noWrap/>
          </w:tcPr>
          <w:p w:rsidR="006A47F8" w:rsidRPr="00C1266D" w:rsidRDefault="006A47F8" w:rsidP="00165778">
            <w:pPr>
              <w:rPr>
                <w:rFonts w:cstheme="minorHAnsi"/>
                <w:sz w:val="20"/>
                <w:szCs w:val="20"/>
              </w:rPr>
            </w:pP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11150W</w:t>
            </w:r>
          </w:p>
        </w:tc>
        <w:tc>
          <w:tcPr>
            <w:tcW w:w="907" w:type="dxa"/>
            <w:noWrap/>
            <w:hideMark/>
          </w:tcPr>
          <w:p w:rsidR="006A47F8" w:rsidRPr="00C1266D" w:rsidRDefault="006A47F8" w:rsidP="00165778">
            <w:pPr>
              <w:rPr>
                <w:rFonts w:cstheme="minorHAnsi"/>
                <w:sz w:val="20"/>
                <w:szCs w:val="20"/>
              </w:rPr>
            </w:pPr>
            <w:r w:rsidRPr="00C1266D">
              <w:rPr>
                <w:rFonts w:cstheme="minorHAnsi"/>
                <w:sz w:val="20"/>
                <w:szCs w:val="20"/>
              </w:rPr>
              <w:t>(blank)</w:t>
            </w: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Injection concentrate for I.V. infusion 100 mg in 10 mL</w:t>
            </w:r>
          </w:p>
        </w:tc>
      </w:tr>
      <w:tr w:rsidR="006A47F8" w:rsidRPr="00C1266D" w:rsidTr="00165778">
        <w:trPr>
          <w:trHeight w:val="300"/>
        </w:trPr>
        <w:tc>
          <w:tcPr>
            <w:tcW w:w="1455" w:type="dxa"/>
            <w:noWrap/>
            <w:hideMark/>
          </w:tcPr>
          <w:p w:rsidR="006A47F8" w:rsidRPr="00C1266D" w:rsidRDefault="006A47F8" w:rsidP="00165778">
            <w:pPr>
              <w:rPr>
                <w:rFonts w:cstheme="minorHAnsi"/>
                <w:sz w:val="20"/>
                <w:szCs w:val="20"/>
              </w:rPr>
            </w:pPr>
          </w:p>
        </w:tc>
        <w:tc>
          <w:tcPr>
            <w:tcW w:w="907" w:type="dxa"/>
            <w:noWrap/>
            <w:hideMark/>
          </w:tcPr>
          <w:p w:rsidR="006A47F8" w:rsidRPr="00C1266D" w:rsidRDefault="006A47F8" w:rsidP="00165778">
            <w:pPr>
              <w:rPr>
                <w:rFonts w:cstheme="minorHAnsi"/>
                <w:sz w:val="20"/>
                <w:szCs w:val="20"/>
              </w:rPr>
            </w:pPr>
          </w:p>
        </w:tc>
        <w:tc>
          <w:tcPr>
            <w:tcW w:w="1984" w:type="dxa"/>
            <w:noWrap/>
          </w:tcPr>
          <w:p w:rsidR="006A47F8" w:rsidRPr="00C1266D" w:rsidRDefault="006A47F8" w:rsidP="00165778">
            <w:pPr>
              <w:rPr>
                <w:rFonts w:cstheme="minorHAnsi"/>
                <w:sz w:val="20"/>
                <w:szCs w:val="20"/>
              </w:rPr>
            </w:pP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11157F</w:t>
            </w:r>
          </w:p>
        </w:tc>
        <w:tc>
          <w:tcPr>
            <w:tcW w:w="907" w:type="dxa"/>
            <w:noWrap/>
            <w:hideMark/>
          </w:tcPr>
          <w:p w:rsidR="006A47F8" w:rsidRPr="00C1266D" w:rsidRDefault="006A47F8" w:rsidP="00165778">
            <w:pPr>
              <w:rPr>
                <w:rFonts w:cstheme="minorHAnsi"/>
                <w:sz w:val="20"/>
                <w:szCs w:val="20"/>
              </w:rPr>
            </w:pPr>
            <w:r w:rsidRPr="00C1266D">
              <w:rPr>
                <w:rFonts w:cstheme="minorHAnsi"/>
                <w:sz w:val="20"/>
                <w:szCs w:val="20"/>
              </w:rPr>
              <w:t>(blank)</w:t>
            </w: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Injection concentrate for I.V. infusion 100 mg in 10 mL</w:t>
            </w:r>
          </w:p>
        </w:tc>
      </w:tr>
      <w:tr w:rsidR="006A47F8" w:rsidRPr="00C1266D" w:rsidTr="00165778">
        <w:trPr>
          <w:trHeight w:val="300"/>
        </w:trPr>
        <w:tc>
          <w:tcPr>
            <w:tcW w:w="1455" w:type="dxa"/>
            <w:noWrap/>
            <w:hideMark/>
          </w:tcPr>
          <w:p w:rsidR="006A47F8" w:rsidRPr="00C1266D" w:rsidRDefault="006A47F8" w:rsidP="00165778">
            <w:pPr>
              <w:rPr>
                <w:rFonts w:cstheme="minorHAnsi"/>
                <w:sz w:val="20"/>
                <w:szCs w:val="20"/>
              </w:rPr>
            </w:pPr>
          </w:p>
        </w:tc>
        <w:tc>
          <w:tcPr>
            <w:tcW w:w="907" w:type="dxa"/>
            <w:noWrap/>
            <w:hideMark/>
          </w:tcPr>
          <w:p w:rsidR="006A47F8" w:rsidRPr="00C1266D" w:rsidRDefault="006A47F8" w:rsidP="00165778">
            <w:pPr>
              <w:rPr>
                <w:rFonts w:cstheme="minorHAnsi"/>
                <w:sz w:val="20"/>
                <w:szCs w:val="20"/>
              </w:rPr>
            </w:pPr>
          </w:p>
        </w:tc>
        <w:tc>
          <w:tcPr>
            <w:tcW w:w="1984" w:type="dxa"/>
            <w:noWrap/>
          </w:tcPr>
          <w:p w:rsidR="006A47F8" w:rsidRPr="00C1266D" w:rsidRDefault="006A47F8" w:rsidP="00165778">
            <w:pPr>
              <w:rPr>
                <w:rFonts w:cstheme="minorHAnsi"/>
                <w:sz w:val="20"/>
                <w:szCs w:val="20"/>
              </w:rPr>
            </w:pP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11159H</w:t>
            </w:r>
          </w:p>
        </w:tc>
        <w:tc>
          <w:tcPr>
            <w:tcW w:w="907" w:type="dxa"/>
            <w:noWrap/>
            <w:hideMark/>
          </w:tcPr>
          <w:p w:rsidR="006A47F8" w:rsidRPr="00C1266D" w:rsidRDefault="006A47F8" w:rsidP="00165778">
            <w:pPr>
              <w:rPr>
                <w:rFonts w:cstheme="minorHAnsi"/>
                <w:sz w:val="20"/>
                <w:szCs w:val="20"/>
              </w:rPr>
            </w:pPr>
            <w:r w:rsidRPr="00C1266D">
              <w:rPr>
                <w:rFonts w:cstheme="minorHAnsi"/>
                <w:sz w:val="20"/>
                <w:szCs w:val="20"/>
              </w:rPr>
              <w:t>(blank)</w:t>
            </w: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Injection concentrate for I.V. infusion 100 mg in 10 mL</w:t>
            </w:r>
          </w:p>
        </w:tc>
      </w:tr>
      <w:tr w:rsidR="006A47F8" w:rsidRPr="00C1266D" w:rsidTr="00165778">
        <w:trPr>
          <w:trHeight w:val="300"/>
        </w:trPr>
        <w:tc>
          <w:tcPr>
            <w:tcW w:w="1455" w:type="dxa"/>
            <w:noWrap/>
            <w:hideMark/>
          </w:tcPr>
          <w:p w:rsidR="006A47F8" w:rsidRPr="00C1266D" w:rsidRDefault="006A47F8" w:rsidP="00165778">
            <w:pPr>
              <w:rPr>
                <w:rFonts w:cstheme="minorHAnsi"/>
                <w:sz w:val="20"/>
                <w:szCs w:val="20"/>
              </w:rPr>
            </w:pPr>
          </w:p>
        </w:tc>
        <w:tc>
          <w:tcPr>
            <w:tcW w:w="907" w:type="dxa"/>
            <w:noWrap/>
            <w:hideMark/>
          </w:tcPr>
          <w:p w:rsidR="006A47F8" w:rsidRPr="00C1266D" w:rsidRDefault="006A47F8" w:rsidP="00165778">
            <w:pPr>
              <w:rPr>
                <w:rFonts w:cstheme="minorHAnsi"/>
                <w:sz w:val="20"/>
                <w:szCs w:val="20"/>
              </w:rPr>
            </w:pPr>
          </w:p>
        </w:tc>
        <w:tc>
          <w:tcPr>
            <w:tcW w:w="1984" w:type="dxa"/>
            <w:noWrap/>
          </w:tcPr>
          <w:p w:rsidR="006A47F8" w:rsidRPr="00C1266D" w:rsidRDefault="006A47F8" w:rsidP="00165778">
            <w:pPr>
              <w:rPr>
                <w:rFonts w:cstheme="minorHAnsi"/>
                <w:sz w:val="20"/>
                <w:szCs w:val="20"/>
              </w:rPr>
            </w:pP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11160J</w:t>
            </w:r>
          </w:p>
        </w:tc>
        <w:tc>
          <w:tcPr>
            <w:tcW w:w="907" w:type="dxa"/>
            <w:noWrap/>
            <w:hideMark/>
          </w:tcPr>
          <w:p w:rsidR="006A47F8" w:rsidRPr="00C1266D" w:rsidRDefault="006A47F8" w:rsidP="00165778">
            <w:pPr>
              <w:rPr>
                <w:rFonts w:cstheme="minorHAnsi"/>
                <w:sz w:val="20"/>
                <w:szCs w:val="20"/>
              </w:rPr>
            </w:pPr>
            <w:r w:rsidRPr="00C1266D">
              <w:rPr>
                <w:rFonts w:cstheme="minorHAnsi"/>
                <w:sz w:val="20"/>
                <w:szCs w:val="20"/>
              </w:rPr>
              <w:t>(blank)</w:t>
            </w: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Injection concentrate for I.V. infusion 100 mg in 10 mL</w:t>
            </w:r>
          </w:p>
        </w:tc>
      </w:tr>
      <w:tr w:rsidR="006A47F8" w:rsidRPr="00C1266D" w:rsidTr="00165778">
        <w:trPr>
          <w:trHeight w:val="300"/>
        </w:trPr>
        <w:tc>
          <w:tcPr>
            <w:tcW w:w="1455" w:type="dxa"/>
            <w:noWrap/>
            <w:hideMark/>
          </w:tcPr>
          <w:p w:rsidR="006A47F8" w:rsidRPr="00C1266D" w:rsidRDefault="006A47F8" w:rsidP="00165778">
            <w:pPr>
              <w:rPr>
                <w:rFonts w:cstheme="minorHAnsi"/>
                <w:bCs/>
                <w:sz w:val="20"/>
                <w:szCs w:val="20"/>
              </w:rPr>
            </w:pPr>
            <w:r w:rsidRPr="00C1266D">
              <w:rPr>
                <w:rFonts w:cstheme="minorHAnsi"/>
                <w:bCs/>
                <w:sz w:val="20"/>
                <w:szCs w:val="20"/>
              </w:rPr>
              <w:lastRenderedPageBreak/>
              <w:t>PAZOPANIB</w:t>
            </w:r>
          </w:p>
        </w:tc>
        <w:tc>
          <w:tcPr>
            <w:tcW w:w="907" w:type="dxa"/>
            <w:noWrap/>
            <w:hideMark/>
          </w:tcPr>
          <w:p w:rsidR="006A47F8" w:rsidRPr="00C1266D" w:rsidRDefault="006A47F8" w:rsidP="00165778">
            <w:pPr>
              <w:rPr>
                <w:rFonts w:cstheme="minorHAnsi"/>
                <w:bCs/>
                <w:sz w:val="20"/>
                <w:szCs w:val="20"/>
              </w:rPr>
            </w:pPr>
            <w:r>
              <w:rPr>
                <w:rFonts w:cstheme="minorHAnsi"/>
                <w:bCs/>
                <w:sz w:val="20"/>
                <w:szCs w:val="20"/>
              </w:rPr>
              <w:t>first-</w:t>
            </w:r>
            <w:r w:rsidRPr="00C1266D">
              <w:rPr>
                <w:rFonts w:cstheme="minorHAnsi"/>
                <w:bCs/>
                <w:sz w:val="20"/>
                <w:szCs w:val="20"/>
              </w:rPr>
              <w:t>line</w:t>
            </w:r>
          </w:p>
        </w:tc>
        <w:tc>
          <w:tcPr>
            <w:tcW w:w="1984" w:type="dxa"/>
            <w:noWrap/>
          </w:tcPr>
          <w:p w:rsidR="006A47F8" w:rsidRPr="00C1266D" w:rsidRDefault="006A47F8" w:rsidP="00165778">
            <w:pPr>
              <w:rPr>
                <w:rFonts w:cstheme="minorHAnsi"/>
                <w:sz w:val="20"/>
                <w:szCs w:val="20"/>
              </w:rPr>
            </w:pP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02029T</w:t>
            </w:r>
          </w:p>
        </w:tc>
        <w:tc>
          <w:tcPr>
            <w:tcW w:w="907" w:type="dxa"/>
            <w:noWrap/>
            <w:hideMark/>
          </w:tcPr>
          <w:p w:rsidR="006A47F8" w:rsidRPr="00C1266D" w:rsidRDefault="006A47F8" w:rsidP="00165778">
            <w:pPr>
              <w:rPr>
                <w:rFonts w:cstheme="minorHAnsi"/>
                <w:sz w:val="20"/>
                <w:szCs w:val="20"/>
              </w:rPr>
            </w:pPr>
            <w:r w:rsidRPr="00C1266D">
              <w:rPr>
                <w:rFonts w:cstheme="minorHAnsi"/>
                <w:sz w:val="20"/>
                <w:szCs w:val="20"/>
              </w:rPr>
              <w:t>(blank)</w:t>
            </w: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Tablet 200 mg (as hydrochloride)</w:t>
            </w:r>
          </w:p>
        </w:tc>
      </w:tr>
      <w:tr w:rsidR="006A47F8" w:rsidRPr="00C1266D" w:rsidTr="00165778">
        <w:trPr>
          <w:trHeight w:val="300"/>
        </w:trPr>
        <w:tc>
          <w:tcPr>
            <w:tcW w:w="1455" w:type="dxa"/>
            <w:noWrap/>
            <w:hideMark/>
          </w:tcPr>
          <w:p w:rsidR="006A47F8" w:rsidRPr="00C1266D" w:rsidRDefault="006A47F8" w:rsidP="00165778">
            <w:pPr>
              <w:rPr>
                <w:rFonts w:cstheme="minorHAnsi"/>
                <w:sz w:val="20"/>
                <w:szCs w:val="20"/>
              </w:rPr>
            </w:pPr>
          </w:p>
        </w:tc>
        <w:tc>
          <w:tcPr>
            <w:tcW w:w="907" w:type="dxa"/>
            <w:noWrap/>
            <w:hideMark/>
          </w:tcPr>
          <w:p w:rsidR="006A47F8" w:rsidRPr="00C1266D" w:rsidRDefault="006A47F8" w:rsidP="00165778">
            <w:pPr>
              <w:rPr>
                <w:rFonts w:cstheme="minorHAnsi"/>
                <w:sz w:val="20"/>
                <w:szCs w:val="20"/>
              </w:rPr>
            </w:pPr>
          </w:p>
        </w:tc>
        <w:tc>
          <w:tcPr>
            <w:tcW w:w="1984" w:type="dxa"/>
            <w:noWrap/>
          </w:tcPr>
          <w:p w:rsidR="006A47F8" w:rsidRPr="00C1266D" w:rsidRDefault="006A47F8" w:rsidP="00165778">
            <w:pPr>
              <w:rPr>
                <w:rFonts w:cstheme="minorHAnsi"/>
                <w:sz w:val="20"/>
                <w:szCs w:val="20"/>
              </w:rPr>
            </w:pP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02030W</w:t>
            </w:r>
          </w:p>
        </w:tc>
        <w:tc>
          <w:tcPr>
            <w:tcW w:w="907" w:type="dxa"/>
            <w:noWrap/>
            <w:hideMark/>
          </w:tcPr>
          <w:p w:rsidR="006A47F8" w:rsidRPr="00C1266D" w:rsidRDefault="006A47F8" w:rsidP="00165778">
            <w:pPr>
              <w:rPr>
                <w:rFonts w:cstheme="minorHAnsi"/>
                <w:sz w:val="20"/>
                <w:szCs w:val="20"/>
              </w:rPr>
            </w:pPr>
            <w:r w:rsidRPr="00C1266D">
              <w:rPr>
                <w:rFonts w:cstheme="minorHAnsi"/>
                <w:sz w:val="20"/>
                <w:szCs w:val="20"/>
              </w:rPr>
              <w:t>(blank)</w:t>
            </w: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Tablet 400 mg (as hydrochloride)</w:t>
            </w:r>
          </w:p>
        </w:tc>
      </w:tr>
      <w:tr w:rsidR="006A47F8" w:rsidRPr="00C1266D" w:rsidTr="00165778">
        <w:trPr>
          <w:trHeight w:val="300"/>
        </w:trPr>
        <w:tc>
          <w:tcPr>
            <w:tcW w:w="1455" w:type="dxa"/>
            <w:noWrap/>
            <w:hideMark/>
          </w:tcPr>
          <w:p w:rsidR="006A47F8" w:rsidRPr="00C1266D" w:rsidRDefault="006A47F8" w:rsidP="00165778">
            <w:pPr>
              <w:rPr>
                <w:rFonts w:cstheme="minorHAnsi"/>
                <w:sz w:val="20"/>
                <w:szCs w:val="20"/>
              </w:rPr>
            </w:pPr>
          </w:p>
        </w:tc>
        <w:tc>
          <w:tcPr>
            <w:tcW w:w="907" w:type="dxa"/>
            <w:noWrap/>
            <w:hideMark/>
          </w:tcPr>
          <w:p w:rsidR="006A47F8" w:rsidRPr="00C1266D" w:rsidRDefault="006A47F8" w:rsidP="00165778">
            <w:pPr>
              <w:rPr>
                <w:rFonts w:cstheme="minorHAnsi"/>
                <w:sz w:val="20"/>
                <w:szCs w:val="20"/>
              </w:rPr>
            </w:pPr>
          </w:p>
        </w:tc>
        <w:tc>
          <w:tcPr>
            <w:tcW w:w="1984" w:type="dxa"/>
            <w:noWrap/>
          </w:tcPr>
          <w:p w:rsidR="006A47F8" w:rsidRPr="00C1266D" w:rsidRDefault="006A47F8" w:rsidP="00165778">
            <w:pPr>
              <w:rPr>
                <w:rFonts w:cstheme="minorHAnsi"/>
                <w:sz w:val="20"/>
                <w:szCs w:val="20"/>
              </w:rPr>
            </w:pP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02034C</w:t>
            </w:r>
          </w:p>
        </w:tc>
        <w:tc>
          <w:tcPr>
            <w:tcW w:w="907" w:type="dxa"/>
            <w:noWrap/>
            <w:hideMark/>
          </w:tcPr>
          <w:p w:rsidR="006A47F8" w:rsidRPr="00C1266D" w:rsidRDefault="006A47F8" w:rsidP="00165778">
            <w:pPr>
              <w:rPr>
                <w:rFonts w:cstheme="minorHAnsi"/>
                <w:sz w:val="20"/>
                <w:szCs w:val="20"/>
              </w:rPr>
            </w:pPr>
            <w:r w:rsidRPr="00C1266D">
              <w:rPr>
                <w:rFonts w:cstheme="minorHAnsi"/>
                <w:sz w:val="20"/>
                <w:szCs w:val="20"/>
              </w:rPr>
              <w:t>(blank)</w:t>
            </w: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Tablet 200 mg (as hydrochloride)</w:t>
            </w:r>
          </w:p>
        </w:tc>
      </w:tr>
      <w:tr w:rsidR="006A47F8" w:rsidRPr="00C1266D" w:rsidTr="00165778">
        <w:trPr>
          <w:trHeight w:val="300"/>
        </w:trPr>
        <w:tc>
          <w:tcPr>
            <w:tcW w:w="1455" w:type="dxa"/>
            <w:noWrap/>
            <w:hideMark/>
          </w:tcPr>
          <w:p w:rsidR="006A47F8" w:rsidRPr="00C1266D" w:rsidRDefault="006A47F8" w:rsidP="00165778">
            <w:pPr>
              <w:rPr>
                <w:rFonts w:cstheme="minorHAnsi"/>
                <w:sz w:val="20"/>
                <w:szCs w:val="20"/>
              </w:rPr>
            </w:pPr>
          </w:p>
        </w:tc>
        <w:tc>
          <w:tcPr>
            <w:tcW w:w="907" w:type="dxa"/>
            <w:noWrap/>
            <w:hideMark/>
          </w:tcPr>
          <w:p w:rsidR="006A47F8" w:rsidRPr="00C1266D" w:rsidRDefault="006A47F8" w:rsidP="00165778">
            <w:pPr>
              <w:rPr>
                <w:rFonts w:cstheme="minorHAnsi"/>
                <w:sz w:val="20"/>
                <w:szCs w:val="20"/>
              </w:rPr>
            </w:pPr>
          </w:p>
        </w:tc>
        <w:tc>
          <w:tcPr>
            <w:tcW w:w="1984" w:type="dxa"/>
            <w:noWrap/>
          </w:tcPr>
          <w:p w:rsidR="006A47F8" w:rsidRPr="00C1266D" w:rsidRDefault="006A47F8" w:rsidP="00165778">
            <w:pPr>
              <w:rPr>
                <w:rFonts w:cstheme="minorHAnsi"/>
                <w:sz w:val="20"/>
                <w:szCs w:val="20"/>
              </w:rPr>
            </w:pP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02035D</w:t>
            </w:r>
          </w:p>
        </w:tc>
        <w:tc>
          <w:tcPr>
            <w:tcW w:w="907" w:type="dxa"/>
            <w:noWrap/>
            <w:hideMark/>
          </w:tcPr>
          <w:p w:rsidR="006A47F8" w:rsidRPr="00C1266D" w:rsidRDefault="006A47F8" w:rsidP="00165778">
            <w:pPr>
              <w:rPr>
                <w:rFonts w:cstheme="minorHAnsi"/>
                <w:sz w:val="20"/>
                <w:szCs w:val="20"/>
              </w:rPr>
            </w:pPr>
            <w:r w:rsidRPr="00C1266D">
              <w:rPr>
                <w:rFonts w:cstheme="minorHAnsi"/>
                <w:sz w:val="20"/>
                <w:szCs w:val="20"/>
              </w:rPr>
              <w:t>(blank)</w:t>
            </w: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Tablet 400 mg (as hydrochloride)</w:t>
            </w:r>
          </w:p>
        </w:tc>
      </w:tr>
      <w:tr w:rsidR="006A47F8" w:rsidRPr="00C1266D" w:rsidTr="00165778">
        <w:trPr>
          <w:trHeight w:val="300"/>
        </w:trPr>
        <w:tc>
          <w:tcPr>
            <w:tcW w:w="1455" w:type="dxa"/>
            <w:noWrap/>
            <w:hideMark/>
          </w:tcPr>
          <w:p w:rsidR="006A47F8" w:rsidRPr="00C1266D" w:rsidRDefault="006A47F8" w:rsidP="00165778">
            <w:pPr>
              <w:rPr>
                <w:rFonts w:cstheme="minorHAnsi"/>
                <w:sz w:val="20"/>
                <w:szCs w:val="20"/>
              </w:rPr>
            </w:pPr>
          </w:p>
        </w:tc>
        <w:tc>
          <w:tcPr>
            <w:tcW w:w="907" w:type="dxa"/>
            <w:noWrap/>
            <w:hideMark/>
          </w:tcPr>
          <w:p w:rsidR="006A47F8" w:rsidRPr="00C1266D" w:rsidRDefault="006A47F8" w:rsidP="00165778">
            <w:pPr>
              <w:rPr>
                <w:rFonts w:cstheme="minorHAnsi"/>
                <w:sz w:val="20"/>
                <w:szCs w:val="20"/>
              </w:rPr>
            </w:pPr>
          </w:p>
        </w:tc>
        <w:tc>
          <w:tcPr>
            <w:tcW w:w="1984" w:type="dxa"/>
            <w:noWrap/>
          </w:tcPr>
          <w:p w:rsidR="006A47F8" w:rsidRPr="00C1266D" w:rsidRDefault="006A47F8" w:rsidP="00165778">
            <w:pPr>
              <w:rPr>
                <w:rFonts w:cstheme="minorHAnsi"/>
                <w:sz w:val="20"/>
                <w:szCs w:val="20"/>
              </w:rPr>
            </w:pP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02201W</w:t>
            </w:r>
          </w:p>
        </w:tc>
        <w:tc>
          <w:tcPr>
            <w:tcW w:w="907" w:type="dxa"/>
            <w:noWrap/>
            <w:hideMark/>
          </w:tcPr>
          <w:p w:rsidR="006A47F8" w:rsidRPr="00C1266D" w:rsidRDefault="006A47F8" w:rsidP="00165778">
            <w:pPr>
              <w:rPr>
                <w:rFonts w:cstheme="minorHAnsi"/>
                <w:sz w:val="20"/>
                <w:szCs w:val="20"/>
              </w:rPr>
            </w:pPr>
            <w:r w:rsidRPr="00C1266D">
              <w:rPr>
                <w:rFonts w:cstheme="minorHAnsi"/>
                <w:sz w:val="20"/>
                <w:szCs w:val="20"/>
              </w:rPr>
              <w:t>(blank)</w:t>
            </w: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Tablet 400 mg (as hydrochloride)</w:t>
            </w:r>
          </w:p>
        </w:tc>
      </w:tr>
      <w:tr w:rsidR="006A47F8" w:rsidRPr="00C1266D" w:rsidTr="00165778">
        <w:trPr>
          <w:trHeight w:val="300"/>
        </w:trPr>
        <w:tc>
          <w:tcPr>
            <w:tcW w:w="1455" w:type="dxa"/>
            <w:noWrap/>
            <w:hideMark/>
          </w:tcPr>
          <w:p w:rsidR="006A47F8" w:rsidRPr="00C1266D" w:rsidRDefault="006A47F8" w:rsidP="00165778">
            <w:pPr>
              <w:rPr>
                <w:rFonts w:cstheme="minorHAnsi"/>
                <w:sz w:val="20"/>
                <w:szCs w:val="20"/>
              </w:rPr>
            </w:pPr>
          </w:p>
        </w:tc>
        <w:tc>
          <w:tcPr>
            <w:tcW w:w="907" w:type="dxa"/>
            <w:noWrap/>
            <w:hideMark/>
          </w:tcPr>
          <w:p w:rsidR="006A47F8" w:rsidRPr="00C1266D" w:rsidRDefault="006A47F8" w:rsidP="00165778">
            <w:pPr>
              <w:rPr>
                <w:rFonts w:cstheme="minorHAnsi"/>
                <w:sz w:val="20"/>
                <w:szCs w:val="20"/>
              </w:rPr>
            </w:pPr>
          </w:p>
        </w:tc>
        <w:tc>
          <w:tcPr>
            <w:tcW w:w="1984" w:type="dxa"/>
            <w:noWrap/>
          </w:tcPr>
          <w:p w:rsidR="006A47F8" w:rsidRPr="00C1266D" w:rsidRDefault="006A47F8" w:rsidP="00165778">
            <w:pPr>
              <w:rPr>
                <w:rFonts w:cstheme="minorHAnsi"/>
                <w:sz w:val="20"/>
                <w:szCs w:val="20"/>
              </w:rPr>
            </w:pP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02232L</w:t>
            </w:r>
          </w:p>
        </w:tc>
        <w:tc>
          <w:tcPr>
            <w:tcW w:w="907" w:type="dxa"/>
            <w:noWrap/>
            <w:hideMark/>
          </w:tcPr>
          <w:p w:rsidR="006A47F8" w:rsidRPr="00C1266D" w:rsidRDefault="006A47F8" w:rsidP="00165778">
            <w:pPr>
              <w:rPr>
                <w:rFonts w:cstheme="minorHAnsi"/>
                <w:sz w:val="20"/>
                <w:szCs w:val="20"/>
              </w:rPr>
            </w:pPr>
            <w:r w:rsidRPr="00C1266D">
              <w:rPr>
                <w:rFonts w:cstheme="minorHAnsi"/>
                <w:sz w:val="20"/>
                <w:szCs w:val="20"/>
              </w:rPr>
              <w:t>(blank)</w:t>
            </w: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Tablet 200 mg (as hydrochloride)</w:t>
            </w:r>
          </w:p>
        </w:tc>
      </w:tr>
      <w:tr w:rsidR="006A47F8" w:rsidRPr="00C1266D" w:rsidTr="00165778">
        <w:trPr>
          <w:trHeight w:val="300"/>
        </w:trPr>
        <w:tc>
          <w:tcPr>
            <w:tcW w:w="1455" w:type="dxa"/>
            <w:noWrap/>
            <w:hideMark/>
          </w:tcPr>
          <w:p w:rsidR="006A47F8" w:rsidRPr="00C1266D" w:rsidRDefault="006A47F8" w:rsidP="00165778">
            <w:pPr>
              <w:rPr>
                <w:rFonts w:cstheme="minorHAnsi"/>
                <w:sz w:val="20"/>
                <w:szCs w:val="20"/>
              </w:rPr>
            </w:pPr>
          </w:p>
        </w:tc>
        <w:tc>
          <w:tcPr>
            <w:tcW w:w="907" w:type="dxa"/>
            <w:noWrap/>
            <w:hideMark/>
          </w:tcPr>
          <w:p w:rsidR="006A47F8" w:rsidRPr="00C1266D" w:rsidRDefault="006A47F8" w:rsidP="00165778">
            <w:pPr>
              <w:rPr>
                <w:rFonts w:cstheme="minorHAnsi"/>
                <w:sz w:val="20"/>
                <w:szCs w:val="20"/>
              </w:rPr>
            </w:pPr>
          </w:p>
        </w:tc>
        <w:tc>
          <w:tcPr>
            <w:tcW w:w="1984" w:type="dxa"/>
            <w:noWrap/>
          </w:tcPr>
          <w:p w:rsidR="006A47F8" w:rsidRPr="00C1266D" w:rsidRDefault="006A47F8" w:rsidP="00165778">
            <w:pPr>
              <w:rPr>
                <w:rFonts w:cstheme="minorHAnsi"/>
                <w:sz w:val="20"/>
                <w:szCs w:val="20"/>
              </w:rPr>
            </w:pP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11252F</w:t>
            </w:r>
          </w:p>
        </w:tc>
        <w:tc>
          <w:tcPr>
            <w:tcW w:w="907" w:type="dxa"/>
            <w:noWrap/>
            <w:hideMark/>
          </w:tcPr>
          <w:p w:rsidR="006A47F8" w:rsidRPr="00C1266D" w:rsidRDefault="006A47F8" w:rsidP="00165778">
            <w:pPr>
              <w:rPr>
                <w:rFonts w:cstheme="minorHAnsi"/>
                <w:sz w:val="20"/>
                <w:szCs w:val="20"/>
              </w:rPr>
            </w:pPr>
            <w:r w:rsidRPr="00C1266D">
              <w:rPr>
                <w:rFonts w:cstheme="minorHAnsi"/>
                <w:sz w:val="20"/>
                <w:szCs w:val="20"/>
              </w:rPr>
              <w:t>(blank)</w:t>
            </w: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Tablet 200 mg (as hydrochloride)</w:t>
            </w:r>
          </w:p>
        </w:tc>
      </w:tr>
      <w:tr w:rsidR="006A47F8" w:rsidRPr="00C1266D" w:rsidTr="00165778">
        <w:trPr>
          <w:trHeight w:val="300"/>
        </w:trPr>
        <w:tc>
          <w:tcPr>
            <w:tcW w:w="1455" w:type="dxa"/>
            <w:noWrap/>
            <w:hideMark/>
          </w:tcPr>
          <w:p w:rsidR="006A47F8" w:rsidRPr="00C1266D" w:rsidRDefault="006A47F8" w:rsidP="00165778">
            <w:pPr>
              <w:rPr>
                <w:rFonts w:cstheme="minorHAnsi"/>
                <w:sz w:val="20"/>
                <w:szCs w:val="20"/>
              </w:rPr>
            </w:pPr>
          </w:p>
        </w:tc>
        <w:tc>
          <w:tcPr>
            <w:tcW w:w="907" w:type="dxa"/>
            <w:noWrap/>
            <w:hideMark/>
          </w:tcPr>
          <w:p w:rsidR="006A47F8" w:rsidRPr="00C1266D" w:rsidRDefault="006A47F8" w:rsidP="00165778">
            <w:pPr>
              <w:rPr>
                <w:rFonts w:cstheme="minorHAnsi"/>
                <w:sz w:val="20"/>
                <w:szCs w:val="20"/>
              </w:rPr>
            </w:pPr>
          </w:p>
        </w:tc>
        <w:tc>
          <w:tcPr>
            <w:tcW w:w="1984" w:type="dxa"/>
            <w:noWrap/>
          </w:tcPr>
          <w:p w:rsidR="006A47F8" w:rsidRPr="00C1266D" w:rsidRDefault="006A47F8" w:rsidP="00165778">
            <w:pPr>
              <w:rPr>
                <w:rFonts w:cstheme="minorHAnsi"/>
                <w:sz w:val="20"/>
                <w:szCs w:val="20"/>
              </w:rPr>
            </w:pP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11261Q</w:t>
            </w:r>
          </w:p>
        </w:tc>
        <w:tc>
          <w:tcPr>
            <w:tcW w:w="907" w:type="dxa"/>
            <w:noWrap/>
            <w:hideMark/>
          </w:tcPr>
          <w:p w:rsidR="006A47F8" w:rsidRPr="00C1266D" w:rsidRDefault="006A47F8" w:rsidP="00165778">
            <w:pPr>
              <w:rPr>
                <w:rFonts w:cstheme="minorHAnsi"/>
                <w:sz w:val="20"/>
                <w:szCs w:val="20"/>
              </w:rPr>
            </w:pPr>
            <w:r w:rsidRPr="00C1266D">
              <w:rPr>
                <w:rFonts w:cstheme="minorHAnsi"/>
                <w:sz w:val="20"/>
                <w:szCs w:val="20"/>
              </w:rPr>
              <w:t>(blank)</w:t>
            </w: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Tablet 400 mg (as hydrochloride)</w:t>
            </w:r>
          </w:p>
        </w:tc>
      </w:tr>
      <w:tr w:rsidR="006A47F8" w:rsidRPr="00C1266D" w:rsidTr="00165778">
        <w:trPr>
          <w:trHeight w:val="300"/>
        </w:trPr>
        <w:tc>
          <w:tcPr>
            <w:tcW w:w="1455" w:type="dxa"/>
            <w:noWrap/>
            <w:hideMark/>
          </w:tcPr>
          <w:p w:rsidR="006A47F8" w:rsidRPr="00C1266D" w:rsidRDefault="006A47F8" w:rsidP="00165778">
            <w:pPr>
              <w:rPr>
                <w:rFonts w:cstheme="minorHAnsi"/>
                <w:bCs/>
                <w:sz w:val="20"/>
                <w:szCs w:val="20"/>
              </w:rPr>
            </w:pPr>
            <w:r w:rsidRPr="00C1266D">
              <w:rPr>
                <w:rFonts w:cstheme="minorHAnsi"/>
                <w:bCs/>
                <w:sz w:val="20"/>
                <w:szCs w:val="20"/>
              </w:rPr>
              <w:t>SORAFENIB</w:t>
            </w:r>
          </w:p>
        </w:tc>
        <w:tc>
          <w:tcPr>
            <w:tcW w:w="907" w:type="dxa"/>
            <w:noWrap/>
            <w:hideMark/>
          </w:tcPr>
          <w:p w:rsidR="006A47F8" w:rsidRPr="00C1266D" w:rsidRDefault="006A47F8" w:rsidP="00165778">
            <w:pPr>
              <w:rPr>
                <w:rFonts w:cstheme="minorHAnsi"/>
                <w:bCs/>
                <w:sz w:val="20"/>
                <w:szCs w:val="20"/>
              </w:rPr>
            </w:pPr>
            <w:r w:rsidRPr="00C1266D">
              <w:rPr>
                <w:rFonts w:cstheme="minorHAnsi"/>
                <w:bCs/>
                <w:sz w:val="20"/>
                <w:szCs w:val="20"/>
              </w:rPr>
              <w:t>2nd line</w:t>
            </w:r>
          </w:p>
        </w:tc>
        <w:tc>
          <w:tcPr>
            <w:tcW w:w="1984" w:type="dxa"/>
            <w:noWrap/>
          </w:tcPr>
          <w:p w:rsidR="006A47F8" w:rsidRPr="00C1266D" w:rsidRDefault="006A47F8" w:rsidP="00165778">
            <w:pPr>
              <w:rPr>
                <w:rFonts w:cstheme="minorHAnsi"/>
                <w:sz w:val="20"/>
                <w:szCs w:val="20"/>
              </w:rPr>
            </w:pP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10226F</w:t>
            </w:r>
          </w:p>
        </w:tc>
        <w:tc>
          <w:tcPr>
            <w:tcW w:w="907" w:type="dxa"/>
            <w:noWrap/>
            <w:hideMark/>
          </w:tcPr>
          <w:p w:rsidR="006A47F8" w:rsidRPr="00C1266D" w:rsidRDefault="006A47F8" w:rsidP="00165778">
            <w:pPr>
              <w:rPr>
                <w:rFonts w:cstheme="minorHAnsi"/>
                <w:sz w:val="20"/>
                <w:szCs w:val="20"/>
              </w:rPr>
            </w:pPr>
            <w:r w:rsidRPr="00C1266D">
              <w:rPr>
                <w:rFonts w:cstheme="minorHAnsi"/>
                <w:sz w:val="20"/>
                <w:szCs w:val="20"/>
              </w:rPr>
              <w:t>(blank)</w:t>
            </w: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Tablet 200 mg (as tosilate)</w:t>
            </w:r>
          </w:p>
        </w:tc>
      </w:tr>
      <w:tr w:rsidR="006A47F8" w:rsidRPr="00C1266D" w:rsidTr="00165778">
        <w:trPr>
          <w:trHeight w:val="300"/>
        </w:trPr>
        <w:tc>
          <w:tcPr>
            <w:tcW w:w="1455" w:type="dxa"/>
            <w:noWrap/>
            <w:hideMark/>
          </w:tcPr>
          <w:p w:rsidR="006A47F8" w:rsidRPr="00C1266D" w:rsidRDefault="006A47F8" w:rsidP="00165778">
            <w:pPr>
              <w:rPr>
                <w:rFonts w:cstheme="minorHAnsi"/>
                <w:sz w:val="20"/>
                <w:szCs w:val="20"/>
              </w:rPr>
            </w:pPr>
          </w:p>
        </w:tc>
        <w:tc>
          <w:tcPr>
            <w:tcW w:w="907" w:type="dxa"/>
            <w:noWrap/>
            <w:hideMark/>
          </w:tcPr>
          <w:p w:rsidR="006A47F8" w:rsidRPr="00C1266D" w:rsidRDefault="006A47F8" w:rsidP="00165778">
            <w:pPr>
              <w:rPr>
                <w:rFonts w:cstheme="minorHAnsi"/>
                <w:sz w:val="20"/>
                <w:szCs w:val="20"/>
              </w:rPr>
            </w:pPr>
          </w:p>
        </w:tc>
        <w:tc>
          <w:tcPr>
            <w:tcW w:w="1984" w:type="dxa"/>
            <w:noWrap/>
          </w:tcPr>
          <w:p w:rsidR="006A47F8" w:rsidRPr="00C1266D" w:rsidRDefault="006A47F8" w:rsidP="00165778">
            <w:pPr>
              <w:rPr>
                <w:rFonts w:cstheme="minorHAnsi"/>
                <w:sz w:val="20"/>
                <w:szCs w:val="20"/>
              </w:rPr>
            </w:pP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10242C</w:t>
            </w:r>
          </w:p>
        </w:tc>
        <w:tc>
          <w:tcPr>
            <w:tcW w:w="907" w:type="dxa"/>
            <w:noWrap/>
            <w:hideMark/>
          </w:tcPr>
          <w:p w:rsidR="006A47F8" w:rsidRPr="00C1266D" w:rsidRDefault="006A47F8" w:rsidP="00165778">
            <w:pPr>
              <w:rPr>
                <w:rFonts w:cstheme="minorHAnsi"/>
                <w:sz w:val="20"/>
                <w:szCs w:val="20"/>
              </w:rPr>
            </w:pPr>
            <w:r w:rsidRPr="00C1266D">
              <w:rPr>
                <w:rFonts w:cstheme="minorHAnsi"/>
                <w:sz w:val="20"/>
                <w:szCs w:val="20"/>
              </w:rPr>
              <w:t>(blank)</w:t>
            </w: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Tablet 200 mg (as tosilate)</w:t>
            </w:r>
          </w:p>
        </w:tc>
      </w:tr>
      <w:tr w:rsidR="006A47F8" w:rsidRPr="00C1266D" w:rsidTr="00165778">
        <w:trPr>
          <w:trHeight w:val="300"/>
        </w:trPr>
        <w:tc>
          <w:tcPr>
            <w:tcW w:w="1455" w:type="dxa"/>
            <w:noWrap/>
            <w:hideMark/>
          </w:tcPr>
          <w:p w:rsidR="006A47F8" w:rsidRPr="00C1266D" w:rsidRDefault="006A47F8" w:rsidP="00165778">
            <w:pPr>
              <w:rPr>
                <w:rFonts w:cstheme="minorHAnsi"/>
                <w:bCs/>
                <w:sz w:val="20"/>
                <w:szCs w:val="20"/>
              </w:rPr>
            </w:pPr>
            <w:r w:rsidRPr="00C1266D">
              <w:rPr>
                <w:rFonts w:cstheme="minorHAnsi"/>
                <w:bCs/>
                <w:sz w:val="20"/>
                <w:szCs w:val="20"/>
              </w:rPr>
              <w:t>SUNITINIB</w:t>
            </w:r>
          </w:p>
        </w:tc>
        <w:tc>
          <w:tcPr>
            <w:tcW w:w="907" w:type="dxa"/>
            <w:noWrap/>
            <w:hideMark/>
          </w:tcPr>
          <w:p w:rsidR="006A47F8" w:rsidRPr="00C1266D" w:rsidRDefault="006A47F8" w:rsidP="00165778">
            <w:pPr>
              <w:rPr>
                <w:rFonts w:cstheme="minorHAnsi"/>
                <w:bCs/>
                <w:sz w:val="20"/>
                <w:szCs w:val="20"/>
              </w:rPr>
            </w:pPr>
            <w:r>
              <w:rPr>
                <w:rFonts w:cstheme="minorHAnsi"/>
                <w:bCs/>
                <w:sz w:val="20"/>
                <w:szCs w:val="20"/>
              </w:rPr>
              <w:t>first-</w:t>
            </w:r>
            <w:r w:rsidRPr="00C1266D">
              <w:rPr>
                <w:rFonts w:cstheme="minorHAnsi"/>
                <w:bCs/>
                <w:sz w:val="20"/>
                <w:szCs w:val="20"/>
              </w:rPr>
              <w:t>line</w:t>
            </w:r>
          </w:p>
        </w:tc>
        <w:tc>
          <w:tcPr>
            <w:tcW w:w="1984" w:type="dxa"/>
            <w:noWrap/>
          </w:tcPr>
          <w:p w:rsidR="006A47F8" w:rsidRPr="00C1266D" w:rsidRDefault="006A47F8" w:rsidP="00165778">
            <w:pPr>
              <w:rPr>
                <w:rFonts w:cstheme="minorHAnsi"/>
                <w:sz w:val="20"/>
                <w:szCs w:val="20"/>
              </w:rPr>
            </w:pP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09417P</w:t>
            </w:r>
          </w:p>
        </w:tc>
        <w:tc>
          <w:tcPr>
            <w:tcW w:w="907" w:type="dxa"/>
            <w:noWrap/>
            <w:hideMark/>
          </w:tcPr>
          <w:p w:rsidR="006A47F8" w:rsidRPr="00C1266D" w:rsidRDefault="006A47F8" w:rsidP="00165778">
            <w:pPr>
              <w:rPr>
                <w:rFonts w:cstheme="minorHAnsi"/>
                <w:sz w:val="20"/>
                <w:szCs w:val="20"/>
              </w:rPr>
            </w:pPr>
            <w:r w:rsidRPr="00C1266D">
              <w:rPr>
                <w:rFonts w:cstheme="minorHAnsi"/>
                <w:sz w:val="20"/>
                <w:szCs w:val="20"/>
              </w:rPr>
              <w:t>(blank)</w:t>
            </w: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Capsule 12.5 mg (as malate)</w:t>
            </w:r>
          </w:p>
        </w:tc>
      </w:tr>
      <w:tr w:rsidR="006A47F8" w:rsidRPr="00C1266D" w:rsidTr="00165778">
        <w:trPr>
          <w:trHeight w:val="300"/>
        </w:trPr>
        <w:tc>
          <w:tcPr>
            <w:tcW w:w="1455" w:type="dxa"/>
            <w:noWrap/>
            <w:hideMark/>
          </w:tcPr>
          <w:p w:rsidR="006A47F8" w:rsidRPr="00C1266D" w:rsidRDefault="006A47F8" w:rsidP="00165778">
            <w:pPr>
              <w:rPr>
                <w:rFonts w:cstheme="minorHAnsi"/>
                <w:sz w:val="20"/>
                <w:szCs w:val="20"/>
              </w:rPr>
            </w:pPr>
          </w:p>
        </w:tc>
        <w:tc>
          <w:tcPr>
            <w:tcW w:w="907" w:type="dxa"/>
            <w:noWrap/>
            <w:hideMark/>
          </w:tcPr>
          <w:p w:rsidR="006A47F8" w:rsidRPr="00C1266D" w:rsidRDefault="006A47F8" w:rsidP="00165778">
            <w:pPr>
              <w:rPr>
                <w:rFonts w:cstheme="minorHAnsi"/>
                <w:sz w:val="20"/>
                <w:szCs w:val="20"/>
              </w:rPr>
            </w:pPr>
          </w:p>
        </w:tc>
        <w:tc>
          <w:tcPr>
            <w:tcW w:w="1984" w:type="dxa"/>
            <w:noWrap/>
          </w:tcPr>
          <w:p w:rsidR="006A47F8" w:rsidRPr="00C1266D" w:rsidRDefault="006A47F8" w:rsidP="00165778">
            <w:pPr>
              <w:rPr>
                <w:rFonts w:cstheme="minorHAnsi"/>
                <w:sz w:val="20"/>
                <w:szCs w:val="20"/>
              </w:rPr>
            </w:pP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09418Q</w:t>
            </w:r>
          </w:p>
        </w:tc>
        <w:tc>
          <w:tcPr>
            <w:tcW w:w="907" w:type="dxa"/>
            <w:noWrap/>
            <w:hideMark/>
          </w:tcPr>
          <w:p w:rsidR="006A47F8" w:rsidRPr="00C1266D" w:rsidRDefault="006A47F8" w:rsidP="00165778">
            <w:pPr>
              <w:rPr>
                <w:rFonts w:cstheme="minorHAnsi"/>
                <w:sz w:val="20"/>
                <w:szCs w:val="20"/>
              </w:rPr>
            </w:pPr>
            <w:r w:rsidRPr="00C1266D">
              <w:rPr>
                <w:rFonts w:cstheme="minorHAnsi"/>
                <w:sz w:val="20"/>
                <w:szCs w:val="20"/>
              </w:rPr>
              <w:t>(blank)</w:t>
            </w: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Capsule 25 mg (as malate)</w:t>
            </w:r>
          </w:p>
        </w:tc>
      </w:tr>
      <w:tr w:rsidR="006A47F8" w:rsidRPr="00C1266D" w:rsidTr="00165778">
        <w:trPr>
          <w:trHeight w:val="300"/>
        </w:trPr>
        <w:tc>
          <w:tcPr>
            <w:tcW w:w="1455" w:type="dxa"/>
            <w:noWrap/>
            <w:hideMark/>
          </w:tcPr>
          <w:p w:rsidR="006A47F8" w:rsidRPr="00C1266D" w:rsidRDefault="006A47F8" w:rsidP="00165778">
            <w:pPr>
              <w:rPr>
                <w:rFonts w:cstheme="minorHAnsi"/>
                <w:sz w:val="20"/>
                <w:szCs w:val="20"/>
              </w:rPr>
            </w:pPr>
          </w:p>
        </w:tc>
        <w:tc>
          <w:tcPr>
            <w:tcW w:w="907" w:type="dxa"/>
            <w:noWrap/>
            <w:hideMark/>
          </w:tcPr>
          <w:p w:rsidR="006A47F8" w:rsidRPr="00C1266D" w:rsidRDefault="006A47F8" w:rsidP="00165778">
            <w:pPr>
              <w:rPr>
                <w:rFonts w:cstheme="minorHAnsi"/>
                <w:sz w:val="20"/>
                <w:szCs w:val="20"/>
              </w:rPr>
            </w:pPr>
          </w:p>
        </w:tc>
        <w:tc>
          <w:tcPr>
            <w:tcW w:w="1984" w:type="dxa"/>
            <w:noWrap/>
          </w:tcPr>
          <w:p w:rsidR="006A47F8" w:rsidRPr="00C1266D" w:rsidRDefault="006A47F8" w:rsidP="00165778">
            <w:pPr>
              <w:rPr>
                <w:rFonts w:cstheme="minorHAnsi"/>
                <w:sz w:val="20"/>
                <w:szCs w:val="20"/>
              </w:rPr>
            </w:pP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09419R</w:t>
            </w:r>
          </w:p>
        </w:tc>
        <w:tc>
          <w:tcPr>
            <w:tcW w:w="907" w:type="dxa"/>
            <w:noWrap/>
            <w:hideMark/>
          </w:tcPr>
          <w:p w:rsidR="006A47F8" w:rsidRPr="00C1266D" w:rsidRDefault="006A47F8" w:rsidP="00165778">
            <w:pPr>
              <w:rPr>
                <w:rFonts w:cstheme="minorHAnsi"/>
                <w:sz w:val="20"/>
                <w:szCs w:val="20"/>
              </w:rPr>
            </w:pPr>
            <w:r w:rsidRPr="00C1266D">
              <w:rPr>
                <w:rFonts w:cstheme="minorHAnsi"/>
                <w:sz w:val="20"/>
                <w:szCs w:val="20"/>
              </w:rPr>
              <w:t>(blank)</w:t>
            </w: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Capsule 50 mg (as malate)</w:t>
            </w:r>
          </w:p>
        </w:tc>
      </w:tr>
      <w:tr w:rsidR="006A47F8" w:rsidRPr="00C1266D" w:rsidTr="00165778">
        <w:trPr>
          <w:trHeight w:val="300"/>
        </w:trPr>
        <w:tc>
          <w:tcPr>
            <w:tcW w:w="1455" w:type="dxa"/>
            <w:noWrap/>
            <w:hideMark/>
          </w:tcPr>
          <w:p w:rsidR="006A47F8" w:rsidRPr="00C1266D" w:rsidRDefault="006A47F8" w:rsidP="00165778">
            <w:pPr>
              <w:rPr>
                <w:rFonts w:cstheme="minorHAnsi"/>
                <w:sz w:val="20"/>
                <w:szCs w:val="20"/>
              </w:rPr>
            </w:pPr>
          </w:p>
        </w:tc>
        <w:tc>
          <w:tcPr>
            <w:tcW w:w="907" w:type="dxa"/>
            <w:noWrap/>
            <w:hideMark/>
          </w:tcPr>
          <w:p w:rsidR="006A47F8" w:rsidRPr="00C1266D" w:rsidRDefault="006A47F8" w:rsidP="00165778">
            <w:pPr>
              <w:rPr>
                <w:rFonts w:cstheme="minorHAnsi"/>
                <w:sz w:val="20"/>
                <w:szCs w:val="20"/>
              </w:rPr>
            </w:pPr>
          </w:p>
        </w:tc>
        <w:tc>
          <w:tcPr>
            <w:tcW w:w="1984" w:type="dxa"/>
            <w:noWrap/>
          </w:tcPr>
          <w:p w:rsidR="006A47F8" w:rsidRPr="00C1266D" w:rsidRDefault="006A47F8" w:rsidP="00165778">
            <w:pPr>
              <w:rPr>
                <w:rFonts w:cstheme="minorHAnsi"/>
                <w:sz w:val="20"/>
                <w:szCs w:val="20"/>
              </w:rPr>
            </w:pP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09420T</w:t>
            </w:r>
          </w:p>
        </w:tc>
        <w:tc>
          <w:tcPr>
            <w:tcW w:w="907" w:type="dxa"/>
            <w:noWrap/>
            <w:hideMark/>
          </w:tcPr>
          <w:p w:rsidR="006A47F8" w:rsidRPr="00C1266D" w:rsidRDefault="006A47F8" w:rsidP="00165778">
            <w:pPr>
              <w:rPr>
                <w:rFonts w:cstheme="minorHAnsi"/>
                <w:sz w:val="20"/>
                <w:szCs w:val="20"/>
              </w:rPr>
            </w:pPr>
            <w:r w:rsidRPr="00C1266D">
              <w:rPr>
                <w:rFonts w:cstheme="minorHAnsi"/>
                <w:sz w:val="20"/>
                <w:szCs w:val="20"/>
              </w:rPr>
              <w:t>(blank)</w:t>
            </w: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Capsule 12.5 mg (as malate)</w:t>
            </w:r>
          </w:p>
        </w:tc>
      </w:tr>
      <w:tr w:rsidR="006A47F8" w:rsidRPr="00C1266D" w:rsidTr="00165778">
        <w:trPr>
          <w:trHeight w:val="300"/>
        </w:trPr>
        <w:tc>
          <w:tcPr>
            <w:tcW w:w="1455" w:type="dxa"/>
            <w:noWrap/>
            <w:hideMark/>
          </w:tcPr>
          <w:p w:rsidR="006A47F8" w:rsidRPr="00C1266D" w:rsidRDefault="006A47F8" w:rsidP="00165778">
            <w:pPr>
              <w:rPr>
                <w:rFonts w:cstheme="minorHAnsi"/>
                <w:sz w:val="20"/>
                <w:szCs w:val="20"/>
              </w:rPr>
            </w:pPr>
          </w:p>
        </w:tc>
        <w:tc>
          <w:tcPr>
            <w:tcW w:w="907" w:type="dxa"/>
            <w:noWrap/>
            <w:hideMark/>
          </w:tcPr>
          <w:p w:rsidR="006A47F8" w:rsidRPr="00C1266D" w:rsidRDefault="006A47F8" w:rsidP="00165778">
            <w:pPr>
              <w:rPr>
                <w:rFonts w:cstheme="minorHAnsi"/>
                <w:sz w:val="20"/>
                <w:szCs w:val="20"/>
              </w:rPr>
            </w:pPr>
          </w:p>
        </w:tc>
        <w:tc>
          <w:tcPr>
            <w:tcW w:w="1984" w:type="dxa"/>
            <w:noWrap/>
          </w:tcPr>
          <w:p w:rsidR="006A47F8" w:rsidRPr="00C1266D" w:rsidRDefault="006A47F8" w:rsidP="00165778">
            <w:pPr>
              <w:rPr>
                <w:rFonts w:cstheme="minorHAnsi"/>
                <w:sz w:val="20"/>
                <w:szCs w:val="20"/>
              </w:rPr>
            </w:pP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09421W</w:t>
            </w:r>
          </w:p>
        </w:tc>
        <w:tc>
          <w:tcPr>
            <w:tcW w:w="907" w:type="dxa"/>
            <w:noWrap/>
            <w:hideMark/>
          </w:tcPr>
          <w:p w:rsidR="006A47F8" w:rsidRPr="00C1266D" w:rsidRDefault="006A47F8" w:rsidP="00165778">
            <w:pPr>
              <w:rPr>
                <w:rFonts w:cstheme="minorHAnsi"/>
                <w:sz w:val="20"/>
                <w:szCs w:val="20"/>
              </w:rPr>
            </w:pPr>
            <w:r w:rsidRPr="00C1266D">
              <w:rPr>
                <w:rFonts w:cstheme="minorHAnsi"/>
                <w:sz w:val="20"/>
                <w:szCs w:val="20"/>
              </w:rPr>
              <w:t>(blank)</w:t>
            </w: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Capsule 25 mg (as malate)</w:t>
            </w:r>
          </w:p>
        </w:tc>
      </w:tr>
      <w:tr w:rsidR="006A47F8" w:rsidRPr="00C1266D" w:rsidTr="00165778">
        <w:trPr>
          <w:trHeight w:val="300"/>
        </w:trPr>
        <w:tc>
          <w:tcPr>
            <w:tcW w:w="1455" w:type="dxa"/>
            <w:noWrap/>
            <w:hideMark/>
          </w:tcPr>
          <w:p w:rsidR="006A47F8" w:rsidRPr="00C1266D" w:rsidRDefault="006A47F8" w:rsidP="00165778">
            <w:pPr>
              <w:rPr>
                <w:rFonts w:cstheme="minorHAnsi"/>
                <w:sz w:val="20"/>
                <w:szCs w:val="20"/>
              </w:rPr>
            </w:pPr>
          </w:p>
        </w:tc>
        <w:tc>
          <w:tcPr>
            <w:tcW w:w="907" w:type="dxa"/>
            <w:noWrap/>
            <w:hideMark/>
          </w:tcPr>
          <w:p w:rsidR="006A47F8" w:rsidRPr="00C1266D" w:rsidRDefault="006A47F8" w:rsidP="00165778">
            <w:pPr>
              <w:rPr>
                <w:rFonts w:cstheme="minorHAnsi"/>
                <w:sz w:val="20"/>
                <w:szCs w:val="20"/>
              </w:rPr>
            </w:pPr>
          </w:p>
        </w:tc>
        <w:tc>
          <w:tcPr>
            <w:tcW w:w="1984" w:type="dxa"/>
            <w:noWrap/>
          </w:tcPr>
          <w:p w:rsidR="006A47F8" w:rsidRPr="00C1266D" w:rsidRDefault="006A47F8" w:rsidP="00165778">
            <w:pPr>
              <w:rPr>
                <w:rFonts w:cstheme="minorHAnsi"/>
                <w:sz w:val="20"/>
                <w:szCs w:val="20"/>
              </w:rPr>
            </w:pP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09422X</w:t>
            </w:r>
          </w:p>
        </w:tc>
        <w:tc>
          <w:tcPr>
            <w:tcW w:w="907" w:type="dxa"/>
            <w:noWrap/>
            <w:hideMark/>
          </w:tcPr>
          <w:p w:rsidR="006A47F8" w:rsidRPr="00C1266D" w:rsidRDefault="006A47F8" w:rsidP="00165778">
            <w:pPr>
              <w:rPr>
                <w:rFonts w:cstheme="minorHAnsi"/>
                <w:sz w:val="20"/>
                <w:szCs w:val="20"/>
              </w:rPr>
            </w:pPr>
            <w:r w:rsidRPr="00C1266D">
              <w:rPr>
                <w:rFonts w:cstheme="minorHAnsi"/>
                <w:sz w:val="20"/>
                <w:szCs w:val="20"/>
              </w:rPr>
              <w:t>(blank)</w:t>
            </w: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Capsule 50 mg (as malate)</w:t>
            </w:r>
          </w:p>
        </w:tc>
      </w:tr>
      <w:tr w:rsidR="006A47F8" w:rsidRPr="00C1266D" w:rsidTr="00165778">
        <w:trPr>
          <w:trHeight w:val="300"/>
        </w:trPr>
        <w:tc>
          <w:tcPr>
            <w:tcW w:w="1455" w:type="dxa"/>
            <w:noWrap/>
            <w:hideMark/>
          </w:tcPr>
          <w:p w:rsidR="006A47F8" w:rsidRPr="00C1266D" w:rsidRDefault="006A47F8" w:rsidP="00165778">
            <w:pPr>
              <w:rPr>
                <w:rFonts w:cstheme="minorHAnsi"/>
                <w:sz w:val="20"/>
                <w:szCs w:val="20"/>
              </w:rPr>
            </w:pPr>
          </w:p>
        </w:tc>
        <w:tc>
          <w:tcPr>
            <w:tcW w:w="907" w:type="dxa"/>
            <w:noWrap/>
            <w:hideMark/>
          </w:tcPr>
          <w:p w:rsidR="006A47F8" w:rsidRPr="00C1266D" w:rsidRDefault="006A47F8" w:rsidP="00165778">
            <w:pPr>
              <w:rPr>
                <w:rFonts w:cstheme="minorHAnsi"/>
                <w:sz w:val="20"/>
                <w:szCs w:val="20"/>
              </w:rPr>
            </w:pPr>
          </w:p>
        </w:tc>
        <w:tc>
          <w:tcPr>
            <w:tcW w:w="1984" w:type="dxa"/>
            <w:noWrap/>
          </w:tcPr>
          <w:p w:rsidR="006A47F8" w:rsidRPr="00C1266D" w:rsidRDefault="006A47F8" w:rsidP="00165778">
            <w:pPr>
              <w:rPr>
                <w:rFonts w:cstheme="minorHAnsi"/>
                <w:sz w:val="20"/>
                <w:szCs w:val="20"/>
              </w:rPr>
            </w:pP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10459L</w:t>
            </w:r>
          </w:p>
        </w:tc>
        <w:tc>
          <w:tcPr>
            <w:tcW w:w="907" w:type="dxa"/>
            <w:noWrap/>
            <w:hideMark/>
          </w:tcPr>
          <w:p w:rsidR="006A47F8" w:rsidRPr="00C1266D" w:rsidRDefault="006A47F8" w:rsidP="00165778">
            <w:pPr>
              <w:rPr>
                <w:rFonts w:cstheme="minorHAnsi"/>
                <w:sz w:val="20"/>
                <w:szCs w:val="20"/>
              </w:rPr>
            </w:pPr>
            <w:r w:rsidRPr="00C1266D">
              <w:rPr>
                <w:rFonts w:cstheme="minorHAnsi"/>
                <w:sz w:val="20"/>
                <w:szCs w:val="20"/>
              </w:rPr>
              <w:t>(blank)</w:t>
            </w: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Capsule 37.5 mg (as malate)</w:t>
            </w:r>
          </w:p>
        </w:tc>
      </w:tr>
      <w:tr w:rsidR="006A47F8" w:rsidRPr="00C1266D" w:rsidTr="00165778">
        <w:trPr>
          <w:trHeight w:val="300"/>
        </w:trPr>
        <w:tc>
          <w:tcPr>
            <w:tcW w:w="1455" w:type="dxa"/>
            <w:noWrap/>
            <w:hideMark/>
          </w:tcPr>
          <w:p w:rsidR="006A47F8" w:rsidRPr="00C1266D" w:rsidRDefault="006A47F8" w:rsidP="00165778">
            <w:pPr>
              <w:rPr>
                <w:rFonts w:cstheme="minorHAnsi"/>
                <w:sz w:val="20"/>
                <w:szCs w:val="20"/>
              </w:rPr>
            </w:pPr>
          </w:p>
        </w:tc>
        <w:tc>
          <w:tcPr>
            <w:tcW w:w="907" w:type="dxa"/>
            <w:noWrap/>
            <w:hideMark/>
          </w:tcPr>
          <w:p w:rsidR="006A47F8" w:rsidRPr="00C1266D" w:rsidRDefault="006A47F8" w:rsidP="00165778">
            <w:pPr>
              <w:rPr>
                <w:rFonts w:cstheme="minorHAnsi"/>
                <w:sz w:val="20"/>
                <w:szCs w:val="20"/>
              </w:rPr>
            </w:pPr>
          </w:p>
        </w:tc>
        <w:tc>
          <w:tcPr>
            <w:tcW w:w="1984" w:type="dxa"/>
            <w:noWrap/>
            <w:hideMark/>
          </w:tcPr>
          <w:p w:rsidR="006A47F8" w:rsidRPr="00C1266D" w:rsidRDefault="006A47F8" w:rsidP="00165778">
            <w:pPr>
              <w:rPr>
                <w:rFonts w:cstheme="minorHAnsi"/>
                <w:sz w:val="20"/>
                <w:szCs w:val="20"/>
              </w:rPr>
            </w:pPr>
          </w:p>
        </w:tc>
        <w:tc>
          <w:tcPr>
            <w:tcW w:w="1020" w:type="dxa"/>
            <w:noWrap/>
            <w:hideMark/>
          </w:tcPr>
          <w:p w:rsidR="006A47F8" w:rsidRPr="00C1266D" w:rsidRDefault="006A47F8" w:rsidP="00165778">
            <w:pPr>
              <w:rPr>
                <w:rFonts w:cstheme="minorHAnsi"/>
                <w:bCs/>
                <w:sz w:val="20"/>
                <w:szCs w:val="20"/>
              </w:rPr>
            </w:pPr>
            <w:r w:rsidRPr="00C1266D">
              <w:rPr>
                <w:rFonts w:cstheme="minorHAnsi"/>
                <w:bCs/>
                <w:sz w:val="20"/>
                <w:szCs w:val="20"/>
              </w:rPr>
              <w:t>10504W</w:t>
            </w:r>
          </w:p>
        </w:tc>
        <w:tc>
          <w:tcPr>
            <w:tcW w:w="907" w:type="dxa"/>
            <w:noWrap/>
            <w:hideMark/>
          </w:tcPr>
          <w:p w:rsidR="006A47F8" w:rsidRPr="00C1266D" w:rsidRDefault="006A47F8" w:rsidP="00165778">
            <w:pPr>
              <w:rPr>
                <w:rFonts w:cstheme="minorHAnsi"/>
                <w:sz w:val="20"/>
                <w:szCs w:val="20"/>
              </w:rPr>
            </w:pPr>
            <w:r w:rsidRPr="00C1266D">
              <w:rPr>
                <w:rFonts w:cstheme="minorHAnsi"/>
                <w:sz w:val="20"/>
                <w:szCs w:val="20"/>
              </w:rPr>
              <w:t>(blank)</w:t>
            </w:r>
          </w:p>
        </w:tc>
        <w:tc>
          <w:tcPr>
            <w:tcW w:w="3005" w:type="dxa"/>
            <w:noWrap/>
            <w:hideMark/>
          </w:tcPr>
          <w:p w:rsidR="006A47F8" w:rsidRPr="00C1266D" w:rsidRDefault="006A47F8" w:rsidP="00165778">
            <w:pPr>
              <w:rPr>
                <w:rFonts w:cstheme="minorHAnsi"/>
                <w:sz w:val="20"/>
                <w:szCs w:val="20"/>
              </w:rPr>
            </w:pPr>
            <w:r w:rsidRPr="00C1266D">
              <w:rPr>
                <w:rFonts w:cstheme="minorHAnsi"/>
                <w:sz w:val="20"/>
                <w:szCs w:val="20"/>
              </w:rPr>
              <w:t>Capsule 37.5 mg (as malate)</w:t>
            </w:r>
          </w:p>
        </w:tc>
      </w:tr>
    </w:tbl>
    <w:p w:rsidR="006A47F8" w:rsidRPr="006A47F8" w:rsidRDefault="006A47F8" w:rsidP="006A47F8">
      <w:pPr>
        <w:rPr>
          <w:sz w:val="20"/>
          <w:szCs w:val="20"/>
        </w:rPr>
      </w:pPr>
      <w:r w:rsidRPr="000F03C9">
        <w:rPr>
          <w:sz w:val="20"/>
          <w:szCs w:val="20"/>
        </w:rPr>
        <w:t>* only populated for first-line nivolumab and ipilimumab</w:t>
      </w:r>
    </w:p>
    <w:p w:rsidR="006A47F8" w:rsidRDefault="006A47F8" w:rsidP="006A47F8">
      <w:pPr>
        <w:pStyle w:val="Heading1"/>
      </w:pPr>
      <w:r w:rsidRPr="00586FD1">
        <w:t>Appendix B: PBS Restrictions for grandfathering items</w:t>
      </w:r>
    </w:p>
    <w:p w:rsidR="006A47F8" w:rsidRDefault="006A47F8" w:rsidP="006A47F8">
      <w:pPr>
        <w:rPr>
          <w:lang w:val="en-US"/>
        </w:rPr>
      </w:pPr>
      <w:r>
        <w:rPr>
          <w:lang w:val="en-US"/>
        </w:rPr>
        <w:t>There were two PBS items for grandfather patients for both nivolumab (11631E – Public Hospital &amp; 11635J – Private Hospital) and ipilimumab (11641Q – Public Hospital &amp; 11647B – Private Hospital) that started on 1 March 2019 and ceased on 30 September 2020. The restriction text for these items was:</w:t>
      </w:r>
    </w:p>
    <w:p w:rsidR="006A47F8" w:rsidRPr="006A49A4" w:rsidRDefault="006A47F8" w:rsidP="006A47F8">
      <w:pPr>
        <w:rPr>
          <w:b/>
          <w:lang w:val="en-US"/>
        </w:rPr>
      </w:pPr>
      <w:r w:rsidRPr="006A49A4">
        <w:rPr>
          <w:b/>
          <w:lang w:val="en-US"/>
        </w:rPr>
        <w:t>Ipilimumab</w:t>
      </w:r>
    </w:p>
    <w:p w:rsidR="006A47F8" w:rsidRDefault="006A47F8" w:rsidP="006A47F8">
      <w:pPr>
        <w:spacing w:after="0"/>
        <w:rPr>
          <w:rFonts w:ascii="Calibri" w:eastAsia="Times New Roman" w:hAnsi="Calibri" w:cs="Calibri"/>
        </w:rPr>
      </w:pPr>
      <w:r w:rsidRPr="006A49A4">
        <w:rPr>
          <w:rFonts w:ascii="Calibri" w:eastAsia="Times New Roman" w:hAnsi="Calibri" w:cs="Calibri"/>
        </w:rPr>
        <w:t xml:space="preserve">Stage IV clear cell variant renal cell carcinoma (RCC)  </w:t>
      </w:r>
    </w:p>
    <w:p w:rsidR="006A47F8" w:rsidRPr="006A49A4" w:rsidRDefault="006A47F8" w:rsidP="006A47F8">
      <w:pPr>
        <w:spacing w:after="0"/>
        <w:rPr>
          <w:rFonts w:ascii="Calibri" w:eastAsia="Times New Roman" w:hAnsi="Calibri" w:cs="Calibri"/>
        </w:rPr>
      </w:pPr>
      <w:r w:rsidRPr="006A49A4">
        <w:rPr>
          <w:rFonts w:ascii="Calibri" w:eastAsia="Times New Roman" w:hAnsi="Calibri" w:cs="Calibri"/>
        </w:rPr>
        <w:t>Treatment Phase:</w:t>
      </w:r>
      <w:r>
        <w:rPr>
          <w:rFonts w:ascii="Calibri" w:eastAsia="Times New Roman" w:hAnsi="Calibri" w:cs="Calibri"/>
        </w:rPr>
        <w:t xml:space="preserve"> </w:t>
      </w:r>
      <w:r w:rsidRPr="006A49A4">
        <w:rPr>
          <w:rFonts w:ascii="Calibri" w:eastAsia="Times New Roman" w:hAnsi="Calibri" w:cs="Calibri"/>
        </w:rPr>
        <w:t xml:space="preserve">Induction treatment - Grandfather patients  </w:t>
      </w:r>
    </w:p>
    <w:p w:rsidR="006A47F8" w:rsidRPr="006A49A4" w:rsidRDefault="006A47F8" w:rsidP="006A47F8">
      <w:pPr>
        <w:spacing w:after="0"/>
        <w:rPr>
          <w:rFonts w:ascii="Calibri" w:eastAsia="Times New Roman" w:hAnsi="Calibri" w:cs="Calibri"/>
        </w:rPr>
      </w:pPr>
      <w:r w:rsidRPr="006A49A4">
        <w:rPr>
          <w:rFonts w:ascii="Calibri" w:eastAsia="Times New Roman" w:hAnsi="Calibri" w:cs="Calibri"/>
        </w:rPr>
        <w:t xml:space="preserve">Clinical criteria:  </w:t>
      </w:r>
    </w:p>
    <w:p w:rsidR="006A47F8" w:rsidRPr="006A49A4" w:rsidRDefault="006A47F8" w:rsidP="006A47F8">
      <w:pPr>
        <w:pStyle w:val="ListParagraph"/>
        <w:numPr>
          <w:ilvl w:val="0"/>
          <w:numId w:val="12"/>
        </w:numPr>
        <w:spacing w:after="0"/>
        <w:rPr>
          <w:rFonts w:ascii="Calibri" w:eastAsia="Times New Roman" w:hAnsi="Calibri" w:cs="Calibri"/>
          <w:b/>
        </w:rPr>
      </w:pPr>
      <w:r w:rsidRPr="006A49A4">
        <w:rPr>
          <w:rFonts w:ascii="Calibri" w:eastAsia="Times New Roman" w:hAnsi="Calibri" w:cs="Calibri"/>
          <w:b/>
        </w:rPr>
        <w:t>Patient must have received less than 4 doses of combined therapy with ipilimumab and nivolumab as induction therapy for this condition prior to 1 March 2019,  AND</w:t>
      </w:r>
    </w:p>
    <w:p w:rsidR="006A47F8" w:rsidRPr="006A49A4" w:rsidRDefault="006A47F8" w:rsidP="006A47F8">
      <w:pPr>
        <w:pStyle w:val="ListParagraph"/>
        <w:numPr>
          <w:ilvl w:val="0"/>
          <w:numId w:val="12"/>
        </w:numPr>
        <w:spacing w:after="0"/>
        <w:rPr>
          <w:rFonts w:ascii="Calibri" w:eastAsia="Times New Roman" w:hAnsi="Calibri" w:cs="Calibri"/>
        </w:rPr>
      </w:pPr>
      <w:r w:rsidRPr="006A49A4">
        <w:rPr>
          <w:rFonts w:ascii="Calibri" w:eastAsia="Times New Roman" w:hAnsi="Calibri" w:cs="Calibri"/>
        </w:rPr>
        <w:t>The condition must be classified as intermediate to poor risk according to the International Metastatic Renal Cell Carcinoma Database Consortium (IMDC) prior to initiating non-PBS-subsidised induction therapy with nivolumab and ipilimumab,  AND</w:t>
      </w:r>
    </w:p>
    <w:p w:rsidR="006A47F8" w:rsidRPr="006A49A4" w:rsidRDefault="006A47F8" w:rsidP="006A47F8">
      <w:pPr>
        <w:pStyle w:val="ListParagraph"/>
        <w:numPr>
          <w:ilvl w:val="0"/>
          <w:numId w:val="12"/>
        </w:numPr>
        <w:spacing w:after="0"/>
        <w:rPr>
          <w:rFonts w:ascii="Calibri" w:eastAsia="Times New Roman" w:hAnsi="Calibri" w:cs="Calibri"/>
        </w:rPr>
      </w:pPr>
      <w:r w:rsidRPr="006A49A4">
        <w:rPr>
          <w:rFonts w:ascii="Calibri" w:eastAsia="Times New Roman" w:hAnsi="Calibri" w:cs="Calibri"/>
        </w:rPr>
        <w:t xml:space="preserve">Patient must have had a WHO performance status of 2 or less prior to initiating non-PBS-subsidised induction therapy with nivolumab and ipilimumab,  AND  </w:t>
      </w:r>
    </w:p>
    <w:p w:rsidR="006A47F8" w:rsidRPr="006A49A4" w:rsidRDefault="006A47F8" w:rsidP="006A47F8">
      <w:pPr>
        <w:pStyle w:val="ListParagraph"/>
        <w:numPr>
          <w:ilvl w:val="0"/>
          <w:numId w:val="12"/>
        </w:numPr>
        <w:spacing w:after="0"/>
        <w:rPr>
          <w:rFonts w:ascii="Calibri" w:eastAsia="Times New Roman" w:hAnsi="Calibri" w:cs="Calibri"/>
        </w:rPr>
      </w:pPr>
      <w:r w:rsidRPr="006A49A4">
        <w:rPr>
          <w:rFonts w:ascii="Calibri" w:eastAsia="Times New Roman" w:hAnsi="Calibri" w:cs="Calibri"/>
        </w:rPr>
        <w:t>The condition must not have previously been treated prior to initiating non-PBS-subsidised induction therapy with nivolumab and ipilimumab,  AND</w:t>
      </w:r>
    </w:p>
    <w:p w:rsidR="006A47F8" w:rsidRPr="006A49A4" w:rsidRDefault="006A47F8" w:rsidP="006A47F8">
      <w:pPr>
        <w:pStyle w:val="ListParagraph"/>
        <w:numPr>
          <w:ilvl w:val="0"/>
          <w:numId w:val="12"/>
        </w:numPr>
        <w:spacing w:after="0"/>
        <w:rPr>
          <w:rFonts w:ascii="Calibri" w:eastAsia="Times New Roman" w:hAnsi="Calibri" w:cs="Calibri"/>
        </w:rPr>
      </w:pPr>
      <w:r w:rsidRPr="006A49A4">
        <w:rPr>
          <w:rFonts w:ascii="Calibri" w:eastAsia="Times New Roman" w:hAnsi="Calibri" w:cs="Calibri"/>
        </w:rPr>
        <w:t xml:space="preserve">The treatment must be in combination with PBS-subsidised-treatment with nivolumab as induction for this condition,  AND  </w:t>
      </w:r>
    </w:p>
    <w:p w:rsidR="006A47F8" w:rsidRPr="006A49A4" w:rsidRDefault="006A47F8" w:rsidP="006A47F8">
      <w:pPr>
        <w:pStyle w:val="ListParagraph"/>
        <w:numPr>
          <w:ilvl w:val="0"/>
          <w:numId w:val="12"/>
        </w:numPr>
        <w:spacing w:after="0"/>
        <w:rPr>
          <w:rFonts w:ascii="Calibri" w:eastAsia="Times New Roman" w:hAnsi="Calibri" w:cs="Calibri"/>
        </w:rPr>
      </w:pPr>
      <w:r w:rsidRPr="006A49A4">
        <w:rPr>
          <w:rFonts w:ascii="Calibri" w:eastAsia="Times New Roman" w:hAnsi="Calibri" w:cs="Calibri"/>
        </w:rPr>
        <w:lastRenderedPageBreak/>
        <w:t xml:space="preserve">Patient must not have developed disease progression while being treated with combined therapy with ipilimumab and nivolumab as induction for this condition. </w:t>
      </w:r>
    </w:p>
    <w:p w:rsidR="006A47F8" w:rsidRPr="006A49A4" w:rsidRDefault="006A47F8" w:rsidP="006A47F8">
      <w:pPr>
        <w:spacing w:after="0"/>
        <w:rPr>
          <w:rFonts w:ascii="Calibri" w:eastAsia="Times New Roman" w:hAnsi="Calibri" w:cs="Calibri"/>
        </w:rPr>
      </w:pPr>
    </w:p>
    <w:p w:rsidR="006A47F8" w:rsidRPr="006A49A4" w:rsidRDefault="006A47F8" w:rsidP="006A47F8">
      <w:pPr>
        <w:spacing w:after="0"/>
        <w:rPr>
          <w:rFonts w:ascii="Calibri" w:eastAsia="Times New Roman" w:hAnsi="Calibri" w:cs="Calibri"/>
        </w:rPr>
      </w:pPr>
      <w:r w:rsidRPr="006A49A4">
        <w:rPr>
          <w:rFonts w:ascii="Calibri" w:eastAsia="Times New Roman" w:hAnsi="Calibri" w:cs="Calibri"/>
        </w:rPr>
        <w:t>A patient may qualify for PBS-subsidised treatment under this restriction once only. For continuing PBS-subsidised treatment, a Grandfathered patient must qualify under the Continuing treatment criteria. Induction treatment with ipilimumab must not exceed a total of 4 doses at a maximum dose of 1 mg per kg every 3 weeks. The patient's body weight must be documented in the patient's medical records at the time treatment is initiated.</w:t>
      </w:r>
    </w:p>
    <w:p w:rsidR="006A47F8" w:rsidRPr="006A49A4" w:rsidRDefault="006A47F8" w:rsidP="006A47F8">
      <w:pPr>
        <w:rPr>
          <w:lang w:val="en-US"/>
        </w:rPr>
      </w:pPr>
    </w:p>
    <w:p w:rsidR="006A47F8" w:rsidRPr="006A49A4" w:rsidRDefault="006A47F8" w:rsidP="006A47F8">
      <w:pPr>
        <w:rPr>
          <w:b/>
          <w:lang w:val="en-US"/>
        </w:rPr>
      </w:pPr>
      <w:r w:rsidRPr="006A49A4">
        <w:rPr>
          <w:b/>
          <w:lang w:val="en-US"/>
        </w:rPr>
        <w:t>Nivolumab</w:t>
      </w:r>
    </w:p>
    <w:p w:rsidR="006A47F8" w:rsidRPr="006A49A4" w:rsidRDefault="006A47F8" w:rsidP="006A47F8">
      <w:pPr>
        <w:spacing w:after="0"/>
        <w:rPr>
          <w:rFonts w:ascii="Calibri" w:eastAsia="Times New Roman" w:hAnsi="Calibri" w:cs="Calibri"/>
        </w:rPr>
      </w:pPr>
      <w:r w:rsidRPr="006A49A4">
        <w:rPr>
          <w:rFonts w:ascii="Calibri" w:eastAsia="Times New Roman" w:hAnsi="Calibri" w:cs="Calibri"/>
        </w:rPr>
        <w:t xml:space="preserve">Stage IV clear cell variant renal cell carcinoma (RCC)  </w:t>
      </w:r>
    </w:p>
    <w:p w:rsidR="006A47F8" w:rsidRPr="006A49A4" w:rsidRDefault="006A47F8" w:rsidP="006A47F8">
      <w:pPr>
        <w:spacing w:after="0"/>
        <w:rPr>
          <w:rFonts w:ascii="Calibri" w:eastAsia="Times New Roman" w:hAnsi="Calibri" w:cs="Calibri"/>
        </w:rPr>
      </w:pPr>
      <w:r w:rsidRPr="006A49A4">
        <w:rPr>
          <w:rFonts w:ascii="Calibri" w:eastAsia="Times New Roman" w:hAnsi="Calibri" w:cs="Calibri"/>
        </w:rPr>
        <w:t xml:space="preserve">Treatment Phase: Grandfather patients </w:t>
      </w:r>
    </w:p>
    <w:p w:rsidR="006A47F8" w:rsidRPr="006A49A4" w:rsidRDefault="006A47F8" w:rsidP="006A47F8">
      <w:pPr>
        <w:spacing w:after="0"/>
        <w:rPr>
          <w:rFonts w:ascii="Calibri" w:eastAsia="Times New Roman" w:hAnsi="Calibri" w:cs="Calibri"/>
        </w:rPr>
      </w:pPr>
      <w:r w:rsidRPr="006A49A4">
        <w:rPr>
          <w:rFonts w:ascii="Calibri" w:eastAsia="Times New Roman" w:hAnsi="Calibri" w:cs="Calibri"/>
        </w:rPr>
        <w:t xml:space="preserve">Clinical criteria:  </w:t>
      </w:r>
    </w:p>
    <w:p w:rsidR="006A47F8" w:rsidRPr="006A49A4" w:rsidRDefault="006A47F8" w:rsidP="006A47F8">
      <w:pPr>
        <w:spacing w:after="0"/>
        <w:rPr>
          <w:rFonts w:ascii="Calibri" w:eastAsia="Times New Roman" w:hAnsi="Calibri" w:cs="Calibri"/>
          <w:b/>
        </w:rPr>
      </w:pPr>
      <w:r w:rsidRPr="006A49A4">
        <w:rPr>
          <w:rFonts w:ascii="Calibri" w:eastAsia="Times New Roman" w:hAnsi="Calibri" w:cs="Calibri"/>
          <w:b/>
        </w:rPr>
        <w:t>Patient must have received less than 4 doses of combined therapy with ipilimumab and nivolumab as induction therapy for this condition prior to 1 March 2019; OR</w:t>
      </w:r>
    </w:p>
    <w:p w:rsidR="006A47F8" w:rsidRPr="006A49A4" w:rsidRDefault="006A47F8" w:rsidP="006A47F8">
      <w:pPr>
        <w:spacing w:after="0"/>
        <w:rPr>
          <w:rFonts w:ascii="Calibri" w:eastAsia="Times New Roman" w:hAnsi="Calibri" w:cs="Calibri"/>
          <w:b/>
        </w:rPr>
      </w:pPr>
      <w:r w:rsidRPr="006A49A4">
        <w:rPr>
          <w:rFonts w:ascii="Calibri" w:eastAsia="Times New Roman" w:hAnsi="Calibri" w:cs="Calibri"/>
          <w:b/>
        </w:rPr>
        <w:t xml:space="preserve">Patient must have received monotherapy with nivolumab as maintenance for this condition prior to 1 March 2019,  AND  </w:t>
      </w:r>
    </w:p>
    <w:p w:rsidR="006A47F8" w:rsidRPr="006A49A4" w:rsidRDefault="006A47F8" w:rsidP="006A47F8">
      <w:pPr>
        <w:spacing w:after="0"/>
        <w:rPr>
          <w:rFonts w:ascii="Calibri" w:eastAsia="Times New Roman" w:hAnsi="Calibri" w:cs="Calibri"/>
        </w:rPr>
      </w:pPr>
      <w:r w:rsidRPr="006A49A4">
        <w:rPr>
          <w:rFonts w:ascii="Calibri" w:eastAsia="Times New Roman" w:hAnsi="Calibri" w:cs="Calibri"/>
        </w:rPr>
        <w:t xml:space="preserve">The condition must be classified as intermediate to poor risk according to the International Metastatic Renal Cell Carcinoma Database Consortium (IMDC) prior to initiating non-PBS-subsidised induction therapy with nivolumab and ipilimumab,  AND  </w:t>
      </w:r>
    </w:p>
    <w:p w:rsidR="006A47F8" w:rsidRPr="006A49A4" w:rsidRDefault="006A47F8" w:rsidP="006A47F8">
      <w:pPr>
        <w:spacing w:after="0"/>
        <w:rPr>
          <w:rFonts w:ascii="Calibri" w:eastAsia="Times New Roman" w:hAnsi="Calibri" w:cs="Calibri"/>
        </w:rPr>
      </w:pPr>
      <w:r w:rsidRPr="006A49A4">
        <w:rPr>
          <w:rFonts w:ascii="Calibri" w:eastAsia="Times New Roman" w:hAnsi="Calibri" w:cs="Calibri"/>
        </w:rPr>
        <w:t xml:space="preserve">Patient must have had a WHO performance status of 2 or less prior to initiating non-PBS-subsidised induction therapy with nivolumab and ipilimumab,  AND  </w:t>
      </w:r>
    </w:p>
    <w:p w:rsidR="006A47F8" w:rsidRPr="006A49A4" w:rsidRDefault="006A47F8" w:rsidP="006A47F8">
      <w:pPr>
        <w:spacing w:after="0"/>
        <w:rPr>
          <w:rFonts w:ascii="Calibri" w:eastAsia="Times New Roman" w:hAnsi="Calibri" w:cs="Calibri"/>
        </w:rPr>
      </w:pPr>
      <w:r w:rsidRPr="006A49A4">
        <w:rPr>
          <w:rFonts w:ascii="Calibri" w:eastAsia="Times New Roman" w:hAnsi="Calibri" w:cs="Calibri"/>
        </w:rPr>
        <w:t xml:space="preserve">The condition must not have previously been treated prior to initiating non-PBS-subsidised induction therapy with nivolumab and ipilimumab,  AND  </w:t>
      </w:r>
    </w:p>
    <w:p w:rsidR="006A47F8" w:rsidRPr="006A49A4" w:rsidRDefault="006A47F8" w:rsidP="006A47F8">
      <w:pPr>
        <w:spacing w:after="0"/>
        <w:rPr>
          <w:rFonts w:ascii="Calibri" w:eastAsia="Times New Roman" w:hAnsi="Calibri" w:cs="Calibri"/>
        </w:rPr>
      </w:pPr>
      <w:r w:rsidRPr="006A49A4">
        <w:rPr>
          <w:rFonts w:ascii="Calibri" w:eastAsia="Times New Roman" w:hAnsi="Calibri" w:cs="Calibri"/>
        </w:rPr>
        <w:t xml:space="preserve">Patient must not have developed disease progression while being treated with combined therapy with ipilimumab and nivolumab as induction for this condition; OR </w:t>
      </w:r>
    </w:p>
    <w:p w:rsidR="006A47F8" w:rsidRPr="006A49A4" w:rsidRDefault="006A47F8" w:rsidP="006A47F8">
      <w:pPr>
        <w:spacing w:after="0"/>
        <w:rPr>
          <w:rFonts w:ascii="Calibri" w:eastAsia="Times New Roman" w:hAnsi="Calibri" w:cs="Calibri"/>
        </w:rPr>
      </w:pPr>
      <w:r w:rsidRPr="006A49A4">
        <w:rPr>
          <w:rFonts w:ascii="Calibri" w:eastAsia="Times New Roman" w:hAnsi="Calibri" w:cs="Calibri"/>
        </w:rPr>
        <w:t xml:space="preserve">Patient must not have developed disease progression while being treated with monotherapy with nivolumab as maintenance for this condition,  AND  </w:t>
      </w:r>
    </w:p>
    <w:p w:rsidR="006A47F8" w:rsidRPr="006A49A4" w:rsidRDefault="006A47F8" w:rsidP="006A47F8">
      <w:pPr>
        <w:spacing w:after="0"/>
        <w:rPr>
          <w:rFonts w:ascii="Calibri" w:eastAsia="Times New Roman" w:hAnsi="Calibri" w:cs="Calibri"/>
          <w:b/>
        </w:rPr>
      </w:pPr>
      <w:r w:rsidRPr="006A49A4">
        <w:rPr>
          <w:rFonts w:ascii="Calibri" w:eastAsia="Times New Roman" w:hAnsi="Calibri" w:cs="Calibri"/>
          <w:b/>
        </w:rPr>
        <w:t>The treatment must be in combination with PBS-subsidised treatment with ipilimumab as induction for this condition; OR</w:t>
      </w:r>
    </w:p>
    <w:p w:rsidR="006A47F8" w:rsidRPr="006A49A4" w:rsidRDefault="006A47F8" w:rsidP="006A47F8">
      <w:pPr>
        <w:spacing w:after="0"/>
        <w:rPr>
          <w:rFonts w:ascii="Calibri" w:eastAsia="Times New Roman" w:hAnsi="Calibri" w:cs="Calibri"/>
          <w:b/>
        </w:rPr>
      </w:pPr>
      <w:r w:rsidRPr="006A49A4">
        <w:rPr>
          <w:rFonts w:ascii="Calibri" w:eastAsia="Times New Roman" w:hAnsi="Calibri" w:cs="Calibri"/>
          <w:b/>
        </w:rPr>
        <w:t xml:space="preserve">The treatment must be as monotherapy as maintenance for this condition. </w:t>
      </w:r>
    </w:p>
    <w:p w:rsidR="006A47F8" w:rsidRPr="006A49A4" w:rsidRDefault="006A47F8" w:rsidP="006A47F8">
      <w:pPr>
        <w:spacing w:after="0"/>
        <w:rPr>
          <w:rFonts w:ascii="Calibri" w:eastAsia="Times New Roman" w:hAnsi="Calibri" w:cs="Calibri"/>
        </w:rPr>
      </w:pPr>
    </w:p>
    <w:p w:rsidR="006A47F8" w:rsidRPr="006A49A4" w:rsidRDefault="006A47F8" w:rsidP="006A47F8">
      <w:pPr>
        <w:spacing w:after="0"/>
        <w:rPr>
          <w:rFonts w:ascii="Calibri" w:eastAsia="Times New Roman" w:hAnsi="Calibri" w:cs="Calibri"/>
        </w:rPr>
      </w:pPr>
      <w:r w:rsidRPr="006A49A4">
        <w:rPr>
          <w:rFonts w:ascii="Calibri" w:eastAsia="Times New Roman" w:hAnsi="Calibri" w:cs="Calibri"/>
        </w:rPr>
        <w:t>Induction treatment with nivolumab must not exceed a total of 4 doses at a maximum dose of 3 mg per kg every 3 weeks. Maintenance treatment with nivolumab must not exceed a maximum dose of 3 mg per kg every 2 weeks. A patient may qualify for PBS-subsidised treatment under this restriction once only. For continuing PBS-subsidised treatment, a Grandfathered patient must qualify under the Continuing treatment criteria. The patient's body weight must be documented in the patient's medical records at the time treatment is initiated.</w:t>
      </w:r>
    </w:p>
    <w:p w:rsidR="006A47F8" w:rsidRPr="00EA4881" w:rsidRDefault="006A47F8" w:rsidP="006A47F8"/>
    <w:p w:rsidR="00DE10B9" w:rsidRDefault="00DE10B9" w:rsidP="006A47F8">
      <w:pPr>
        <w:spacing w:line="276" w:lineRule="auto"/>
      </w:pPr>
    </w:p>
    <w:sectPr w:rsidR="00DE10B9" w:rsidSect="00DD188C">
      <w:headerReference w:type="default" r:id="rId26"/>
      <w:footerReference w:type="even" r:id="rId27"/>
      <w:footerReference w:type="default" r:id="rId28"/>
      <w:footerReference w:type="first" r:id="rId29"/>
      <w:pgSz w:w="11906" w:h="16838"/>
      <w:pgMar w:top="1644" w:right="1361" w:bottom="1644"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1167" w:rsidRDefault="008B1167" w:rsidP="00A35800">
      <w:r>
        <w:separator/>
      </w:r>
    </w:p>
  </w:endnote>
  <w:endnote w:type="continuationSeparator" w:id="0">
    <w:p w:rsidR="008B1167" w:rsidRDefault="008B1167" w:rsidP="00A35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Bright">
    <w:panose1 w:val="02040602050505020304"/>
    <w:charset w:val="00"/>
    <w:family w:val="roman"/>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askerville">
    <w:altName w:val="Times New Roman"/>
    <w:charset w:val="00"/>
    <w:family w:val="roman"/>
    <w:pitch w:val="variable"/>
    <w:sig w:usb0="80000067" w:usb1="02000000"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47F8" w:rsidRDefault="006A47F8" w:rsidP="00A35800">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rsidR="006A47F8" w:rsidRDefault="006A47F8" w:rsidP="00A358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3075995"/>
      <w:docPartObj>
        <w:docPartGallery w:val="Page Numbers (Bottom of Page)"/>
        <w:docPartUnique/>
      </w:docPartObj>
    </w:sdtPr>
    <w:sdtEndPr/>
    <w:sdtContent>
      <w:sdt>
        <w:sdtPr>
          <w:id w:val="2129433154"/>
          <w:docPartObj>
            <w:docPartGallery w:val="Page Numbers (Top of Page)"/>
            <w:docPartUnique/>
          </w:docPartObj>
        </w:sdtPr>
        <w:sdtEndPr/>
        <w:sdtContent>
          <w:p w:rsidR="001055BF" w:rsidRPr="000E72C6" w:rsidRDefault="001055BF" w:rsidP="001055BF">
            <w:pPr>
              <w:pStyle w:val="Footer"/>
              <w:jc w:val="center"/>
              <w:rPr>
                <w:i/>
                <w:sz w:val="20"/>
              </w:rPr>
            </w:pPr>
            <w:r>
              <w:rPr>
                <w:i/>
                <w:sz w:val="20"/>
              </w:rPr>
              <w:t>Public release document, October 2021 DUSC Meeting</w:t>
            </w:r>
          </w:p>
          <w:p w:rsidR="006A47F8" w:rsidRDefault="006A47F8" w:rsidP="000E72C6">
            <w:pPr>
              <w:pStyle w:val="Footer"/>
              <w:jc w:val="center"/>
              <w:rPr>
                <w:rStyle w:val="PageNumber"/>
              </w:rPr>
            </w:pPr>
            <w:r w:rsidRPr="00DD188C">
              <w:rPr>
                <w:i/>
                <w:sz w:val="20"/>
              </w:rPr>
              <w:t xml:space="preserve">Page </w:t>
            </w:r>
            <w:r w:rsidRPr="00DD188C">
              <w:rPr>
                <w:bCs/>
                <w:i/>
                <w:sz w:val="20"/>
              </w:rPr>
              <w:fldChar w:fldCharType="begin"/>
            </w:r>
            <w:r w:rsidRPr="00DD188C">
              <w:rPr>
                <w:bCs/>
                <w:i/>
                <w:sz w:val="20"/>
              </w:rPr>
              <w:instrText xml:space="preserve"> PAGE </w:instrText>
            </w:r>
            <w:r w:rsidRPr="00DD188C">
              <w:rPr>
                <w:bCs/>
                <w:i/>
                <w:sz w:val="20"/>
              </w:rPr>
              <w:fldChar w:fldCharType="separate"/>
            </w:r>
            <w:r w:rsidR="003E2326">
              <w:rPr>
                <w:bCs/>
                <w:i/>
                <w:noProof/>
                <w:sz w:val="20"/>
              </w:rPr>
              <w:t>25</w:t>
            </w:r>
            <w:r w:rsidRPr="00DD188C">
              <w:rPr>
                <w:bCs/>
                <w:i/>
                <w:sz w:val="20"/>
              </w:rPr>
              <w:fldChar w:fldCharType="end"/>
            </w:r>
            <w:r w:rsidRPr="00DD188C">
              <w:rPr>
                <w:i/>
                <w:sz w:val="20"/>
              </w:rPr>
              <w:t xml:space="preserve"> of </w:t>
            </w:r>
            <w:r w:rsidRPr="00DD188C">
              <w:rPr>
                <w:bCs/>
                <w:i/>
                <w:sz w:val="20"/>
              </w:rPr>
              <w:fldChar w:fldCharType="begin"/>
            </w:r>
            <w:r w:rsidRPr="00DD188C">
              <w:rPr>
                <w:bCs/>
                <w:i/>
                <w:sz w:val="20"/>
              </w:rPr>
              <w:instrText xml:space="preserve"> NUMPAGES  </w:instrText>
            </w:r>
            <w:r w:rsidRPr="00DD188C">
              <w:rPr>
                <w:bCs/>
                <w:i/>
                <w:sz w:val="20"/>
              </w:rPr>
              <w:fldChar w:fldCharType="separate"/>
            </w:r>
            <w:r w:rsidR="003E2326">
              <w:rPr>
                <w:bCs/>
                <w:i/>
                <w:noProof/>
                <w:sz w:val="20"/>
              </w:rPr>
              <w:t>33</w:t>
            </w:r>
            <w:r w:rsidRPr="00DD188C">
              <w:rPr>
                <w:bCs/>
                <w:i/>
                <w:sz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47F8" w:rsidRDefault="006A47F8" w:rsidP="007A5733">
    <w:pPr>
      <w:pStyle w:val="Footer"/>
      <w:jc w:val="center"/>
      <w:rPr>
        <w:rStyle w:val="PageNumber"/>
      </w:rPr>
    </w:pPr>
    <w:r>
      <w:rPr>
        <w:rStyle w:val="PageNumber"/>
      </w:rPr>
      <w:t>Committee-in-Confidence</w:t>
    </w:r>
  </w:p>
  <w:p w:rsidR="006A47F8" w:rsidRDefault="006A47F8" w:rsidP="007A5733">
    <w:pPr>
      <w:pStyle w:val="Footer"/>
      <w:jc w:val="center"/>
      <w:rPr>
        <w:rStyle w:val="PageNumber"/>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013" w:rsidRDefault="00214013" w:rsidP="00A35800">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rsidR="00214013" w:rsidRDefault="00214013" w:rsidP="00A3580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0733839"/>
      <w:docPartObj>
        <w:docPartGallery w:val="Page Numbers (Bottom of Page)"/>
        <w:docPartUnique/>
      </w:docPartObj>
    </w:sdtPr>
    <w:sdtEndPr/>
    <w:sdtContent>
      <w:sdt>
        <w:sdtPr>
          <w:id w:val="-1669238322"/>
          <w:docPartObj>
            <w:docPartGallery w:val="Page Numbers (Top of Page)"/>
            <w:docPartUnique/>
          </w:docPartObj>
        </w:sdtPr>
        <w:sdtEndPr/>
        <w:sdtContent>
          <w:p w:rsidR="000E72C6" w:rsidRPr="000E72C6" w:rsidRDefault="00D36EB0" w:rsidP="000E72C6">
            <w:pPr>
              <w:pStyle w:val="Footer"/>
              <w:jc w:val="center"/>
              <w:rPr>
                <w:i/>
                <w:sz w:val="20"/>
              </w:rPr>
            </w:pPr>
            <w:r>
              <w:rPr>
                <w:i/>
                <w:sz w:val="20"/>
              </w:rPr>
              <w:t>Public release document, October 2021 DUSC Meeting</w:t>
            </w:r>
          </w:p>
          <w:p w:rsidR="00214013" w:rsidRDefault="00DD188C" w:rsidP="000E72C6">
            <w:pPr>
              <w:pStyle w:val="Footer"/>
              <w:jc w:val="center"/>
              <w:rPr>
                <w:rStyle w:val="PageNumber"/>
              </w:rPr>
            </w:pPr>
            <w:r w:rsidRPr="00DD188C">
              <w:rPr>
                <w:i/>
                <w:sz w:val="20"/>
              </w:rPr>
              <w:t xml:space="preserve">Page </w:t>
            </w:r>
            <w:r w:rsidRPr="00DD188C">
              <w:rPr>
                <w:bCs/>
                <w:i/>
                <w:sz w:val="20"/>
              </w:rPr>
              <w:fldChar w:fldCharType="begin"/>
            </w:r>
            <w:r w:rsidRPr="00DD188C">
              <w:rPr>
                <w:bCs/>
                <w:i/>
                <w:sz w:val="20"/>
              </w:rPr>
              <w:instrText xml:space="preserve"> PAGE </w:instrText>
            </w:r>
            <w:r w:rsidRPr="00DD188C">
              <w:rPr>
                <w:bCs/>
                <w:i/>
                <w:sz w:val="20"/>
              </w:rPr>
              <w:fldChar w:fldCharType="separate"/>
            </w:r>
            <w:r w:rsidR="003E2326">
              <w:rPr>
                <w:bCs/>
                <w:i/>
                <w:noProof/>
                <w:sz w:val="20"/>
              </w:rPr>
              <w:t>32</w:t>
            </w:r>
            <w:r w:rsidRPr="00DD188C">
              <w:rPr>
                <w:bCs/>
                <w:i/>
                <w:sz w:val="20"/>
              </w:rPr>
              <w:fldChar w:fldCharType="end"/>
            </w:r>
            <w:r w:rsidRPr="00DD188C">
              <w:rPr>
                <w:i/>
                <w:sz w:val="20"/>
              </w:rPr>
              <w:t xml:space="preserve"> of </w:t>
            </w:r>
            <w:r w:rsidRPr="00DD188C">
              <w:rPr>
                <w:bCs/>
                <w:i/>
                <w:sz w:val="20"/>
              </w:rPr>
              <w:fldChar w:fldCharType="begin"/>
            </w:r>
            <w:r w:rsidRPr="00DD188C">
              <w:rPr>
                <w:bCs/>
                <w:i/>
                <w:sz w:val="20"/>
              </w:rPr>
              <w:instrText xml:space="preserve"> NUMPAGES  </w:instrText>
            </w:r>
            <w:r w:rsidRPr="00DD188C">
              <w:rPr>
                <w:bCs/>
                <w:i/>
                <w:sz w:val="20"/>
              </w:rPr>
              <w:fldChar w:fldCharType="separate"/>
            </w:r>
            <w:r w:rsidR="003E2326">
              <w:rPr>
                <w:bCs/>
                <w:i/>
                <w:noProof/>
                <w:sz w:val="20"/>
              </w:rPr>
              <w:t>33</w:t>
            </w:r>
            <w:r w:rsidRPr="00DD188C">
              <w:rPr>
                <w:bCs/>
                <w:i/>
                <w:sz w:val="20"/>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5733" w:rsidRDefault="007A5733" w:rsidP="007A5733">
    <w:pPr>
      <w:pStyle w:val="Footer"/>
      <w:jc w:val="center"/>
      <w:rPr>
        <w:rStyle w:val="PageNumber"/>
      </w:rPr>
    </w:pPr>
    <w:r>
      <w:rPr>
        <w:rStyle w:val="PageNumber"/>
      </w:rPr>
      <w:t>Committee-in-Confidence</w:t>
    </w:r>
  </w:p>
  <w:p w:rsidR="00DD188C" w:rsidRDefault="00DD188C" w:rsidP="007A5733">
    <w:pPr>
      <w:pStyle w:val="Footer"/>
      <w:jc w:val="center"/>
      <w:rPr>
        <w:rStyle w:val="PageNumber"/>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1167" w:rsidRDefault="008B1167" w:rsidP="00A35800">
      <w:r>
        <w:separator/>
      </w:r>
    </w:p>
  </w:footnote>
  <w:footnote w:type="continuationSeparator" w:id="0">
    <w:p w:rsidR="008B1167" w:rsidRDefault="008B1167" w:rsidP="00A35800">
      <w:r>
        <w:continuationSeparator/>
      </w:r>
    </w:p>
  </w:footnote>
  <w:footnote w:id="1">
    <w:p w:rsidR="00732F47" w:rsidRDefault="00732F47" w:rsidP="00732F47">
      <w:pPr>
        <w:pStyle w:val="FootnoteText"/>
      </w:pPr>
      <w:r>
        <w:rPr>
          <w:rStyle w:val="FootnoteReference"/>
        </w:rPr>
        <w:footnoteRef/>
      </w:r>
      <w:r>
        <w:t xml:space="preserve"> </w:t>
      </w:r>
      <w:r w:rsidRPr="0012193F">
        <w:t>Nivolumab and ipilimumab (renal cell carcinoma)</w:t>
      </w:r>
      <w:r>
        <w:t xml:space="preserve"> PBAC July 2018 public summary document, </w:t>
      </w:r>
      <w:hyperlink r:id="rId1" w:history="1">
        <w:r>
          <w:rPr>
            <w:rStyle w:val="Hyperlink"/>
          </w:rPr>
          <w:t>http://www.pbs.gov.au/info/industry/listing/elements/pbac-meetings/psd/2018-07/Nivolumab-ipilimumab-psd-july-2018</w:t>
        </w:r>
      </w:hyperlink>
    </w:p>
  </w:footnote>
  <w:footnote w:id="2">
    <w:p w:rsidR="00732F47" w:rsidRDefault="00732F47" w:rsidP="00732F47">
      <w:pPr>
        <w:pStyle w:val="FootnoteText"/>
      </w:pPr>
      <w:r>
        <w:rPr>
          <w:rStyle w:val="FootnoteReference"/>
        </w:rPr>
        <w:footnoteRef/>
      </w:r>
      <w:r>
        <w:t xml:space="preserve"> </w:t>
      </w:r>
      <w:r w:rsidRPr="005411B8">
        <w:rPr>
          <w:szCs w:val="18"/>
        </w:rPr>
        <w:t>OPDIVO® (NIVOLUMAB)</w:t>
      </w:r>
      <w:r>
        <w:rPr>
          <w:szCs w:val="18"/>
        </w:rPr>
        <w:t>. Consumer Medicine Information. July</w:t>
      </w:r>
      <w:r w:rsidRPr="005411B8">
        <w:rPr>
          <w:szCs w:val="18"/>
        </w:rPr>
        <w:t xml:space="preserve"> 2019</w:t>
      </w:r>
      <w:r>
        <w:rPr>
          <w:szCs w:val="18"/>
        </w:rPr>
        <w:t xml:space="preserve">. Available from </w:t>
      </w:r>
      <w:hyperlink r:id="rId2" w:history="1">
        <w:r w:rsidRPr="006A3013">
          <w:rPr>
            <w:rStyle w:val="Hyperlink"/>
            <w:szCs w:val="18"/>
          </w:rPr>
          <w:t>https://www.tga.gov.au/consumer-medicines-information-cmi</w:t>
        </w:r>
      </w:hyperlink>
    </w:p>
  </w:footnote>
  <w:footnote w:id="3">
    <w:p w:rsidR="00732F47" w:rsidRPr="009730AE" w:rsidRDefault="00732F47" w:rsidP="00732F47">
      <w:pPr>
        <w:spacing w:after="0"/>
        <w:rPr>
          <w:sz w:val="18"/>
          <w:szCs w:val="18"/>
        </w:rPr>
      </w:pPr>
      <w:r w:rsidRPr="002703EB">
        <w:rPr>
          <w:rStyle w:val="FootnoteReference"/>
          <w:sz w:val="18"/>
          <w:szCs w:val="18"/>
        </w:rPr>
        <w:footnoteRef/>
      </w:r>
      <w:r w:rsidRPr="002703EB">
        <w:rPr>
          <w:sz w:val="18"/>
          <w:szCs w:val="18"/>
        </w:rPr>
        <w:t xml:space="preserve"> Australian</w:t>
      </w:r>
      <w:r w:rsidRPr="0019664D">
        <w:rPr>
          <w:sz w:val="18"/>
          <w:szCs w:val="18"/>
        </w:rPr>
        <w:t xml:space="preserve"> Medicines Handbook</w:t>
      </w:r>
      <w:r>
        <w:rPr>
          <w:sz w:val="18"/>
          <w:szCs w:val="18"/>
        </w:rPr>
        <w:t xml:space="preserve"> Online</w:t>
      </w:r>
      <w:r w:rsidRPr="0019664D">
        <w:rPr>
          <w:sz w:val="18"/>
          <w:szCs w:val="18"/>
        </w:rPr>
        <w:t xml:space="preserve">. </w:t>
      </w:r>
      <w:r w:rsidRPr="00D14207">
        <w:rPr>
          <w:sz w:val="18"/>
          <w:szCs w:val="18"/>
        </w:rPr>
        <w:t>https://amhonline.amh.net.au/chapters/immunomodulators-antineoplastics/non-cytotoxic-antineoplastics/ant</w:t>
      </w:r>
      <w:r>
        <w:rPr>
          <w:sz w:val="18"/>
          <w:szCs w:val="18"/>
        </w:rPr>
        <w:t>ineoplastic-antibodies</w:t>
      </w:r>
    </w:p>
  </w:footnote>
  <w:footnote w:id="4">
    <w:p w:rsidR="00732F47" w:rsidRPr="008142B4" w:rsidRDefault="00732F47" w:rsidP="00732F47">
      <w:pPr>
        <w:pStyle w:val="FootnoteText"/>
        <w:rPr>
          <w:szCs w:val="18"/>
        </w:rPr>
      </w:pPr>
      <w:r w:rsidRPr="008142B4">
        <w:rPr>
          <w:rStyle w:val="FootnoteReference"/>
          <w:szCs w:val="18"/>
        </w:rPr>
        <w:footnoteRef/>
      </w:r>
      <w:r w:rsidRPr="008142B4">
        <w:rPr>
          <w:szCs w:val="18"/>
        </w:rPr>
        <w:t xml:space="preserve"> </w:t>
      </w:r>
      <w:r w:rsidRPr="005411B8">
        <w:rPr>
          <w:szCs w:val="18"/>
        </w:rPr>
        <w:t>OPDIVO® (NIVOLUMAB)</w:t>
      </w:r>
      <w:r>
        <w:rPr>
          <w:szCs w:val="18"/>
        </w:rPr>
        <w:t xml:space="preserve">. Australian Approved Product Information. </w:t>
      </w:r>
      <w:r w:rsidRPr="005411B8">
        <w:rPr>
          <w:szCs w:val="18"/>
        </w:rPr>
        <w:t>Bristol-Myers Squibb Australia Pty Ltd</w:t>
      </w:r>
      <w:r>
        <w:rPr>
          <w:szCs w:val="18"/>
        </w:rPr>
        <w:t>. Approved</w:t>
      </w:r>
      <w:r w:rsidRPr="005411B8">
        <w:t xml:space="preserve"> </w:t>
      </w:r>
      <w:r w:rsidRPr="005411B8">
        <w:rPr>
          <w:szCs w:val="18"/>
        </w:rPr>
        <w:t>11 January 2016</w:t>
      </w:r>
      <w:r>
        <w:rPr>
          <w:szCs w:val="18"/>
        </w:rPr>
        <w:t xml:space="preserve">, updated </w:t>
      </w:r>
      <w:r w:rsidRPr="005411B8">
        <w:rPr>
          <w:szCs w:val="18"/>
        </w:rPr>
        <w:t>1</w:t>
      </w:r>
      <w:r>
        <w:rPr>
          <w:szCs w:val="18"/>
        </w:rPr>
        <w:t>1</w:t>
      </w:r>
      <w:r w:rsidRPr="005411B8">
        <w:rPr>
          <w:szCs w:val="18"/>
        </w:rPr>
        <w:t xml:space="preserve"> </w:t>
      </w:r>
      <w:r>
        <w:rPr>
          <w:szCs w:val="18"/>
        </w:rPr>
        <w:t xml:space="preserve">May 2021. Available from </w:t>
      </w:r>
      <w:r w:rsidRPr="00CD4486">
        <w:rPr>
          <w:szCs w:val="18"/>
        </w:rPr>
        <w:t>https://www.tga.gov.au/product-information-</w:t>
      </w:r>
      <w:r>
        <w:rPr>
          <w:szCs w:val="18"/>
        </w:rPr>
        <w:t>0</w:t>
      </w:r>
    </w:p>
  </w:footnote>
  <w:footnote w:id="5">
    <w:p w:rsidR="00732F47" w:rsidRPr="00530303" w:rsidRDefault="00732F47" w:rsidP="00732F47">
      <w:pPr>
        <w:pStyle w:val="FootnoteText"/>
        <w:rPr>
          <w:szCs w:val="18"/>
        </w:rPr>
      </w:pPr>
      <w:r>
        <w:rPr>
          <w:rStyle w:val="FootnoteReference"/>
        </w:rPr>
        <w:footnoteRef/>
      </w:r>
      <w:r>
        <w:t xml:space="preserve"> YERVOY® (IPILIMUMAB). </w:t>
      </w:r>
      <w:r>
        <w:rPr>
          <w:szCs w:val="18"/>
        </w:rPr>
        <w:t xml:space="preserve">Australian Approved Product Information. </w:t>
      </w:r>
      <w:r w:rsidRPr="005411B8">
        <w:rPr>
          <w:szCs w:val="18"/>
        </w:rPr>
        <w:t>Bristol-Myers Squibb Australia Pty Ltd</w:t>
      </w:r>
      <w:r>
        <w:rPr>
          <w:szCs w:val="18"/>
        </w:rPr>
        <w:t>. Approved</w:t>
      </w:r>
      <w:r w:rsidRPr="005411B8">
        <w:t xml:space="preserve"> </w:t>
      </w:r>
      <w:r>
        <w:t>27 June</w:t>
      </w:r>
      <w:r w:rsidRPr="005411B8">
        <w:rPr>
          <w:szCs w:val="18"/>
        </w:rPr>
        <w:t xml:space="preserve"> 201</w:t>
      </w:r>
      <w:r>
        <w:rPr>
          <w:szCs w:val="18"/>
        </w:rPr>
        <w:t xml:space="preserve">1, updated </w:t>
      </w:r>
      <w:r w:rsidRPr="005411B8">
        <w:rPr>
          <w:szCs w:val="18"/>
        </w:rPr>
        <w:t>1</w:t>
      </w:r>
      <w:r>
        <w:rPr>
          <w:szCs w:val="18"/>
        </w:rPr>
        <w:t>0</w:t>
      </w:r>
      <w:r w:rsidRPr="005411B8">
        <w:rPr>
          <w:szCs w:val="18"/>
        </w:rPr>
        <w:t xml:space="preserve"> </w:t>
      </w:r>
      <w:r>
        <w:rPr>
          <w:szCs w:val="18"/>
        </w:rPr>
        <w:t xml:space="preserve">May 2021. Available from </w:t>
      </w:r>
      <w:r w:rsidRPr="00CD4486">
        <w:rPr>
          <w:szCs w:val="18"/>
        </w:rPr>
        <w:t>https://www.tga.gov.au/product-information-</w:t>
      </w:r>
      <w:r>
        <w:rPr>
          <w:szCs w:val="18"/>
        </w:rPr>
        <w:t>0</w:t>
      </w:r>
    </w:p>
  </w:footnote>
  <w:footnote w:id="6">
    <w:p w:rsidR="00732F47" w:rsidRDefault="00732F47" w:rsidP="00732F47">
      <w:pPr>
        <w:pStyle w:val="FootnoteText"/>
      </w:pPr>
      <w:r>
        <w:rPr>
          <w:rStyle w:val="FootnoteReference"/>
        </w:rPr>
        <w:footnoteRef/>
      </w:r>
      <w:r>
        <w:t xml:space="preserve"> </w:t>
      </w:r>
      <w:hyperlink r:id="rId3" w:history="1">
        <w:r w:rsidRPr="00F83D86">
          <w:rPr>
            <w:rStyle w:val="Hyperlink"/>
          </w:rPr>
          <w:t>https://www.pbs.gov.au/pbs/industry/listing/elements/pbac-meetings/psd/2018-07/Nivolumab-ipilimumab-psd-july-2018</w:t>
        </w:r>
      </w:hyperlink>
    </w:p>
  </w:footnote>
  <w:footnote w:id="7">
    <w:p w:rsidR="00732F47" w:rsidRDefault="00732F47" w:rsidP="00732F47">
      <w:pPr>
        <w:pStyle w:val="FootnoteText"/>
      </w:pPr>
      <w:r>
        <w:rPr>
          <w:rStyle w:val="FootnoteReference"/>
        </w:rPr>
        <w:footnoteRef/>
      </w:r>
      <w:r>
        <w:t xml:space="preserve"> </w:t>
      </w:r>
      <w:hyperlink r:id="rId4" w:history="1">
        <w:r w:rsidRPr="00F83D86">
          <w:rPr>
            <w:rStyle w:val="Hyperlink"/>
          </w:rPr>
          <w:t>https://www.pbs.gov.au/pbs/industry/listing/elements/pbac-meetings/psd/2018-11/Nivolumab-And-Ipilimumabpsd-november-2018</w:t>
        </w:r>
      </w:hyperlink>
    </w:p>
  </w:footnote>
  <w:footnote w:id="8">
    <w:p w:rsidR="00732F47" w:rsidRDefault="00732F47" w:rsidP="00732F47">
      <w:pPr>
        <w:pStyle w:val="FootnoteText"/>
      </w:pPr>
      <w:r>
        <w:rPr>
          <w:rStyle w:val="FootnoteReference"/>
        </w:rPr>
        <w:footnoteRef/>
      </w:r>
      <w:r>
        <w:t xml:space="preserve"> </w:t>
      </w:r>
      <w:r w:rsidRPr="0062062C">
        <w:t>http://www.pbs.gov.au/info/industry/listing/participants/public-release-docs/pazopanib-sunitinib/pazopanib-sunitinib</w:t>
      </w:r>
    </w:p>
  </w:footnote>
  <w:footnote w:id="9">
    <w:p w:rsidR="00732F47" w:rsidRDefault="00732F47" w:rsidP="00732F47">
      <w:pPr>
        <w:pStyle w:val="FootnoteText"/>
      </w:pPr>
      <w:r>
        <w:rPr>
          <w:rStyle w:val="FootnoteReference"/>
        </w:rPr>
        <w:footnoteRef/>
      </w:r>
      <w:r>
        <w:t xml:space="preserve"> </w:t>
      </w:r>
      <w:r w:rsidRPr="0062062C">
        <w:t>https://www.pbs.gov.au/pbs/industry/listing/participants/public-release-docs/2020-06/nivolumab-for-the-treatment-of-renal-cell-carcinoma</w:t>
      </w:r>
    </w:p>
  </w:footnote>
  <w:footnote w:id="10">
    <w:p w:rsidR="00732F47" w:rsidRPr="00BC5AE2" w:rsidRDefault="00732F47" w:rsidP="00732F47">
      <w:pPr>
        <w:pStyle w:val="FootnoteText"/>
        <w:rPr>
          <w:sz w:val="20"/>
        </w:rPr>
      </w:pPr>
      <w:r w:rsidRPr="00BC5AE2">
        <w:rPr>
          <w:rStyle w:val="FootnoteReference"/>
          <w:sz w:val="20"/>
        </w:rPr>
        <w:footnoteRef/>
      </w:r>
      <w:r w:rsidRPr="00BC5AE2">
        <w:rPr>
          <w:sz w:val="20"/>
        </w:rPr>
        <w:t xml:space="preserve"> PBS statistics</w:t>
      </w:r>
      <w:r>
        <w:rPr>
          <w:sz w:val="20"/>
        </w:rPr>
        <w:t xml:space="preserve">. Australian Government Department of Human Services Medicare. Canberra. Available from </w:t>
      </w:r>
      <w:r w:rsidRPr="00C1266D">
        <w:rPr>
          <w:sz w:val="20"/>
        </w:rPr>
        <w:t>https://www.servicesaustralia.gov.au/organisations/about-us/reports-and-statistics/statistical-information-and-data-0/medicare-statistics/pharmaceutical-benefits-schedule-statistics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29F5" w:rsidRDefault="003929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47F8" w:rsidRDefault="006A47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29F5" w:rsidRDefault="003929F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7FA" w:rsidRDefault="00FB77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752CA"/>
    <w:multiLevelType w:val="hybridMultilevel"/>
    <w:tmpl w:val="D88AC73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28644236"/>
    <w:multiLevelType w:val="hybridMultilevel"/>
    <w:tmpl w:val="829C39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55F404C"/>
    <w:multiLevelType w:val="hybridMultilevel"/>
    <w:tmpl w:val="EFA8B9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40D158B3"/>
    <w:multiLevelType w:val="hybridMultilevel"/>
    <w:tmpl w:val="2B1AD0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44B927A1"/>
    <w:multiLevelType w:val="hybridMultilevel"/>
    <w:tmpl w:val="05C265D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4B62426B"/>
    <w:multiLevelType w:val="hybridMultilevel"/>
    <w:tmpl w:val="A60C84F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4DFD221D"/>
    <w:multiLevelType w:val="hybridMultilevel"/>
    <w:tmpl w:val="334080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60E90BBE"/>
    <w:multiLevelType w:val="hybridMultilevel"/>
    <w:tmpl w:val="5B82EDD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6C5077DE"/>
    <w:multiLevelType w:val="hybridMultilevel"/>
    <w:tmpl w:val="B888C6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D907731"/>
    <w:multiLevelType w:val="hybridMultilevel"/>
    <w:tmpl w:val="0DA0129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6FA31075"/>
    <w:multiLevelType w:val="hybridMultilevel"/>
    <w:tmpl w:val="F8905C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72880EB7"/>
    <w:multiLevelType w:val="hybridMultilevel"/>
    <w:tmpl w:val="811C8C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11"/>
  </w:num>
  <w:num w:numId="2">
    <w:abstractNumId w:val="7"/>
  </w:num>
  <w:num w:numId="3">
    <w:abstractNumId w:val="1"/>
  </w:num>
  <w:num w:numId="4">
    <w:abstractNumId w:val="8"/>
  </w:num>
  <w:num w:numId="5">
    <w:abstractNumId w:val="0"/>
  </w:num>
  <w:num w:numId="6">
    <w:abstractNumId w:val="6"/>
  </w:num>
  <w:num w:numId="7">
    <w:abstractNumId w:val="9"/>
  </w:num>
  <w:num w:numId="8">
    <w:abstractNumId w:val="4"/>
  </w:num>
  <w:num w:numId="9">
    <w:abstractNumId w:val="5"/>
  </w:num>
  <w:num w:numId="10">
    <w:abstractNumId w:val="3"/>
  </w:num>
  <w:num w:numId="11">
    <w:abstractNumId w:val="2"/>
  </w:num>
  <w:num w:numId="12">
    <w:abstractNumId w:val="10"/>
  </w:num>
  <w:num w:numId="13">
    <w:abstractNumId w:val="2"/>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041"/>
    <w:rsid w:val="00007E85"/>
    <w:rsid w:val="000101EE"/>
    <w:rsid w:val="00013465"/>
    <w:rsid w:val="000226B3"/>
    <w:rsid w:val="00024549"/>
    <w:rsid w:val="000544B6"/>
    <w:rsid w:val="000604AF"/>
    <w:rsid w:val="00086C11"/>
    <w:rsid w:val="00094DCF"/>
    <w:rsid w:val="000A6CFD"/>
    <w:rsid w:val="000B0982"/>
    <w:rsid w:val="000B796C"/>
    <w:rsid w:val="000C46BB"/>
    <w:rsid w:val="000C4D9D"/>
    <w:rsid w:val="000C7C4B"/>
    <w:rsid w:val="000C7D8B"/>
    <w:rsid w:val="000E485D"/>
    <w:rsid w:val="000E72C6"/>
    <w:rsid w:val="000F0DDF"/>
    <w:rsid w:val="000F1893"/>
    <w:rsid w:val="000F2F51"/>
    <w:rsid w:val="001055BF"/>
    <w:rsid w:val="00113CF8"/>
    <w:rsid w:val="00113D74"/>
    <w:rsid w:val="00117C5C"/>
    <w:rsid w:val="001310AE"/>
    <w:rsid w:val="001420B3"/>
    <w:rsid w:val="001460C4"/>
    <w:rsid w:val="0015691C"/>
    <w:rsid w:val="001621F7"/>
    <w:rsid w:val="001624D7"/>
    <w:rsid w:val="00167480"/>
    <w:rsid w:val="001729EF"/>
    <w:rsid w:val="00177B86"/>
    <w:rsid w:val="00182585"/>
    <w:rsid w:val="00191182"/>
    <w:rsid w:val="0019664D"/>
    <w:rsid w:val="001A6103"/>
    <w:rsid w:val="001B5D37"/>
    <w:rsid w:val="001C2940"/>
    <w:rsid w:val="001C4016"/>
    <w:rsid w:val="001C548D"/>
    <w:rsid w:val="001C6A5D"/>
    <w:rsid w:val="001E31A6"/>
    <w:rsid w:val="001E42C7"/>
    <w:rsid w:val="001E4CAB"/>
    <w:rsid w:val="001F0A4E"/>
    <w:rsid w:val="001F2F3E"/>
    <w:rsid w:val="001F4906"/>
    <w:rsid w:val="001F7C4A"/>
    <w:rsid w:val="0020578A"/>
    <w:rsid w:val="00207631"/>
    <w:rsid w:val="00214013"/>
    <w:rsid w:val="00220FC1"/>
    <w:rsid w:val="00222E9A"/>
    <w:rsid w:val="0023179D"/>
    <w:rsid w:val="0025389D"/>
    <w:rsid w:val="00254E02"/>
    <w:rsid w:val="0026265F"/>
    <w:rsid w:val="002818C2"/>
    <w:rsid w:val="00283E82"/>
    <w:rsid w:val="00286C3A"/>
    <w:rsid w:val="002930F5"/>
    <w:rsid w:val="002A06B7"/>
    <w:rsid w:val="002C6E0C"/>
    <w:rsid w:val="002D144A"/>
    <w:rsid w:val="002E19A3"/>
    <w:rsid w:val="002E212B"/>
    <w:rsid w:val="002E3337"/>
    <w:rsid w:val="002E6D03"/>
    <w:rsid w:val="002F49A8"/>
    <w:rsid w:val="002F5E66"/>
    <w:rsid w:val="002F61CA"/>
    <w:rsid w:val="0030010D"/>
    <w:rsid w:val="0033504C"/>
    <w:rsid w:val="00336816"/>
    <w:rsid w:val="003370D0"/>
    <w:rsid w:val="00337355"/>
    <w:rsid w:val="003402E4"/>
    <w:rsid w:val="00340F95"/>
    <w:rsid w:val="0034654D"/>
    <w:rsid w:val="003465A3"/>
    <w:rsid w:val="003531ED"/>
    <w:rsid w:val="00360B9A"/>
    <w:rsid w:val="0039017F"/>
    <w:rsid w:val="003929F5"/>
    <w:rsid w:val="00394AEE"/>
    <w:rsid w:val="003C2D98"/>
    <w:rsid w:val="003D3A96"/>
    <w:rsid w:val="003D3B9C"/>
    <w:rsid w:val="003D3DD9"/>
    <w:rsid w:val="003E2326"/>
    <w:rsid w:val="00404F03"/>
    <w:rsid w:val="00412051"/>
    <w:rsid w:val="00423B94"/>
    <w:rsid w:val="00463731"/>
    <w:rsid w:val="0046400A"/>
    <w:rsid w:val="00467B25"/>
    <w:rsid w:val="00481108"/>
    <w:rsid w:val="0049042B"/>
    <w:rsid w:val="00495473"/>
    <w:rsid w:val="004A458E"/>
    <w:rsid w:val="004B23E7"/>
    <w:rsid w:val="004B306F"/>
    <w:rsid w:val="004C3186"/>
    <w:rsid w:val="004C5042"/>
    <w:rsid w:val="004D491A"/>
    <w:rsid w:val="004E4422"/>
    <w:rsid w:val="00503998"/>
    <w:rsid w:val="0050623B"/>
    <w:rsid w:val="00523181"/>
    <w:rsid w:val="00524D13"/>
    <w:rsid w:val="005339F6"/>
    <w:rsid w:val="00576B18"/>
    <w:rsid w:val="00587724"/>
    <w:rsid w:val="00591512"/>
    <w:rsid w:val="005A4A4D"/>
    <w:rsid w:val="005B2D91"/>
    <w:rsid w:val="005B48B4"/>
    <w:rsid w:val="005B673C"/>
    <w:rsid w:val="005C6661"/>
    <w:rsid w:val="005C6E3B"/>
    <w:rsid w:val="005D474B"/>
    <w:rsid w:val="005E085C"/>
    <w:rsid w:val="005E147D"/>
    <w:rsid w:val="005E22C2"/>
    <w:rsid w:val="005E57BB"/>
    <w:rsid w:val="005F0017"/>
    <w:rsid w:val="005F1F28"/>
    <w:rsid w:val="006014F1"/>
    <w:rsid w:val="0061357B"/>
    <w:rsid w:val="00614A7D"/>
    <w:rsid w:val="0063631C"/>
    <w:rsid w:val="0063757B"/>
    <w:rsid w:val="006377CE"/>
    <w:rsid w:val="006537D9"/>
    <w:rsid w:val="00660523"/>
    <w:rsid w:val="00663DB0"/>
    <w:rsid w:val="00664A48"/>
    <w:rsid w:val="00665DEF"/>
    <w:rsid w:val="00675BB1"/>
    <w:rsid w:val="006775F1"/>
    <w:rsid w:val="00692AA7"/>
    <w:rsid w:val="00697FEC"/>
    <w:rsid w:val="006A175F"/>
    <w:rsid w:val="006A44F5"/>
    <w:rsid w:val="006A47F8"/>
    <w:rsid w:val="006B2706"/>
    <w:rsid w:val="006B4537"/>
    <w:rsid w:val="006B5F85"/>
    <w:rsid w:val="006B6929"/>
    <w:rsid w:val="006B709B"/>
    <w:rsid w:val="006C54AF"/>
    <w:rsid w:val="006E0181"/>
    <w:rsid w:val="00700C0E"/>
    <w:rsid w:val="00705DAD"/>
    <w:rsid w:val="007247B9"/>
    <w:rsid w:val="00727D85"/>
    <w:rsid w:val="00732F47"/>
    <w:rsid w:val="007346C7"/>
    <w:rsid w:val="00736041"/>
    <w:rsid w:val="007408C7"/>
    <w:rsid w:val="007465DA"/>
    <w:rsid w:val="00752C7F"/>
    <w:rsid w:val="00776598"/>
    <w:rsid w:val="00776A43"/>
    <w:rsid w:val="00792948"/>
    <w:rsid w:val="00796E84"/>
    <w:rsid w:val="007A3ADE"/>
    <w:rsid w:val="007A5733"/>
    <w:rsid w:val="007A5774"/>
    <w:rsid w:val="007E3D63"/>
    <w:rsid w:val="00801E74"/>
    <w:rsid w:val="0080485E"/>
    <w:rsid w:val="008142B4"/>
    <w:rsid w:val="00832324"/>
    <w:rsid w:val="00835337"/>
    <w:rsid w:val="00846DCD"/>
    <w:rsid w:val="00851D85"/>
    <w:rsid w:val="00860CCB"/>
    <w:rsid w:val="008740A3"/>
    <w:rsid w:val="0089297B"/>
    <w:rsid w:val="008B1167"/>
    <w:rsid w:val="008C36CA"/>
    <w:rsid w:val="008E3F8C"/>
    <w:rsid w:val="00902FD0"/>
    <w:rsid w:val="009053D3"/>
    <w:rsid w:val="0090691F"/>
    <w:rsid w:val="0093111F"/>
    <w:rsid w:val="00935689"/>
    <w:rsid w:val="0095303B"/>
    <w:rsid w:val="009663B6"/>
    <w:rsid w:val="00974A47"/>
    <w:rsid w:val="00980286"/>
    <w:rsid w:val="00990DCF"/>
    <w:rsid w:val="009A4CD6"/>
    <w:rsid w:val="009A537C"/>
    <w:rsid w:val="009C0886"/>
    <w:rsid w:val="009C19EE"/>
    <w:rsid w:val="009C28D0"/>
    <w:rsid w:val="009C35F2"/>
    <w:rsid w:val="009C7782"/>
    <w:rsid w:val="009D1ED5"/>
    <w:rsid w:val="009D4C13"/>
    <w:rsid w:val="009E21A7"/>
    <w:rsid w:val="00A103ED"/>
    <w:rsid w:val="00A13C60"/>
    <w:rsid w:val="00A15134"/>
    <w:rsid w:val="00A341A3"/>
    <w:rsid w:val="00A35800"/>
    <w:rsid w:val="00A52918"/>
    <w:rsid w:val="00A547B3"/>
    <w:rsid w:val="00A70E82"/>
    <w:rsid w:val="00A74575"/>
    <w:rsid w:val="00A84CAD"/>
    <w:rsid w:val="00A90E50"/>
    <w:rsid w:val="00A95FA5"/>
    <w:rsid w:val="00A96D92"/>
    <w:rsid w:val="00AB199C"/>
    <w:rsid w:val="00AB3733"/>
    <w:rsid w:val="00AB588C"/>
    <w:rsid w:val="00AB7897"/>
    <w:rsid w:val="00AC5054"/>
    <w:rsid w:val="00AE4BAC"/>
    <w:rsid w:val="00B034FC"/>
    <w:rsid w:val="00B05310"/>
    <w:rsid w:val="00B0780C"/>
    <w:rsid w:val="00B10A0B"/>
    <w:rsid w:val="00B30D85"/>
    <w:rsid w:val="00B35A4A"/>
    <w:rsid w:val="00B453CF"/>
    <w:rsid w:val="00B63FD7"/>
    <w:rsid w:val="00B816D9"/>
    <w:rsid w:val="00B9120F"/>
    <w:rsid w:val="00B9216C"/>
    <w:rsid w:val="00B924A4"/>
    <w:rsid w:val="00BB0D1A"/>
    <w:rsid w:val="00BB1D3B"/>
    <w:rsid w:val="00BC35ED"/>
    <w:rsid w:val="00BE205A"/>
    <w:rsid w:val="00BE3802"/>
    <w:rsid w:val="00BF238E"/>
    <w:rsid w:val="00BF2F4A"/>
    <w:rsid w:val="00BF544D"/>
    <w:rsid w:val="00C0076F"/>
    <w:rsid w:val="00C0301C"/>
    <w:rsid w:val="00C050B6"/>
    <w:rsid w:val="00C10F12"/>
    <w:rsid w:val="00C245EA"/>
    <w:rsid w:val="00C256F6"/>
    <w:rsid w:val="00C3097E"/>
    <w:rsid w:val="00C35ECC"/>
    <w:rsid w:val="00C361A8"/>
    <w:rsid w:val="00C41246"/>
    <w:rsid w:val="00C42C2E"/>
    <w:rsid w:val="00C45E5F"/>
    <w:rsid w:val="00C46291"/>
    <w:rsid w:val="00C63412"/>
    <w:rsid w:val="00C714D0"/>
    <w:rsid w:val="00C90ABA"/>
    <w:rsid w:val="00C90EF4"/>
    <w:rsid w:val="00CA015A"/>
    <w:rsid w:val="00CB07A1"/>
    <w:rsid w:val="00CB250C"/>
    <w:rsid w:val="00CC1AA3"/>
    <w:rsid w:val="00CD4486"/>
    <w:rsid w:val="00CF5E22"/>
    <w:rsid w:val="00D06A44"/>
    <w:rsid w:val="00D151EB"/>
    <w:rsid w:val="00D300E0"/>
    <w:rsid w:val="00D34C22"/>
    <w:rsid w:val="00D36EB0"/>
    <w:rsid w:val="00D374CD"/>
    <w:rsid w:val="00D650CE"/>
    <w:rsid w:val="00D71719"/>
    <w:rsid w:val="00D776DA"/>
    <w:rsid w:val="00D8758B"/>
    <w:rsid w:val="00D942B3"/>
    <w:rsid w:val="00D94863"/>
    <w:rsid w:val="00DA0981"/>
    <w:rsid w:val="00DA7D09"/>
    <w:rsid w:val="00DB58D5"/>
    <w:rsid w:val="00DC2630"/>
    <w:rsid w:val="00DC49E9"/>
    <w:rsid w:val="00DC55E4"/>
    <w:rsid w:val="00DC7D71"/>
    <w:rsid w:val="00DD188C"/>
    <w:rsid w:val="00DD29A3"/>
    <w:rsid w:val="00DD48EE"/>
    <w:rsid w:val="00DD5048"/>
    <w:rsid w:val="00DE0B96"/>
    <w:rsid w:val="00DE10B9"/>
    <w:rsid w:val="00DF0B13"/>
    <w:rsid w:val="00DF2EB8"/>
    <w:rsid w:val="00DF4A94"/>
    <w:rsid w:val="00DF6003"/>
    <w:rsid w:val="00E00095"/>
    <w:rsid w:val="00E066C3"/>
    <w:rsid w:val="00E10D8C"/>
    <w:rsid w:val="00E1353A"/>
    <w:rsid w:val="00E1564B"/>
    <w:rsid w:val="00E208A0"/>
    <w:rsid w:val="00E25B49"/>
    <w:rsid w:val="00E371EA"/>
    <w:rsid w:val="00E64429"/>
    <w:rsid w:val="00E677DD"/>
    <w:rsid w:val="00E7594B"/>
    <w:rsid w:val="00EB32C5"/>
    <w:rsid w:val="00EB4688"/>
    <w:rsid w:val="00EB6C07"/>
    <w:rsid w:val="00EC028D"/>
    <w:rsid w:val="00ED633B"/>
    <w:rsid w:val="00EE2BBB"/>
    <w:rsid w:val="00EE478C"/>
    <w:rsid w:val="00EF5634"/>
    <w:rsid w:val="00F1132C"/>
    <w:rsid w:val="00F15DD5"/>
    <w:rsid w:val="00F17D4B"/>
    <w:rsid w:val="00F23139"/>
    <w:rsid w:val="00F66CD5"/>
    <w:rsid w:val="00F67A9A"/>
    <w:rsid w:val="00F70F4E"/>
    <w:rsid w:val="00F73113"/>
    <w:rsid w:val="00F75FC4"/>
    <w:rsid w:val="00F85981"/>
    <w:rsid w:val="00F87263"/>
    <w:rsid w:val="00F93725"/>
    <w:rsid w:val="00FA1BA3"/>
    <w:rsid w:val="00FA4890"/>
    <w:rsid w:val="00FB77FA"/>
    <w:rsid w:val="00FC3C70"/>
    <w:rsid w:val="00FC4A73"/>
    <w:rsid w:val="00FC559C"/>
    <w:rsid w:val="00FC7F0D"/>
    <w:rsid w:val="00FE645A"/>
    <w:rsid w:val="00FF610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DC4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5800"/>
    <w:pPr>
      <w:spacing w:line="240" w:lineRule="auto"/>
    </w:pPr>
    <w:rPr>
      <w:sz w:val="24"/>
      <w:szCs w:val="24"/>
    </w:rPr>
  </w:style>
  <w:style w:type="paragraph" w:styleId="Heading1">
    <w:name w:val="heading 1"/>
    <w:basedOn w:val="Normal"/>
    <w:next w:val="Normal"/>
    <w:link w:val="Heading1Char"/>
    <w:uiPriority w:val="9"/>
    <w:qFormat/>
    <w:rsid w:val="00CF5E22"/>
    <w:pPr>
      <w:keepNext/>
      <w:keepLines/>
      <w:spacing w:before="480" w:after="240"/>
      <w:outlineLvl w:val="0"/>
    </w:pPr>
    <w:rPr>
      <w:rFonts w:eastAsiaTheme="majorEastAsia" w:cstheme="majorBidi"/>
      <w:b/>
      <w:bCs/>
      <w:sz w:val="32"/>
      <w:szCs w:val="32"/>
    </w:rPr>
  </w:style>
  <w:style w:type="paragraph" w:styleId="Heading2">
    <w:name w:val="heading 2"/>
    <w:basedOn w:val="Heading4"/>
    <w:next w:val="Normal"/>
    <w:link w:val="Heading2Char"/>
    <w:uiPriority w:val="9"/>
    <w:unhideWhenUsed/>
    <w:qFormat/>
    <w:rsid w:val="00CF5E22"/>
    <w:pPr>
      <w:outlineLvl w:val="1"/>
    </w:pPr>
    <w:rPr>
      <w:i w:val="0"/>
      <w:sz w:val="28"/>
      <w:szCs w:val="24"/>
    </w:rPr>
  </w:style>
  <w:style w:type="paragraph" w:styleId="Heading3">
    <w:name w:val="heading 3"/>
    <w:basedOn w:val="Normal"/>
    <w:next w:val="Normal"/>
    <w:link w:val="Heading3Char"/>
    <w:uiPriority w:val="9"/>
    <w:unhideWhenUsed/>
    <w:qFormat/>
    <w:rsid w:val="00CF5E22"/>
    <w:pPr>
      <w:spacing w:before="240"/>
      <w:outlineLvl w:val="2"/>
    </w:pPr>
    <w:rPr>
      <w:b/>
      <w:i/>
      <w:szCs w:val="28"/>
    </w:rPr>
  </w:style>
  <w:style w:type="paragraph" w:styleId="Heading4">
    <w:name w:val="heading 4"/>
    <w:basedOn w:val="Heading3"/>
    <w:next w:val="Normal"/>
    <w:link w:val="Heading4Char"/>
    <w:uiPriority w:val="9"/>
    <w:unhideWhenUsed/>
    <w:qFormat/>
    <w:rsid w:val="000C46BB"/>
    <w:pPr>
      <w:outlineLvl w:val="3"/>
    </w:pPr>
    <w:rPr>
      <w:sz w:val="32"/>
      <w:szCs w:val="32"/>
    </w:rPr>
  </w:style>
  <w:style w:type="paragraph" w:styleId="Heading5">
    <w:name w:val="heading 5"/>
    <w:basedOn w:val="Normal"/>
    <w:next w:val="Normal"/>
    <w:link w:val="Heading5Char"/>
    <w:uiPriority w:val="9"/>
    <w:semiHidden/>
    <w:unhideWhenUsed/>
    <w:qFormat/>
    <w:rsid w:val="0063631C"/>
    <w:pPr>
      <w:keepNext/>
      <w:keepLines/>
      <w:spacing w:before="24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5E22"/>
    <w:rPr>
      <w:rFonts w:eastAsiaTheme="majorEastAsia" w:cstheme="majorBidi"/>
      <w:b/>
      <w:bCs/>
      <w:sz w:val="32"/>
      <w:szCs w:val="32"/>
    </w:rPr>
  </w:style>
  <w:style w:type="character" w:customStyle="1" w:styleId="Heading2Char">
    <w:name w:val="Heading 2 Char"/>
    <w:basedOn w:val="DefaultParagraphFont"/>
    <w:link w:val="Heading2"/>
    <w:uiPriority w:val="9"/>
    <w:rsid w:val="00CF5E22"/>
    <w:rPr>
      <w:b/>
      <w:sz w:val="28"/>
      <w:szCs w:val="24"/>
    </w:rPr>
  </w:style>
  <w:style w:type="character" w:customStyle="1" w:styleId="Heading3Char">
    <w:name w:val="Heading 3 Char"/>
    <w:basedOn w:val="DefaultParagraphFont"/>
    <w:link w:val="Heading3"/>
    <w:uiPriority w:val="9"/>
    <w:rsid w:val="00CF5E22"/>
    <w:rPr>
      <w:b/>
      <w:i/>
      <w:sz w:val="24"/>
      <w:szCs w:val="28"/>
    </w:rPr>
  </w:style>
  <w:style w:type="paragraph" w:styleId="BalloonText">
    <w:name w:val="Balloon Text"/>
    <w:basedOn w:val="Normal"/>
    <w:link w:val="BalloonTextChar"/>
    <w:uiPriority w:val="99"/>
    <w:semiHidden/>
    <w:unhideWhenUsed/>
    <w:rsid w:val="0059151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1512"/>
    <w:rPr>
      <w:rFonts w:ascii="Tahoma" w:hAnsi="Tahoma" w:cs="Tahoma"/>
      <w:sz w:val="16"/>
      <w:szCs w:val="16"/>
    </w:rPr>
  </w:style>
  <w:style w:type="character" w:styleId="CommentReference">
    <w:name w:val="annotation reference"/>
    <w:basedOn w:val="DefaultParagraphFont"/>
    <w:uiPriority w:val="99"/>
    <w:semiHidden/>
    <w:unhideWhenUsed/>
    <w:rsid w:val="00E677DD"/>
    <w:rPr>
      <w:sz w:val="16"/>
      <w:szCs w:val="16"/>
    </w:rPr>
  </w:style>
  <w:style w:type="paragraph" w:styleId="CommentText">
    <w:name w:val="annotation text"/>
    <w:basedOn w:val="Normal"/>
    <w:link w:val="CommentTextChar"/>
    <w:uiPriority w:val="99"/>
    <w:semiHidden/>
    <w:unhideWhenUsed/>
    <w:rsid w:val="00E677DD"/>
    <w:rPr>
      <w:sz w:val="20"/>
      <w:szCs w:val="20"/>
    </w:rPr>
  </w:style>
  <w:style w:type="character" w:customStyle="1" w:styleId="CommentTextChar">
    <w:name w:val="Comment Text Char"/>
    <w:basedOn w:val="DefaultParagraphFont"/>
    <w:link w:val="CommentText"/>
    <w:uiPriority w:val="99"/>
    <w:semiHidden/>
    <w:rsid w:val="00E677DD"/>
    <w:rPr>
      <w:sz w:val="20"/>
      <w:szCs w:val="20"/>
    </w:rPr>
  </w:style>
  <w:style w:type="paragraph" w:styleId="CommentSubject">
    <w:name w:val="annotation subject"/>
    <w:basedOn w:val="CommentText"/>
    <w:next w:val="CommentText"/>
    <w:link w:val="CommentSubjectChar"/>
    <w:uiPriority w:val="99"/>
    <w:semiHidden/>
    <w:unhideWhenUsed/>
    <w:rsid w:val="00E677DD"/>
    <w:rPr>
      <w:b/>
      <w:bCs/>
    </w:rPr>
  </w:style>
  <w:style w:type="character" w:customStyle="1" w:styleId="CommentSubjectChar">
    <w:name w:val="Comment Subject Char"/>
    <w:basedOn w:val="CommentTextChar"/>
    <w:link w:val="CommentSubject"/>
    <w:uiPriority w:val="99"/>
    <w:semiHidden/>
    <w:rsid w:val="00E677DD"/>
    <w:rPr>
      <w:b/>
      <w:bCs/>
      <w:sz w:val="20"/>
      <w:szCs w:val="20"/>
    </w:rPr>
  </w:style>
  <w:style w:type="character" w:customStyle="1" w:styleId="Heading4Char">
    <w:name w:val="Heading 4 Char"/>
    <w:basedOn w:val="DefaultParagraphFont"/>
    <w:link w:val="Heading4"/>
    <w:uiPriority w:val="9"/>
    <w:rsid w:val="000C46BB"/>
    <w:rPr>
      <w:b/>
      <w:sz w:val="32"/>
      <w:szCs w:val="32"/>
    </w:rPr>
  </w:style>
  <w:style w:type="character" w:customStyle="1" w:styleId="Heading5Char">
    <w:name w:val="Heading 5 Char"/>
    <w:basedOn w:val="DefaultParagraphFont"/>
    <w:link w:val="Heading5"/>
    <w:uiPriority w:val="9"/>
    <w:semiHidden/>
    <w:rsid w:val="0063631C"/>
    <w:rPr>
      <w:rFonts w:ascii="Lucida Bright" w:eastAsiaTheme="majorEastAsia" w:hAnsi="Lucida Bright" w:cstheme="majorBidi"/>
      <w:sz w:val="24"/>
      <w:szCs w:val="24"/>
    </w:rPr>
  </w:style>
  <w:style w:type="paragraph" w:styleId="Title">
    <w:name w:val="Title"/>
    <w:basedOn w:val="Normal"/>
    <w:next w:val="Normal"/>
    <w:link w:val="TitleChar"/>
    <w:uiPriority w:val="10"/>
    <w:qFormat/>
    <w:rsid w:val="00FE645A"/>
    <w:pPr>
      <w:spacing w:after="240"/>
      <w:contextualSpacing/>
    </w:pPr>
    <w:rPr>
      <w:rFonts w:eastAsiaTheme="majorEastAsia" w:cstheme="majorBidi"/>
      <w:b/>
      <w:spacing w:val="5"/>
      <w:kern w:val="28"/>
      <w:sz w:val="52"/>
      <w:szCs w:val="52"/>
    </w:rPr>
  </w:style>
  <w:style w:type="character" w:customStyle="1" w:styleId="TitleChar">
    <w:name w:val="Title Char"/>
    <w:basedOn w:val="DefaultParagraphFont"/>
    <w:link w:val="Title"/>
    <w:uiPriority w:val="10"/>
    <w:rsid w:val="00FE645A"/>
    <w:rPr>
      <w:rFonts w:eastAsiaTheme="majorEastAsia" w:cstheme="majorBidi"/>
      <w:b/>
      <w:spacing w:val="5"/>
      <w:kern w:val="28"/>
      <w:sz w:val="52"/>
      <w:szCs w:val="52"/>
    </w:rPr>
  </w:style>
  <w:style w:type="paragraph" w:styleId="Footer">
    <w:name w:val="footer"/>
    <w:basedOn w:val="Normal"/>
    <w:link w:val="FooterChar"/>
    <w:uiPriority w:val="99"/>
    <w:unhideWhenUsed/>
    <w:rsid w:val="00705DAD"/>
    <w:pPr>
      <w:tabs>
        <w:tab w:val="center" w:pos="4320"/>
        <w:tab w:val="right" w:pos="8640"/>
      </w:tabs>
      <w:spacing w:after="0"/>
    </w:pPr>
  </w:style>
  <w:style w:type="character" w:customStyle="1" w:styleId="FooterChar">
    <w:name w:val="Footer Char"/>
    <w:basedOn w:val="DefaultParagraphFont"/>
    <w:link w:val="Footer"/>
    <w:uiPriority w:val="99"/>
    <w:rsid w:val="00705DAD"/>
    <w:rPr>
      <w:rFonts w:ascii="Lucida Bright" w:hAnsi="Lucida Bright"/>
      <w:sz w:val="24"/>
      <w:szCs w:val="24"/>
    </w:rPr>
  </w:style>
  <w:style w:type="character" w:styleId="PageNumber">
    <w:name w:val="page number"/>
    <w:basedOn w:val="DefaultParagraphFont"/>
    <w:uiPriority w:val="99"/>
    <w:semiHidden/>
    <w:unhideWhenUsed/>
    <w:rsid w:val="00705DAD"/>
  </w:style>
  <w:style w:type="paragraph" w:styleId="Header">
    <w:name w:val="header"/>
    <w:basedOn w:val="Normal"/>
    <w:link w:val="HeaderChar"/>
    <w:uiPriority w:val="99"/>
    <w:unhideWhenUsed/>
    <w:rsid w:val="00705DAD"/>
    <w:pPr>
      <w:tabs>
        <w:tab w:val="center" w:pos="4320"/>
        <w:tab w:val="right" w:pos="8640"/>
      </w:tabs>
      <w:spacing w:after="0"/>
    </w:pPr>
  </w:style>
  <w:style w:type="character" w:customStyle="1" w:styleId="HeaderChar">
    <w:name w:val="Header Char"/>
    <w:basedOn w:val="DefaultParagraphFont"/>
    <w:link w:val="Header"/>
    <w:uiPriority w:val="99"/>
    <w:rsid w:val="00705DAD"/>
    <w:rPr>
      <w:rFonts w:ascii="Lucida Bright" w:hAnsi="Lucida Bright"/>
      <w:sz w:val="24"/>
      <w:szCs w:val="24"/>
    </w:rPr>
  </w:style>
  <w:style w:type="paragraph" w:styleId="DocumentMap">
    <w:name w:val="Document Map"/>
    <w:basedOn w:val="Normal"/>
    <w:link w:val="DocumentMapChar"/>
    <w:uiPriority w:val="99"/>
    <w:semiHidden/>
    <w:unhideWhenUsed/>
    <w:rsid w:val="00832324"/>
    <w:pPr>
      <w:spacing w:after="0"/>
    </w:pPr>
    <w:rPr>
      <w:rFonts w:ascii="Lucida Grande" w:hAnsi="Lucida Grande" w:cs="Lucida Grande"/>
    </w:rPr>
  </w:style>
  <w:style w:type="character" w:customStyle="1" w:styleId="DocumentMapChar">
    <w:name w:val="Document Map Char"/>
    <w:basedOn w:val="DefaultParagraphFont"/>
    <w:link w:val="DocumentMap"/>
    <w:uiPriority w:val="99"/>
    <w:semiHidden/>
    <w:rsid w:val="00832324"/>
    <w:rPr>
      <w:rFonts w:ascii="Lucida Grande" w:hAnsi="Lucida Grande" w:cs="Lucida Grande"/>
      <w:sz w:val="24"/>
      <w:szCs w:val="24"/>
    </w:rPr>
  </w:style>
  <w:style w:type="table" w:styleId="TableGrid">
    <w:name w:val="Table Grid"/>
    <w:aliases w:val="Table Gridbeth"/>
    <w:basedOn w:val="TableNormal"/>
    <w:rsid w:val="001420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writing">
    <w:name w:val="Table writing"/>
    <w:basedOn w:val="Normal"/>
    <w:qFormat/>
    <w:rsid w:val="001420B3"/>
    <w:pPr>
      <w:autoSpaceDE w:val="0"/>
      <w:autoSpaceDN w:val="0"/>
      <w:adjustRightInd w:val="0"/>
      <w:spacing w:before="60" w:after="60"/>
    </w:pPr>
    <w:rPr>
      <w:rFonts w:cs="Calibri"/>
      <w:color w:val="000000"/>
      <w:sz w:val="20"/>
      <w:szCs w:val="20"/>
    </w:rPr>
  </w:style>
  <w:style w:type="paragraph" w:customStyle="1" w:styleId="Tableheading">
    <w:name w:val="Table heading"/>
    <w:basedOn w:val="Normal"/>
    <w:qFormat/>
    <w:rsid w:val="001420B3"/>
    <w:pPr>
      <w:autoSpaceDE w:val="0"/>
      <w:autoSpaceDN w:val="0"/>
      <w:adjustRightInd w:val="0"/>
      <w:spacing w:before="60" w:after="60"/>
      <w:jc w:val="center"/>
    </w:pPr>
    <w:rPr>
      <w:rFonts w:cs="Calibri"/>
      <w:b/>
    </w:rPr>
  </w:style>
  <w:style w:type="paragraph" w:customStyle="1" w:styleId="Char2CharCharCharZchnZchnCharCharCharCharCharCharCharCharCharCharCharCharCharCharCharCharCharCharCharCharCharCharCharChar1CharCharCharCharCharCharCharCharCharCharCharChar1Char">
    <w:name w:val="Char2 Char Char Char Zchn Zchn Char Char Char Char Char Char Char Char Char Char Char Char Char Char Char Char Char Char Char Char Char Char Char Char1 Char Char Char Char Char Char Char Char Char Char Char Char1 Char"/>
    <w:basedOn w:val="Normal"/>
    <w:rsid w:val="00ED633B"/>
    <w:pPr>
      <w:spacing w:after="160" w:line="240" w:lineRule="exact"/>
    </w:pPr>
    <w:rPr>
      <w:rFonts w:ascii="Verdana" w:eastAsia="MS Mincho" w:hAnsi="Verdana" w:cs="Verdana"/>
      <w:sz w:val="20"/>
      <w:szCs w:val="20"/>
      <w:lang w:val="en-US" w:eastAsia="en-US"/>
    </w:rPr>
  </w:style>
  <w:style w:type="paragraph" w:customStyle="1" w:styleId="Notes">
    <w:name w:val="Notes"/>
    <w:basedOn w:val="Normal"/>
    <w:qFormat/>
    <w:rsid w:val="003370D0"/>
    <w:rPr>
      <w:rFonts w:cs="Baskerville"/>
      <w:sz w:val="20"/>
      <w:szCs w:val="20"/>
    </w:rPr>
  </w:style>
  <w:style w:type="paragraph" w:customStyle="1" w:styleId="Tabletitle">
    <w:name w:val="Table title"/>
    <w:basedOn w:val="Heading4"/>
    <w:link w:val="TabletitleChar"/>
    <w:qFormat/>
    <w:rsid w:val="00CF5E22"/>
    <w:pPr>
      <w:spacing w:after="20"/>
    </w:pPr>
    <w:rPr>
      <w:i w:val="0"/>
      <w:sz w:val="24"/>
      <w:szCs w:val="24"/>
    </w:rPr>
  </w:style>
  <w:style w:type="paragraph" w:customStyle="1" w:styleId="Figurecaption">
    <w:name w:val="Figure caption"/>
    <w:basedOn w:val="Normal"/>
    <w:link w:val="FigurecaptionChar"/>
    <w:qFormat/>
    <w:rsid w:val="00FE645A"/>
    <w:pPr>
      <w:spacing w:before="60" w:after="60"/>
    </w:pPr>
    <w:rPr>
      <w:sz w:val="20"/>
      <w:szCs w:val="20"/>
      <w:lang w:eastAsia="en-US"/>
    </w:rPr>
  </w:style>
  <w:style w:type="character" w:customStyle="1" w:styleId="FigurecaptionChar">
    <w:name w:val="Figure caption Char"/>
    <w:basedOn w:val="DefaultParagraphFont"/>
    <w:link w:val="Figurecaption"/>
    <w:rsid w:val="00FE645A"/>
    <w:rPr>
      <w:sz w:val="20"/>
      <w:szCs w:val="20"/>
      <w:lang w:eastAsia="en-US"/>
    </w:rPr>
  </w:style>
  <w:style w:type="paragraph" w:styleId="FootnoteText">
    <w:name w:val="footnote text"/>
    <w:basedOn w:val="Normal"/>
    <w:link w:val="FootnoteTextChar"/>
    <w:uiPriority w:val="99"/>
    <w:unhideWhenUsed/>
    <w:rsid w:val="008142B4"/>
    <w:pPr>
      <w:spacing w:after="0"/>
    </w:pPr>
    <w:rPr>
      <w:sz w:val="18"/>
      <w:szCs w:val="20"/>
    </w:rPr>
  </w:style>
  <w:style w:type="character" w:customStyle="1" w:styleId="FootnoteTextChar">
    <w:name w:val="Footnote Text Char"/>
    <w:basedOn w:val="DefaultParagraphFont"/>
    <w:link w:val="FootnoteText"/>
    <w:uiPriority w:val="99"/>
    <w:rsid w:val="008142B4"/>
    <w:rPr>
      <w:sz w:val="18"/>
      <w:szCs w:val="20"/>
    </w:rPr>
  </w:style>
  <w:style w:type="character" w:styleId="FootnoteReference">
    <w:name w:val="footnote reference"/>
    <w:basedOn w:val="DefaultParagraphFont"/>
    <w:uiPriority w:val="99"/>
    <w:unhideWhenUsed/>
    <w:rsid w:val="008142B4"/>
    <w:rPr>
      <w:vertAlign w:val="superscript"/>
    </w:rPr>
  </w:style>
  <w:style w:type="character" w:customStyle="1" w:styleId="TabletitleChar">
    <w:name w:val="Table title Char"/>
    <w:basedOn w:val="Heading4Char"/>
    <w:link w:val="Tabletitle"/>
    <w:rsid w:val="00CF5E22"/>
    <w:rPr>
      <w:b/>
      <w:sz w:val="24"/>
      <w:szCs w:val="24"/>
    </w:rPr>
  </w:style>
  <w:style w:type="paragraph" w:customStyle="1" w:styleId="Figuretitle">
    <w:name w:val="Figure title"/>
    <w:basedOn w:val="Tabletitle"/>
    <w:link w:val="FiguretitleChar"/>
    <w:qFormat/>
    <w:rsid w:val="00FE645A"/>
    <w:pPr>
      <w:spacing w:before="60" w:after="60"/>
    </w:pPr>
    <w:rPr>
      <w:lang w:val="en-US"/>
    </w:rPr>
  </w:style>
  <w:style w:type="character" w:customStyle="1" w:styleId="FiguretitleChar">
    <w:name w:val="Figure title Char"/>
    <w:basedOn w:val="TabletitleChar"/>
    <w:link w:val="Figuretitle"/>
    <w:rsid w:val="00FE645A"/>
    <w:rPr>
      <w:rFonts w:ascii="Lucida Bright" w:eastAsiaTheme="majorEastAsia" w:hAnsi="Lucida Bright" w:cstheme="majorBidi"/>
      <w:b/>
      <w:bCs w:val="0"/>
      <w:i w:val="0"/>
      <w:iCs w:val="0"/>
      <w:sz w:val="24"/>
      <w:szCs w:val="24"/>
      <w:lang w:val="en-US"/>
    </w:rPr>
  </w:style>
  <w:style w:type="paragraph" w:styleId="NoSpacing">
    <w:name w:val="No Spacing"/>
    <w:uiPriority w:val="1"/>
    <w:qFormat/>
    <w:rsid w:val="00BB0D1A"/>
    <w:pPr>
      <w:spacing w:after="0" w:line="240" w:lineRule="auto"/>
    </w:pPr>
    <w:rPr>
      <w:sz w:val="24"/>
      <w:szCs w:val="24"/>
    </w:rPr>
  </w:style>
  <w:style w:type="paragraph" w:styleId="ListParagraph">
    <w:name w:val="List Paragraph"/>
    <w:aliases w:val="BulletPoints"/>
    <w:basedOn w:val="Normal"/>
    <w:link w:val="ListParagraphChar"/>
    <w:uiPriority w:val="34"/>
    <w:qFormat/>
    <w:rsid w:val="003402E4"/>
    <w:pPr>
      <w:ind w:left="720"/>
      <w:contextualSpacing/>
    </w:pPr>
  </w:style>
  <w:style w:type="character" w:styleId="Hyperlink">
    <w:name w:val="Hyperlink"/>
    <w:basedOn w:val="DefaultParagraphFont"/>
    <w:uiPriority w:val="99"/>
    <w:unhideWhenUsed/>
    <w:rsid w:val="00F17D4B"/>
    <w:rPr>
      <w:color w:val="0000FF" w:themeColor="hyperlink"/>
      <w:u w:val="single"/>
    </w:rPr>
  </w:style>
  <w:style w:type="paragraph" w:customStyle="1" w:styleId="Title2">
    <w:name w:val="Title 2"/>
    <w:basedOn w:val="Heading1"/>
    <w:link w:val="Title2Char"/>
    <w:qFormat/>
    <w:rsid w:val="00F73113"/>
    <w:rPr>
      <w:sz w:val="40"/>
    </w:rPr>
  </w:style>
  <w:style w:type="paragraph" w:customStyle="1" w:styleId="Meetingdate">
    <w:name w:val="Meeting date"/>
    <w:basedOn w:val="Heading4"/>
    <w:link w:val="MeetingdateChar"/>
    <w:qFormat/>
    <w:rsid w:val="00F73113"/>
    <w:rPr>
      <w:sz w:val="24"/>
    </w:rPr>
  </w:style>
  <w:style w:type="character" w:customStyle="1" w:styleId="Title2Char">
    <w:name w:val="Title 2 Char"/>
    <w:basedOn w:val="Heading1Char"/>
    <w:link w:val="Title2"/>
    <w:rsid w:val="00F73113"/>
    <w:rPr>
      <w:rFonts w:eastAsiaTheme="majorEastAsia" w:cstheme="majorBidi"/>
      <w:b/>
      <w:bCs/>
      <w:sz w:val="40"/>
      <w:szCs w:val="32"/>
    </w:rPr>
  </w:style>
  <w:style w:type="character" w:customStyle="1" w:styleId="MeetingdateChar">
    <w:name w:val="Meeting date Char"/>
    <w:basedOn w:val="Heading4Char"/>
    <w:link w:val="Meetingdate"/>
    <w:rsid w:val="00F73113"/>
    <w:rPr>
      <w:b/>
      <w:i/>
      <w:sz w:val="24"/>
      <w:szCs w:val="32"/>
    </w:rPr>
  </w:style>
  <w:style w:type="paragraph" w:customStyle="1" w:styleId="Default">
    <w:name w:val="Default"/>
    <w:basedOn w:val="Normal"/>
    <w:rsid w:val="001460C4"/>
    <w:pPr>
      <w:autoSpaceDE w:val="0"/>
      <w:autoSpaceDN w:val="0"/>
      <w:spacing w:after="0"/>
    </w:pPr>
    <w:rPr>
      <w:rFonts w:ascii="Calibri" w:eastAsiaTheme="minorHAnsi" w:hAnsi="Calibri" w:cs="Times New Roman"/>
      <w:color w:val="000000"/>
      <w:lang w:eastAsia="en-US"/>
    </w:rPr>
  </w:style>
  <w:style w:type="character" w:customStyle="1" w:styleId="ListParagraphChar">
    <w:name w:val="List Paragraph Char"/>
    <w:aliases w:val="BulletPoints Char"/>
    <w:basedOn w:val="DefaultParagraphFont"/>
    <w:link w:val="ListParagraph"/>
    <w:uiPriority w:val="34"/>
    <w:rsid w:val="00732F47"/>
    <w:rPr>
      <w:sz w:val="24"/>
      <w:szCs w:val="24"/>
    </w:rPr>
  </w:style>
  <w:style w:type="paragraph" w:styleId="Revision">
    <w:name w:val="Revision"/>
    <w:hidden/>
    <w:uiPriority w:val="99"/>
    <w:semiHidden/>
    <w:rsid w:val="001055BF"/>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667520">
      <w:bodyDiv w:val="1"/>
      <w:marLeft w:val="0"/>
      <w:marRight w:val="0"/>
      <w:marTop w:val="0"/>
      <w:marBottom w:val="0"/>
      <w:divBdr>
        <w:top w:val="none" w:sz="0" w:space="0" w:color="auto"/>
        <w:left w:val="none" w:sz="0" w:space="0" w:color="auto"/>
        <w:bottom w:val="none" w:sz="0" w:space="0" w:color="auto"/>
        <w:right w:val="none" w:sz="0" w:space="0" w:color="auto"/>
      </w:divBdr>
    </w:div>
    <w:div w:id="647443844">
      <w:bodyDiv w:val="1"/>
      <w:marLeft w:val="0"/>
      <w:marRight w:val="0"/>
      <w:marTop w:val="0"/>
      <w:marBottom w:val="0"/>
      <w:divBdr>
        <w:top w:val="none" w:sz="0" w:space="0" w:color="auto"/>
        <w:left w:val="none" w:sz="0" w:space="0" w:color="auto"/>
        <w:bottom w:val="none" w:sz="0" w:space="0" w:color="auto"/>
        <w:right w:val="none" w:sz="0" w:space="0" w:color="auto"/>
      </w:divBdr>
    </w:div>
    <w:div w:id="1008363137">
      <w:bodyDiv w:val="1"/>
      <w:marLeft w:val="0"/>
      <w:marRight w:val="0"/>
      <w:marTop w:val="0"/>
      <w:marBottom w:val="0"/>
      <w:divBdr>
        <w:top w:val="none" w:sz="0" w:space="0" w:color="auto"/>
        <w:left w:val="none" w:sz="0" w:space="0" w:color="auto"/>
        <w:bottom w:val="none" w:sz="0" w:space="0" w:color="auto"/>
        <w:right w:val="none" w:sz="0" w:space="0" w:color="auto"/>
      </w:divBdr>
    </w:div>
    <w:div w:id="1111436557">
      <w:bodyDiv w:val="1"/>
      <w:marLeft w:val="0"/>
      <w:marRight w:val="0"/>
      <w:marTop w:val="0"/>
      <w:marBottom w:val="0"/>
      <w:divBdr>
        <w:top w:val="none" w:sz="0" w:space="0" w:color="auto"/>
        <w:left w:val="none" w:sz="0" w:space="0" w:color="auto"/>
        <w:bottom w:val="none" w:sz="0" w:space="0" w:color="auto"/>
        <w:right w:val="none" w:sz="0" w:space="0" w:color="auto"/>
      </w:divBdr>
    </w:div>
    <w:div w:id="1307969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header" Target="header1.xm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chart" Target="charts/chart12.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footer" Target="footer1.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chart" Target="charts/chart11.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footer" Target="footer3.xml"/><Relationship Id="rId28" Type="http://schemas.openxmlformats.org/officeDocument/2006/relationships/footer" Target="footer5.xml"/><Relationship Id="rId10" Type="http://schemas.openxmlformats.org/officeDocument/2006/relationships/chart" Target="charts/chart3.xml"/><Relationship Id="rId19" Type="http://schemas.openxmlformats.org/officeDocument/2006/relationships/header" Target="header2.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pbs.gov.au/pbs/industry/listing/elements/pbac-meetings/psd/2018-07/Nivolumab-ipilimumab-psd-july-2018" TargetMode="External"/><Relationship Id="rId2" Type="http://schemas.openxmlformats.org/officeDocument/2006/relationships/hyperlink" Target="https://www.tga.gov.au/consumer-medicines-information-cmi" TargetMode="External"/><Relationship Id="rId1" Type="http://schemas.openxmlformats.org/officeDocument/2006/relationships/hyperlink" Target="http://www.pbs.gov.au/info/industry/listing/elements/pbac-meetings/psd/2018-07/Nivolumab-ipilimumab-psd-july-2018" TargetMode="External"/><Relationship Id="rId4" Type="http://schemas.openxmlformats.org/officeDocument/2006/relationships/hyperlink" Target="https://www.pbs.gov.au/pbs/industry/listing/elements/pbac-meetings/psd/2018-11/Nivolumab-And-Ipilimumabpsd-november-2018"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WFILP37\DFSApps_ServerApps$\Staging\DUSC\DUSC%20Database\Data%20Requests\Requests%202021\D1326%20-%20nivo+ipi%20for%201L%20RCC%20PvA,%20Oct%202021%20DUSC\D1326_SCRPT_SUM,%20all%20RCC%20items,%20line,%20fig1&amp;2,%20tableA1&amp;3%20script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WFILP37\DFSApps_ServerApps$\Staging\DUSC\DUSC%20Database\Data%20Requests\Requests%202021\D1326%20-%20nivo+ipi%20for%201L%20RCC%20PvA,%20Oct%202021%20DUSC\D1326_SCRPT_SUM,%20all%20RCC%20items,%20line,%20fig1&amp;2,%20tableA1&amp;3%20script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WFILP37\DFSApps_ServerApps$\Staging\DUSC\DUSC%20Database\Data%20Requests\Requests%202021\D1326%20-%20nivo+ipi%20for%201L%20RCC%20PvA,%20Oct%202021%20DUSC\D1326_SCRPT_SUM,%20all%20RCC%20items,%20line,%20fig1&amp;2,%20tableA1&amp;3%20scripts,%20v2+phase.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WFILP37\DFSApps_ServerApps$\Staging\DUSC\DUSC%20Database\Data%20Requests\Requests%202021\D1326%20-%20nivo+ipi%20for%201L%20RCC%20PvA,%20Oct%202021%20DUSC\D1326_SCRPT_SUM,%20all%20RCC%20items,%20line,%20fig1&amp;2,%20tableA1&amp;3%20scripts,%20v2+phase.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WFILP37\DFSApps_ServerApps$\Staging\DUSC\DUSC%20Database\Data%20Requests\Requests%202021\D1326%20-%20nivo+ipi%20for%201L%20RCC%20PvA,%20Oct%202021%20DUSC\D1326%20-%20PATCNTBY_DRUG_N_SUPP_Q%20-%20RCC%20only,%20by%20drug%20&amp;%20line,%20fig3-5.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WFILP37\DFSApps_ServerApps$\Staging\DUSC\DUSC%20Database\Data%20Requests\Requests%202021\D1326%20-%20nivo+ipi%20for%201L%20RCC%20PvA,%20Oct%202021%20DUSC\D1326%20-%20PATCNTBY_DRUG_N_SUPP_Q%20-%20RCC%20only,%20by%20drug%20&amp;%20line,%20fig3-5.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WFILP37\DFSApps_ServerApps$\Staging\DUSC\DUSC%20Database\Data%20Requests\Requests%202021\D1326%20-%20nivo+ipi%20for%201L%20RCC%20PvA,%20Oct%202021%20DUSC\D1326%20-%20PATCNTBY_DRUG_N_SUPP_Q%20-%20RCC%20only,%20by%20drug%20&amp;%20line,%20fig3-5.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WFILP37\DFSApps_ServerApps$\Staging\DUSC\DUSC%20Database\Data%20Requests\Requests%202021\D1326%20-%20nivo+ipi%20for%201L%20RCC%20PvA,%20Oct%202021%20DUSC\D1326%20-%20PATCNTBY_DRUG_N_SUPP_Q%20-%20RCC%20only,%20by%20drug%20&amp;%20line%20+%20phase.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WFILP37\DFSApps_ServerApps$\Staging\DUSC\DUSC%20Database\Data%20Requests\Requests%202021\D1326%20-%20nivo+ipi%20for%201L%20RCC%20PvA,%20Oct%202021%20DUSC\D1326%20-%20DRUG_FREQ,%2012%20mnths%20post%20init.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WFILP37\DFSApps_ServerApps$\Staging\DUSC\DUSC%20Database\Data%20Requests\Requests%202021\D1326%20-%20nivo+ipi%20for%201L%20RCC%20PvA,%20Oct%202021%20DUSC\D1326%20-%20DOSE_FREQ%20v2.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WFILP37\DFSApps_ServerApps$\Staging\DUSC\DUSC%20Database\Data%20Requests\Requests%202021\D1326%20-%20nivo+ipi%20for%201L%20RCC%20PvA,%20Oct%202021%20DUSC\D1326%20-%20DRUG_FREQ,%2012%20mnths%20post%20init,%20all%20nivo.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WFILP37\DFSApps_ServerApps$\Staging\DUSC\DUSC%20Database\Data%20Requests\Requests%202021\D1326%20-%20nivo+ipi%20for%201L%20RCC%20PvA,%20Oct%202021%20DUSC\D1326%20-%20DRUG_FREQ,%2012%20mnths%20post%20init,%20all%20nivo.xlsx" TargetMode="External"/><Relationship Id="rId2" Type="http://schemas.microsoft.com/office/2011/relationships/chartColorStyle" Target="colors12.xml"/><Relationship Id="rId1" Type="http://schemas.microsoft.com/office/2011/relationships/chartStyle" Target="style1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[D1326_SCRPT_SUM, all RCC items, line, fig1&amp;2, tableA1&amp;3 scripts.xlsx]Sheet1 (7)!PivotTable1</c:name>
    <c:fmtId val="-1"/>
  </c:pivotSource>
  <c:chart>
    <c:autoTitleDeleted val="1"/>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pivotFmt>
      <c:pivotFmt>
        <c:idx val="8"/>
        <c:spPr>
          <a:solidFill>
            <a:schemeClr val="accent1"/>
          </a:solidFill>
          <a:ln>
            <a:noFill/>
          </a:ln>
          <a:effectLst/>
        </c:spPr>
        <c:marker>
          <c:symbol val="none"/>
        </c:marker>
      </c:pivotFmt>
      <c:pivotFmt>
        <c:idx val="9"/>
        <c:spPr>
          <a:solidFill>
            <a:schemeClr val="accent1"/>
          </a:solidFill>
          <a:ln w="28575" cap="rnd">
            <a:solidFill>
              <a:schemeClr val="accent1"/>
            </a:solidFill>
            <a:round/>
          </a:ln>
          <a:effectLst/>
        </c:spPr>
        <c:marker>
          <c:symbol val="none"/>
        </c:marker>
      </c:pivotFmt>
      <c:pivotFmt>
        <c:idx val="10"/>
        <c:spPr>
          <a:solidFill>
            <a:schemeClr val="accent1"/>
          </a:solidFill>
          <a:ln w="28575" cap="rnd">
            <a:solidFill>
              <a:schemeClr val="accent1"/>
            </a:solidFill>
            <a:round/>
          </a:ln>
          <a:effectLst/>
        </c:spPr>
        <c:marker>
          <c:symbol val="none"/>
        </c:marker>
      </c:pivotFmt>
      <c:pivotFmt>
        <c:idx val="11"/>
        <c:spPr>
          <a:solidFill>
            <a:schemeClr val="accent1"/>
          </a:solidFill>
          <a:ln w="28575" cap="rnd">
            <a:solidFill>
              <a:schemeClr val="accent1"/>
            </a:solidFill>
            <a:round/>
          </a:ln>
          <a:effectLst/>
        </c:spPr>
        <c:marker>
          <c:symbol val="none"/>
        </c:marker>
      </c:pivotFmt>
      <c:pivotFmt>
        <c:idx val="12"/>
        <c:spPr>
          <a:solidFill>
            <a:schemeClr val="accent1"/>
          </a:solidFill>
          <a:ln w="28575" cap="rnd">
            <a:solidFill>
              <a:schemeClr val="accent1"/>
            </a:solidFill>
            <a:round/>
          </a:ln>
          <a:effectLst/>
        </c:spPr>
        <c:marker>
          <c:symbol val="none"/>
        </c:marker>
      </c:pivotFmt>
      <c:pivotFmt>
        <c:idx val="13"/>
        <c:spPr>
          <a:solidFill>
            <a:schemeClr val="accent1"/>
          </a:solidFill>
          <a:ln w="28575" cap="rnd">
            <a:solidFill>
              <a:schemeClr val="accent1"/>
            </a:solidFill>
            <a:round/>
          </a:ln>
          <a:effectLst/>
        </c:spPr>
        <c:marker>
          <c:symbol val="none"/>
        </c:marker>
      </c:pivotFmt>
      <c:pivotFmt>
        <c:idx val="14"/>
        <c:spPr>
          <a:solidFill>
            <a:schemeClr val="accent1"/>
          </a:solidFill>
          <a:ln w="28575" cap="rnd">
            <a:solidFill>
              <a:schemeClr val="accent1"/>
            </a:solidFill>
            <a:round/>
          </a:ln>
          <a:effectLst/>
        </c:spPr>
        <c:marker>
          <c:symbol val="none"/>
        </c:marker>
      </c:pivotFmt>
      <c:pivotFmt>
        <c:idx val="15"/>
        <c:spPr>
          <a:solidFill>
            <a:schemeClr val="accent1"/>
          </a:solidFill>
          <a:ln w="28575" cap="rnd">
            <a:solidFill>
              <a:schemeClr val="accent1"/>
            </a:solidFill>
            <a:round/>
          </a:ln>
          <a:effectLst/>
        </c:spPr>
        <c:marker>
          <c:symbol val="none"/>
        </c:marker>
      </c:pivotFmt>
      <c:pivotFmt>
        <c:idx val="16"/>
        <c:spPr>
          <a:solidFill>
            <a:schemeClr val="accent1"/>
          </a:solidFill>
          <a:ln w="28575" cap="rnd">
            <a:solidFill>
              <a:schemeClr val="accent1"/>
            </a:solidFill>
            <a:round/>
          </a:ln>
          <a:effectLst/>
        </c:spPr>
        <c:marker>
          <c:symbol val="none"/>
        </c:marker>
      </c:pivotFmt>
      <c:pivotFmt>
        <c:idx val="17"/>
        <c:spPr>
          <a:solidFill>
            <a:schemeClr val="accent1"/>
          </a:solidFill>
          <a:ln w="28575" cap="rnd">
            <a:solidFill>
              <a:schemeClr val="accent1"/>
            </a:solidFill>
            <a:round/>
          </a:ln>
          <a:effectLst/>
        </c:spPr>
        <c:marker>
          <c:symbol val="none"/>
        </c:marker>
      </c:pivotFmt>
      <c:pivotFmt>
        <c:idx val="18"/>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19"/>
        <c:spPr>
          <a:solidFill>
            <a:schemeClr val="accent1"/>
          </a:solidFill>
          <a:ln w="28575" cap="rnd">
            <a:solidFill>
              <a:schemeClr val="accent1"/>
            </a:solidFill>
            <a:round/>
          </a:ln>
          <a:effectLst/>
        </c:spPr>
        <c:marker>
          <c:symbol val="circle"/>
          <c:size val="5"/>
          <c:spPr>
            <a:solidFill>
              <a:schemeClr val="accent2"/>
            </a:solidFill>
            <a:ln w="9525">
              <a:solidFill>
                <a:schemeClr val="accent2"/>
              </a:solidFill>
            </a:ln>
            <a:effectLst/>
          </c:spPr>
        </c:marker>
      </c:pivotFmt>
      <c:pivotFmt>
        <c:idx val="20"/>
        <c:spPr>
          <a:solidFill>
            <a:schemeClr val="accent1"/>
          </a:solidFill>
          <a:ln w="28575" cap="rnd">
            <a:solidFill>
              <a:schemeClr val="accent1"/>
            </a:solidFill>
            <a:round/>
          </a:ln>
          <a:effectLst/>
        </c:spPr>
        <c:marker>
          <c:symbol val="circle"/>
          <c:size val="5"/>
          <c:spPr>
            <a:solidFill>
              <a:schemeClr val="accent3"/>
            </a:solidFill>
            <a:ln w="9525">
              <a:solidFill>
                <a:schemeClr val="accent3"/>
              </a:solidFill>
            </a:ln>
            <a:effectLst/>
          </c:spPr>
        </c:marker>
      </c:pivotFmt>
      <c:pivotFmt>
        <c:idx val="21"/>
        <c:spPr>
          <a:solidFill>
            <a:schemeClr val="accent1"/>
          </a:solidFill>
          <a:ln w="28575" cap="rnd">
            <a:solidFill>
              <a:schemeClr val="accent1"/>
            </a:solidFill>
            <a:round/>
          </a:ln>
          <a:effectLst/>
        </c:spPr>
        <c:marker>
          <c:symbol val="circle"/>
          <c:size val="5"/>
          <c:spPr>
            <a:solidFill>
              <a:schemeClr val="accent4"/>
            </a:solidFill>
            <a:ln w="9525">
              <a:solidFill>
                <a:schemeClr val="accent4"/>
              </a:solidFill>
            </a:ln>
            <a:effectLst/>
          </c:spPr>
        </c:marker>
      </c:pivotFmt>
      <c:pivotFmt>
        <c:idx val="22"/>
        <c:spPr>
          <a:solidFill>
            <a:schemeClr val="accent1"/>
          </a:solidFill>
          <a:ln w="28575" cap="rnd">
            <a:solidFill>
              <a:schemeClr val="accent1"/>
            </a:solidFill>
            <a:round/>
          </a:ln>
          <a:effectLst/>
        </c:spPr>
        <c:marker>
          <c:symbol val="circle"/>
          <c:size val="5"/>
          <c:spPr>
            <a:solidFill>
              <a:schemeClr val="accent5"/>
            </a:solidFill>
            <a:ln w="9525">
              <a:solidFill>
                <a:schemeClr val="accent5"/>
              </a:solidFill>
            </a:ln>
            <a:effectLst/>
          </c:spPr>
        </c:marker>
      </c:pivotFmt>
      <c:pivotFmt>
        <c:idx val="23"/>
        <c:spPr>
          <a:solidFill>
            <a:schemeClr val="accent1"/>
          </a:solidFill>
          <a:ln w="28575" cap="rnd">
            <a:solidFill>
              <a:schemeClr val="accent1"/>
            </a:solidFill>
            <a:round/>
          </a:ln>
          <a:effectLst/>
        </c:spPr>
        <c:marker>
          <c:symbol val="circle"/>
          <c:size val="5"/>
          <c:spPr>
            <a:solidFill>
              <a:schemeClr val="accent6"/>
            </a:solidFill>
            <a:ln w="9525">
              <a:solidFill>
                <a:schemeClr val="accent6"/>
              </a:solidFill>
            </a:ln>
            <a:effectLst/>
          </c:spPr>
        </c:marker>
      </c:pivotFmt>
      <c:pivotFmt>
        <c:idx val="24"/>
        <c:spPr>
          <a:solidFill>
            <a:schemeClr val="accent1"/>
          </a:solidFill>
          <a:ln w="28575" cap="rnd">
            <a:solidFill>
              <a:schemeClr val="accent1"/>
            </a:solidFill>
            <a:round/>
          </a:ln>
          <a:effectLst/>
        </c:spPr>
        <c:marker>
          <c:symbol val="circle"/>
          <c:size val="5"/>
          <c:spPr>
            <a:solidFill>
              <a:schemeClr val="accent1">
                <a:lumMod val="60000"/>
              </a:schemeClr>
            </a:solidFill>
            <a:ln w="9525">
              <a:solidFill>
                <a:schemeClr val="accent1">
                  <a:lumMod val="60000"/>
                </a:schemeClr>
              </a:solidFill>
            </a:ln>
            <a:effectLst/>
          </c:spPr>
        </c:marker>
      </c:pivotFmt>
      <c:pivotFmt>
        <c:idx val="25"/>
        <c:spPr>
          <a:solidFill>
            <a:schemeClr val="accent1"/>
          </a:solidFill>
          <a:ln w="28575" cap="rnd">
            <a:solidFill>
              <a:schemeClr val="accent1"/>
            </a:solidFill>
            <a:round/>
          </a:ln>
          <a:effectLst/>
        </c:spPr>
        <c:marker>
          <c:symbol val="circle"/>
          <c:size val="5"/>
          <c:spPr>
            <a:solidFill>
              <a:schemeClr val="accent2">
                <a:lumMod val="60000"/>
              </a:schemeClr>
            </a:solidFill>
            <a:ln w="9525">
              <a:solidFill>
                <a:schemeClr val="accent2">
                  <a:lumMod val="60000"/>
                </a:schemeClr>
              </a:solidFill>
            </a:ln>
            <a:effectLst/>
          </c:spPr>
        </c:marker>
      </c:pivotFmt>
      <c:pivotFmt>
        <c:idx val="26"/>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7"/>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8"/>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9"/>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30"/>
        <c:spPr>
          <a:solidFill>
            <a:schemeClr val="accent1"/>
          </a:solidFill>
          <a:ln w="28575" cap="rnd">
            <a:solidFill>
              <a:schemeClr val="accent1"/>
            </a:solidFill>
            <a:round/>
          </a:ln>
          <a:effectLst/>
        </c:spPr>
        <c:marker>
          <c:symbol val="circle"/>
          <c:size val="5"/>
          <c:spPr>
            <a:solidFill>
              <a:schemeClr val="accent2">
                <a:lumMod val="60000"/>
              </a:schemeClr>
            </a:solidFill>
            <a:ln w="9525">
              <a:solidFill>
                <a:schemeClr val="accent2">
                  <a:lumMod val="60000"/>
                </a:schemeClr>
              </a:solidFill>
            </a:ln>
            <a:effectLst/>
          </c:spPr>
        </c:marker>
      </c:pivotFmt>
      <c:pivotFmt>
        <c:idx val="31"/>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32"/>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33"/>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34"/>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35"/>
        <c:spPr>
          <a:solidFill>
            <a:schemeClr val="accent1"/>
          </a:solidFill>
          <a:ln w="28575" cap="rnd">
            <a:solidFill>
              <a:schemeClr val="accent1"/>
            </a:solidFill>
            <a:round/>
          </a:ln>
          <a:effectLst/>
        </c:spPr>
        <c:marker>
          <c:symbol val="circle"/>
          <c:size val="5"/>
          <c:spPr>
            <a:solidFill>
              <a:schemeClr val="accent2"/>
            </a:solidFill>
            <a:ln w="9525">
              <a:solidFill>
                <a:schemeClr val="accent2"/>
              </a:solidFill>
            </a:ln>
            <a:effectLst/>
          </c:spPr>
        </c:marker>
      </c:pivotFmt>
      <c:pivotFmt>
        <c:idx val="36"/>
        <c:spPr>
          <a:solidFill>
            <a:schemeClr val="accent1"/>
          </a:solidFill>
          <a:ln w="28575" cap="rnd">
            <a:solidFill>
              <a:schemeClr val="accent1"/>
            </a:solidFill>
            <a:round/>
          </a:ln>
          <a:effectLst/>
        </c:spPr>
        <c:marker>
          <c:symbol val="circle"/>
          <c:size val="5"/>
          <c:spPr>
            <a:solidFill>
              <a:schemeClr val="accent3"/>
            </a:solidFill>
            <a:ln w="9525">
              <a:solidFill>
                <a:schemeClr val="accent3"/>
              </a:solidFill>
            </a:ln>
            <a:effectLst/>
          </c:spPr>
        </c:marker>
      </c:pivotFmt>
      <c:pivotFmt>
        <c:idx val="37"/>
        <c:spPr>
          <a:solidFill>
            <a:schemeClr val="accent1"/>
          </a:solidFill>
          <a:ln w="28575" cap="rnd">
            <a:solidFill>
              <a:schemeClr val="accent1"/>
            </a:solidFill>
            <a:round/>
          </a:ln>
          <a:effectLst/>
        </c:spPr>
        <c:marker>
          <c:symbol val="circle"/>
          <c:size val="5"/>
          <c:spPr>
            <a:solidFill>
              <a:schemeClr val="accent4"/>
            </a:solidFill>
            <a:ln w="9525">
              <a:solidFill>
                <a:schemeClr val="accent4"/>
              </a:solidFill>
            </a:ln>
            <a:effectLst/>
          </c:spPr>
        </c:marker>
      </c:pivotFmt>
      <c:pivotFmt>
        <c:idx val="38"/>
        <c:spPr>
          <a:solidFill>
            <a:schemeClr val="accent1"/>
          </a:solidFill>
          <a:ln w="28575" cap="rnd">
            <a:solidFill>
              <a:schemeClr val="accent1"/>
            </a:solidFill>
            <a:round/>
          </a:ln>
          <a:effectLst/>
        </c:spPr>
        <c:marker>
          <c:symbol val="circle"/>
          <c:size val="5"/>
          <c:spPr>
            <a:solidFill>
              <a:schemeClr val="accent5"/>
            </a:solidFill>
            <a:ln w="9525">
              <a:solidFill>
                <a:schemeClr val="accent5"/>
              </a:solidFill>
            </a:ln>
            <a:effectLst/>
          </c:spPr>
        </c:marker>
      </c:pivotFmt>
      <c:pivotFmt>
        <c:idx val="39"/>
        <c:spPr>
          <a:solidFill>
            <a:schemeClr val="accent1"/>
          </a:solidFill>
          <a:ln w="28575" cap="rnd">
            <a:solidFill>
              <a:schemeClr val="accent1"/>
            </a:solidFill>
            <a:round/>
          </a:ln>
          <a:effectLst/>
        </c:spPr>
        <c:marker>
          <c:symbol val="circle"/>
          <c:size val="5"/>
          <c:spPr>
            <a:solidFill>
              <a:schemeClr val="accent6"/>
            </a:solidFill>
            <a:ln w="9525">
              <a:solidFill>
                <a:schemeClr val="accent6"/>
              </a:solidFill>
            </a:ln>
            <a:effectLst/>
          </c:spPr>
        </c:marker>
      </c:pivotFmt>
      <c:pivotFmt>
        <c:idx val="40"/>
        <c:spPr>
          <a:solidFill>
            <a:schemeClr val="accent1"/>
          </a:solidFill>
          <a:ln w="28575" cap="rnd">
            <a:solidFill>
              <a:schemeClr val="accent1"/>
            </a:solidFill>
            <a:round/>
          </a:ln>
          <a:effectLst/>
        </c:spPr>
        <c:marker>
          <c:symbol val="circle"/>
          <c:size val="5"/>
          <c:spPr>
            <a:solidFill>
              <a:schemeClr val="accent1">
                <a:lumMod val="60000"/>
              </a:schemeClr>
            </a:solidFill>
            <a:ln w="9525">
              <a:solidFill>
                <a:schemeClr val="accent1">
                  <a:lumMod val="60000"/>
                </a:schemeClr>
              </a:solidFill>
            </a:ln>
            <a:effectLst/>
          </c:spPr>
        </c:marker>
      </c:pivotFmt>
      <c:pivotFmt>
        <c:idx val="41"/>
        <c:spPr>
          <a:solidFill>
            <a:schemeClr val="accent1"/>
          </a:solidFill>
          <a:ln w="28575" cap="rnd">
            <a:solidFill>
              <a:schemeClr val="accent1"/>
            </a:solidFill>
            <a:round/>
          </a:ln>
          <a:effectLst/>
        </c:spPr>
        <c:marker>
          <c:symbol val="circle"/>
          <c:size val="5"/>
          <c:spPr>
            <a:solidFill>
              <a:schemeClr val="accent2">
                <a:lumMod val="60000"/>
              </a:schemeClr>
            </a:solidFill>
            <a:ln w="9525">
              <a:solidFill>
                <a:schemeClr val="accent2">
                  <a:lumMod val="60000"/>
                </a:schemeClr>
              </a:solidFill>
            </a:ln>
            <a:effectLst/>
          </c:spPr>
        </c:marker>
      </c:pivotFmt>
      <c:pivotFmt>
        <c:idx val="42"/>
        <c:spPr>
          <a:solidFill>
            <a:schemeClr val="accent1"/>
          </a:solidFill>
          <a:ln w="28575" cap="rnd">
            <a:solidFill>
              <a:schemeClr val="accent1"/>
            </a:solidFill>
            <a:round/>
          </a:ln>
          <a:effectLst/>
        </c:spPr>
        <c:marker>
          <c:symbol val="circle"/>
          <c:size val="5"/>
          <c:spPr>
            <a:solidFill>
              <a:schemeClr val="accent3">
                <a:lumMod val="60000"/>
              </a:schemeClr>
            </a:solidFill>
            <a:ln w="9525">
              <a:solidFill>
                <a:schemeClr val="accent3">
                  <a:lumMod val="60000"/>
                </a:schemeClr>
              </a:solidFill>
            </a:ln>
            <a:effectLst/>
          </c:spPr>
        </c:marker>
      </c:pivotFmt>
      <c:pivotFmt>
        <c:idx val="43"/>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44"/>
        <c:spPr>
          <a:solidFill>
            <a:schemeClr val="accent1"/>
          </a:solidFill>
          <a:ln w="28575" cap="rnd">
            <a:solidFill>
              <a:schemeClr val="accent1"/>
            </a:solidFill>
            <a:round/>
          </a:ln>
          <a:effectLst/>
        </c:spPr>
        <c:marker>
          <c:symbol val="circle"/>
          <c:size val="5"/>
          <c:spPr>
            <a:solidFill>
              <a:schemeClr val="accent2"/>
            </a:solidFill>
            <a:ln w="9525">
              <a:solidFill>
                <a:schemeClr val="accent2"/>
              </a:solidFill>
            </a:ln>
            <a:effectLst/>
          </c:spPr>
        </c:marker>
      </c:pivotFmt>
      <c:pivotFmt>
        <c:idx val="45"/>
        <c:spPr>
          <a:solidFill>
            <a:schemeClr val="accent1"/>
          </a:solidFill>
          <a:ln w="28575" cap="rnd">
            <a:solidFill>
              <a:schemeClr val="accent1"/>
            </a:solidFill>
            <a:round/>
          </a:ln>
          <a:effectLst/>
        </c:spPr>
        <c:marker>
          <c:symbol val="circle"/>
          <c:size val="5"/>
          <c:spPr>
            <a:solidFill>
              <a:schemeClr val="accent3"/>
            </a:solidFill>
            <a:ln w="9525">
              <a:solidFill>
                <a:schemeClr val="accent3"/>
              </a:solidFill>
            </a:ln>
            <a:effectLst/>
          </c:spPr>
        </c:marker>
      </c:pivotFmt>
      <c:pivotFmt>
        <c:idx val="46"/>
        <c:spPr>
          <a:solidFill>
            <a:schemeClr val="accent1"/>
          </a:solidFill>
          <a:ln w="28575" cap="rnd">
            <a:solidFill>
              <a:schemeClr val="accent1"/>
            </a:solidFill>
            <a:round/>
          </a:ln>
          <a:effectLst/>
        </c:spPr>
        <c:marker>
          <c:symbol val="circle"/>
          <c:size val="5"/>
          <c:spPr>
            <a:solidFill>
              <a:schemeClr val="accent4"/>
            </a:solidFill>
            <a:ln w="9525">
              <a:solidFill>
                <a:schemeClr val="accent4"/>
              </a:solidFill>
            </a:ln>
            <a:effectLst/>
          </c:spPr>
        </c:marker>
      </c:pivotFmt>
      <c:pivotFmt>
        <c:idx val="47"/>
        <c:spPr>
          <a:solidFill>
            <a:schemeClr val="accent1"/>
          </a:solidFill>
          <a:ln w="28575" cap="rnd">
            <a:solidFill>
              <a:schemeClr val="accent1"/>
            </a:solidFill>
            <a:round/>
          </a:ln>
          <a:effectLst/>
        </c:spPr>
        <c:marker>
          <c:symbol val="circle"/>
          <c:size val="5"/>
          <c:spPr>
            <a:solidFill>
              <a:schemeClr val="accent5"/>
            </a:solidFill>
            <a:ln w="9525">
              <a:solidFill>
                <a:schemeClr val="accent5"/>
              </a:solidFill>
            </a:ln>
            <a:effectLst/>
          </c:spPr>
        </c:marker>
      </c:pivotFmt>
      <c:pivotFmt>
        <c:idx val="48"/>
        <c:spPr>
          <a:solidFill>
            <a:schemeClr val="accent1"/>
          </a:solidFill>
          <a:ln w="28575" cap="rnd">
            <a:solidFill>
              <a:schemeClr val="accent1"/>
            </a:solidFill>
            <a:round/>
          </a:ln>
          <a:effectLst/>
        </c:spPr>
        <c:marker>
          <c:symbol val="circle"/>
          <c:size val="5"/>
          <c:spPr>
            <a:solidFill>
              <a:schemeClr val="accent6"/>
            </a:solidFill>
            <a:ln w="9525">
              <a:solidFill>
                <a:schemeClr val="accent6"/>
              </a:solidFill>
            </a:ln>
            <a:effectLst/>
          </c:spPr>
        </c:marker>
      </c:pivotFmt>
      <c:pivotFmt>
        <c:idx val="49"/>
        <c:spPr>
          <a:solidFill>
            <a:schemeClr val="accent1"/>
          </a:solidFill>
          <a:ln w="28575" cap="rnd">
            <a:solidFill>
              <a:schemeClr val="accent1"/>
            </a:solidFill>
            <a:round/>
          </a:ln>
          <a:effectLst/>
        </c:spPr>
        <c:marker>
          <c:symbol val="circle"/>
          <c:size val="5"/>
          <c:spPr>
            <a:solidFill>
              <a:schemeClr val="accent1">
                <a:lumMod val="60000"/>
              </a:schemeClr>
            </a:solidFill>
            <a:ln w="9525">
              <a:solidFill>
                <a:schemeClr val="accent1">
                  <a:lumMod val="60000"/>
                </a:schemeClr>
              </a:solidFill>
            </a:ln>
            <a:effectLst/>
          </c:spPr>
        </c:marker>
      </c:pivotFmt>
      <c:pivotFmt>
        <c:idx val="50"/>
        <c:spPr>
          <a:solidFill>
            <a:schemeClr val="accent1"/>
          </a:solidFill>
          <a:ln w="28575" cap="rnd">
            <a:solidFill>
              <a:schemeClr val="accent1"/>
            </a:solidFill>
            <a:round/>
          </a:ln>
          <a:effectLst/>
        </c:spPr>
        <c:marker>
          <c:symbol val="circle"/>
          <c:size val="5"/>
          <c:spPr>
            <a:solidFill>
              <a:schemeClr val="accent2">
                <a:lumMod val="60000"/>
              </a:schemeClr>
            </a:solidFill>
            <a:ln w="9525">
              <a:solidFill>
                <a:schemeClr val="accent2">
                  <a:lumMod val="60000"/>
                </a:schemeClr>
              </a:solidFill>
            </a:ln>
            <a:effectLst/>
          </c:spPr>
        </c:marker>
      </c:pivotFmt>
      <c:pivotFmt>
        <c:idx val="51"/>
        <c:spPr>
          <a:solidFill>
            <a:schemeClr val="accent1"/>
          </a:solidFill>
          <a:ln w="28575" cap="rnd">
            <a:solidFill>
              <a:schemeClr val="accent1"/>
            </a:solidFill>
            <a:round/>
          </a:ln>
          <a:effectLst/>
        </c:spPr>
        <c:marker>
          <c:symbol val="circle"/>
          <c:size val="5"/>
          <c:spPr>
            <a:solidFill>
              <a:schemeClr val="accent3">
                <a:lumMod val="60000"/>
              </a:schemeClr>
            </a:solidFill>
            <a:ln w="9525">
              <a:solidFill>
                <a:schemeClr val="accent3">
                  <a:lumMod val="60000"/>
                </a:schemeClr>
              </a:solidFill>
            </a:ln>
            <a:effectLst/>
          </c:spPr>
        </c:marker>
      </c:pivotFmt>
      <c:pivotFmt>
        <c:idx val="52"/>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53"/>
        <c:spPr>
          <a:solidFill>
            <a:schemeClr val="accent1"/>
          </a:solidFill>
          <a:ln w="28575" cap="rnd">
            <a:solidFill>
              <a:schemeClr val="accent1"/>
            </a:solidFill>
            <a:round/>
          </a:ln>
          <a:effectLst/>
        </c:spPr>
        <c:marker>
          <c:symbol val="circle"/>
          <c:size val="5"/>
          <c:spPr>
            <a:solidFill>
              <a:schemeClr val="accent2"/>
            </a:solidFill>
            <a:ln w="9525">
              <a:solidFill>
                <a:schemeClr val="accent2"/>
              </a:solidFill>
            </a:ln>
            <a:effectLst/>
          </c:spPr>
        </c:marker>
      </c:pivotFmt>
      <c:pivotFmt>
        <c:idx val="54"/>
        <c:spPr>
          <a:solidFill>
            <a:schemeClr val="accent1"/>
          </a:solidFill>
          <a:ln w="28575" cap="rnd">
            <a:solidFill>
              <a:schemeClr val="accent1"/>
            </a:solidFill>
            <a:round/>
          </a:ln>
          <a:effectLst/>
        </c:spPr>
        <c:marker>
          <c:symbol val="circle"/>
          <c:size val="5"/>
          <c:spPr>
            <a:solidFill>
              <a:schemeClr val="accent3"/>
            </a:solidFill>
            <a:ln w="9525">
              <a:solidFill>
                <a:schemeClr val="accent3"/>
              </a:solidFill>
            </a:ln>
            <a:effectLst/>
          </c:spPr>
        </c:marker>
      </c:pivotFmt>
      <c:pivotFmt>
        <c:idx val="55"/>
        <c:spPr>
          <a:solidFill>
            <a:schemeClr val="accent1"/>
          </a:solidFill>
          <a:ln w="28575" cap="rnd">
            <a:solidFill>
              <a:schemeClr val="accent1"/>
            </a:solidFill>
            <a:round/>
          </a:ln>
          <a:effectLst/>
        </c:spPr>
        <c:marker>
          <c:symbol val="circle"/>
          <c:size val="5"/>
          <c:spPr>
            <a:solidFill>
              <a:schemeClr val="accent4"/>
            </a:solidFill>
            <a:ln w="9525">
              <a:solidFill>
                <a:schemeClr val="accent4"/>
              </a:solidFill>
            </a:ln>
            <a:effectLst/>
          </c:spPr>
        </c:marker>
      </c:pivotFmt>
      <c:pivotFmt>
        <c:idx val="56"/>
        <c:spPr>
          <a:solidFill>
            <a:schemeClr val="accent1"/>
          </a:solidFill>
          <a:ln w="28575" cap="rnd">
            <a:solidFill>
              <a:schemeClr val="accent1"/>
            </a:solidFill>
            <a:round/>
          </a:ln>
          <a:effectLst/>
        </c:spPr>
        <c:marker>
          <c:symbol val="circle"/>
          <c:size val="5"/>
          <c:spPr>
            <a:solidFill>
              <a:schemeClr val="accent5"/>
            </a:solidFill>
            <a:ln w="9525">
              <a:solidFill>
                <a:schemeClr val="accent5"/>
              </a:solidFill>
            </a:ln>
            <a:effectLst/>
          </c:spPr>
        </c:marker>
      </c:pivotFmt>
      <c:pivotFmt>
        <c:idx val="57"/>
        <c:spPr>
          <a:solidFill>
            <a:schemeClr val="accent1"/>
          </a:solidFill>
          <a:ln w="28575" cap="rnd">
            <a:solidFill>
              <a:schemeClr val="accent1"/>
            </a:solidFill>
            <a:round/>
          </a:ln>
          <a:effectLst/>
        </c:spPr>
        <c:marker>
          <c:symbol val="circle"/>
          <c:size val="5"/>
          <c:spPr>
            <a:solidFill>
              <a:schemeClr val="accent6"/>
            </a:solidFill>
            <a:ln w="9525">
              <a:solidFill>
                <a:schemeClr val="accent6"/>
              </a:solidFill>
            </a:ln>
            <a:effectLst/>
          </c:spPr>
        </c:marker>
      </c:pivotFmt>
      <c:pivotFmt>
        <c:idx val="58"/>
        <c:spPr>
          <a:solidFill>
            <a:schemeClr val="accent1"/>
          </a:solidFill>
          <a:ln w="28575" cap="rnd">
            <a:solidFill>
              <a:schemeClr val="accent1"/>
            </a:solidFill>
            <a:round/>
          </a:ln>
          <a:effectLst/>
        </c:spPr>
        <c:marker>
          <c:symbol val="circle"/>
          <c:size val="5"/>
          <c:spPr>
            <a:solidFill>
              <a:schemeClr val="accent1">
                <a:lumMod val="60000"/>
              </a:schemeClr>
            </a:solidFill>
            <a:ln w="9525">
              <a:solidFill>
                <a:schemeClr val="accent1">
                  <a:lumMod val="60000"/>
                </a:schemeClr>
              </a:solidFill>
            </a:ln>
            <a:effectLst/>
          </c:spPr>
        </c:marker>
      </c:pivotFmt>
      <c:pivotFmt>
        <c:idx val="59"/>
        <c:spPr>
          <a:solidFill>
            <a:schemeClr val="accent1"/>
          </a:solidFill>
          <a:ln w="28575" cap="rnd">
            <a:solidFill>
              <a:schemeClr val="accent1"/>
            </a:solidFill>
            <a:round/>
          </a:ln>
          <a:effectLst/>
        </c:spPr>
        <c:marker>
          <c:symbol val="circle"/>
          <c:size val="5"/>
          <c:spPr>
            <a:solidFill>
              <a:schemeClr val="accent2">
                <a:lumMod val="60000"/>
              </a:schemeClr>
            </a:solidFill>
            <a:ln w="9525">
              <a:solidFill>
                <a:schemeClr val="accent2">
                  <a:lumMod val="60000"/>
                </a:schemeClr>
              </a:solidFill>
            </a:ln>
            <a:effectLst/>
          </c:spPr>
        </c:marker>
      </c:pivotFmt>
      <c:pivotFmt>
        <c:idx val="60"/>
        <c:spPr>
          <a:solidFill>
            <a:schemeClr val="accent1"/>
          </a:solidFill>
          <a:ln w="28575" cap="rnd">
            <a:solidFill>
              <a:schemeClr val="accent1"/>
            </a:solidFill>
            <a:round/>
          </a:ln>
          <a:effectLst/>
        </c:spPr>
        <c:marker>
          <c:symbol val="circle"/>
          <c:size val="5"/>
          <c:spPr>
            <a:solidFill>
              <a:schemeClr val="accent3">
                <a:lumMod val="60000"/>
              </a:schemeClr>
            </a:solidFill>
            <a:ln w="9525">
              <a:solidFill>
                <a:schemeClr val="accent3">
                  <a:lumMod val="60000"/>
                </a:schemeClr>
              </a:solidFill>
            </a:ln>
            <a:effectLst/>
          </c:spPr>
        </c:marker>
      </c:pivotFmt>
    </c:pivotFmts>
    <c:plotArea>
      <c:layout/>
      <c:lineChart>
        <c:grouping val="standard"/>
        <c:varyColors val="0"/>
        <c:ser>
          <c:idx val="0"/>
          <c:order val="0"/>
          <c:tx>
            <c:strRef>
              <c:f>'Sheet1 (7)'!$B$3:$B$5</c:f>
              <c:strCache>
                <c:ptCount val="1"/>
                <c:pt idx="0">
                  <c:v>1st line - IPILIMUMAB</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 (7)'!$A$6:$A$55</c:f>
              <c:strCache>
                <c:ptCount val="49"/>
                <c:pt idx="0">
                  <c:v>2009Q2</c:v>
                </c:pt>
                <c:pt idx="1">
                  <c:v>2009Q3</c:v>
                </c:pt>
                <c:pt idx="2">
                  <c:v>2009Q4</c:v>
                </c:pt>
                <c:pt idx="3">
                  <c:v>2010Q1</c:v>
                </c:pt>
                <c:pt idx="4">
                  <c:v>2010Q2</c:v>
                </c:pt>
                <c:pt idx="5">
                  <c:v>2010Q3</c:v>
                </c:pt>
                <c:pt idx="6">
                  <c:v>2010Q4</c:v>
                </c:pt>
                <c:pt idx="7">
                  <c:v>2011Q1</c:v>
                </c:pt>
                <c:pt idx="8">
                  <c:v>2011Q2</c:v>
                </c:pt>
                <c:pt idx="9">
                  <c:v>2011Q3</c:v>
                </c:pt>
                <c:pt idx="10">
                  <c:v>2011Q4</c:v>
                </c:pt>
                <c:pt idx="11">
                  <c:v>2012Q1</c:v>
                </c:pt>
                <c:pt idx="12">
                  <c:v>2012Q2</c:v>
                </c:pt>
                <c:pt idx="13">
                  <c:v>2012Q3</c:v>
                </c:pt>
                <c:pt idx="14">
                  <c:v>2012Q4</c:v>
                </c:pt>
                <c:pt idx="15">
                  <c:v>2013Q1</c:v>
                </c:pt>
                <c:pt idx="16">
                  <c:v>2013Q2</c:v>
                </c:pt>
                <c:pt idx="17">
                  <c:v>2013Q3</c:v>
                </c:pt>
                <c:pt idx="18">
                  <c:v>2013Q4</c:v>
                </c:pt>
                <c:pt idx="19">
                  <c:v>2014Q1</c:v>
                </c:pt>
                <c:pt idx="20">
                  <c:v>2014Q2</c:v>
                </c:pt>
                <c:pt idx="21">
                  <c:v>2014Q3</c:v>
                </c:pt>
                <c:pt idx="22">
                  <c:v>2014Q4</c:v>
                </c:pt>
                <c:pt idx="23">
                  <c:v>2015Q1</c:v>
                </c:pt>
                <c:pt idx="24">
                  <c:v>2015Q2</c:v>
                </c:pt>
                <c:pt idx="25">
                  <c:v>2015Q3</c:v>
                </c:pt>
                <c:pt idx="26">
                  <c:v>2015Q4</c:v>
                </c:pt>
                <c:pt idx="27">
                  <c:v>2016Q1</c:v>
                </c:pt>
                <c:pt idx="28">
                  <c:v>2016Q2</c:v>
                </c:pt>
                <c:pt idx="29">
                  <c:v>2016Q3</c:v>
                </c:pt>
                <c:pt idx="30">
                  <c:v>2016Q4</c:v>
                </c:pt>
                <c:pt idx="31">
                  <c:v>2017Q1</c:v>
                </c:pt>
                <c:pt idx="32">
                  <c:v>2017Q2</c:v>
                </c:pt>
                <c:pt idx="33">
                  <c:v>2017Q3</c:v>
                </c:pt>
                <c:pt idx="34">
                  <c:v>2017Q4</c:v>
                </c:pt>
                <c:pt idx="35">
                  <c:v>2018Q1</c:v>
                </c:pt>
                <c:pt idx="36">
                  <c:v>2018Q2</c:v>
                </c:pt>
                <c:pt idx="37">
                  <c:v>2018Q3</c:v>
                </c:pt>
                <c:pt idx="38">
                  <c:v>2018Q4</c:v>
                </c:pt>
                <c:pt idx="39">
                  <c:v>2019Q1</c:v>
                </c:pt>
                <c:pt idx="40">
                  <c:v>2019Q2</c:v>
                </c:pt>
                <c:pt idx="41">
                  <c:v>2019Q3</c:v>
                </c:pt>
                <c:pt idx="42">
                  <c:v>2019Q4</c:v>
                </c:pt>
                <c:pt idx="43">
                  <c:v>2020Q1</c:v>
                </c:pt>
                <c:pt idx="44">
                  <c:v>2020Q2</c:v>
                </c:pt>
                <c:pt idx="45">
                  <c:v>2020Q3</c:v>
                </c:pt>
                <c:pt idx="46">
                  <c:v>2020Q4</c:v>
                </c:pt>
                <c:pt idx="47">
                  <c:v>2021Q1</c:v>
                </c:pt>
                <c:pt idx="48">
                  <c:v>2021Q2</c:v>
                </c:pt>
              </c:strCache>
            </c:strRef>
          </c:cat>
          <c:val>
            <c:numRef>
              <c:f>'Sheet1 (7)'!$B$6:$B$55</c:f>
              <c:numCache>
                <c:formatCode>General</c:formatCode>
                <c:ptCount val="49"/>
                <c:pt idx="39">
                  <c:v>57</c:v>
                </c:pt>
                <c:pt idx="40">
                  <c:v>288</c:v>
                </c:pt>
                <c:pt idx="41">
                  <c:v>365</c:v>
                </c:pt>
                <c:pt idx="42">
                  <c:v>314</c:v>
                </c:pt>
                <c:pt idx="43">
                  <c:v>303</c:v>
                </c:pt>
                <c:pt idx="44">
                  <c:v>266</c:v>
                </c:pt>
                <c:pt idx="45">
                  <c:v>339</c:v>
                </c:pt>
                <c:pt idx="46">
                  <c:v>332</c:v>
                </c:pt>
                <c:pt idx="47">
                  <c:v>309</c:v>
                </c:pt>
                <c:pt idx="48">
                  <c:v>354</c:v>
                </c:pt>
              </c:numCache>
            </c:numRef>
          </c:val>
          <c:smooth val="0"/>
          <c:extLst>
            <c:ext xmlns:c16="http://schemas.microsoft.com/office/drawing/2014/chart" uri="{C3380CC4-5D6E-409C-BE32-E72D297353CC}">
              <c16:uniqueId val="{00000000-8B01-4E72-B14B-E3584A1685C3}"/>
            </c:ext>
          </c:extLst>
        </c:ser>
        <c:ser>
          <c:idx val="1"/>
          <c:order val="1"/>
          <c:tx>
            <c:strRef>
              <c:f>'Sheet1 (7)'!$C$3:$C$5</c:f>
              <c:strCache>
                <c:ptCount val="1"/>
                <c:pt idx="0">
                  <c:v>1st line - NIVOLUMAB</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 (7)'!$A$6:$A$55</c:f>
              <c:strCache>
                <c:ptCount val="49"/>
                <c:pt idx="0">
                  <c:v>2009Q2</c:v>
                </c:pt>
                <c:pt idx="1">
                  <c:v>2009Q3</c:v>
                </c:pt>
                <c:pt idx="2">
                  <c:v>2009Q4</c:v>
                </c:pt>
                <c:pt idx="3">
                  <c:v>2010Q1</c:v>
                </c:pt>
                <c:pt idx="4">
                  <c:v>2010Q2</c:v>
                </c:pt>
                <c:pt idx="5">
                  <c:v>2010Q3</c:v>
                </c:pt>
                <c:pt idx="6">
                  <c:v>2010Q4</c:v>
                </c:pt>
                <c:pt idx="7">
                  <c:v>2011Q1</c:v>
                </c:pt>
                <c:pt idx="8">
                  <c:v>2011Q2</c:v>
                </c:pt>
                <c:pt idx="9">
                  <c:v>2011Q3</c:v>
                </c:pt>
                <c:pt idx="10">
                  <c:v>2011Q4</c:v>
                </c:pt>
                <c:pt idx="11">
                  <c:v>2012Q1</c:v>
                </c:pt>
                <c:pt idx="12">
                  <c:v>2012Q2</c:v>
                </c:pt>
                <c:pt idx="13">
                  <c:v>2012Q3</c:v>
                </c:pt>
                <c:pt idx="14">
                  <c:v>2012Q4</c:v>
                </c:pt>
                <c:pt idx="15">
                  <c:v>2013Q1</c:v>
                </c:pt>
                <c:pt idx="16">
                  <c:v>2013Q2</c:v>
                </c:pt>
                <c:pt idx="17">
                  <c:v>2013Q3</c:v>
                </c:pt>
                <c:pt idx="18">
                  <c:v>2013Q4</c:v>
                </c:pt>
                <c:pt idx="19">
                  <c:v>2014Q1</c:v>
                </c:pt>
                <c:pt idx="20">
                  <c:v>2014Q2</c:v>
                </c:pt>
                <c:pt idx="21">
                  <c:v>2014Q3</c:v>
                </c:pt>
                <c:pt idx="22">
                  <c:v>2014Q4</c:v>
                </c:pt>
                <c:pt idx="23">
                  <c:v>2015Q1</c:v>
                </c:pt>
                <c:pt idx="24">
                  <c:v>2015Q2</c:v>
                </c:pt>
                <c:pt idx="25">
                  <c:v>2015Q3</c:v>
                </c:pt>
                <c:pt idx="26">
                  <c:v>2015Q4</c:v>
                </c:pt>
                <c:pt idx="27">
                  <c:v>2016Q1</c:v>
                </c:pt>
                <c:pt idx="28">
                  <c:v>2016Q2</c:v>
                </c:pt>
                <c:pt idx="29">
                  <c:v>2016Q3</c:v>
                </c:pt>
                <c:pt idx="30">
                  <c:v>2016Q4</c:v>
                </c:pt>
                <c:pt idx="31">
                  <c:v>2017Q1</c:v>
                </c:pt>
                <c:pt idx="32">
                  <c:v>2017Q2</c:v>
                </c:pt>
                <c:pt idx="33">
                  <c:v>2017Q3</c:v>
                </c:pt>
                <c:pt idx="34">
                  <c:v>2017Q4</c:v>
                </c:pt>
                <c:pt idx="35">
                  <c:v>2018Q1</c:v>
                </c:pt>
                <c:pt idx="36">
                  <c:v>2018Q2</c:v>
                </c:pt>
                <c:pt idx="37">
                  <c:v>2018Q3</c:v>
                </c:pt>
                <c:pt idx="38">
                  <c:v>2018Q4</c:v>
                </c:pt>
                <c:pt idx="39">
                  <c:v>2019Q1</c:v>
                </c:pt>
                <c:pt idx="40">
                  <c:v>2019Q2</c:v>
                </c:pt>
                <c:pt idx="41">
                  <c:v>2019Q3</c:v>
                </c:pt>
                <c:pt idx="42">
                  <c:v>2019Q4</c:v>
                </c:pt>
                <c:pt idx="43">
                  <c:v>2020Q1</c:v>
                </c:pt>
                <c:pt idx="44">
                  <c:v>2020Q2</c:v>
                </c:pt>
                <c:pt idx="45">
                  <c:v>2020Q3</c:v>
                </c:pt>
                <c:pt idx="46">
                  <c:v>2020Q4</c:v>
                </c:pt>
                <c:pt idx="47">
                  <c:v>2021Q1</c:v>
                </c:pt>
                <c:pt idx="48">
                  <c:v>2021Q2</c:v>
                </c:pt>
              </c:strCache>
            </c:strRef>
          </c:cat>
          <c:val>
            <c:numRef>
              <c:f>'Sheet1 (7)'!$C$6:$C$55</c:f>
              <c:numCache>
                <c:formatCode>General</c:formatCode>
                <c:ptCount val="49"/>
                <c:pt idx="39">
                  <c:v>69</c:v>
                </c:pt>
                <c:pt idx="40">
                  <c:v>438</c:v>
                </c:pt>
                <c:pt idx="41">
                  <c:v>740</c:v>
                </c:pt>
                <c:pt idx="42">
                  <c:v>795</c:v>
                </c:pt>
                <c:pt idx="43">
                  <c:v>854</c:v>
                </c:pt>
                <c:pt idx="44">
                  <c:v>773</c:v>
                </c:pt>
                <c:pt idx="45">
                  <c:v>846</c:v>
                </c:pt>
                <c:pt idx="46">
                  <c:v>837</c:v>
                </c:pt>
                <c:pt idx="47">
                  <c:v>836</c:v>
                </c:pt>
                <c:pt idx="48">
                  <c:v>834</c:v>
                </c:pt>
              </c:numCache>
            </c:numRef>
          </c:val>
          <c:smooth val="0"/>
          <c:extLst>
            <c:ext xmlns:c16="http://schemas.microsoft.com/office/drawing/2014/chart" uri="{C3380CC4-5D6E-409C-BE32-E72D297353CC}">
              <c16:uniqueId val="{00000001-8B01-4E72-B14B-E3584A1685C3}"/>
            </c:ext>
          </c:extLst>
        </c:ser>
        <c:ser>
          <c:idx val="2"/>
          <c:order val="2"/>
          <c:tx>
            <c:strRef>
              <c:f>'Sheet1 (7)'!$D$3:$D$5</c:f>
              <c:strCache>
                <c:ptCount val="1"/>
                <c:pt idx="0">
                  <c:v>1st line - PAZOPANIB</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'Sheet1 (7)'!$A$6:$A$55</c:f>
              <c:strCache>
                <c:ptCount val="49"/>
                <c:pt idx="0">
                  <c:v>2009Q2</c:v>
                </c:pt>
                <c:pt idx="1">
                  <c:v>2009Q3</c:v>
                </c:pt>
                <c:pt idx="2">
                  <c:v>2009Q4</c:v>
                </c:pt>
                <c:pt idx="3">
                  <c:v>2010Q1</c:v>
                </c:pt>
                <c:pt idx="4">
                  <c:v>2010Q2</c:v>
                </c:pt>
                <c:pt idx="5">
                  <c:v>2010Q3</c:v>
                </c:pt>
                <c:pt idx="6">
                  <c:v>2010Q4</c:v>
                </c:pt>
                <c:pt idx="7">
                  <c:v>2011Q1</c:v>
                </c:pt>
                <c:pt idx="8">
                  <c:v>2011Q2</c:v>
                </c:pt>
                <c:pt idx="9">
                  <c:v>2011Q3</c:v>
                </c:pt>
                <c:pt idx="10">
                  <c:v>2011Q4</c:v>
                </c:pt>
                <c:pt idx="11">
                  <c:v>2012Q1</c:v>
                </c:pt>
                <c:pt idx="12">
                  <c:v>2012Q2</c:v>
                </c:pt>
                <c:pt idx="13">
                  <c:v>2012Q3</c:v>
                </c:pt>
                <c:pt idx="14">
                  <c:v>2012Q4</c:v>
                </c:pt>
                <c:pt idx="15">
                  <c:v>2013Q1</c:v>
                </c:pt>
                <c:pt idx="16">
                  <c:v>2013Q2</c:v>
                </c:pt>
                <c:pt idx="17">
                  <c:v>2013Q3</c:v>
                </c:pt>
                <c:pt idx="18">
                  <c:v>2013Q4</c:v>
                </c:pt>
                <c:pt idx="19">
                  <c:v>2014Q1</c:v>
                </c:pt>
                <c:pt idx="20">
                  <c:v>2014Q2</c:v>
                </c:pt>
                <c:pt idx="21">
                  <c:v>2014Q3</c:v>
                </c:pt>
                <c:pt idx="22">
                  <c:v>2014Q4</c:v>
                </c:pt>
                <c:pt idx="23">
                  <c:v>2015Q1</c:v>
                </c:pt>
                <c:pt idx="24">
                  <c:v>2015Q2</c:v>
                </c:pt>
                <c:pt idx="25">
                  <c:v>2015Q3</c:v>
                </c:pt>
                <c:pt idx="26">
                  <c:v>2015Q4</c:v>
                </c:pt>
                <c:pt idx="27">
                  <c:v>2016Q1</c:v>
                </c:pt>
                <c:pt idx="28">
                  <c:v>2016Q2</c:v>
                </c:pt>
                <c:pt idx="29">
                  <c:v>2016Q3</c:v>
                </c:pt>
                <c:pt idx="30">
                  <c:v>2016Q4</c:v>
                </c:pt>
                <c:pt idx="31">
                  <c:v>2017Q1</c:v>
                </c:pt>
                <c:pt idx="32">
                  <c:v>2017Q2</c:v>
                </c:pt>
                <c:pt idx="33">
                  <c:v>2017Q3</c:v>
                </c:pt>
                <c:pt idx="34">
                  <c:v>2017Q4</c:v>
                </c:pt>
                <c:pt idx="35">
                  <c:v>2018Q1</c:v>
                </c:pt>
                <c:pt idx="36">
                  <c:v>2018Q2</c:v>
                </c:pt>
                <c:pt idx="37">
                  <c:v>2018Q3</c:v>
                </c:pt>
                <c:pt idx="38">
                  <c:v>2018Q4</c:v>
                </c:pt>
                <c:pt idx="39">
                  <c:v>2019Q1</c:v>
                </c:pt>
                <c:pt idx="40">
                  <c:v>2019Q2</c:v>
                </c:pt>
                <c:pt idx="41">
                  <c:v>2019Q3</c:v>
                </c:pt>
                <c:pt idx="42">
                  <c:v>2019Q4</c:v>
                </c:pt>
                <c:pt idx="43">
                  <c:v>2020Q1</c:v>
                </c:pt>
                <c:pt idx="44">
                  <c:v>2020Q2</c:v>
                </c:pt>
                <c:pt idx="45">
                  <c:v>2020Q3</c:v>
                </c:pt>
                <c:pt idx="46">
                  <c:v>2020Q4</c:v>
                </c:pt>
                <c:pt idx="47">
                  <c:v>2021Q1</c:v>
                </c:pt>
                <c:pt idx="48">
                  <c:v>2021Q2</c:v>
                </c:pt>
              </c:strCache>
            </c:strRef>
          </c:cat>
          <c:val>
            <c:numRef>
              <c:f>'Sheet1 (7)'!$D$6:$D$55</c:f>
              <c:numCache>
                <c:formatCode>General</c:formatCode>
                <c:ptCount val="49"/>
                <c:pt idx="14">
                  <c:v>355</c:v>
                </c:pt>
                <c:pt idx="15">
                  <c:v>473</c:v>
                </c:pt>
                <c:pt idx="16">
                  <c:v>562</c:v>
                </c:pt>
                <c:pt idx="17">
                  <c:v>624</c:v>
                </c:pt>
                <c:pt idx="18">
                  <c:v>850</c:v>
                </c:pt>
                <c:pt idx="19">
                  <c:v>848</c:v>
                </c:pt>
                <c:pt idx="20">
                  <c:v>1002</c:v>
                </c:pt>
                <c:pt idx="21">
                  <c:v>1076</c:v>
                </c:pt>
                <c:pt idx="22">
                  <c:v>1087</c:v>
                </c:pt>
                <c:pt idx="23">
                  <c:v>910</c:v>
                </c:pt>
                <c:pt idx="24">
                  <c:v>892</c:v>
                </c:pt>
                <c:pt idx="25">
                  <c:v>898</c:v>
                </c:pt>
                <c:pt idx="26">
                  <c:v>884</c:v>
                </c:pt>
                <c:pt idx="27">
                  <c:v>792</c:v>
                </c:pt>
                <c:pt idx="28">
                  <c:v>905</c:v>
                </c:pt>
                <c:pt idx="29">
                  <c:v>860</c:v>
                </c:pt>
                <c:pt idx="30">
                  <c:v>904</c:v>
                </c:pt>
                <c:pt idx="31">
                  <c:v>852</c:v>
                </c:pt>
                <c:pt idx="32">
                  <c:v>917</c:v>
                </c:pt>
                <c:pt idx="33">
                  <c:v>846</c:v>
                </c:pt>
                <c:pt idx="34">
                  <c:v>841</c:v>
                </c:pt>
                <c:pt idx="35">
                  <c:v>769</c:v>
                </c:pt>
                <c:pt idx="36">
                  <c:v>789</c:v>
                </c:pt>
                <c:pt idx="37">
                  <c:v>932</c:v>
                </c:pt>
                <c:pt idx="38">
                  <c:v>953</c:v>
                </c:pt>
                <c:pt idx="39">
                  <c:v>837</c:v>
                </c:pt>
                <c:pt idx="40">
                  <c:v>740</c:v>
                </c:pt>
                <c:pt idx="41">
                  <c:v>730</c:v>
                </c:pt>
                <c:pt idx="42">
                  <c:v>653</c:v>
                </c:pt>
                <c:pt idx="43">
                  <c:v>614</c:v>
                </c:pt>
                <c:pt idx="44">
                  <c:v>604</c:v>
                </c:pt>
                <c:pt idx="45">
                  <c:v>640</c:v>
                </c:pt>
                <c:pt idx="46">
                  <c:v>673</c:v>
                </c:pt>
                <c:pt idx="47">
                  <c:v>633</c:v>
                </c:pt>
                <c:pt idx="48">
                  <c:v>621</c:v>
                </c:pt>
              </c:numCache>
            </c:numRef>
          </c:val>
          <c:smooth val="0"/>
          <c:extLst>
            <c:ext xmlns:c16="http://schemas.microsoft.com/office/drawing/2014/chart" uri="{C3380CC4-5D6E-409C-BE32-E72D297353CC}">
              <c16:uniqueId val="{00000002-8B01-4E72-B14B-E3584A1685C3}"/>
            </c:ext>
          </c:extLst>
        </c:ser>
        <c:ser>
          <c:idx val="3"/>
          <c:order val="3"/>
          <c:tx>
            <c:strRef>
              <c:f>'Sheet1 (7)'!$E$3:$E$5</c:f>
              <c:strCache>
                <c:ptCount val="1"/>
                <c:pt idx="0">
                  <c:v>1st line - SUNITINIB</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'Sheet1 (7)'!$A$6:$A$55</c:f>
              <c:strCache>
                <c:ptCount val="49"/>
                <c:pt idx="0">
                  <c:v>2009Q2</c:v>
                </c:pt>
                <c:pt idx="1">
                  <c:v>2009Q3</c:v>
                </c:pt>
                <c:pt idx="2">
                  <c:v>2009Q4</c:v>
                </c:pt>
                <c:pt idx="3">
                  <c:v>2010Q1</c:v>
                </c:pt>
                <c:pt idx="4">
                  <c:v>2010Q2</c:v>
                </c:pt>
                <c:pt idx="5">
                  <c:v>2010Q3</c:v>
                </c:pt>
                <c:pt idx="6">
                  <c:v>2010Q4</c:v>
                </c:pt>
                <c:pt idx="7">
                  <c:v>2011Q1</c:v>
                </c:pt>
                <c:pt idx="8">
                  <c:v>2011Q2</c:v>
                </c:pt>
                <c:pt idx="9">
                  <c:v>2011Q3</c:v>
                </c:pt>
                <c:pt idx="10">
                  <c:v>2011Q4</c:v>
                </c:pt>
                <c:pt idx="11">
                  <c:v>2012Q1</c:v>
                </c:pt>
                <c:pt idx="12">
                  <c:v>2012Q2</c:v>
                </c:pt>
                <c:pt idx="13">
                  <c:v>2012Q3</c:v>
                </c:pt>
                <c:pt idx="14">
                  <c:v>2012Q4</c:v>
                </c:pt>
                <c:pt idx="15">
                  <c:v>2013Q1</c:v>
                </c:pt>
                <c:pt idx="16">
                  <c:v>2013Q2</c:v>
                </c:pt>
                <c:pt idx="17">
                  <c:v>2013Q3</c:v>
                </c:pt>
                <c:pt idx="18">
                  <c:v>2013Q4</c:v>
                </c:pt>
                <c:pt idx="19">
                  <c:v>2014Q1</c:v>
                </c:pt>
                <c:pt idx="20">
                  <c:v>2014Q2</c:v>
                </c:pt>
                <c:pt idx="21">
                  <c:v>2014Q3</c:v>
                </c:pt>
                <c:pt idx="22">
                  <c:v>2014Q4</c:v>
                </c:pt>
                <c:pt idx="23">
                  <c:v>2015Q1</c:v>
                </c:pt>
                <c:pt idx="24">
                  <c:v>2015Q2</c:v>
                </c:pt>
                <c:pt idx="25">
                  <c:v>2015Q3</c:v>
                </c:pt>
                <c:pt idx="26">
                  <c:v>2015Q4</c:v>
                </c:pt>
                <c:pt idx="27">
                  <c:v>2016Q1</c:v>
                </c:pt>
                <c:pt idx="28">
                  <c:v>2016Q2</c:v>
                </c:pt>
                <c:pt idx="29">
                  <c:v>2016Q3</c:v>
                </c:pt>
                <c:pt idx="30">
                  <c:v>2016Q4</c:v>
                </c:pt>
                <c:pt idx="31">
                  <c:v>2017Q1</c:v>
                </c:pt>
                <c:pt idx="32">
                  <c:v>2017Q2</c:v>
                </c:pt>
                <c:pt idx="33">
                  <c:v>2017Q3</c:v>
                </c:pt>
                <c:pt idx="34">
                  <c:v>2017Q4</c:v>
                </c:pt>
                <c:pt idx="35">
                  <c:v>2018Q1</c:v>
                </c:pt>
                <c:pt idx="36">
                  <c:v>2018Q2</c:v>
                </c:pt>
                <c:pt idx="37">
                  <c:v>2018Q3</c:v>
                </c:pt>
                <c:pt idx="38">
                  <c:v>2018Q4</c:v>
                </c:pt>
                <c:pt idx="39">
                  <c:v>2019Q1</c:v>
                </c:pt>
                <c:pt idx="40">
                  <c:v>2019Q2</c:v>
                </c:pt>
                <c:pt idx="41">
                  <c:v>2019Q3</c:v>
                </c:pt>
                <c:pt idx="42">
                  <c:v>2019Q4</c:v>
                </c:pt>
                <c:pt idx="43">
                  <c:v>2020Q1</c:v>
                </c:pt>
                <c:pt idx="44">
                  <c:v>2020Q2</c:v>
                </c:pt>
                <c:pt idx="45">
                  <c:v>2020Q3</c:v>
                </c:pt>
                <c:pt idx="46">
                  <c:v>2020Q4</c:v>
                </c:pt>
                <c:pt idx="47">
                  <c:v>2021Q1</c:v>
                </c:pt>
                <c:pt idx="48">
                  <c:v>2021Q2</c:v>
                </c:pt>
              </c:strCache>
            </c:strRef>
          </c:cat>
          <c:val>
            <c:numRef>
              <c:f>'Sheet1 (7)'!$E$6:$E$55</c:f>
              <c:numCache>
                <c:formatCode>General</c:formatCode>
                <c:ptCount val="49"/>
                <c:pt idx="0">
                  <c:v>749</c:v>
                </c:pt>
                <c:pt idx="1">
                  <c:v>1248</c:v>
                </c:pt>
                <c:pt idx="2">
                  <c:v>1324</c:v>
                </c:pt>
                <c:pt idx="3">
                  <c:v>1236</c:v>
                </c:pt>
                <c:pt idx="4">
                  <c:v>1288</c:v>
                </c:pt>
                <c:pt idx="5">
                  <c:v>1410</c:v>
                </c:pt>
                <c:pt idx="6">
                  <c:v>1466</c:v>
                </c:pt>
                <c:pt idx="7">
                  <c:v>1314</c:v>
                </c:pt>
                <c:pt idx="8">
                  <c:v>1446</c:v>
                </c:pt>
                <c:pt idx="9">
                  <c:v>1377</c:v>
                </c:pt>
                <c:pt idx="10">
                  <c:v>1436</c:v>
                </c:pt>
                <c:pt idx="11">
                  <c:v>1301</c:v>
                </c:pt>
                <c:pt idx="12">
                  <c:v>1424</c:v>
                </c:pt>
                <c:pt idx="13">
                  <c:v>1534</c:v>
                </c:pt>
                <c:pt idx="14">
                  <c:v>1466</c:v>
                </c:pt>
                <c:pt idx="15">
                  <c:v>1093</c:v>
                </c:pt>
                <c:pt idx="16">
                  <c:v>1105</c:v>
                </c:pt>
                <c:pt idx="17">
                  <c:v>979</c:v>
                </c:pt>
                <c:pt idx="18">
                  <c:v>1026</c:v>
                </c:pt>
                <c:pt idx="19">
                  <c:v>842</c:v>
                </c:pt>
                <c:pt idx="20">
                  <c:v>895</c:v>
                </c:pt>
                <c:pt idx="21">
                  <c:v>870</c:v>
                </c:pt>
                <c:pt idx="22">
                  <c:v>914</c:v>
                </c:pt>
                <c:pt idx="23">
                  <c:v>789</c:v>
                </c:pt>
                <c:pt idx="24">
                  <c:v>778</c:v>
                </c:pt>
                <c:pt idx="25">
                  <c:v>849</c:v>
                </c:pt>
                <c:pt idx="26">
                  <c:v>805</c:v>
                </c:pt>
                <c:pt idx="27">
                  <c:v>699</c:v>
                </c:pt>
                <c:pt idx="28">
                  <c:v>684</c:v>
                </c:pt>
                <c:pt idx="29">
                  <c:v>618</c:v>
                </c:pt>
                <c:pt idx="30">
                  <c:v>693</c:v>
                </c:pt>
                <c:pt idx="31">
                  <c:v>700</c:v>
                </c:pt>
                <c:pt idx="32">
                  <c:v>681</c:v>
                </c:pt>
                <c:pt idx="33">
                  <c:v>615</c:v>
                </c:pt>
                <c:pt idx="34">
                  <c:v>605</c:v>
                </c:pt>
                <c:pt idx="35">
                  <c:v>531</c:v>
                </c:pt>
                <c:pt idx="36">
                  <c:v>563</c:v>
                </c:pt>
                <c:pt idx="37">
                  <c:v>542</c:v>
                </c:pt>
                <c:pt idx="38">
                  <c:v>566</c:v>
                </c:pt>
                <c:pt idx="39">
                  <c:v>542</c:v>
                </c:pt>
                <c:pt idx="40">
                  <c:v>509</c:v>
                </c:pt>
                <c:pt idx="41">
                  <c:v>492</c:v>
                </c:pt>
                <c:pt idx="42">
                  <c:v>458</c:v>
                </c:pt>
                <c:pt idx="43">
                  <c:v>440</c:v>
                </c:pt>
                <c:pt idx="44">
                  <c:v>398</c:v>
                </c:pt>
                <c:pt idx="45">
                  <c:v>444</c:v>
                </c:pt>
                <c:pt idx="46">
                  <c:v>515</c:v>
                </c:pt>
                <c:pt idx="47">
                  <c:v>443</c:v>
                </c:pt>
                <c:pt idx="48">
                  <c:v>432</c:v>
                </c:pt>
              </c:numCache>
            </c:numRef>
          </c:val>
          <c:smooth val="0"/>
          <c:extLst>
            <c:ext xmlns:c16="http://schemas.microsoft.com/office/drawing/2014/chart" uri="{C3380CC4-5D6E-409C-BE32-E72D297353CC}">
              <c16:uniqueId val="{00000003-8B01-4E72-B14B-E3584A1685C3}"/>
            </c:ext>
          </c:extLst>
        </c:ser>
        <c:ser>
          <c:idx val="4"/>
          <c:order val="4"/>
          <c:tx>
            <c:strRef>
              <c:f>'Sheet1 (7)'!$F$3:$F$5</c:f>
              <c:strCache>
                <c:ptCount val="1"/>
                <c:pt idx="0">
                  <c:v>2nd line - AXITINIB</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'Sheet1 (7)'!$A$6:$A$55</c:f>
              <c:strCache>
                <c:ptCount val="49"/>
                <c:pt idx="0">
                  <c:v>2009Q2</c:v>
                </c:pt>
                <c:pt idx="1">
                  <c:v>2009Q3</c:v>
                </c:pt>
                <c:pt idx="2">
                  <c:v>2009Q4</c:v>
                </c:pt>
                <c:pt idx="3">
                  <c:v>2010Q1</c:v>
                </c:pt>
                <c:pt idx="4">
                  <c:v>2010Q2</c:v>
                </c:pt>
                <c:pt idx="5">
                  <c:v>2010Q3</c:v>
                </c:pt>
                <c:pt idx="6">
                  <c:v>2010Q4</c:v>
                </c:pt>
                <c:pt idx="7">
                  <c:v>2011Q1</c:v>
                </c:pt>
                <c:pt idx="8">
                  <c:v>2011Q2</c:v>
                </c:pt>
                <c:pt idx="9">
                  <c:v>2011Q3</c:v>
                </c:pt>
                <c:pt idx="10">
                  <c:v>2011Q4</c:v>
                </c:pt>
                <c:pt idx="11">
                  <c:v>2012Q1</c:v>
                </c:pt>
                <c:pt idx="12">
                  <c:v>2012Q2</c:v>
                </c:pt>
                <c:pt idx="13">
                  <c:v>2012Q3</c:v>
                </c:pt>
                <c:pt idx="14">
                  <c:v>2012Q4</c:v>
                </c:pt>
                <c:pt idx="15">
                  <c:v>2013Q1</c:v>
                </c:pt>
                <c:pt idx="16">
                  <c:v>2013Q2</c:v>
                </c:pt>
                <c:pt idx="17">
                  <c:v>2013Q3</c:v>
                </c:pt>
                <c:pt idx="18">
                  <c:v>2013Q4</c:v>
                </c:pt>
                <c:pt idx="19">
                  <c:v>2014Q1</c:v>
                </c:pt>
                <c:pt idx="20">
                  <c:v>2014Q2</c:v>
                </c:pt>
                <c:pt idx="21">
                  <c:v>2014Q3</c:v>
                </c:pt>
                <c:pt idx="22">
                  <c:v>2014Q4</c:v>
                </c:pt>
                <c:pt idx="23">
                  <c:v>2015Q1</c:v>
                </c:pt>
                <c:pt idx="24">
                  <c:v>2015Q2</c:v>
                </c:pt>
                <c:pt idx="25">
                  <c:v>2015Q3</c:v>
                </c:pt>
                <c:pt idx="26">
                  <c:v>2015Q4</c:v>
                </c:pt>
                <c:pt idx="27">
                  <c:v>2016Q1</c:v>
                </c:pt>
                <c:pt idx="28">
                  <c:v>2016Q2</c:v>
                </c:pt>
                <c:pt idx="29">
                  <c:v>2016Q3</c:v>
                </c:pt>
                <c:pt idx="30">
                  <c:v>2016Q4</c:v>
                </c:pt>
                <c:pt idx="31">
                  <c:v>2017Q1</c:v>
                </c:pt>
                <c:pt idx="32">
                  <c:v>2017Q2</c:v>
                </c:pt>
                <c:pt idx="33">
                  <c:v>2017Q3</c:v>
                </c:pt>
                <c:pt idx="34">
                  <c:v>2017Q4</c:v>
                </c:pt>
                <c:pt idx="35">
                  <c:v>2018Q1</c:v>
                </c:pt>
                <c:pt idx="36">
                  <c:v>2018Q2</c:v>
                </c:pt>
                <c:pt idx="37">
                  <c:v>2018Q3</c:v>
                </c:pt>
                <c:pt idx="38">
                  <c:v>2018Q4</c:v>
                </c:pt>
                <c:pt idx="39">
                  <c:v>2019Q1</c:v>
                </c:pt>
                <c:pt idx="40">
                  <c:v>2019Q2</c:v>
                </c:pt>
                <c:pt idx="41">
                  <c:v>2019Q3</c:v>
                </c:pt>
                <c:pt idx="42">
                  <c:v>2019Q4</c:v>
                </c:pt>
                <c:pt idx="43">
                  <c:v>2020Q1</c:v>
                </c:pt>
                <c:pt idx="44">
                  <c:v>2020Q2</c:v>
                </c:pt>
                <c:pt idx="45">
                  <c:v>2020Q3</c:v>
                </c:pt>
                <c:pt idx="46">
                  <c:v>2020Q4</c:v>
                </c:pt>
                <c:pt idx="47">
                  <c:v>2021Q1</c:v>
                </c:pt>
                <c:pt idx="48">
                  <c:v>2021Q2</c:v>
                </c:pt>
              </c:strCache>
            </c:strRef>
          </c:cat>
          <c:val>
            <c:numRef>
              <c:f>'Sheet1 (7)'!$F$6:$F$55</c:f>
              <c:numCache>
                <c:formatCode>General</c:formatCode>
                <c:ptCount val="49"/>
                <c:pt idx="26">
                  <c:v>42</c:v>
                </c:pt>
                <c:pt idx="27">
                  <c:v>201</c:v>
                </c:pt>
                <c:pt idx="28">
                  <c:v>254</c:v>
                </c:pt>
                <c:pt idx="29">
                  <c:v>405</c:v>
                </c:pt>
                <c:pt idx="30">
                  <c:v>483</c:v>
                </c:pt>
                <c:pt idx="31">
                  <c:v>506</c:v>
                </c:pt>
                <c:pt idx="32">
                  <c:v>578</c:v>
                </c:pt>
                <c:pt idx="33">
                  <c:v>439</c:v>
                </c:pt>
                <c:pt idx="34">
                  <c:v>292</c:v>
                </c:pt>
                <c:pt idx="35">
                  <c:v>306</c:v>
                </c:pt>
                <c:pt idx="36">
                  <c:v>281</c:v>
                </c:pt>
                <c:pt idx="37">
                  <c:v>269</c:v>
                </c:pt>
                <c:pt idx="38">
                  <c:v>250</c:v>
                </c:pt>
                <c:pt idx="39">
                  <c:v>185</c:v>
                </c:pt>
                <c:pt idx="40">
                  <c:v>191</c:v>
                </c:pt>
                <c:pt idx="41">
                  <c:v>191</c:v>
                </c:pt>
                <c:pt idx="42">
                  <c:v>219</c:v>
                </c:pt>
                <c:pt idx="43">
                  <c:v>226</c:v>
                </c:pt>
                <c:pt idx="44">
                  <c:v>197</c:v>
                </c:pt>
                <c:pt idx="45">
                  <c:v>161</c:v>
                </c:pt>
                <c:pt idx="46">
                  <c:v>175</c:v>
                </c:pt>
                <c:pt idx="47">
                  <c:v>167</c:v>
                </c:pt>
                <c:pt idx="48">
                  <c:v>169</c:v>
                </c:pt>
              </c:numCache>
            </c:numRef>
          </c:val>
          <c:smooth val="0"/>
          <c:extLst>
            <c:ext xmlns:c16="http://schemas.microsoft.com/office/drawing/2014/chart" uri="{C3380CC4-5D6E-409C-BE32-E72D297353CC}">
              <c16:uniqueId val="{00000004-8B01-4E72-B14B-E3584A1685C3}"/>
            </c:ext>
          </c:extLst>
        </c:ser>
        <c:ser>
          <c:idx val="5"/>
          <c:order val="5"/>
          <c:tx>
            <c:strRef>
              <c:f>'Sheet1 (7)'!$G$3:$G$5</c:f>
              <c:strCache>
                <c:ptCount val="1"/>
                <c:pt idx="0">
                  <c:v>2nd line - CABOZANTINIB</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strRef>
              <c:f>'Sheet1 (7)'!$A$6:$A$55</c:f>
              <c:strCache>
                <c:ptCount val="49"/>
                <c:pt idx="0">
                  <c:v>2009Q2</c:v>
                </c:pt>
                <c:pt idx="1">
                  <c:v>2009Q3</c:v>
                </c:pt>
                <c:pt idx="2">
                  <c:v>2009Q4</c:v>
                </c:pt>
                <c:pt idx="3">
                  <c:v>2010Q1</c:v>
                </c:pt>
                <c:pt idx="4">
                  <c:v>2010Q2</c:v>
                </c:pt>
                <c:pt idx="5">
                  <c:v>2010Q3</c:v>
                </c:pt>
                <c:pt idx="6">
                  <c:v>2010Q4</c:v>
                </c:pt>
                <c:pt idx="7">
                  <c:v>2011Q1</c:v>
                </c:pt>
                <c:pt idx="8">
                  <c:v>2011Q2</c:v>
                </c:pt>
                <c:pt idx="9">
                  <c:v>2011Q3</c:v>
                </c:pt>
                <c:pt idx="10">
                  <c:v>2011Q4</c:v>
                </c:pt>
                <c:pt idx="11">
                  <c:v>2012Q1</c:v>
                </c:pt>
                <c:pt idx="12">
                  <c:v>2012Q2</c:v>
                </c:pt>
                <c:pt idx="13">
                  <c:v>2012Q3</c:v>
                </c:pt>
                <c:pt idx="14">
                  <c:v>2012Q4</c:v>
                </c:pt>
                <c:pt idx="15">
                  <c:v>2013Q1</c:v>
                </c:pt>
                <c:pt idx="16">
                  <c:v>2013Q2</c:v>
                </c:pt>
                <c:pt idx="17">
                  <c:v>2013Q3</c:v>
                </c:pt>
                <c:pt idx="18">
                  <c:v>2013Q4</c:v>
                </c:pt>
                <c:pt idx="19">
                  <c:v>2014Q1</c:v>
                </c:pt>
                <c:pt idx="20">
                  <c:v>2014Q2</c:v>
                </c:pt>
                <c:pt idx="21">
                  <c:v>2014Q3</c:v>
                </c:pt>
                <c:pt idx="22">
                  <c:v>2014Q4</c:v>
                </c:pt>
                <c:pt idx="23">
                  <c:v>2015Q1</c:v>
                </c:pt>
                <c:pt idx="24">
                  <c:v>2015Q2</c:v>
                </c:pt>
                <c:pt idx="25">
                  <c:v>2015Q3</c:v>
                </c:pt>
                <c:pt idx="26">
                  <c:v>2015Q4</c:v>
                </c:pt>
                <c:pt idx="27">
                  <c:v>2016Q1</c:v>
                </c:pt>
                <c:pt idx="28">
                  <c:v>2016Q2</c:v>
                </c:pt>
                <c:pt idx="29">
                  <c:v>2016Q3</c:v>
                </c:pt>
                <c:pt idx="30">
                  <c:v>2016Q4</c:v>
                </c:pt>
                <c:pt idx="31">
                  <c:v>2017Q1</c:v>
                </c:pt>
                <c:pt idx="32">
                  <c:v>2017Q2</c:v>
                </c:pt>
                <c:pt idx="33">
                  <c:v>2017Q3</c:v>
                </c:pt>
                <c:pt idx="34">
                  <c:v>2017Q4</c:v>
                </c:pt>
                <c:pt idx="35">
                  <c:v>2018Q1</c:v>
                </c:pt>
                <c:pt idx="36">
                  <c:v>2018Q2</c:v>
                </c:pt>
                <c:pt idx="37">
                  <c:v>2018Q3</c:v>
                </c:pt>
                <c:pt idx="38">
                  <c:v>2018Q4</c:v>
                </c:pt>
                <c:pt idx="39">
                  <c:v>2019Q1</c:v>
                </c:pt>
                <c:pt idx="40">
                  <c:v>2019Q2</c:v>
                </c:pt>
                <c:pt idx="41">
                  <c:v>2019Q3</c:v>
                </c:pt>
                <c:pt idx="42">
                  <c:v>2019Q4</c:v>
                </c:pt>
                <c:pt idx="43">
                  <c:v>2020Q1</c:v>
                </c:pt>
                <c:pt idx="44">
                  <c:v>2020Q2</c:v>
                </c:pt>
                <c:pt idx="45">
                  <c:v>2020Q3</c:v>
                </c:pt>
                <c:pt idx="46">
                  <c:v>2020Q4</c:v>
                </c:pt>
                <c:pt idx="47">
                  <c:v>2021Q1</c:v>
                </c:pt>
                <c:pt idx="48">
                  <c:v>2021Q2</c:v>
                </c:pt>
              </c:strCache>
            </c:strRef>
          </c:cat>
          <c:val>
            <c:numRef>
              <c:f>'Sheet1 (7)'!$G$6:$G$55</c:f>
              <c:numCache>
                <c:formatCode>General</c:formatCode>
                <c:ptCount val="49"/>
                <c:pt idx="36">
                  <c:v>72</c:v>
                </c:pt>
                <c:pt idx="37">
                  <c:v>277</c:v>
                </c:pt>
                <c:pt idx="38">
                  <c:v>364</c:v>
                </c:pt>
                <c:pt idx="39">
                  <c:v>420</c:v>
                </c:pt>
                <c:pt idx="40">
                  <c:v>490</c:v>
                </c:pt>
                <c:pt idx="41">
                  <c:v>448</c:v>
                </c:pt>
                <c:pt idx="42">
                  <c:v>563</c:v>
                </c:pt>
                <c:pt idx="43">
                  <c:v>548</c:v>
                </c:pt>
                <c:pt idx="44">
                  <c:v>587</c:v>
                </c:pt>
                <c:pt idx="45">
                  <c:v>583</c:v>
                </c:pt>
                <c:pt idx="46">
                  <c:v>587</c:v>
                </c:pt>
                <c:pt idx="47">
                  <c:v>601</c:v>
                </c:pt>
                <c:pt idx="48">
                  <c:v>656</c:v>
                </c:pt>
              </c:numCache>
            </c:numRef>
          </c:val>
          <c:smooth val="0"/>
          <c:extLst>
            <c:ext xmlns:c16="http://schemas.microsoft.com/office/drawing/2014/chart" uri="{C3380CC4-5D6E-409C-BE32-E72D297353CC}">
              <c16:uniqueId val="{00000005-8B01-4E72-B14B-E3584A1685C3}"/>
            </c:ext>
          </c:extLst>
        </c:ser>
        <c:ser>
          <c:idx val="6"/>
          <c:order val="6"/>
          <c:tx>
            <c:strRef>
              <c:f>'Sheet1 (7)'!$H$3:$H$5</c:f>
              <c:strCache>
                <c:ptCount val="1"/>
                <c:pt idx="0">
                  <c:v>2nd line - EVEROLIMUS</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cat>
            <c:strRef>
              <c:f>'Sheet1 (7)'!$A$6:$A$55</c:f>
              <c:strCache>
                <c:ptCount val="49"/>
                <c:pt idx="0">
                  <c:v>2009Q2</c:v>
                </c:pt>
                <c:pt idx="1">
                  <c:v>2009Q3</c:v>
                </c:pt>
                <c:pt idx="2">
                  <c:v>2009Q4</c:v>
                </c:pt>
                <c:pt idx="3">
                  <c:v>2010Q1</c:v>
                </c:pt>
                <c:pt idx="4">
                  <c:v>2010Q2</c:v>
                </c:pt>
                <c:pt idx="5">
                  <c:v>2010Q3</c:v>
                </c:pt>
                <c:pt idx="6">
                  <c:v>2010Q4</c:v>
                </c:pt>
                <c:pt idx="7">
                  <c:v>2011Q1</c:v>
                </c:pt>
                <c:pt idx="8">
                  <c:v>2011Q2</c:v>
                </c:pt>
                <c:pt idx="9">
                  <c:v>2011Q3</c:v>
                </c:pt>
                <c:pt idx="10">
                  <c:v>2011Q4</c:v>
                </c:pt>
                <c:pt idx="11">
                  <c:v>2012Q1</c:v>
                </c:pt>
                <c:pt idx="12">
                  <c:v>2012Q2</c:v>
                </c:pt>
                <c:pt idx="13">
                  <c:v>2012Q3</c:v>
                </c:pt>
                <c:pt idx="14">
                  <c:v>2012Q4</c:v>
                </c:pt>
                <c:pt idx="15">
                  <c:v>2013Q1</c:v>
                </c:pt>
                <c:pt idx="16">
                  <c:v>2013Q2</c:v>
                </c:pt>
                <c:pt idx="17">
                  <c:v>2013Q3</c:v>
                </c:pt>
                <c:pt idx="18">
                  <c:v>2013Q4</c:v>
                </c:pt>
                <c:pt idx="19">
                  <c:v>2014Q1</c:v>
                </c:pt>
                <c:pt idx="20">
                  <c:v>2014Q2</c:v>
                </c:pt>
                <c:pt idx="21">
                  <c:v>2014Q3</c:v>
                </c:pt>
                <c:pt idx="22">
                  <c:v>2014Q4</c:v>
                </c:pt>
                <c:pt idx="23">
                  <c:v>2015Q1</c:v>
                </c:pt>
                <c:pt idx="24">
                  <c:v>2015Q2</c:v>
                </c:pt>
                <c:pt idx="25">
                  <c:v>2015Q3</c:v>
                </c:pt>
                <c:pt idx="26">
                  <c:v>2015Q4</c:v>
                </c:pt>
                <c:pt idx="27">
                  <c:v>2016Q1</c:v>
                </c:pt>
                <c:pt idx="28">
                  <c:v>2016Q2</c:v>
                </c:pt>
                <c:pt idx="29">
                  <c:v>2016Q3</c:v>
                </c:pt>
                <c:pt idx="30">
                  <c:v>2016Q4</c:v>
                </c:pt>
                <c:pt idx="31">
                  <c:v>2017Q1</c:v>
                </c:pt>
                <c:pt idx="32">
                  <c:v>2017Q2</c:v>
                </c:pt>
                <c:pt idx="33">
                  <c:v>2017Q3</c:v>
                </c:pt>
                <c:pt idx="34">
                  <c:v>2017Q4</c:v>
                </c:pt>
                <c:pt idx="35">
                  <c:v>2018Q1</c:v>
                </c:pt>
                <c:pt idx="36">
                  <c:v>2018Q2</c:v>
                </c:pt>
                <c:pt idx="37">
                  <c:v>2018Q3</c:v>
                </c:pt>
                <c:pt idx="38">
                  <c:v>2018Q4</c:v>
                </c:pt>
                <c:pt idx="39">
                  <c:v>2019Q1</c:v>
                </c:pt>
                <c:pt idx="40">
                  <c:v>2019Q2</c:v>
                </c:pt>
                <c:pt idx="41">
                  <c:v>2019Q3</c:v>
                </c:pt>
                <c:pt idx="42">
                  <c:v>2019Q4</c:v>
                </c:pt>
                <c:pt idx="43">
                  <c:v>2020Q1</c:v>
                </c:pt>
                <c:pt idx="44">
                  <c:v>2020Q2</c:v>
                </c:pt>
                <c:pt idx="45">
                  <c:v>2020Q3</c:v>
                </c:pt>
                <c:pt idx="46">
                  <c:v>2020Q4</c:v>
                </c:pt>
                <c:pt idx="47">
                  <c:v>2021Q1</c:v>
                </c:pt>
                <c:pt idx="48">
                  <c:v>2021Q2</c:v>
                </c:pt>
              </c:strCache>
            </c:strRef>
          </c:cat>
          <c:val>
            <c:numRef>
              <c:f>'Sheet1 (7)'!$H$6:$H$55</c:f>
              <c:numCache>
                <c:formatCode>General</c:formatCode>
                <c:ptCount val="49"/>
                <c:pt idx="21">
                  <c:v>65</c:v>
                </c:pt>
                <c:pt idx="22">
                  <c:v>263</c:v>
                </c:pt>
                <c:pt idx="23">
                  <c:v>280</c:v>
                </c:pt>
                <c:pt idx="24">
                  <c:v>328</c:v>
                </c:pt>
                <c:pt idx="25">
                  <c:v>323</c:v>
                </c:pt>
                <c:pt idx="26">
                  <c:v>284</c:v>
                </c:pt>
                <c:pt idx="27">
                  <c:v>199</c:v>
                </c:pt>
                <c:pt idx="28">
                  <c:v>193</c:v>
                </c:pt>
                <c:pt idx="29">
                  <c:v>173</c:v>
                </c:pt>
                <c:pt idx="30">
                  <c:v>190</c:v>
                </c:pt>
                <c:pt idx="31">
                  <c:v>209</c:v>
                </c:pt>
                <c:pt idx="32">
                  <c:v>221</c:v>
                </c:pt>
                <c:pt idx="33">
                  <c:v>184</c:v>
                </c:pt>
                <c:pt idx="34">
                  <c:v>154</c:v>
                </c:pt>
                <c:pt idx="35">
                  <c:v>142</c:v>
                </c:pt>
                <c:pt idx="36">
                  <c:v>138</c:v>
                </c:pt>
                <c:pt idx="37">
                  <c:v>131</c:v>
                </c:pt>
                <c:pt idx="38">
                  <c:v>171</c:v>
                </c:pt>
                <c:pt idx="39">
                  <c:v>162</c:v>
                </c:pt>
                <c:pt idx="40">
                  <c:v>164</c:v>
                </c:pt>
                <c:pt idx="41">
                  <c:v>155</c:v>
                </c:pt>
                <c:pt idx="42">
                  <c:v>177</c:v>
                </c:pt>
                <c:pt idx="43">
                  <c:v>153</c:v>
                </c:pt>
                <c:pt idx="44">
                  <c:v>148</c:v>
                </c:pt>
                <c:pt idx="45">
                  <c:v>151</c:v>
                </c:pt>
                <c:pt idx="46">
                  <c:v>146</c:v>
                </c:pt>
                <c:pt idx="47">
                  <c:v>147</c:v>
                </c:pt>
                <c:pt idx="48">
                  <c:v>140</c:v>
                </c:pt>
              </c:numCache>
            </c:numRef>
          </c:val>
          <c:smooth val="0"/>
          <c:extLst>
            <c:ext xmlns:c16="http://schemas.microsoft.com/office/drawing/2014/chart" uri="{C3380CC4-5D6E-409C-BE32-E72D297353CC}">
              <c16:uniqueId val="{00000006-8B01-4E72-B14B-E3584A1685C3}"/>
            </c:ext>
          </c:extLst>
        </c:ser>
        <c:ser>
          <c:idx val="7"/>
          <c:order val="7"/>
          <c:tx>
            <c:strRef>
              <c:f>'Sheet1 (7)'!$I$3:$I$5</c:f>
              <c:strCache>
                <c:ptCount val="1"/>
                <c:pt idx="0">
                  <c:v>2nd line - NIVOLUMAB</c:v>
                </c:pt>
              </c:strCache>
            </c:strRef>
          </c:tx>
          <c:spPr>
            <a:ln w="28575"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cat>
            <c:strRef>
              <c:f>'Sheet1 (7)'!$A$6:$A$55</c:f>
              <c:strCache>
                <c:ptCount val="49"/>
                <c:pt idx="0">
                  <c:v>2009Q2</c:v>
                </c:pt>
                <c:pt idx="1">
                  <c:v>2009Q3</c:v>
                </c:pt>
                <c:pt idx="2">
                  <c:v>2009Q4</c:v>
                </c:pt>
                <c:pt idx="3">
                  <c:v>2010Q1</c:v>
                </c:pt>
                <c:pt idx="4">
                  <c:v>2010Q2</c:v>
                </c:pt>
                <c:pt idx="5">
                  <c:v>2010Q3</c:v>
                </c:pt>
                <c:pt idx="6">
                  <c:v>2010Q4</c:v>
                </c:pt>
                <c:pt idx="7">
                  <c:v>2011Q1</c:v>
                </c:pt>
                <c:pt idx="8">
                  <c:v>2011Q2</c:v>
                </c:pt>
                <c:pt idx="9">
                  <c:v>2011Q3</c:v>
                </c:pt>
                <c:pt idx="10">
                  <c:v>2011Q4</c:v>
                </c:pt>
                <c:pt idx="11">
                  <c:v>2012Q1</c:v>
                </c:pt>
                <c:pt idx="12">
                  <c:v>2012Q2</c:v>
                </c:pt>
                <c:pt idx="13">
                  <c:v>2012Q3</c:v>
                </c:pt>
                <c:pt idx="14">
                  <c:v>2012Q4</c:v>
                </c:pt>
                <c:pt idx="15">
                  <c:v>2013Q1</c:v>
                </c:pt>
                <c:pt idx="16">
                  <c:v>2013Q2</c:v>
                </c:pt>
                <c:pt idx="17">
                  <c:v>2013Q3</c:v>
                </c:pt>
                <c:pt idx="18">
                  <c:v>2013Q4</c:v>
                </c:pt>
                <c:pt idx="19">
                  <c:v>2014Q1</c:v>
                </c:pt>
                <c:pt idx="20">
                  <c:v>2014Q2</c:v>
                </c:pt>
                <c:pt idx="21">
                  <c:v>2014Q3</c:v>
                </c:pt>
                <c:pt idx="22">
                  <c:v>2014Q4</c:v>
                </c:pt>
                <c:pt idx="23">
                  <c:v>2015Q1</c:v>
                </c:pt>
                <c:pt idx="24">
                  <c:v>2015Q2</c:v>
                </c:pt>
                <c:pt idx="25">
                  <c:v>2015Q3</c:v>
                </c:pt>
                <c:pt idx="26">
                  <c:v>2015Q4</c:v>
                </c:pt>
                <c:pt idx="27">
                  <c:v>2016Q1</c:v>
                </c:pt>
                <c:pt idx="28">
                  <c:v>2016Q2</c:v>
                </c:pt>
                <c:pt idx="29">
                  <c:v>2016Q3</c:v>
                </c:pt>
                <c:pt idx="30">
                  <c:v>2016Q4</c:v>
                </c:pt>
                <c:pt idx="31">
                  <c:v>2017Q1</c:v>
                </c:pt>
                <c:pt idx="32">
                  <c:v>2017Q2</c:v>
                </c:pt>
                <c:pt idx="33">
                  <c:v>2017Q3</c:v>
                </c:pt>
                <c:pt idx="34">
                  <c:v>2017Q4</c:v>
                </c:pt>
                <c:pt idx="35">
                  <c:v>2018Q1</c:v>
                </c:pt>
                <c:pt idx="36">
                  <c:v>2018Q2</c:v>
                </c:pt>
                <c:pt idx="37">
                  <c:v>2018Q3</c:v>
                </c:pt>
                <c:pt idx="38">
                  <c:v>2018Q4</c:v>
                </c:pt>
                <c:pt idx="39">
                  <c:v>2019Q1</c:v>
                </c:pt>
                <c:pt idx="40">
                  <c:v>2019Q2</c:v>
                </c:pt>
                <c:pt idx="41">
                  <c:v>2019Q3</c:v>
                </c:pt>
                <c:pt idx="42">
                  <c:v>2019Q4</c:v>
                </c:pt>
                <c:pt idx="43">
                  <c:v>2020Q1</c:v>
                </c:pt>
                <c:pt idx="44">
                  <c:v>2020Q2</c:v>
                </c:pt>
                <c:pt idx="45">
                  <c:v>2020Q3</c:v>
                </c:pt>
                <c:pt idx="46">
                  <c:v>2020Q4</c:v>
                </c:pt>
                <c:pt idx="47">
                  <c:v>2021Q1</c:v>
                </c:pt>
                <c:pt idx="48">
                  <c:v>2021Q2</c:v>
                </c:pt>
              </c:strCache>
            </c:strRef>
          </c:cat>
          <c:val>
            <c:numRef>
              <c:f>'Sheet1 (7)'!$I$6:$I$55</c:f>
              <c:numCache>
                <c:formatCode>General</c:formatCode>
                <c:ptCount val="49"/>
                <c:pt idx="33">
                  <c:v>789</c:v>
                </c:pt>
                <c:pt idx="34">
                  <c:v>1747</c:v>
                </c:pt>
                <c:pt idx="35">
                  <c:v>1879</c:v>
                </c:pt>
                <c:pt idx="36">
                  <c:v>1972</c:v>
                </c:pt>
                <c:pt idx="37">
                  <c:v>1904</c:v>
                </c:pt>
                <c:pt idx="38">
                  <c:v>1944</c:v>
                </c:pt>
                <c:pt idx="39">
                  <c:v>1926</c:v>
                </c:pt>
                <c:pt idx="40">
                  <c:v>1988</c:v>
                </c:pt>
                <c:pt idx="41">
                  <c:v>2086</c:v>
                </c:pt>
                <c:pt idx="42">
                  <c:v>1832</c:v>
                </c:pt>
                <c:pt idx="43">
                  <c:v>1634</c:v>
                </c:pt>
                <c:pt idx="44">
                  <c:v>1495</c:v>
                </c:pt>
                <c:pt idx="45">
                  <c:v>1500</c:v>
                </c:pt>
                <c:pt idx="46">
                  <c:v>1541</c:v>
                </c:pt>
                <c:pt idx="47">
                  <c:v>1524</c:v>
                </c:pt>
                <c:pt idx="48">
                  <c:v>1512</c:v>
                </c:pt>
              </c:numCache>
            </c:numRef>
          </c:val>
          <c:smooth val="0"/>
          <c:extLst>
            <c:ext xmlns:c16="http://schemas.microsoft.com/office/drawing/2014/chart" uri="{C3380CC4-5D6E-409C-BE32-E72D297353CC}">
              <c16:uniqueId val="{00000007-8B01-4E72-B14B-E3584A1685C3}"/>
            </c:ext>
          </c:extLst>
        </c:ser>
        <c:ser>
          <c:idx val="8"/>
          <c:order val="8"/>
          <c:tx>
            <c:strRef>
              <c:f>'Sheet1 (7)'!$J$3:$J$5</c:f>
              <c:strCache>
                <c:ptCount val="1"/>
                <c:pt idx="0">
                  <c:v>2nd line - SORAFENIB</c:v>
                </c:pt>
              </c:strCache>
            </c:strRef>
          </c:tx>
          <c:spPr>
            <a:ln w="28575" cap="rnd">
              <a:solidFill>
                <a:schemeClr val="accent3">
                  <a:lumMod val="60000"/>
                </a:schemeClr>
              </a:solidFill>
              <a:round/>
            </a:ln>
            <a:effectLst/>
          </c:spPr>
          <c:marker>
            <c:symbol val="circle"/>
            <c:size val="5"/>
            <c:spPr>
              <a:solidFill>
                <a:schemeClr val="accent3">
                  <a:lumMod val="60000"/>
                </a:schemeClr>
              </a:solidFill>
              <a:ln w="9525">
                <a:solidFill>
                  <a:schemeClr val="accent3">
                    <a:lumMod val="60000"/>
                  </a:schemeClr>
                </a:solidFill>
              </a:ln>
              <a:effectLst/>
            </c:spPr>
          </c:marker>
          <c:cat>
            <c:strRef>
              <c:f>'Sheet1 (7)'!$A$6:$A$55</c:f>
              <c:strCache>
                <c:ptCount val="49"/>
                <c:pt idx="0">
                  <c:v>2009Q2</c:v>
                </c:pt>
                <c:pt idx="1">
                  <c:v>2009Q3</c:v>
                </c:pt>
                <c:pt idx="2">
                  <c:v>2009Q4</c:v>
                </c:pt>
                <c:pt idx="3">
                  <c:v>2010Q1</c:v>
                </c:pt>
                <c:pt idx="4">
                  <c:v>2010Q2</c:v>
                </c:pt>
                <c:pt idx="5">
                  <c:v>2010Q3</c:v>
                </c:pt>
                <c:pt idx="6">
                  <c:v>2010Q4</c:v>
                </c:pt>
                <c:pt idx="7">
                  <c:v>2011Q1</c:v>
                </c:pt>
                <c:pt idx="8">
                  <c:v>2011Q2</c:v>
                </c:pt>
                <c:pt idx="9">
                  <c:v>2011Q3</c:v>
                </c:pt>
                <c:pt idx="10">
                  <c:v>2011Q4</c:v>
                </c:pt>
                <c:pt idx="11">
                  <c:v>2012Q1</c:v>
                </c:pt>
                <c:pt idx="12">
                  <c:v>2012Q2</c:v>
                </c:pt>
                <c:pt idx="13">
                  <c:v>2012Q3</c:v>
                </c:pt>
                <c:pt idx="14">
                  <c:v>2012Q4</c:v>
                </c:pt>
                <c:pt idx="15">
                  <c:v>2013Q1</c:v>
                </c:pt>
                <c:pt idx="16">
                  <c:v>2013Q2</c:v>
                </c:pt>
                <c:pt idx="17">
                  <c:v>2013Q3</c:v>
                </c:pt>
                <c:pt idx="18">
                  <c:v>2013Q4</c:v>
                </c:pt>
                <c:pt idx="19">
                  <c:v>2014Q1</c:v>
                </c:pt>
                <c:pt idx="20">
                  <c:v>2014Q2</c:v>
                </c:pt>
                <c:pt idx="21">
                  <c:v>2014Q3</c:v>
                </c:pt>
                <c:pt idx="22">
                  <c:v>2014Q4</c:v>
                </c:pt>
                <c:pt idx="23">
                  <c:v>2015Q1</c:v>
                </c:pt>
                <c:pt idx="24">
                  <c:v>2015Q2</c:v>
                </c:pt>
                <c:pt idx="25">
                  <c:v>2015Q3</c:v>
                </c:pt>
                <c:pt idx="26">
                  <c:v>2015Q4</c:v>
                </c:pt>
                <c:pt idx="27">
                  <c:v>2016Q1</c:v>
                </c:pt>
                <c:pt idx="28">
                  <c:v>2016Q2</c:v>
                </c:pt>
                <c:pt idx="29">
                  <c:v>2016Q3</c:v>
                </c:pt>
                <c:pt idx="30">
                  <c:v>2016Q4</c:v>
                </c:pt>
                <c:pt idx="31">
                  <c:v>2017Q1</c:v>
                </c:pt>
                <c:pt idx="32">
                  <c:v>2017Q2</c:v>
                </c:pt>
                <c:pt idx="33">
                  <c:v>2017Q3</c:v>
                </c:pt>
                <c:pt idx="34">
                  <c:v>2017Q4</c:v>
                </c:pt>
                <c:pt idx="35">
                  <c:v>2018Q1</c:v>
                </c:pt>
                <c:pt idx="36">
                  <c:v>2018Q2</c:v>
                </c:pt>
                <c:pt idx="37">
                  <c:v>2018Q3</c:v>
                </c:pt>
                <c:pt idx="38">
                  <c:v>2018Q4</c:v>
                </c:pt>
                <c:pt idx="39">
                  <c:v>2019Q1</c:v>
                </c:pt>
                <c:pt idx="40">
                  <c:v>2019Q2</c:v>
                </c:pt>
                <c:pt idx="41">
                  <c:v>2019Q3</c:v>
                </c:pt>
                <c:pt idx="42">
                  <c:v>2019Q4</c:v>
                </c:pt>
                <c:pt idx="43">
                  <c:v>2020Q1</c:v>
                </c:pt>
                <c:pt idx="44">
                  <c:v>2020Q2</c:v>
                </c:pt>
                <c:pt idx="45">
                  <c:v>2020Q3</c:v>
                </c:pt>
                <c:pt idx="46">
                  <c:v>2020Q4</c:v>
                </c:pt>
                <c:pt idx="47">
                  <c:v>2021Q1</c:v>
                </c:pt>
                <c:pt idx="48">
                  <c:v>2021Q2</c:v>
                </c:pt>
              </c:strCache>
            </c:strRef>
          </c:cat>
          <c:val>
            <c:numRef>
              <c:f>'Sheet1 (7)'!$J$6:$J$55</c:f>
              <c:numCache>
                <c:formatCode>General</c:formatCode>
                <c:ptCount val="49"/>
                <c:pt idx="24">
                  <c:v>64</c:v>
                </c:pt>
                <c:pt idx="25">
                  <c:v>94</c:v>
                </c:pt>
                <c:pt idx="26">
                  <c:v>97</c:v>
                </c:pt>
                <c:pt idx="27">
                  <c:v>64</c:v>
                </c:pt>
                <c:pt idx="28">
                  <c:v>38</c:v>
                </c:pt>
                <c:pt idx="29">
                  <c:v>64</c:v>
                </c:pt>
                <c:pt idx="30">
                  <c:v>63</c:v>
                </c:pt>
                <c:pt idx="31">
                  <c:v>56</c:v>
                </c:pt>
                <c:pt idx="32">
                  <c:v>74</c:v>
                </c:pt>
                <c:pt idx="33">
                  <c:v>84</c:v>
                </c:pt>
                <c:pt idx="34">
                  <c:v>90</c:v>
                </c:pt>
                <c:pt idx="35">
                  <c:v>84</c:v>
                </c:pt>
                <c:pt idx="36">
                  <c:v>96</c:v>
                </c:pt>
                <c:pt idx="37">
                  <c:v>100</c:v>
                </c:pt>
                <c:pt idx="38">
                  <c:v>124</c:v>
                </c:pt>
                <c:pt idx="39">
                  <c:v>93</c:v>
                </c:pt>
                <c:pt idx="40">
                  <c:v>70</c:v>
                </c:pt>
                <c:pt idx="41">
                  <c:v>55</c:v>
                </c:pt>
                <c:pt idx="42">
                  <c:v>49</c:v>
                </c:pt>
                <c:pt idx="43">
                  <c:v>55</c:v>
                </c:pt>
                <c:pt idx="44">
                  <c:v>44</c:v>
                </c:pt>
                <c:pt idx="45">
                  <c:v>23</c:v>
                </c:pt>
                <c:pt idx="46">
                  <c:v>25</c:v>
                </c:pt>
                <c:pt idx="47">
                  <c:v>24</c:v>
                </c:pt>
                <c:pt idx="48">
                  <c:v>16</c:v>
                </c:pt>
              </c:numCache>
            </c:numRef>
          </c:val>
          <c:smooth val="0"/>
          <c:extLst>
            <c:ext xmlns:c16="http://schemas.microsoft.com/office/drawing/2014/chart" uri="{C3380CC4-5D6E-409C-BE32-E72D297353CC}">
              <c16:uniqueId val="{00000008-8B01-4E72-B14B-E3584A1685C3}"/>
            </c:ext>
          </c:extLst>
        </c:ser>
        <c:dLbls>
          <c:showLegendKey val="0"/>
          <c:showVal val="0"/>
          <c:showCatName val="0"/>
          <c:showSerName val="0"/>
          <c:showPercent val="0"/>
          <c:showBubbleSize val="0"/>
        </c:dLbls>
        <c:marker val="1"/>
        <c:smooth val="0"/>
        <c:axId val="830822592"/>
        <c:axId val="830818328"/>
      </c:lineChart>
      <c:catAx>
        <c:axId val="83082259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Quarter of Supply</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0818328"/>
        <c:crosses val="autoZero"/>
        <c:auto val="1"/>
        <c:lblAlgn val="ctr"/>
        <c:lblOffset val="100"/>
        <c:noMultiLvlLbl val="0"/>
      </c:catAx>
      <c:valAx>
        <c:axId val="830818328"/>
        <c:scaling>
          <c:orientation val="minMax"/>
          <c:max val="25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Prescriptions</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0822592"/>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[D1326_SCRPT_SUM, all RCC items, line, fig1&amp;2, tableA1&amp;3 scripts.xlsx]Sheet1 (8)!PivotTable1</c:name>
    <c:fmtId val="-1"/>
  </c:pivotSource>
  <c:chart>
    <c:autoTitleDeleted val="1"/>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pivotFmt>
      <c:pivotFmt>
        <c:idx val="8"/>
        <c:spPr>
          <a:solidFill>
            <a:schemeClr val="accent1"/>
          </a:solidFill>
          <a:ln>
            <a:noFill/>
          </a:ln>
          <a:effectLst/>
        </c:spPr>
        <c:marker>
          <c:symbol val="none"/>
        </c:marker>
      </c:pivotFmt>
      <c:pivotFmt>
        <c:idx val="9"/>
        <c:spPr>
          <a:solidFill>
            <a:schemeClr val="accent1"/>
          </a:solidFill>
          <a:ln w="28575" cap="rnd">
            <a:solidFill>
              <a:schemeClr val="accent1"/>
            </a:solidFill>
            <a:round/>
          </a:ln>
          <a:effectLst/>
        </c:spPr>
        <c:marker>
          <c:symbol val="none"/>
        </c:marker>
      </c:pivotFmt>
      <c:pivotFmt>
        <c:idx val="10"/>
        <c:spPr>
          <a:solidFill>
            <a:schemeClr val="accent1"/>
          </a:solidFill>
          <a:ln w="28575" cap="rnd">
            <a:solidFill>
              <a:schemeClr val="accent1"/>
            </a:solidFill>
            <a:round/>
          </a:ln>
          <a:effectLst/>
        </c:spPr>
        <c:marker>
          <c:symbol val="none"/>
        </c:marker>
      </c:pivotFmt>
      <c:pivotFmt>
        <c:idx val="11"/>
        <c:spPr>
          <a:solidFill>
            <a:schemeClr val="accent1"/>
          </a:solidFill>
          <a:ln w="28575" cap="rnd">
            <a:solidFill>
              <a:schemeClr val="accent1"/>
            </a:solidFill>
            <a:round/>
          </a:ln>
          <a:effectLst/>
        </c:spPr>
        <c:marker>
          <c:symbol val="none"/>
        </c:marker>
      </c:pivotFmt>
      <c:pivotFmt>
        <c:idx val="12"/>
        <c:spPr>
          <a:solidFill>
            <a:schemeClr val="accent1"/>
          </a:solidFill>
          <a:ln w="28575" cap="rnd">
            <a:solidFill>
              <a:schemeClr val="accent1"/>
            </a:solidFill>
            <a:round/>
          </a:ln>
          <a:effectLst/>
        </c:spPr>
        <c:marker>
          <c:symbol val="none"/>
        </c:marker>
      </c:pivotFmt>
      <c:pivotFmt>
        <c:idx val="13"/>
        <c:spPr>
          <a:solidFill>
            <a:schemeClr val="accent1"/>
          </a:solidFill>
          <a:ln w="28575" cap="rnd">
            <a:solidFill>
              <a:schemeClr val="accent1"/>
            </a:solidFill>
            <a:round/>
          </a:ln>
          <a:effectLst/>
        </c:spPr>
        <c:marker>
          <c:symbol val="none"/>
        </c:marker>
      </c:pivotFmt>
      <c:pivotFmt>
        <c:idx val="14"/>
        <c:spPr>
          <a:solidFill>
            <a:schemeClr val="accent1"/>
          </a:solidFill>
          <a:ln w="28575" cap="rnd">
            <a:solidFill>
              <a:schemeClr val="accent1"/>
            </a:solidFill>
            <a:round/>
          </a:ln>
          <a:effectLst/>
        </c:spPr>
        <c:marker>
          <c:symbol val="none"/>
        </c:marker>
      </c:pivotFmt>
      <c:pivotFmt>
        <c:idx val="15"/>
        <c:spPr>
          <a:solidFill>
            <a:schemeClr val="accent1"/>
          </a:solidFill>
          <a:ln w="28575" cap="rnd">
            <a:solidFill>
              <a:schemeClr val="accent1"/>
            </a:solidFill>
            <a:round/>
          </a:ln>
          <a:effectLst/>
        </c:spPr>
        <c:marker>
          <c:symbol val="none"/>
        </c:marker>
      </c:pivotFmt>
      <c:pivotFmt>
        <c:idx val="16"/>
        <c:spPr>
          <a:solidFill>
            <a:schemeClr val="accent1"/>
          </a:solidFill>
          <a:ln w="28575" cap="rnd">
            <a:solidFill>
              <a:schemeClr val="accent1"/>
            </a:solidFill>
            <a:round/>
          </a:ln>
          <a:effectLst/>
        </c:spPr>
        <c:marker>
          <c:symbol val="none"/>
        </c:marker>
      </c:pivotFmt>
      <c:pivotFmt>
        <c:idx val="17"/>
        <c:spPr>
          <a:solidFill>
            <a:schemeClr val="accent1"/>
          </a:solidFill>
          <a:ln w="28575" cap="rnd">
            <a:solidFill>
              <a:schemeClr val="accent1"/>
            </a:solidFill>
            <a:round/>
          </a:ln>
          <a:effectLst/>
        </c:spPr>
        <c:marker>
          <c:symbol val="none"/>
        </c:marker>
      </c:pivotFmt>
      <c:pivotFmt>
        <c:idx val="18"/>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19"/>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0"/>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1"/>
        <c:spPr>
          <a:solidFill>
            <a:schemeClr val="accent1"/>
          </a:solidFill>
          <a:ln w="28575" cap="rnd">
            <a:solidFill>
              <a:schemeClr val="accent1"/>
            </a:solidFill>
            <a:round/>
          </a:ln>
          <a:effectLst/>
        </c:spPr>
        <c:marker>
          <c:symbol val="circle"/>
          <c:size val="5"/>
          <c:spPr>
            <a:solidFill>
              <a:schemeClr val="accent1">
                <a:lumMod val="60000"/>
              </a:schemeClr>
            </a:solidFill>
            <a:ln w="9525">
              <a:solidFill>
                <a:schemeClr val="accent1">
                  <a:lumMod val="60000"/>
                </a:schemeClr>
              </a:solidFill>
            </a:ln>
            <a:effectLst/>
          </c:spPr>
        </c:marker>
      </c:pivotFmt>
      <c:pivotFmt>
        <c:idx val="22"/>
        <c:spPr>
          <a:solidFill>
            <a:schemeClr val="accent1"/>
          </a:solidFill>
          <a:ln w="28575" cap="rnd">
            <a:solidFill>
              <a:schemeClr val="accent1"/>
            </a:solidFill>
            <a:round/>
          </a:ln>
          <a:effectLst/>
        </c:spPr>
        <c:marker>
          <c:symbol val="circle"/>
          <c:size val="5"/>
          <c:spPr>
            <a:solidFill>
              <a:schemeClr val="accent5"/>
            </a:solidFill>
            <a:ln w="9525">
              <a:solidFill>
                <a:schemeClr val="accent5"/>
              </a:solidFill>
            </a:ln>
            <a:effectLst/>
          </c:spPr>
        </c:marker>
      </c:pivotFmt>
      <c:pivotFmt>
        <c:idx val="23"/>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4"/>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5"/>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6"/>
        <c:spPr>
          <a:solidFill>
            <a:schemeClr val="accent1"/>
          </a:solidFill>
          <a:ln w="28575" cap="rnd">
            <a:solidFill>
              <a:schemeClr val="accent1"/>
            </a:solidFill>
            <a:round/>
          </a:ln>
          <a:effectLst/>
        </c:spPr>
        <c:marker>
          <c:symbol val="circle"/>
          <c:size val="5"/>
          <c:spPr>
            <a:solidFill>
              <a:schemeClr val="accent2"/>
            </a:solidFill>
            <a:ln w="9525">
              <a:solidFill>
                <a:schemeClr val="accent2"/>
              </a:solidFill>
            </a:ln>
            <a:effectLst/>
          </c:spPr>
        </c:marker>
      </c:pivotFmt>
      <c:pivotFmt>
        <c:idx val="27"/>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8"/>
        <c:spPr>
          <a:solidFill>
            <a:schemeClr val="accent1"/>
          </a:solidFill>
          <a:ln w="28575" cap="rnd">
            <a:solidFill>
              <a:schemeClr val="accent1"/>
            </a:solidFill>
            <a:round/>
          </a:ln>
          <a:effectLst/>
        </c:spPr>
        <c:marker>
          <c:symbol val="circle"/>
          <c:size val="5"/>
          <c:spPr>
            <a:solidFill>
              <a:schemeClr val="accent4"/>
            </a:solidFill>
            <a:ln w="9525">
              <a:solidFill>
                <a:schemeClr val="accent4"/>
              </a:solidFill>
            </a:ln>
            <a:effectLst/>
          </c:spPr>
        </c:marker>
      </c:pivotFmt>
      <c:pivotFmt>
        <c:idx val="29"/>
        <c:spPr>
          <a:solidFill>
            <a:schemeClr val="accent1"/>
          </a:solidFill>
          <a:ln w="28575" cap="rnd">
            <a:solidFill>
              <a:schemeClr val="accent1"/>
            </a:solidFill>
            <a:round/>
          </a:ln>
          <a:effectLst/>
        </c:spPr>
        <c:marker>
          <c:symbol val="circle"/>
          <c:size val="5"/>
          <c:spPr>
            <a:solidFill>
              <a:schemeClr val="accent5"/>
            </a:solidFill>
            <a:ln w="9525">
              <a:solidFill>
                <a:schemeClr val="accent5"/>
              </a:solidFill>
            </a:ln>
            <a:effectLst/>
          </c:spPr>
        </c:marker>
      </c:pivotFmt>
      <c:pivotFmt>
        <c:idx val="30"/>
        <c:spPr>
          <a:solidFill>
            <a:schemeClr val="accent1"/>
          </a:solidFill>
          <a:ln w="28575" cap="rnd">
            <a:solidFill>
              <a:schemeClr val="accent1"/>
            </a:solidFill>
            <a:round/>
          </a:ln>
          <a:effectLst/>
        </c:spPr>
        <c:marker>
          <c:symbol val="circle"/>
          <c:size val="5"/>
          <c:spPr>
            <a:solidFill>
              <a:schemeClr val="accent3"/>
            </a:solidFill>
            <a:ln w="9525">
              <a:solidFill>
                <a:schemeClr val="accent3"/>
              </a:solidFill>
            </a:ln>
            <a:effectLst/>
          </c:spPr>
        </c:marker>
      </c:pivotFmt>
      <c:pivotFmt>
        <c:idx val="31"/>
        <c:spPr>
          <a:solidFill>
            <a:schemeClr val="accent1"/>
          </a:solidFill>
          <a:ln w="28575" cap="rnd">
            <a:solidFill>
              <a:schemeClr val="accent1"/>
            </a:solidFill>
            <a:round/>
          </a:ln>
          <a:effectLst/>
        </c:spPr>
        <c:marker>
          <c:symbol val="circle"/>
          <c:size val="5"/>
          <c:spPr>
            <a:solidFill>
              <a:schemeClr val="accent6"/>
            </a:solidFill>
            <a:ln w="9525">
              <a:solidFill>
                <a:schemeClr val="accent6"/>
              </a:solidFill>
            </a:ln>
            <a:effectLst/>
          </c:spPr>
        </c:marker>
      </c:pivotFmt>
      <c:pivotFmt>
        <c:idx val="32"/>
        <c:spPr>
          <a:solidFill>
            <a:schemeClr val="accent1"/>
          </a:solidFill>
          <a:ln w="28575" cap="rnd">
            <a:solidFill>
              <a:schemeClr val="accent1"/>
            </a:solidFill>
            <a:round/>
          </a:ln>
          <a:effectLst/>
        </c:spPr>
        <c:marker>
          <c:symbol val="circle"/>
          <c:size val="5"/>
          <c:spPr>
            <a:solidFill>
              <a:schemeClr val="accent1">
                <a:lumMod val="60000"/>
              </a:schemeClr>
            </a:solidFill>
            <a:ln w="9525">
              <a:solidFill>
                <a:schemeClr val="accent1">
                  <a:lumMod val="60000"/>
                </a:schemeClr>
              </a:solidFill>
            </a:ln>
            <a:effectLst/>
          </c:spPr>
        </c:marker>
      </c:pivotFmt>
      <c:pivotFmt>
        <c:idx val="33"/>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34"/>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35"/>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36"/>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37"/>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38"/>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39"/>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40"/>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41"/>
        <c:spPr>
          <a:solidFill>
            <a:schemeClr val="accent1"/>
          </a:solidFill>
          <a:ln w="28575" cap="rnd">
            <a:solidFill>
              <a:schemeClr val="accent1"/>
            </a:solidFill>
            <a:round/>
          </a:ln>
          <a:effectLst/>
        </c:spPr>
        <c:marker>
          <c:symbol val="circle"/>
          <c:size val="5"/>
          <c:spPr>
            <a:solidFill>
              <a:schemeClr val="accent2"/>
            </a:solidFill>
            <a:ln w="9525">
              <a:solidFill>
                <a:schemeClr val="accent2"/>
              </a:solidFill>
            </a:ln>
            <a:effectLst/>
          </c:spPr>
        </c:marker>
      </c:pivotFmt>
      <c:pivotFmt>
        <c:idx val="42"/>
        <c:spPr>
          <a:solidFill>
            <a:schemeClr val="accent1"/>
          </a:solidFill>
          <a:ln w="28575" cap="rnd">
            <a:solidFill>
              <a:schemeClr val="accent1"/>
            </a:solidFill>
            <a:round/>
          </a:ln>
          <a:effectLst/>
        </c:spPr>
        <c:marker>
          <c:symbol val="circle"/>
          <c:size val="5"/>
          <c:spPr>
            <a:solidFill>
              <a:schemeClr val="accent3"/>
            </a:solidFill>
            <a:ln w="9525">
              <a:solidFill>
                <a:schemeClr val="accent3"/>
              </a:solidFill>
            </a:ln>
            <a:effectLst/>
          </c:spPr>
        </c:marker>
      </c:pivotFmt>
      <c:pivotFmt>
        <c:idx val="43"/>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44"/>
        <c:spPr>
          <a:solidFill>
            <a:schemeClr val="accent1"/>
          </a:solidFill>
          <a:ln w="28575" cap="rnd">
            <a:solidFill>
              <a:schemeClr val="accent1"/>
            </a:solidFill>
            <a:round/>
          </a:ln>
          <a:effectLst/>
        </c:spPr>
        <c:marker>
          <c:symbol val="circle"/>
          <c:size val="5"/>
          <c:spPr>
            <a:solidFill>
              <a:schemeClr val="accent2"/>
            </a:solidFill>
            <a:ln w="9525">
              <a:solidFill>
                <a:schemeClr val="accent2"/>
              </a:solidFill>
            </a:ln>
            <a:effectLst/>
          </c:spPr>
        </c:marker>
      </c:pivotFmt>
      <c:pivotFmt>
        <c:idx val="45"/>
        <c:spPr>
          <a:solidFill>
            <a:schemeClr val="accent1"/>
          </a:solidFill>
          <a:ln w="28575" cap="rnd">
            <a:solidFill>
              <a:schemeClr val="accent1"/>
            </a:solidFill>
            <a:round/>
          </a:ln>
          <a:effectLst/>
        </c:spPr>
        <c:marker>
          <c:symbol val="circle"/>
          <c:size val="5"/>
          <c:spPr>
            <a:solidFill>
              <a:schemeClr val="accent3"/>
            </a:solidFill>
            <a:ln w="9525">
              <a:solidFill>
                <a:schemeClr val="accent3"/>
              </a:solidFill>
            </a:ln>
            <a:effectLst/>
          </c:spPr>
        </c:marker>
      </c:pivotFmt>
      <c:pivotFmt>
        <c:idx val="46"/>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47"/>
        <c:spPr>
          <a:solidFill>
            <a:schemeClr val="accent1"/>
          </a:solidFill>
          <a:ln w="28575" cap="rnd">
            <a:solidFill>
              <a:schemeClr val="accent1"/>
            </a:solidFill>
            <a:round/>
          </a:ln>
          <a:effectLst/>
        </c:spPr>
        <c:marker>
          <c:symbol val="circle"/>
          <c:size val="5"/>
          <c:spPr>
            <a:solidFill>
              <a:schemeClr val="accent2"/>
            </a:solidFill>
            <a:ln w="9525">
              <a:solidFill>
                <a:schemeClr val="accent2"/>
              </a:solidFill>
            </a:ln>
            <a:effectLst/>
          </c:spPr>
        </c:marker>
      </c:pivotFmt>
      <c:pivotFmt>
        <c:idx val="48"/>
        <c:spPr>
          <a:solidFill>
            <a:schemeClr val="accent1"/>
          </a:solidFill>
          <a:ln w="28575" cap="rnd">
            <a:solidFill>
              <a:schemeClr val="accent1"/>
            </a:solidFill>
            <a:round/>
          </a:ln>
          <a:effectLst/>
        </c:spPr>
        <c:marker>
          <c:symbol val="circle"/>
          <c:size val="5"/>
          <c:spPr>
            <a:solidFill>
              <a:schemeClr val="accent3"/>
            </a:solidFill>
            <a:ln w="9525">
              <a:solidFill>
                <a:schemeClr val="accent3"/>
              </a:solidFill>
            </a:ln>
            <a:effectLst/>
          </c:spPr>
        </c:marker>
      </c:pivotFmt>
      <c:pivotFmt>
        <c:idx val="49"/>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50"/>
        <c:spPr>
          <a:solidFill>
            <a:schemeClr val="accent1"/>
          </a:solidFill>
          <a:ln w="28575" cap="rnd">
            <a:solidFill>
              <a:schemeClr val="accent1"/>
            </a:solidFill>
            <a:round/>
          </a:ln>
          <a:effectLst/>
        </c:spPr>
        <c:marker>
          <c:symbol val="circle"/>
          <c:size val="5"/>
          <c:spPr>
            <a:solidFill>
              <a:schemeClr val="accent2"/>
            </a:solidFill>
            <a:ln w="9525">
              <a:solidFill>
                <a:schemeClr val="accent2"/>
              </a:solidFill>
            </a:ln>
            <a:effectLst/>
          </c:spPr>
        </c:marker>
      </c:pivotFmt>
      <c:pivotFmt>
        <c:idx val="51"/>
        <c:spPr>
          <a:solidFill>
            <a:schemeClr val="accent1"/>
          </a:solidFill>
          <a:ln w="28575" cap="rnd">
            <a:solidFill>
              <a:schemeClr val="accent1"/>
            </a:solidFill>
            <a:round/>
          </a:ln>
          <a:effectLst/>
        </c:spPr>
        <c:marker>
          <c:symbol val="circle"/>
          <c:size val="5"/>
          <c:spPr>
            <a:solidFill>
              <a:schemeClr val="accent3"/>
            </a:solidFill>
            <a:ln w="9525">
              <a:solidFill>
                <a:schemeClr val="accent3"/>
              </a:solidFill>
            </a:ln>
            <a:effectLst/>
          </c:spPr>
        </c:marker>
      </c:pivotFmt>
    </c:pivotFmts>
    <c:plotArea>
      <c:layout>
        <c:manualLayout>
          <c:layoutTarget val="inner"/>
          <c:xMode val="edge"/>
          <c:yMode val="edge"/>
          <c:x val="0.11131046935533639"/>
          <c:y val="7.5131965046986174E-2"/>
          <c:w val="0.69549351714534624"/>
          <c:h val="0.72155422348917064"/>
        </c:manualLayout>
      </c:layout>
      <c:lineChart>
        <c:grouping val="standard"/>
        <c:varyColors val="0"/>
        <c:ser>
          <c:idx val="0"/>
          <c:order val="0"/>
          <c:tx>
            <c:strRef>
              <c:f>'Sheet1 (8)'!$B$3:$B$5</c:f>
              <c:strCache>
                <c:ptCount val="1"/>
                <c:pt idx="0">
                  <c:v>NIVOLUMAB - 2nd line</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 (8)'!$A$6:$A$53</c:f>
              <c:strCache>
                <c:ptCount val="47"/>
                <c:pt idx="0">
                  <c:v>201708</c:v>
                </c:pt>
                <c:pt idx="1">
                  <c:v>201709</c:v>
                </c:pt>
                <c:pt idx="2">
                  <c:v>201710</c:v>
                </c:pt>
                <c:pt idx="3">
                  <c:v>201711</c:v>
                </c:pt>
                <c:pt idx="4">
                  <c:v>201712</c:v>
                </c:pt>
                <c:pt idx="5">
                  <c:v>201801</c:v>
                </c:pt>
                <c:pt idx="6">
                  <c:v>201802</c:v>
                </c:pt>
                <c:pt idx="7">
                  <c:v>201803</c:v>
                </c:pt>
                <c:pt idx="8">
                  <c:v>201804</c:v>
                </c:pt>
                <c:pt idx="9">
                  <c:v>201805</c:v>
                </c:pt>
                <c:pt idx="10">
                  <c:v>201806</c:v>
                </c:pt>
                <c:pt idx="11">
                  <c:v>201807</c:v>
                </c:pt>
                <c:pt idx="12">
                  <c:v>201808</c:v>
                </c:pt>
                <c:pt idx="13">
                  <c:v>201809</c:v>
                </c:pt>
                <c:pt idx="14">
                  <c:v>201810</c:v>
                </c:pt>
                <c:pt idx="15">
                  <c:v>201811</c:v>
                </c:pt>
                <c:pt idx="16">
                  <c:v>201812</c:v>
                </c:pt>
                <c:pt idx="17">
                  <c:v>201901</c:v>
                </c:pt>
                <c:pt idx="18">
                  <c:v>201902</c:v>
                </c:pt>
                <c:pt idx="19">
                  <c:v>201903</c:v>
                </c:pt>
                <c:pt idx="20">
                  <c:v>201904</c:v>
                </c:pt>
                <c:pt idx="21">
                  <c:v>201905</c:v>
                </c:pt>
                <c:pt idx="22">
                  <c:v>201906</c:v>
                </c:pt>
                <c:pt idx="23">
                  <c:v>201907</c:v>
                </c:pt>
                <c:pt idx="24">
                  <c:v>201908</c:v>
                </c:pt>
                <c:pt idx="25">
                  <c:v>201909</c:v>
                </c:pt>
                <c:pt idx="26">
                  <c:v>201910</c:v>
                </c:pt>
                <c:pt idx="27">
                  <c:v>201911</c:v>
                </c:pt>
                <c:pt idx="28">
                  <c:v>201912</c:v>
                </c:pt>
                <c:pt idx="29">
                  <c:v>202001</c:v>
                </c:pt>
                <c:pt idx="30">
                  <c:v>202002</c:v>
                </c:pt>
                <c:pt idx="31">
                  <c:v>202003</c:v>
                </c:pt>
                <c:pt idx="32">
                  <c:v>202004</c:v>
                </c:pt>
                <c:pt idx="33">
                  <c:v>202005</c:v>
                </c:pt>
                <c:pt idx="34">
                  <c:v>202006</c:v>
                </c:pt>
                <c:pt idx="35">
                  <c:v>202007</c:v>
                </c:pt>
                <c:pt idx="36">
                  <c:v>202008</c:v>
                </c:pt>
                <c:pt idx="37">
                  <c:v>202009</c:v>
                </c:pt>
                <c:pt idx="38">
                  <c:v>202010</c:v>
                </c:pt>
                <c:pt idx="39">
                  <c:v>202011</c:v>
                </c:pt>
                <c:pt idx="40">
                  <c:v>202012</c:v>
                </c:pt>
                <c:pt idx="41">
                  <c:v>202101</c:v>
                </c:pt>
                <c:pt idx="42">
                  <c:v>202102</c:v>
                </c:pt>
                <c:pt idx="43">
                  <c:v>202103</c:v>
                </c:pt>
                <c:pt idx="44">
                  <c:v>202104</c:v>
                </c:pt>
                <c:pt idx="45">
                  <c:v>202105</c:v>
                </c:pt>
                <c:pt idx="46">
                  <c:v>202106</c:v>
                </c:pt>
              </c:strCache>
            </c:strRef>
          </c:cat>
          <c:val>
            <c:numRef>
              <c:f>'Sheet1 (8)'!$B$6:$B$53</c:f>
              <c:numCache>
                <c:formatCode>General</c:formatCode>
                <c:ptCount val="47"/>
                <c:pt idx="0">
                  <c:v>330</c:v>
                </c:pt>
                <c:pt idx="1">
                  <c:v>459</c:v>
                </c:pt>
                <c:pt idx="2">
                  <c:v>565</c:v>
                </c:pt>
                <c:pt idx="3">
                  <c:v>628</c:v>
                </c:pt>
                <c:pt idx="4">
                  <c:v>554</c:v>
                </c:pt>
                <c:pt idx="5">
                  <c:v>637</c:v>
                </c:pt>
                <c:pt idx="6">
                  <c:v>587</c:v>
                </c:pt>
                <c:pt idx="7">
                  <c:v>655</c:v>
                </c:pt>
                <c:pt idx="8">
                  <c:v>608</c:v>
                </c:pt>
                <c:pt idx="9">
                  <c:v>723</c:v>
                </c:pt>
                <c:pt idx="10">
                  <c:v>641</c:v>
                </c:pt>
                <c:pt idx="11">
                  <c:v>637</c:v>
                </c:pt>
                <c:pt idx="12">
                  <c:v>672</c:v>
                </c:pt>
                <c:pt idx="13">
                  <c:v>595</c:v>
                </c:pt>
                <c:pt idx="14">
                  <c:v>675</c:v>
                </c:pt>
                <c:pt idx="15">
                  <c:v>630</c:v>
                </c:pt>
                <c:pt idx="16">
                  <c:v>639</c:v>
                </c:pt>
                <c:pt idx="17">
                  <c:v>653</c:v>
                </c:pt>
                <c:pt idx="18">
                  <c:v>626</c:v>
                </c:pt>
                <c:pt idx="19">
                  <c:v>647</c:v>
                </c:pt>
                <c:pt idx="20">
                  <c:v>631</c:v>
                </c:pt>
                <c:pt idx="21">
                  <c:v>739</c:v>
                </c:pt>
                <c:pt idx="22">
                  <c:v>618</c:v>
                </c:pt>
                <c:pt idx="23">
                  <c:v>723</c:v>
                </c:pt>
                <c:pt idx="24">
                  <c:v>710</c:v>
                </c:pt>
                <c:pt idx="25">
                  <c:v>653</c:v>
                </c:pt>
                <c:pt idx="26">
                  <c:v>649</c:v>
                </c:pt>
                <c:pt idx="27">
                  <c:v>598</c:v>
                </c:pt>
                <c:pt idx="28">
                  <c:v>585</c:v>
                </c:pt>
                <c:pt idx="29">
                  <c:v>578</c:v>
                </c:pt>
                <c:pt idx="30">
                  <c:v>511</c:v>
                </c:pt>
                <c:pt idx="31">
                  <c:v>545</c:v>
                </c:pt>
                <c:pt idx="32">
                  <c:v>511</c:v>
                </c:pt>
                <c:pt idx="33">
                  <c:v>485</c:v>
                </c:pt>
                <c:pt idx="34">
                  <c:v>499</c:v>
                </c:pt>
                <c:pt idx="35">
                  <c:v>508</c:v>
                </c:pt>
                <c:pt idx="36">
                  <c:v>475</c:v>
                </c:pt>
                <c:pt idx="37">
                  <c:v>517</c:v>
                </c:pt>
                <c:pt idx="38">
                  <c:v>546</c:v>
                </c:pt>
                <c:pt idx="39">
                  <c:v>493</c:v>
                </c:pt>
                <c:pt idx="40">
                  <c:v>502</c:v>
                </c:pt>
                <c:pt idx="41">
                  <c:v>486</c:v>
                </c:pt>
                <c:pt idx="42">
                  <c:v>469</c:v>
                </c:pt>
                <c:pt idx="43">
                  <c:v>569</c:v>
                </c:pt>
                <c:pt idx="44">
                  <c:v>488</c:v>
                </c:pt>
                <c:pt idx="45">
                  <c:v>508</c:v>
                </c:pt>
                <c:pt idx="46">
                  <c:v>516</c:v>
                </c:pt>
              </c:numCache>
            </c:numRef>
          </c:val>
          <c:smooth val="0"/>
          <c:extLst>
            <c:ext xmlns:c16="http://schemas.microsoft.com/office/drawing/2014/chart" uri="{C3380CC4-5D6E-409C-BE32-E72D297353CC}">
              <c16:uniqueId val="{00000000-CF5E-4E80-A45F-BC35EFD41620}"/>
            </c:ext>
          </c:extLst>
        </c:ser>
        <c:ser>
          <c:idx val="1"/>
          <c:order val="1"/>
          <c:tx>
            <c:strRef>
              <c:f>'Sheet1 (8)'!$C$3:$C$5</c:f>
              <c:strCache>
                <c:ptCount val="1"/>
                <c:pt idx="0">
                  <c:v>NIVOLUMAB - 1st line</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 (8)'!$A$6:$A$53</c:f>
              <c:strCache>
                <c:ptCount val="47"/>
                <c:pt idx="0">
                  <c:v>201708</c:v>
                </c:pt>
                <c:pt idx="1">
                  <c:v>201709</c:v>
                </c:pt>
                <c:pt idx="2">
                  <c:v>201710</c:v>
                </c:pt>
                <c:pt idx="3">
                  <c:v>201711</c:v>
                </c:pt>
                <c:pt idx="4">
                  <c:v>201712</c:v>
                </c:pt>
                <c:pt idx="5">
                  <c:v>201801</c:v>
                </c:pt>
                <c:pt idx="6">
                  <c:v>201802</c:v>
                </c:pt>
                <c:pt idx="7">
                  <c:v>201803</c:v>
                </c:pt>
                <c:pt idx="8">
                  <c:v>201804</c:v>
                </c:pt>
                <c:pt idx="9">
                  <c:v>201805</c:v>
                </c:pt>
                <c:pt idx="10">
                  <c:v>201806</c:v>
                </c:pt>
                <c:pt idx="11">
                  <c:v>201807</c:v>
                </c:pt>
                <c:pt idx="12">
                  <c:v>201808</c:v>
                </c:pt>
                <c:pt idx="13">
                  <c:v>201809</c:v>
                </c:pt>
                <c:pt idx="14">
                  <c:v>201810</c:v>
                </c:pt>
                <c:pt idx="15">
                  <c:v>201811</c:v>
                </c:pt>
                <c:pt idx="16">
                  <c:v>201812</c:v>
                </c:pt>
                <c:pt idx="17">
                  <c:v>201901</c:v>
                </c:pt>
                <c:pt idx="18">
                  <c:v>201902</c:v>
                </c:pt>
                <c:pt idx="19">
                  <c:v>201903</c:v>
                </c:pt>
                <c:pt idx="20">
                  <c:v>201904</c:v>
                </c:pt>
                <c:pt idx="21">
                  <c:v>201905</c:v>
                </c:pt>
                <c:pt idx="22">
                  <c:v>201906</c:v>
                </c:pt>
                <c:pt idx="23">
                  <c:v>201907</c:v>
                </c:pt>
                <c:pt idx="24">
                  <c:v>201908</c:v>
                </c:pt>
                <c:pt idx="25">
                  <c:v>201909</c:v>
                </c:pt>
                <c:pt idx="26">
                  <c:v>201910</c:v>
                </c:pt>
                <c:pt idx="27">
                  <c:v>201911</c:v>
                </c:pt>
                <c:pt idx="28">
                  <c:v>201912</c:v>
                </c:pt>
                <c:pt idx="29">
                  <c:v>202001</c:v>
                </c:pt>
                <c:pt idx="30">
                  <c:v>202002</c:v>
                </c:pt>
                <c:pt idx="31">
                  <c:v>202003</c:v>
                </c:pt>
                <c:pt idx="32">
                  <c:v>202004</c:v>
                </c:pt>
                <c:pt idx="33">
                  <c:v>202005</c:v>
                </c:pt>
                <c:pt idx="34">
                  <c:v>202006</c:v>
                </c:pt>
                <c:pt idx="35">
                  <c:v>202007</c:v>
                </c:pt>
                <c:pt idx="36">
                  <c:v>202008</c:v>
                </c:pt>
                <c:pt idx="37">
                  <c:v>202009</c:v>
                </c:pt>
                <c:pt idx="38">
                  <c:v>202010</c:v>
                </c:pt>
                <c:pt idx="39">
                  <c:v>202011</c:v>
                </c:pt>
                <c:pt idx="40">
                  <c:v>202012</c:v>
                </c:pt>
                <c:pt idx="41">
                  <c:v>202101</c:v>
                </c:pt>
                <c:pt idx="42">
                  <c:v>202102</c:v>
                </c:pt>
                <c:pt idx="43">
                  <c:v>202103</c:v>
                </c:pt>
                <c:pt idx="44">
                  <c:v>202104</c:v>
                </c:pt>
                <c:pt idx="45">
                  <c:v>202105</c:v>
                </c:pt>
                <c:pt idx="46">
                  <c:v>202106</c:v>
                </c:pt>
              </c:strCache>
            </c:strRef>
          </c:cat>
          <c:val>
            <c:numRef>
              <c:f>'Sheet1 (8)'!$C$6:$C$53</c:f>
              <c:numCache>
                <c:formatCode>General</c:formatCode>
                <c:ptCount val="47"/>
                <c:pt idx="19">
                  <c:v>69</c:v>
                </c:pt>
                <c:pt idx="20">
                  <c:v>108</c:v>
                </c:pt>
                <c:pt idx="21">
                  <c:v>151</c:v>
                </c:pt>
                <c:pt idx="22">
                  <c:v>179</c:v>
                </c:pt>
                <c:pt idx="23">
                  <c:v>247</c:v>
                </c:pt>
                <c:pt idx="24">
                  <c:v>247</c:v>
                </c:pt>
                <c:pt idx="25">
                  <c:v>246</c:v>
                </c:pt>
                <c:pt idx="26">
                  <c:v>267</c:v>
                </c:pt>
                <c:pt idx="27">
                  <c:v>253</c:v>
                </c:pt>
                <c:pt idx="28">
                  <c:v>275</c:v>
                </c:pt>
                <c:pt idx="29">
                  <c:v>293</c:v>
                </c:pt>
                <c:pt idx="30">
                  <c:v>271</c:v>
                </c:pt>
                <c:pt idx="31">
                  <c:v>290</c:v>
                </c:pt>
                <c:pt idx="32">
                  <c:v>267</c:v>
                </c:pt>
                <c:pt idx="33">
                  <c:v>250</c:v>
                </c:pt>
                <c:pt idx="34">
                  <c:v>256</c:v>
                </c:pt>
                <c:pt idx="35">
                  <c:v>293</c:v>
                </c:pt>
                <c:pt idx="36">
                  <c:v>279</c:v>
                </c:pt>
                <c:pt idx="37">
                  <c:v>274</c:v>
                </c:pt>
                <c:pt idx="38">
                  <c:v>259</c:v>
                </c:pt>
                <c:pt idx="39">
                  <c:v>267</c:v>
                </c:pt>
                <c:pt idx="40">
                  <c:v>311</c:v>
                </c:pt>
                <c:pt idx="41">
                  <c:v>272</c:v>
                </c:pt>
                <c:pt idx="42">
                  <c:v>260</c:v>
                </c:pt>
                <c:pt idx="43">
                  <c:v>304</c:v>
                </c:pt>
                <c:pt idx="44">
                  <c:v>284</c:v>
                </c:pt>
                <c:pt idx="45">
                  <c:v>262</c:v>
                </c:pt>
                <c:pt idx="46">
                  <c:v>288</c:v>
                </c:pt>
              </c:numCache>
            </c:numRef>
          </c:val>
          <c:smooth val="0"/>
          <c:extLst>
            <c:ext xmlns:c16="http://schemas.microsoft.com/office/drawing/2014/chart" uri="{C3380CC4-5D6E-409C-BE32-E72D297353CC}">
              <c16:uniqueId val="{00000001-CF5E-4E80-A45F-BC35EFD41620}"/>
            </c:ext>
          </c:extLst>
        </c:ser>
        <c:ser>
          <c:idx val="2"/>
          <c:order val="2"/>
          <c:tx>
            <c:strRef>
              <c:f>'Sheet1 (8)'!$D$3:$D$5</c:f>
              <c:strCache>
                <c:ptCount val="1"/>
                <c:pt idx="0">
                  <c:v>IPILIMUMAB - 1st line</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'Sheet1 (8)'!$A$6:$A$53</c:f>
              <c:strCache>
                <c:ptCount val="47"/>
                <c:pt idx="0">
                  <c:v>201708</c:v>
                </c:pt>
                <c:pt idx="1">
                  <c:v>201709</c:v>
                </c:pt>
                <c:pt idx="2">
                  <c:v>201710</c:v>
                </c:pt>
                <c:pt idx="3">
                  <c:v>201711</c:v>
                </c:pt>
                <c:pt idx="4">
                  <c:v>201712</c:v>
                </c:pt>
                <c:pt idx="5">
                  <c:v>201801</c:v>
                </c:pt>
                <c:pt idx="6">
                  <c:v>201802</c:v>
                </c:pt>
                <c:pt idx="7">
                  <c:v>201803</c:v>
                </c:pt>
                <c:pt idx="8">
                  <c:v>201804</c:v>
                </c:pt>
                <c:pt idx="9">
                  <c:v>201805</c:v>
                </c:pt>
                <c:pt idx="10">
                  <c:v>201806</c:v>
                </c:pt>
                <c:pt idx="11">
                  <c:v>201807</c:v>
                </c:pt>
                <c:pt idx="12">
                  <c:v>201808</c:v>
                </c:pt>
                <c:pt idx="13">
                  <c:v>201809</c:v>
                </c:pt>
                <c:pt idx="14">
                  <c:v>201810</c:v>
                </c:pt>
                <c:pt idx="15">
                  <c:v>201811</c:v>
                </c:pt>
                <c:pt idx="16">
                  <c:v>201812</c:v>
                </c:pt>
                <c:pt idx="17">
                  <c:v>201901</c:v>
                </c:pt>
                <c:pt idx="18">
                  <c:v>201902</c:v>
                </c:pt>
                <c:pt idx="19">
                  <c:v>201903</c:v>
                </c:pt>
                <c:pt idx="20">
                  <c:v>201904</c:v>
                </c:pt>
                <c:pt idx="21">
                  <c:v>201905</c:v>
                </c:pt>
                <c:pt idx="22">
                  <c:v>201906</c:v>
                </c:pt>
                <c:pt idx="23">
                  <c:v>201907</c:v>
                </c:pt>
                <c:pt idx="24">
                  <c:v>201908</c:v>
                </c:pt>
                <c:pt idx="25">
                  <c:v>201909</c:v>
                </c:pt>
                <c:pt idx="26">
                  <c:v>201910</c:v>
                </c:pt>
                <c:pt idx="27">
                  <c:v>201911</c:v>
                </c:pt>
                <c:pt idx="28">
                  <c:v>201912</c:v>
                </c:pt>
                <c:pt idx="29">
                  <c:v>202001</c:v>
                </c:pt>
                <c:pt idx="30">
                  <c:v>202002</c:v>
                </c:pt>
                <c:pt idx="31">
                  <c:v>202003</c:v>
                </c:pt>
                <c:pt idx="32">
                  <c:v>202004</c:v>
                </c:pt>
                <c:pt idx="33">
                  <c:v>202005</c:v>
                </c:pt>
                <c:pt idx="34">
                  <c:v>202006</c:v>
                </c:pt>
                <c:pt idx="35">
                  <c:v>202007</c:v>
                </c:pt>
                <c:pt idx="36">
                  <c:v>202008</c:v>
                </c:pt>
                <c:pt idx="37">
                  <c:v>202009</c:v>
                </c:pt>
                <c:pt idx="38">
                  <c:v>202010</c:v>
                </c:pt>
                <c:pt idx="39">
                  <c:v>202011</c:v>
                </c:pt>
                <c:pt idx="40">
                  <c:v>202012</c:v>
                </c:pt>
                <c:pt idx="41">
                  <c:v>202101</c:v>
                </c:pt>
                <c:pt idx="42">
                  <c:v>202102</c:v>
                </c:pt>
                <c:pt idx="43">
                  <c:v>202103</c:v>
                </c:pt>
                <c:pt idx="44">
                  <c:v>202104</c:v>
                </c:pt>
                <c:pt idx="45">
                  <c:v>202105</c:v>
                </c:pt>
                <c:pt idx="46">
                  <c:v>202106</c:v>
                </c:pt>
              </c:strCache>
            </c:strRef>
          </c:cat>
          <c:val>
            <c:numRef>
              <c:f>'Sheet1 (8)'!$D$6:$D$53</c:f>
              <c:numCache>
                <c:formatCode>General</c:formatCode>
                <c:ptCount val="47"/>
                <c:pt idx="19">
                  <c:v>57</c:v>
                </c:pt>
                <c:pt idx="20">
                  <c:v>84</c:v>
                </c:pt>
                <c:pt idx="21">
                  <c:v>105</c:v>
                </c:pt>
                <c:pt idx="22">
                  <c:v>99</c:v>
                </c:pt>
                <c:pt idx="23">
                  <c:v>132</c:v>
                </c:pt>
                <c:pt idx="24">
                  <c:v>108</c:v>
                </c:pt>
                <c:pt idx="25">
                  <c:v>125</c:v>
                </c:pt>
                <c:pt idx="26">
                  <c:v>111</c:v>
                </c:pt>
                <c:pt idx="27">
                  <c:v>98</c:v>
                </c:pt>
                <c:pt idx="28">
                  <c:v>105</c:v>
                </c:pt>
                <c:pt idx="29">
                  <c:v>114</c:v>
                </c:pt>
                <c:pt idx="30">
                  <c:v>101</c:v>
                </c:pt>
                <c:pt idx="31">
                  <c:v>88</c:v>
                </c:pt>
                <c:pt idx="32">
                  <c:v>88</c:v>
                </c:pt>
                <c:pt idx="33">
                  <c:v>79</c:v>
                </c:pt>
                <c:pt idx="34">
                  <c:v>99</c:v>
                </c:pt>
                <c:pt idx="35">
                  <c:v>113</c:v>
                </c:pt>
                <c:pt idx="36">
                  <c:v>110</c:v>
                </c:pt>
                <c:pt idx="37">
                  <c:v>116</c:v>
                </c:pt>
                <c:pt idx="38">
                  <c:v>104</c:v>
                </c:pt>
                <c:pt idx="39">
                  <c:v>108</c:v>
                </c:pt>
                <c:pt idx="40">
                  <c:v>120</c:v>
                </c:pt>
                <c:pt idx="41">
                  <c:v>105</c:v>
                </c:pt>
                <c:pt idx="42">
                  <c:v>90</c:v>
                </c:pt>
                <c:pt idx="43">
                  <c:v>114</c:v>
                </c:pt>
                <c:pt idx="44">
                  <c:v>116</c:v>
                </c:pt>
                <c:pt idx="45">
                  <c:v>111</c:v>
                </c:pt>
                <c:pt idx="46">
                  <c:v>127</c:v>
                </c:pt>
              </c:numCache>
            </c:numRef>
          </c:val>
          <c:smooth val="0"/>
          <c:extLst>
            <c:ext xmlns:c16="http://schemas.microsoft.com/office/drawing/2014/chart" uri="{C3380CC4-5D6E-409C-BE32-E72D297353CC}">
              <c16:uniqueId val="{00000002-CF5E-4E80-A45F-BC35EFD41620}"/>
            </c:ext>
          </c:extLst>
        </c:ser>
        <c:dLbls>
          <c:showLegendKey val="0"/>
          <c:showVal val="0"/>
          <c:showCatName val="0"/>
          <c:showSerName val="0"/>
          <c:showPercent val="0"/>
          <c:showBubbleSize val="0"/>
        </c:dLbls>
        <c:marker val="1"/>
        <c:smooth val="0"/>
        <c:axId val="830822592"/>
        <c:axId val="830818328"/>
      </c:lineChart>
      <c:catAx>
        <c:axId val="83082259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sz="1000"/>
                  <a:t>Month of Supply</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0818328"/>
        <c:crosses val="autoZero"/>
        <c:auto val="1"/>
        <c:lblAlgn val="ctr"/>
        <c:lblOffset val="100"/>
        <c:noMultiLvlLbl val="0"/>
      </c:catAx>
      <c:valAx>
        <c:axId val="8308183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Prescriptions</a:t>
                </a:r>
              </a:p>
            </c:rich>
          </c:tx>
          <c:layout>
            <c:manualLayout>
              <c:xMode val="edge"/>
              <c:yMode val="edge"/>
              <c:x val="1.4434957499258133E-2"/>
              <c:y val="0.44918626999081268"/>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0822592"/>
        <c:crosses val="autoZero"/>
        <c:crossBetween val="between"/>
      </c:valAx>
      <c:spPr>
        <a:noFill/>
        <a:ln>
          <a:noFill/>
        </a:ln>
        <a:effectLst/>
      </c:spPr>
    </c:plotArea>
    <c:legend>
      <c:legendPos val="r"/>
      <c:layout>
        <c:manualLayout>
          <c:xMode val="edge"/>
          <c:yMode val="edge"/>
          <c:x val="0.82511667731831617"/>
          <c:y val="0.20591570711524201"/>
          <c:w val="0.16264426977888227"/>
          <c:h val="0.46949725131748848"/>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[D1326_SCRPT_SUM, all RCC items, line, fig1&amp;2, tableA1&amp;3 scripts, v2+phase.xlsx]Sheet1 (9)!PivotTable1</c:name>
    <c:fmtId val="-1"/>
  </c:pivotSource>
  <c:chart>
    <c:autoTitleDeleted val="1"/>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pivotFmt>
      <c:pivotFmt>
        <c:idx val="8"/>
        <c:spPr>
          <a:solidFill>
            <a:schemeClr val="accent1"/>
          </a:solidFill>
          <a:ln>
            <a:noFill/>
          </a:ln>
          <a:effectLst/>
        </c:spPr>
        <c:marker>
          <c:symbol val="none"/>
        </c:marker>
      </c:pivotFmt>
      <c:pivotFmt>
        <c:idx val="9"/>
        <c:spPr>
          <a:solidFill>
            <a:schemeClr val="accent1"/>
          </a:solidFill>
          <a:ln w="28575" cap="rnd">
            <a:solidFill>
              <a:schemeClr val="accent1"/>
            </a:solidFill>
            <a:round/>
          </a:ln>
          <a:effectLst/>
        </c:spPr>
        <c:marker>
          <c:symbol val="none"/>
        </c:marker>
      </c:pivotFmt>
      <c:pivotFmt>
        <c:idx val="10"/>
        <c:spPr>
          <a:solidFill>
            <a:schemeClr val="accent1"/>
          </a:solidFill>
          <a:ln w="28575" cap="rnd">
            <a:solidFill>
              <a:schemeClr val="accent1"/>
            </a:solidFill>
            <a:round/>
          </a:ln>
          <a:effectLst/>
        </c:spPr>
        <c:marker>
          <c:symbol val="none"/>
        </c:marker>
      </c:pivotFmt>
      <c:pivotFmt>
        <c:idx val="11"/>
        <c:spPr>
          <a:solidFill>
            <a:schemeClr val="accent1"/>
          </a:solidFill>
          <a:ln w="28575" cap="rnd">
            <a:solidFill>
              <a:schemeClr val="accent1"/>
            </a:solidFill>
            <a:round/>
          </a:ln>
          <a:effectLst/>
        </c:spPr>
        <c:marker>
          <c:symbol val="none"/>
        </c:marker>
      </c:pivotFmt>
      <c:pivotFmt>
        <c:idx val="12"/>
        <c:spPr>
          <a:solidFill>
            <a:schemeClr val="accent1"/>
          </a:solidFill>
          <a:ln w="28575" cap="rnd">
            <a:solidFill>
              <a:schemeClr val="accent1"/>
            </a:solidFill>
            <a:round/>
          </a:ln>
          <a:effectLst/>
        </c:spPr>
        <c:marker>
          <c:symbol val="none"/>
        </c:marker>
      </c:pivotFmt>
      <c:pivotFmt>
        <c:idx val="13"/>
        <c:spPr>
          <a:solidFill>
            <a:schemeClr val="accent1"/>
          </a:solidFill>
          <a:ln w="28575" cap="rnd">
            <a:solidFill>
              <a:schemeClr val="accent1"/>
            </a:solidFill>
            <a:round/>
          </a:ln>
          <a:effectLst/>
        </c:spPr>
        <c:marker>
          <c:symbol val="none"/>
        </c:marker>
      </c:pivotFmt>
      <c:pivotFmt>
        <c:idx val="14"/>
        <c:spPr>
          <a:solidFill>
            <a:schemeClr val="accent1"/>
          </a:solidFill>
          <a:ln w="28575" cap="rnd">
            <a:solidFill>
              <a:schemeClr val="accent1"/>
            </a:solidFill>
            <a:round/>
          </a:ln>
          <a:effectLst/>
        </c:spPr>
        <c:marker>
          <c:symbol val="none"/>
        </c:marker>
      </c:pivotFmt>
      <c:pivotFmt>
        <c:idx val="15"/>
        <c:spPr>
          <a:solidFill>
            <a:schemeClr val="accent1"/>
          </a:solidFill>
          <a:ln w="28575" cap="rnd">
            <a:solidFill>
              <a:schemeClr val="accent1"/>
            </a:solidFill>
            <a:round/>
          </a:ln>
          <a:effectLst/>
        </c:spPr>
        <c:marker>
          <c:symbol val="none"/>
        </c:marker>
      </c:pivotFmt>
      <c:pivotFmt>
        <c:idx val="16"/>
        <c:spPr>
          <a:solidFill>
            <a:schemeClr val="accent1"/>
          </a:solidFill>
          <a:ln w="28575" cap="rnd">
            <a:solidFill>
              <a:schemeClr val="accent1"/>
            </a:solidFill>
            <a:round/>
          </a:ln>
          <a:effectLst/>
        </c:spPr>
        <c:marker>
          <c:symbol val="none"/>
        </c:marker>
      </c:pivotFmt>
      <c:pivotFmt>
        <c:idx val="17"/>
        <c:spPr>
          <a:solidFill>
            <a:schemeClr val="accent1"/>
          </a:solidFill>
          <a:ln w="28575" cap="rnd">
            <a:solidFill>
              <a:schemeClr val="accent1"/>
            </a:solidFill>
            <a:round/>
          </a:ln>
          <a:effectLst/>
        </c:spPr>
        <c:marker>
          <c:symbol val="none"/>
        </c:marker>
      </c:pivotFmt>
      <c:pivotFmt>
        <c:idx val="18"/>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19"/>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0"/>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1"/>
        <c:spPr>
          <a:solidFill>
            <a:schemeClr val="accent1"/>
          </a:solidFill>
          <a:ln w="28575" cap="rnd">
            <a:solidFill>
              <a:schemeClr val="accent1"/>
            </a:solidFill>
            <a:round/>
          </a:ln>
          <a:effectLst/>
        </c:spPr>
        <c:marker>
          <c:symbol val="circle"/>
          <c:size val="5"/>
          <c:spPr>
            <a:solidFill>
              <a:schemeClr val="accent1">
                <a:lumMod val="60000"/>
              </a:schemeClr>
            </a:solidFill>
            <a:ln w="9525">
              <a:solidFill>
                <a:schemeClr val="accent1">
                  <a:lumMod val="60000"/>
                </a:schemeClr>
              </a:solidFill>
            </a:ln>
            <a:effectLst/>
          </c:spPr>
        </c:marker>
      </c:pivotFmt>
      <c:pivotFmt>
        <c:idx val="22"/>
        <c:spPr>
          <a:solidFill>
            <a:schemeClr val="accent1"/>
          </a:solidFill>
          <a:ln w="28575" cap="rnd">
            <a:solidFill>
              <a:schemeClr val="accent1"/>
            </a:solidFill>
            <a:round/>
          </a:ln>
          <a:effectLst/>
        </c:spPr>
        <c:marker>
          <c:symbol val="circle"/>
          <c:size val="5"/>
          <c:spPr>
            <a:solidFill>
              <a:schemeClr val="accent5"/>
            </a:solidFill>
            <a:ln w="9525">
              <a:solidFill>
                <a:schemeClr val="accent5"/>
              </a:solidFill>
            </a:ln>
            <a:effectLst/>
          </c:spPr>
        </c:marker>
      </c:pivotFmt>
      <c:pivotFmt>
        <c:idx val="23"/>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4"/>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5"/>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6"/>
        <c:spPr>
          <a:solidFill>
            <a:schemeClr val="accent1"/>
          </a:solidFill>
          <a:ln w="28575" cap="rnd">
            <a:solidFill>
              <a:schemeClr val="accent1"/>
            </a:solidFill>
            <a:round/>
          </a:ln>
          <a:effectLst/>
        </c:spPr>
        <c:marker>
          <c:symbol val="circle"/>
          <c:size val="5"/>
          <c:spPr>
            <a:solidFill>
              <a:schemeClr val="accent2"/>
            </a:solidFill>
            <a:ln w="9525">
              <a:solidFill>
                <a:schemeClr val="accent2"/>
              </a:solidFill>
            </a:ln>
            <a:effectLst/>
          </c:spPr>
        </c:marker>
      </c:pivotFmt>
      <c:pivotFmt>
        <c:idx val="27"/>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8"/>
        <c:spPr>
          <a:solidFill>
            <a:schemeClr val="accent1"/>
          </a:solidFill>
          <a:ln w="28575" cap="rnd">
            <a:solidFill>
              <a:schemeClr val="accent1"/>
            </a:solidFill>
            <a:round/>
          </a:ln>
          <a:effectLst/>
        </c:spPr>
        <c:marker>
          <c:symbol val="circle"/>
          <c:size val="5"/>
          <c:spPr>
            <a:solidFill>
              <a:schemeClr val="accent4"/>
            </a:solidFill>
            <a:ln w="9525">
              <a:solidFill>
                <a:schemeClr val="accent4"/>
              </a:solidFill>
            </a:ln>
            <a:effectLst/>
          </c:spPr>
        </c:marker>
      </c:pivotFmt>
      <c:pivotFmt>
        <c:idx val="29"/>
        <c:spPr>
          <a:solidFill>
            <a:schemeClr val="accent1"/>
          </a:solidFill>
          <a:ln w="28575" cap="rnd">
            <a:solidFill>
              <a:schemeClr val="accent1"/>
            </a:solidFill>
            <a:round/>
          </a:ln>
          <a:effectLst/>
        </c:spPr>
        <c:marker>
          <c:symbol val="circle"/>
          <c:size val="5"/>
          <c:spPr>
            <a:solidFill>
              <a:schemeClr val="accent5"/>
            </a:solidFill>
            <a:ln w="9525">
              <a:solidFill>
                <a:schemeClr val="accent5"/>
              </a:solidFill>
            </a:ln>
            <a:effectLst/>
          </c:spPr>
        </c:marker>
      </c:pivotFmt>
      <c:pivotFmt>
        <c:idx val="30"/>
        <c:spPr>
          <a:solidFill>
            <a:schemeClr val="accent1"/>
          </a:solidFill>
          <a:ln w="28575" cap="rnd">
            <a:solidFill>
              <a:schemeClr val="accent1"/>
            </a:solidFill>
            <a:round/>
          </a:ln>
          <a:effectLst/>
        </c:spPr>
        <c:marker>
          <c:symbol val="circle"/>
          <c:size val="5"/>
          <c:spPr>
            <a:solidFill>
              <a:schemeClr val="accent3"/>
            </a:solidFill>
            <a:ln w="9525">
              <a:solidFill>
                <a:schemeClr val="accent3"/>
              </a:solidFill>
            </a:ln>
            <a:effectLst/>
          </c:spPr>
        </c:marker>
      </c:pivotFmt>
      <c:pivotFmt>
        <c:idx val="31"/>
        <c:spPr>
          <a:solidFill>
            <a:schemeClr val="accent1"/>
          </a:solidFill>
          <a:ln w="28575" cap="rnd">
            <a:solidFill>
              <a:schemeClr val="accent1"/>
            </a:solidFill>
            <a:round/>
          </a:ln>
          <a:effectLst/>
        </c:spPr>
        <c:marker>
          <c:symbol val="circle"/>
          <c:size val="5"/>
          <c:spPr>
            <a:solidFill>
              <a:schemeClr val="accent6"/>
            </a:solidFill>
            <a:ln w="9525">
              <a:solidFill>
                <a:schemeClr val="accent6"/>
              </a:solidFill>
            </a:ln>
            <a:effectLst/>
          </c:spPr>
        </c:marker>
      </c:pivotFmt>
      <c:pivotFmt>
        <c:idx val="32"/>
        <c:spPr>
          <a:solidFill>
            <a:schemeClr val="accent1"/>
          </a:solidFill>
          <a:ln w="28575" cap="rnd">
            <a:solidFill>
              <a:schemeClr val="accent1"/>
            </a:solidFill>
            <a:round/>
          </a:ln>
          <a:effectLst/>
        </c:spPr>
        <c:marker>
          <c:symbol val="circle"/>
          <c:size val="5"/>
          <c:spPr>
            <a:solidFill>
              <a:schemeClr val="accent1">
                <a:lumMod val="60000"/>
              </a:schemeClr>
            </a:solidFill>
            <a:ln w="9525">
              <a:solidFill>
                <a:schemeClr val="accent1">
                  <a:lumMod val="60000"/>
                </a:schemeClr>
              </a:solidFill>
            </a:ln>
            <a:effectLst/>
          </c:spPr>
        </c:marker>
      </c:pivotFmt>
      <c:pivotFmt>
        <c:idx val="33"/>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34"/>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35"/>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36"/>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37"/>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38"/>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39"/>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40"/>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41"/>
        <c:spPr>
          <a:solidFill>
            <a:schemeClr val="accent1"/>
          </a:solidFill>
          <a:ln w="28575" cap="rnd">
            <a:solidFill>
              <a:schemeClr val="accent1"/>
            </a:solidFill>
            <a:round/>
          </a:ln>
          <a:effectLst/>
        </c:spPr>
        <c:marker>
          <c:symbol val="circle"/>
          <c:size val="5"/>
          <c:spPr>
            <a:solidFill>
              <a:schemeClr val="accent2"/>
            </a:solidFill>
            <a:ln w="9525">
              <a:solidFill>
                <a:schemeClr val="accent2"/>
              </a:solidFill>
            </a:ln>
            <a:effectLst/>
          </c:spPr>
        </c:marker>
      </c:pivotFmt>
      <c:pivotFmt>
        <c:idx val="42"/>
        <c:spPr>
          <a:solidFill>
            <a:schemeClr val="accent1"/>
          </a:solidFill>
          <a:ln w="28575" cap="rnd">
            <a:solidFill>
              <a:schemeClr val="accent1"/>
            </a:solidFill>
            <a:round/>
          </a:ln>
          <a:effectLst/>
        </c:spPr>
        <c:marker>
          <c:symbol val="circle"/>
          <c:size val="5"/>
          <c:spPr>
            <a:solidFill>
              <a:schemeClr val="accent3"/>
            </a:solidFill>
            <a:ln w="9525">
              <a:solidFill>
                <a:schemeClr val="accent3"/>
              </a:solidFill>
            </a:ln>
            <a:effectLst/>
          </c:spPr>
        </c:marker>
      </c:pivotFmt>
      <c:pivotFmt>
        <c:idx val="43"/>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44"/>
        <c:spPr>
          <a:solidFill>
            <a:schemeClr val="accent1"/>
          </a:solidFill>
          <a:ln w="28575" cap="rnd">
            <a:solidFill>
              <a:schemeClr val="accent1"/>
            </a:solidFill>
            <a:round/>
          </a:ln>
          <a:effectLst/>
        </c:spPr>
        <c:marker>
          <c:symbol val="circle"/>
          <c:size val="5"/>
          <c:spPr>
            <a:solidFill>
              <a:schemeClr val="accent2"/>
            </a:solidFill>
            <a:ln w="9525">
              <a:solidFill>
                <a:schemeClr val="accent2"/>
              </a:solidFill>
            </a:ln>
            <a:effectLst/>
          </c:spPr>
        </c:marker>
      </c:pivotFmt>
      <c:pivotFmt>
        <c:idx val="45"/>
        <c:spPr>
          <a:solidFill>
            <a:schemeClr val="accent1"/>
          </a:solidFill>
          <a:ln w="28575" cap="rnd">
            <a:solidFill>
              <a:schemeClr val="accent1"/>
            </a:solidFill>
            <a:round/>
          </a:ln>
          <a:effectLst/>
        </c:spPr>
        <c:marker>
          <c:symbol val="circle"/>
          <c:size val="5"/>
          <c:spPr>
            <a:solidFill>
              <a:schemeClr val="accent3"/>
            </a:solidFill>
            <a:ln w="9525">
              <a:solidFill>
                <a:schemeClr val="accent3"/>
              </a:solidFill>
            </a:ln>
            <a:effectLst/>
          </c:spPr>
        </c:marker>
      </c:pivotFmt>
      <c:pivotFmt>
        <c:idx val="46"/>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47"/>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48"/>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49"/>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50"/>
        <c:spPr>
          <a:solidFill>
            <a:schemeClr val="accent1"/>
          </a:solidFill>
          <a:ln w="28575" cap="rnd">
            <a:solidFill>
              <a:schemeClr val="accent1"/>
            </a:solidFill>
            <a:round/>
          </a:ln>
          <a:effectLst/>
        </c:spPr>
        <c:marker>
          <c:symbol val="circle"/>
          <c:size val="5"/>
          <c:spPr>
            <a:solidFill>
              <a:schemeClr val="accent2"/>
            </a:solidFill>
            <a:ln w="9525">
              <a:solidFill>
                <a:schemeClr val="accent2"/>
              </a:solidFill>
            </a:ln>
            <a:effectLst/>
          </c:spPr>
        </c:marker>
      </c:pivotFmt>
      <c:pivotFmt>
        <c:idx val="51"/>
        <c:spPr>
          <a:solidFill>
            <a:schemeClr val="accent1"/>
          </a:solidFill>
          <a:ln w="28575" cap="rnd">
            <a:solidFill>
              <a:schemeClr val="accent1"/>
            </a:solidFill>
            <a:round/>
          </a:ln>
          <a:effectLst/>
        </c:spPr>
        <c:marker>
          <c:symbol val="circle"/>
          <c:size val="5"/>
          <c:spPr>
            <a:solidFill>
              <a:schemeClr val="accent3"/>
            </a:solidFill>
            <a:ln w="9525">
              <a:solidFill>
                <a:schemeClr val="accent3"/>
              </a:solidFill>
            </a:ln>
            <a:effectLst/>
          </c:spPr>
        </c:marker>
      </c:pivotFmt>
      <c:pivotFmt>
        <c:idx val="52"/>
        <c:spPr>
          <a:solidFill>
            <a:schemeClr val="accent1"/>
          </a:solidFill>
          <a:ln w="28575" cap="rnd">
            <a:solidFill>
              <a:schemeClr val="accent1"/>
            </a:solidFill>
            <a:round/>
          </a:ln>
          <a:effectLst/>
        </c:spPr>
        <c:marker>
          <c:symbol val="circle"/>
          <c:size val="5"/>
          <c:spPr>
            <a:solidFill>
              <a:schemeClr val="accent4"/>
            </a:solidFill>
            <a:ln w="9525">
              <a:solidFill>
                <a:schemeClr val="accent4"/>
              </a:solidFill>
            </a:ln>
            <a:effectLst/>
          </c:spPr>
        </c:marker>
      </c:pivotFmt>
      <c:pivotFmt>
        <c:idx val="53"/>
        <c:spPr>
          <a:solidFill>
            <a:schemeClr val="accent1"/>
          </a:solidFill>
          <a:ln w="28575" cap="rnd">
            <a:solidFill>
              <a:schemeClr val="accent1"/>
            </a:solidFill>
            <a:round/>
          </a:ln>
          <a:effectLst/>
        </c:spPr>
        <c:marker>
          <c:symbol val="circle"/>
          <c:size val="5"/>
          <c:spPr>
            <a:solidFill>
              <a:schemeClr val="accent5"/>
            </a:solidFill>
            <a:ln w="9525">
              <a:solidFill>
                <a:schemeClr val="accent5"/>
              </a:solidFill>
            </a:ln>
            <a:effectLst/>
          </c:spPr>
        </c:marker>
      </c:pivotFmt>
      <c:pivotFmt>
        <c:idx val="54"/>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55"/>
        <c:spPr>
          <a:solidFill>
            <a:schemeClr val="accent1"/>
          </a:solidFill>
          <a:ln w="28575" cap="rnd">
            <a:solidFill>
              <a:schemeClr val="accent1"/>
            </a:solidFill>
            <a:round/>
          </a:ln>
          <a:effectLst/>
        </c:spPr>
        <c:marker>
          <c:symbol val="circle"/>
          <c:size val="5"/>
          <c:spPr>
            <a:solidFill>
              <a:schemeClr val="accent2"/>
            </a:solidFill>
            <a:ln w="9525">
              <a:solidFill>
                <a:schemeClr val="accent2"/>
              </a:solidFill>
            </a:ln>
            <a:effectLst/>
          </c:spPr>
        </c:marker>
      </c:pivotFmt>
      <c:pivotFmt>
        <c:idx val="56"/>
        <c:spPr>
          <a:solidFill>
            <a:schemeClr val="accent1"/>
          </a:solidFill>
          <a:ln w="28575" cap="rnd">
            <a:solidFill>
              <a:schemeClr val="accent1"/>
            </a:solidFill>
            <a:round/>
          </a:ln>
          <a:effectLst/>
        </c:spPr>
        <c:marker>
          <c:symbol val="circle"/>
          <c:size val="5"/>
          <c:spPr>
            <a:solidFill>
              <a:schemeClr val="accent3"/>
            </a:solidFill>
            <a:ln w="9525">
              <a:solidFill>
                <a:schemeClr val="accent3"/>
              </a:solidFill>
            </a:ln>
            <a:effectLst/>
          </c:spPr>
        </c:marker>
      </c:pivotFmt>
      <c:pivotFmt>
        <c:idx val="57"/>
        <c:spPr>
          <a:solidFill>
            <a:schemeClr val="accent1"/>
          </a:solidFill>
          <a:ln w="28575" cap="rnd">
            <a:solidFill>
              <a:schemeClr val="accent1"/>
            </a:solidFill>
            <a:round/>
          </a:ln>
          <a:effectLst/>
        </c:spPr>
        <c:marker>
          <c:symbol val="circle"/>
          <c:size val="5"/>
          <c:spPr>
            <a:solidFill>
              <a:schemeClr val="accent4"/>
            </a:solidFill>
            <a:ln w="9525">
              <a:solidFill>
                <a:schemeClr val="accent4"/>
              </a:solidFill>
            </a:ln>
            <a:effectLst/>
          </c:spPr>
        </c:marker>
      </c:pivotFmt>
      <c:pivotFmt>
        <c:idx val="58"/>
        <c:spPr>
          <a:solidFill>
            <a:schemeClr val="accent1"/>
          </a:solidFill>
          <a:ln w="28575" cap="rnd">
            <a:solidFill>
              <a:schemeClr val="accent1"/>
            </a:solidFill>
            <a:round/>
          </a:ln>
          <a:effectLst/>
        </c:spPr>
        <c:marker>
          <c:symbol val="circle"/>
          <c:size val="5"/>
          <c:spPr>
            <a:solidFill>
              <a:schemeClr val="accent5"/>
            </a:solidFill>
            <a:ln w="9525">
              <a:solidFill>
                <a:schemeClr val="accent5"/>
              </a:solidFill>
            </a:ln>
            <a:effectLst/>
          </c:spPr>
        </c:marker>
      </c:pivotFmt>
    </c:pivotFmts>
    <c:plotArea>
      <c:layout>
        <c:manualLayout>
          <c:layoutTarget val="inner"/>
          <c:xMode val="edge"/>
          <c:yMode val="edge"/>
          <c:x val="0.1001460169717258"/>
          <c:y val="5.8035302152194969E-2"/>
          <c:w val="0.69995929809879043"/>
          <c:h val="0.73525815272405315"/>
        </c:manualLayout>
      </c:layout>
      <c:lineChart>
        <c:grouping val="standard"/>
        <c:varyColors val="0"/>
        <c:ser>
          <c:idx val="0"/>
          <c:order val="0"/>
          <c:tx>
            <c:strRef>
              <c:f>'Sheet1 (9)'!$B$4:$B$6</c:f>
              <c:strCache>
                <c:ptCount val="1"/>
                <c:pt idx="0">
                  <c:v>NIVOLUMAB - Maintenance treatment</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 (9)'!$A$7:$A$35</c:f>
              <c:strCache>
                <c:ptCount val="28"/>
                <c:pt idx="0">
                  <c:v>201903</c:v>
                </c:pt>
                <c:pt idx="1">
                  <c:v>201904</c:v>
                </c:pt>
                <c:pt idx="2">
                  <c:v>201905</c:v>
                </c:pt>
                <c:pt idx="3">
                  <c:v>201906</c:v>
                </c:pt>
                <c:pt idx="4">
                  <c:v>201907</c:v>
                </c:pt>
                <c:pt idx="5">
                  <c:v>201908</c:v>
                </c:pt>
                <c:pt idx="6">
                  <c:v>201909</c:v>
                </c:pt>
                <c:pt idx="7">
                  <c:v>201910</c:v>
                </c:pt>
                <c:pt idx="8">
                  <c:v>201911</c:v>
                </c:pt>
                <c:pt idx="9">
                  <c:v>201912</c:v>
                </c:pt>
                <c:pt idx="10">
                  <c:v>202001</c:v>
                </c:pt>
                <c:pt idx="11">
                  <c:v>202002</c:v>
                </c:pt>
                <c:pt idx="12">
                  <c:v>202003</c:v>
                </c:pt>
                <c:pt idx="13">
                  <c:v>202004</c:v>
                </c:pt>
                <c:pt idx="14">
                  <c:v>202005</c:v>
                </c:pt>
                <c:pt idx="15">
                  <c:v>202006</c:v>
                </c:pt>
                <c:pt idx="16">
                  <c:v>202007</c:v>
                </c:pt>
                <c:pt idx="17">
                  <c:v>202008</c:v>
                </c:pt>
                <c:pt idx="18">
                  <c:v>202009</c:v>
                </c:pt>
                <c:pt idx="19">
                  <c:v>202010</c:v>
                </c:pt>
                <c:pt idx="20">
                  <c:v>202011</c:v>
                </c:pt>
                <c:pt idx="21">
                  <c:v>202012</c:v>
                </c:pt>
                <c:pt idx="22">
                  <c:v>202101</c:v>
                </c:pt>
                <c:pt idx="23">
                  <c:v>202102</c:v>
                </c:pt>
                <c:pt idx="24">
                  <c:v>202103</c:v>
                </c:pt>
                <c:pt idx="25">
                  <c:v>202104</c:v>
                </c:pt>
                <c:pt idx="26">
                  <c:v>202105</c:v>
                </c:pt>
                <c:pt idx="27">
                  <c:v>202106</c:v>
                </c:pt>
              </c:strCache>
            </c:strRef>
          </c:cat>
          <c:val>
            <c:numRef>
              <c:f>'Sheet1 (9)'!$B$7:$B$35</c:f>
              <c:numCache>
                <c:formatCode>General</c:formatCode>
                <c:ptCount val="28"/>
                <c:pt idx="0">
                  <c:v>9</c:v>
                </c:pt>
                <c:pt idx="1">
                  <c:v>21</c:v>
                </c:pt>
                <c:pt idx="2">
                  <c:v>44</c:v>
                </c:pt>
                <c:pt idx="3">
                  <c:v>69</c:v>
                </c:pt>
                <c:pt idx="4">
                  <c:v>87</c:v>
                </c:pt>
                <c:pt idx="5">
                  <c:v>120</c:v>
                </c:pt>
                <c:pt idx="6">
                  <c:v>98</c:v>
                </c:pt>
                <c:pt idx="7">
                  <c:v>140</c:v>
                </c:pt>
                <c:pt idx="8">
                  <c:v>141</c:v>
                </c:pt>
                <c:pt idx="9">
                  <c:v>174</c:v>
                </c:pt>
                <c:pt idx="10">
                  <c:v>197</c:v>
                </c:pt>
                <c:pt idx="11">
                  <c:v>177</c:v>
                </c:pt>
                <c:pt idx="12">
                  <c:v>193</c:v>
                </c:pt>
                <c:pt idx="13">
                  <c:v>180</c:v>
                </c:pt>
                <c:pt idx="14">
                  <c:v>167</c:v>
                </c:pt>
                <c:pt idx="15">
                  <c:v>157</c:v>
                </c:pt>
                <c:pt idx="16">
                  <c:v>177</c:v>
                </c:pt>
                <c:pt idx="17">
                  <c:v>170</c:v>
                </c:pt>
                <c:pt idx="18">
                  <c:v>161</c:v>
                </c:pt>
                <c:pt idx="19">
                  <c:v>171</c:v>
                </c:pt>
                <c:pt idx="20">
                  <c:v>164</c:v>
                </c:pt>
                <c:pt idx="21">
                  <c:v>192</c:v>
                </c:pt>
                <c:pt idx="22">
                  <c:v>174</c:v>
                </c:pt>
                <c:pt idx="23">
                  <c:v>177</c:v>
                </c:pt>
                <c:pt idx="24">
                  <c:v>197</c:v>
                </c:pt>
                <c:pt idx="25">
                  <c:v>180</c:v>
                </c:pt>
                <c:pt idx="26">
                  <c:v>169</c:v>
                </c:pt>
                <c:pt idx="27">
                  <c:v>188</c:v>
                </c:pt>
              </c:numCache>
            </c:numRef>
          </c:val>
          <c:smooth val="0"/>
          <c:extLst>
            <c:ext xmlns:c16="http://schemas.microsoft.com/office/drawing/2014/chart" uri="{C3380CC4-5D6E-409C-BE32-E72D297353CC}">
              <c16:uniqueId val="{00000000-060D-431B-9471-3745DB96E800}"/>
            </c:ext>
          </c:extLst>
        </c:ser>
        <c:ser>
          <c:idx val="1"/>
          <c:order val="1"/>
          <c:tx>
            <c:strRef>
              <c:f>'Sheet1 (9)'!$C$4:$C$6</c:f>
              <c:strCache>
                <c:ptCount val="1"/>
                <c:pt idx="0">
                  <c:v>NIVOLUMAB - Induction treatment</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 (9)'!$A$7:$A$35</c:f>
              <c:strCache>
                <c:ptCount val="28"/>
                <c:pt idx="0">
                  <c:v>201903</c:v>
                </c:pt>
                <c:pt idx="1">
                  <c:v>201904</c:v>
                </c:pt>
                <c:pt idx="2">
                  <c:v>201905</c:v>
                </c:pt>
                <c:pt idx="3">
                  <c:v>201906</c:v>
                </c:pt>
                <c:pt idx="4">
                  <c:v>201907</c:v>
                </c:pt>
                <c:pt idx="5">
                  <c:v>201908</c:v>
                </c:pt>
                <c:pt idx="6">
                  <c:v>201909</c:v>
                </c:pt>
                <c:pt idx="7">
                  <c:v>201910</c:v>
                </c:pt>
                <c:pt idx="8">
                  <c:v>201911</c:v>
                </c:pt>
                <c:pt idx="9">
                  <c:v>201912</c:v>
                </c:pt>
                <c:pt idx="10">
                  <c:v>202001</c:v>
                </c:pt>
                <c:pt idx="11">
                  <c:v>202002</c:v>
                </c:pt>
                <c:pt idx="12">
                  <c:v>202003</c:v>
                </c:pt>
                <c:pt idx="13">
                  <c:v>202004</c:v>
                </c:pt>
                <c:pt idx="14">
                  <c:v>202005</c:v>
                </c:pt>
                <c:pt idx="15">
                  <c:v>202006</c:v>
                </c:pt>
                <c:pt idx="16">
                  <c:v>202007</c:v>
                </c:pt>
                <c:pt idx="17">
                  <c:v>202008</c:v>
                </c:pt>
                <c:pt idx="18">
                  <c:v>202009</c:v>
                </c:pt>
                <c:pt idx="19">
                  <c:v>202010</c:v>
                </c:pt>
                <c:pt idx="20">
                  <c:v>202011</c:v>
                </c:pt>
                <c:pt idx="21">
                  <c:v>202012</c:v>
                </c:pt>
                <c:pt idx="22">
                  <c:v>202101</c:v>
                </c:pt>
                <c:pt idx="23">
                  <c:v>202102</c:v>
                </c:pt>
                <c:pt idx="24">
                  <c:v>202103</c:v>
                </c:pt>
                <c:pt idx="25">
                  <c:v>202104</c:v>
                </c:pt>
                <c:pt idx="26">
                  <c:v>202105</c:v>
                </c:pt>
                <c:pt idx="27">
                  <c:v>202106</c:v>
                </c:pt>
              </c:strCache>
            </c:strRef>
          </c:cat>
          <c:val>
            <c:numRef>
              <c:f>'Sheet1 (9)'!$C$7:$C$35</c:f>
              <c:numCache>
                <c:formatCode>General</c:formatCode>
                <c:ptCount val="28"/>
                <c:pt idx="0">
                  <c:v>45</c:v>
                </c:pt>
                <c:pt idx="1">
                  <c:v>69</c:v>
                </c:pt>
                <c:pt idx="2">
                  <c:v>89</c:v>
                </c:pt>
                <c:pt idx="3">
                  <c:v>96</c:v>
                </c:pt>
                <c:pt idx="4">
                  <c:v>139</c:v>
                </c:pt>
                <c:pt idx="5">
                  <c:v>115</c:v>
                </c:pt>
                <c:pt idx="6">
                  <c:v>143</c:v>
                </c:pt>
                <c:pt idx="7">
                  <c:v>117</c:v>
                </c:pt>
                <c:pt idx="8">
                  <c:v>107</c:v>
                </c:pt>
                <c:pt idx="9">
                  <c:v>92</c:v>
                </c:pt>
                <c:pt idx="10">
                  <c:v>93</c:v>
                </c:pt>
                <c:pt idx="11">
                  <c:v>91</c:v>
                </c:pt>
                <c:pt idx="12">
                  <c:v>93</c:v>
                </c:pt>
                <c:pt idx="13">
                  <c:v>86</c:v>
                </c:pt>
                <c:pt idx="14">
                  <c:v>78</c:v>
                </c:pt>
                <c:pt idx="15">
                  <c:v>93</c:v>
                </c:pt>
                <c:pt idx="16">
                  <c:v>114</c:v>
                </c:pt>
                <c:pt idx="17">
                  <c:v>109</c:v>
                </c:pt>
                <c:pt idx="18">
                  <c:v>113</c:v>
                </c:pt>
                <c:pt idx="19">
                  <c:v>88</c:v>
                </c:pt>
                <c:pt idx="20">
                  <c:v>103</c:v>
                </c:pt>
                <c:pt idx="21">
                  <c:v>119</c:v>
                </c:pt>
                <c:pt idx="22">
                  <c:v>98</c:v>
                </c:pt>
                <c:pt idx="23">
                  <c:v>83</c:v>
                </c:pt>
                <c:pt idx="24">
                  <c:v>107</c:v>
                </c:pt>
                <c:pt idx="25">
                  <c:v>104</c:v>
                </c:pt>
                <c:pt idx="26">
                  <c:v>93</c:v>
                </c:pt>
                <c:pt idx="27">
                  <c:v>100</c:v>
                </c:pt>
              </c:numCache>
            </c:numRef>
          </c:val>
          <c:smooth val="0"/>
          <c:extLst>
            <c:ext xmlns:c16="http://schemas.microsoft.com/office/drawing/2014/chart" uri="{C3380CC4-5D6E-409C-BE32-E72D297353CC}">
              <c16:uniqueId val="{00000001-060D-431B-9471-3745DB96E800}"/>
            </c:ext>
          </c:extLst>
        </c:ser>
        <c:ser>
          <c:idx val="2"/>
          <c:order val="2"/>
          <c:tx>
            <c:strRef>
              <c:f>'Sheet1 (9)'!$D$4:$D$6</c:f>
              <c:strCache>
                <c:ptCount val="1"/>
                <c:pt idx="0">
                  <c:v>NIVOLUMAB - Grandfather patients</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'Sheet1 (9)'!$A$7:$A$35</c:f>
              <c:strCache>
                <c:ptCount val="28"/>
                <c:pt idx="0">
                  <c:v>201903</c:v>
                </c:pt>
                <c:pt idx="1">
                  <c:v>201904</c:v>
                </c:pt>
                <c:pt idx="2">
                  <c:v>201905</c:v>
                </c:pt>
                <c:pt idx="3">
                  <c:v>201906</c:v>
                </c:pt>
                <c:pt idx="4">
                  <c:v>201907</c:v>
                </c:pt>
                <c:pt idx="5">
                  <c:v>201908</c:v>
                </c:pt>
                <c:pt idx="6">
                  <c:v>201909</c:v>
                </c:pt>
                <c:pt idx="7">
                  <c:v>201910</c:v>
                </c:pt>
                <c:pt idx="8">
                  <c:v>201911</c:v>
                </c:pt>
                <c:pt idx="9">
                  <c:v>201912</c:v>
                </c:pt>
                <c:pt idx="10">
                  <c:v>202001</c:v>
                </c:pt>
                <c:pt idx="11">
                  <c:v>202002</c:v>
                </c:pt>
                <c:pt idx="12">
                  <c:v>202003</c:v>
                </c:pt>
                <c:pt idx="13">
                  <c:v>202004</c:v>
                </c:pt>
                <c:pt idx="14">
                  <c:v>202005</c:v>
                </c:pt>
                <c:pt idx="15">
                  <c:v>202006</c:v>
                </c:pt>
                <c:pt idx="16">
                  <c:v>202007</c:v>
                </c:pt>
                <c:pt idx="17">
                  <c:v>202008</c:v>
                </c:pt>
                <c:pt idx="18">
                  <c:v>202009</c:v>
                </c:pt>
                <c:pt idx="19">
                  <c:v>202010</c:v>
                </c:pt>
                <c:pt idx="20">
                  <c:v>202011</c:v>
                </c:pt>
                <c:pt idx="21">
                  <c:v>202012</c:v>
                </c:pt>
                <c:pt idx="22">
                  <c:v>202101</c:v>
                </c:pt>
                <c:pt idx="23">
                  <c:v>202102</c:v>
                </c:pt>
                <c:pt idx="24">
                  <c:v>202103</c:v>
                </c:pt>
                <c:pt idx="25">
                  <c:v>202104</c:v>
                </c:pt>
                <c:pt idx="26">
                  <c:v>202105</c:v>
                </c:pt>
                <c:pt idx="27">
                  <c:v>202106</c:v>
                </c:pt>
              </c:strCache>
            </c:strRef>
          </c:cat>
          <c:val>
            <c:numRef>
              <c:f>'Sheet1 (9)'!$D$7:$D$35</c:f>
              <c:numCache>
                <c:formatCode>General</c:formatCode>
                <c:ptCount val="28"/>
                <c:pt idx="0">
                  <c:v>15</c:v>
                </c:pt>
                <c:pt idx="1">
                  <c:v>18</c:v>
                </c:pt>
                <c:pt idx="2">
                  <c:v>18</c:v>
                </c:pt>
                <c:pt idx="3">
                  <c:v>14</c:v>
                </c:pt>
                <c:pt idx="4">
                  <c:v>21</c:v>
                </c:pt>
                <c:pt idx="5">
                  <c:v>12</c:v>
                </c:pt>
                <c:pt idx="6">
                  <c:v>5</c:v>
                </c:pt>
                <c:pt idx="7">
                  <c:v>10</c:v>
                </c:pt>
                <c:pt idx="8">
                  <c:v>5</c:v>
                </c:pt>
                <c:pt idx="9">
                  <c:v>9</c:v>
                </c:pt>
                <c:pt idx="10">
                  <c:v>3</c:v>
                </c:pt>
                <c:pt idx="11">
                  <c:v>3</c:v>
                </c:pt>
                <c:pt idx="12">
                  <c:v>4</c:v>
                </c:pt>
                <c:pt idx="13">
                  <c:v>1</c:v>
                </c:pt>
                <c:pt idx="14">
                  <c:v>5</c:v>
                </c:pt>
                <c:pt idx="15">
                  <c:v>6</c:v>
                </c:pt>
                <c:pt idx="16">
                  <c:v>2</c:v>
                </c:pt>
              </c:numCache>
            </c:numRef>
          </c:val>
          <c:smooth val="0"/>
          <c:extLst>
            <c:ext xmlns:c16="http://schemas.microsoft.com/office/drawing/2014/chart" uri="{C3380CC4-5D6E-409C-BE32-E72D297353CC}">
              <c16:uniqueId val="{00000002-060D-431B-9471-3745DB96E800}"/>
            </c:ext>
          </c:extLst>
        </c:ser>
        <c:ser>
          <c:idx val="3"/>
          <c:order val="3"/>
          <c:tx>
            <c:strRef>
              <c:f>'Sheet1 (9)'!$E$4:$E$6</c:f>
              <c:strCache>
                <c:ptCount val="1"/>
                <c:pt idx="0">
                  <c:v>IPILIMUMAB - Induction treatment</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'Sheet1 (9)'!$A$7:$A$35</c:f>
              <c:strCache>
                <c:ptCount val="28"/>
                <c:pt idx="0">
                  <c:v>201903</c:v>
                </c:pt>
                <c:pt idx="1">
                  <c:v>201904</c:v>
                </c:pt>
                <c:pt idx="2">
                  <c:v>201905</c:v>
                </c:pt>
                <c:pt idx="3">
                  <c:v>201906</c:v>
                </c:pt>
                <c:pt idx="4">
                  <c:v>201907</c:v>
                </c:pt>
                <c:pt idx="5">
                  <c:v>201908</c:v>
                </c:pt>
                <c:pt idx="6">
                  <c:v>201909</c:v>
                </c:pt>
                <c:pt idx="7">
                  <c:v>201910</c:v>
                </c:pt>
                <c:pt idx="8">
                  <c:v>201911</c:v>
                </c:pt>
                <c:pt idx="9">
                  <c:v>201912</c:v>
                </c:pt>
                <c:pt idx="10">
                  <c:v>202001</c:v>
                </c:pt>
                <c:pt idx="11">
                  <c:v>202002</c:v>
                </c:pt>
                <c:pt idx="12">
                  <c:v>202003</c:v>
                </c:pt>
                <c:pt idx="13">
                  <c:v>202004</c:v>
                </c:pt>
                <c:pt idx="14">
                  <c:v>202005</c:v>
                </c:pt>
                <c:pt idx="15">
                  <c:v>202006</c:v>
                </c:pt>
                <c:pt idx="16">
                  <c:v>202007</c:v>
                </c:pt>
                <c:pt idx="17">
                  <c:v>202008</c:v>
                </c:pt>
                <c:pt idx="18">
                  <c:v>202009</c:v>
                </c:pt>
                <c:pt idx="19">
                  <c:v>202010</c:v>
                </c:pt>
                <c:pt idx="20">
                  <c:v>202011</c:v>
                </c:pt>
                <c:pt idx="21">
                  <c:v>202012</c:v>
                </c:pt>
                <c:pt idx="22">
                  <c:v>202101</c:v>
                </c:pt>
                <c:pt idx="23">
                  <c:v>202102</c:v>
                </c:pt>
                <c:pt idx="24">
                  <c:v>202103</c:v>
                </c:pt>
                <c:pt idx="25">
                  <c:v>202104</c:v>
                </c:pt>
                <c:pt idx="26">
                  <c:v>202105</c:v>
                </c:pt>
                <c:pt idx="27">
                  <c:v>202106</c:v>
                </c:pt>
              </c:strCache>
            </c:strRef>
          </c:cat>
          <c:val>
            <c:numRef>
              <c:f>'Sheet1 (9)'!$E$7:$E$35</c:f>
              <c:numCache>
                <c:formatCode>General</c:formatCode>
                <c:ptCount val="28"/>
                <c:pt idx="0">
                  <c:v>43</c:v>
                </c:pt>
                <c:pt idx="1">
                  <c:v>72</c:v>
                </c:pt>
                <c:pt idx="2">
                  <c:v>101</c:v>
                </c:pt>
                <c:pt idx="3">
                  <c:v>97</c:v>
                </c:pt>
                <c:pt idx="4">
                  <c:v>129</c:v>
                </c:pt>
                <c:pt idx="5">
                  <c:v>105</c:v>
                </c:pt>
                <c:pt idx="6">
                  <c:v>121</c:v>
                </c:pt>
                <c:pt idx="7">
                  <c:v>106</c:v>
                </c:pt>
                <c:pt idx="8">
                  <c:v>92</c:v>
                </c:pt>
                <c:pt idx="9">
                  <c:v>102</c:v>
                </c:pt>
                <c:pt idx="10">
                  <c:v>112</c:v>
                </c:pt>
                <c:pt idx="11">
                  <c:v>101</c:v>
                </c:pt>
                <c:pt idx="12">
                  <c:v>86</c:v>
                </c:pt>
                <c:pt idx="13">
                  <c:v>88</c:v>
                </c:pt>
                <c:pt idx="14">
                  <c:v>78</c:v>
                </c:pt>
                <c:pt idx="15">
                  <c:v>95</c:v>
                </c:pt>
                <c:pt idx="16">
                  <c:v>111</c:v>
                </c:pt>
                <c:pt idx="17">
                  <c:v>106</c:v>
                </c:pt>
                <c:pt idx="18">
                  <c:v>114</c:v>
                </c:pt>
                <c:pt idx="19">
                  <c:v>104</c:v>
                </c:pt>
                <c:pt idx="20">
                  <c:v>108</c:v>
                </c:pt>
                <c:pt idx="21">
                  <c:v>120</c:v>
                </c:pt>
                <c:pt idx="22">
                  <c:v>105</c:v>
                </c:pt>
                <c:pt idx="23">
                  <c:v>90</c:v>
                </c:pt>
                <c:pt idx="24">
                  <c:v>114</c:v>
                </c:pt>
                <c:pt idx="25">
                  <c:v>116</c:v>
                </c:pt>
                <c:pt idx="26">
                  <c:v>111</c:v>
                </c:pt>
                <c:pt idx="27">
                  <c:v>127</c:v>
                </c:pt>
              </c:numCache>
            </c:numRef>
          </c:val>
          <c:smooth val="0"/>
          <c:extLst>
            <c:ext xmlns:c16="http://schemas.microsoft.com/office/drawing/2014/chart" uri="{C3380CC4-5D6E-409C-BE32-E72D297353CC}">
              <c16:uniqueId val="{00000003-060D-431B-9471-3745DB96E800}"/>
            </c:ext>
          </c:extLst>
        </c:ser>
        <c:ser>
          <c:idx val="4"/>
          <c:order val="4"/>
          <c:tx>
            <c:strRef>
              <c:f>'Sheet1 (9)'!$F$4:$F$6</c:f>
              <c:strCache>
                <c:ptCount val="1"/>
                <c:pt idx="0">
                  <c:v>IPILIMUMAB - Induction treatment - Grandfather patients</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'Sheet1 (9)'!$A$7:$A$35</c:f>
              <c:strCache>
                <c:ptCount val="28"/>
                <c:pt idx="0">
                  <c:v>201903</c:v>
                </c:pt>
                <c:pt idx="1">
                  <c:v>201904</c:v>
                </c:pt>
                <c:pt idx="2">
                  <c:v>201905</c:v>
                </c:pt>
                <c:pt idx="3">
                  <c:v>201906</c:v>
                </c:pt>
                <c:pt idx="4">
                  <c:v>201907</c:v>
                </c:pt>
                <c:pt idx="5">
                  <c:v>201908</c:v>
                </c:pt>
                <c:pt idx="6">
                  <c:v>201909</c:v>
                </c:pt>
                <c:pt idx="7">
                  <c:v>201910</c:v>
                </c:pt>
                <c:pt idx="8">
                  <c:v>201911</c:v>
                </c:pt>
                <c:pt idx="9">
                  <c:v>201912</c:v>
                </c:pt>
                <c:pt idx="10">
                  <c:v>202001</c:v>
                </c:pt>
                <c:pt idx="11">
                  <c:v>202002</c:v>
                </c:pt>
                <c:pt idx="12">
                  <c:v>202003</c:v>
                </c:pt>
                <c:pt idx="13">
                  <c:v>202004</c:v>
                </c:pt>
                <c:pt idx="14">
                  <c:v>202005</c:v>
                </c:pt>
                <c:pt idx="15">
                  <c:v>202006</c:v>
                </c:pt>
                <c:pt idx="16">
                  <c:v>202007</c:v>
                </c:pt>
                <c:pt idx="17">
                  <c:v>202008</c:v>
                </c:pt>
                <c:pt idx="18">
                  <c:v>202009</c:v>
                </c:pt>
                <c:pt idx="19">
                  <c:v>202010</c:v>
                </c:pt>
                <c:pt idx="20">
                  <c:v>202011</c:v>
                </c:pt>
                <c:pt idx="21">
                  <c:v>202012</c:v>
                </c:pt>
                <c:pt idx="22">
                  <c:v>202101</c:v>
                </c:pt>
                <c:pt idx="23">
                  <c:v>202102</c:v>
                </c:pt>
                <c:pt idx="24">
                  <c:v>202103</c:v>
                </c:pt>
                <c:pt idx="25">
                  <c:v>202104</c:v>
                </c:pt>
                <c:pt idx="26">
                  <c:v>202105</c:v>
                </c:pt>
                <c:pt idx="27">
                  <c:v>202106</c:v>
                </c:pt>
              </c:strCache>
            </c:strRef>
          </c:cat>
          <c:val>
            <c:numRef>
              <c:f>'Sheet1 (9)'!$F$7:$F$35</c:f>
              <c:numCache>
                <c:formatCode>General</c:formatCode>
                <c:ptCount val="28"/>
                <c:pt idx="0">
                  <c:v>14</c:v>
                </c:pt>
                <c:pt idx="1">
                  <c:v>12</c:v>
                </c:pt>
                <c:pt idx="2">
                  <c:v>4</c:v>
                </c:pt>
                <c:pt idx="3">
                  <c:v>2</c:v>
                </c:pt>
                <c:pt idx="4">
                  <c:v>3</c:v>
                </c:pt>
                <c:pt idx="5">
                  <c:v>3</c:v>
                </c:pt>
                <c:pt idx="6">
                  <c:v>4</c:v>
                </c:pt>
                <c:pt idx="7">
                  <c:v>5</c:v>
                </c:pt>
                <c:pt idx="8">
                  <c:v>6</c:v>
                </c:pt>
                <c:pt idx="9">
                  <c:v>3</c:v>
                </c:pt>
                <c:pt idx="10">
                  <c:v>2</c:v>
                </c:pt>
                <c:pt idx="12">
                  <c:v>2</c:v>
                </c:pt>
                <c:pt idx="14">
                  <c:v>1</c:v>
                </c:pt>
                <c:pt idx="15">
                  <c:v>4</c:v>
                </c:pt>
                <c:pt idx="16">
                  <c:v>2</c:v>
                </c:pt>
                <c:pt idx="17">
                  <c:v>4</c:v>
                </c:pt>
                <c:pt idx="18">
                  <c:v>2</c:v>
                </c:pt>
              </c:numCache>
            </c:numRef>
          </c:val>
          <c:smooth val="0"/>
          <c:extLst>
            <c:ext xmlns:c16="http://schemas.microsoft.com/office/drawing/2014/chart" uri="{C3380CC4-5D6E-409C-BE32-E72D297353CC}">
              <c16:uniqueId val="{00000004-060D-431B-9471-3745DB96E800}"/>
            </c:ext>
          </c:extLst>
        </c:ser>
        <c:dLbls>
          <c:showLegendKey val="0"/>
          <c:showVal val="0"/>
          <c:showCatName val="0"/>
          <c:showSerName val="0"/>
          <c:showPercent val="0"/>
          <c:showBubbleSize val="0"/>
        </c:dLbls>
        <c:marker val="1"/>
        <c:smooth val="0"/>
        <c:axId val="830822592"/>
        <c:axId val="830818328"/>
      </c:lineChart>
      <c:catAx>
        <c:axId val="83082259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sz="1000"/>
                  <a:t>Month of Supply</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0818328"/>
        <c:crosses val="autoZero"/>
        <c:auto val="1"/>
        <c:lblAlgn val="ctr"/>
        <c:lblOffset val="100"/>
        <c:noMultiLvlLbl val="0"/>
      </c:catAx>
      <c:valAx>
        <c:axId val="830818328"/>
        <c:scaling>
          <c:orientation val="minMax"/>
          <c:max val="2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Prescriptions</a:t>
                </a:r>
              </a:p>
            </c:rich>
          </c:tx>
          <c:layout>
            <c:manualLayout>
              <c:xMode val="edge"/>
              <c:yMode val="edge"/>
              <c:x val="7.7363501383249291E-3"/>
              <c:y val="0.32234363316858278"/>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0822592"/>
        <c:crosses val="autoZero"/>
        <c:crossBetween val="between"/>
      </c:valAx>
      <c:spPr>
        <a:noFill/>
        <a:ln>
          <a:noFill/>
        </a:ln>
        <a:effectLst/>
      </c:spPr>
    </c:plotArea>
    <c:legend>
      <c:legendPos val="r"/>
      <c:layout>
        <c:manualLayout>
          <c:xMode val="edge"/>
          <c:yMode val="edge"/>
          <c:x val="0.79795412483972916"/>
          <c:y val="0.11657295409208575"/>
          <c:w val="0.18980682733502433"/>
          <c:h val="0.74437576088042134"/>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[D1326_SCRPT_SUM, all RCC items, line, fig1&amp;2, tableA1&amp;3 scripts, v2+phase.xlsx]Sheet1 (10)!PivotTable1</c:name>
    <c:fmtId val="-1"/>
  </c:pivotSource>
  <c:chart>
    <c:autoTitleDeleted val="1"/>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pivotFmt>
      <c:pivotFmt>
        <c:idx val="8"/>
        <c:spPr>
          <a:solidFill>
            <a:schemeClr val="accent1"/>
          </a:solidFill>
          <a:ln>
            <a:noFill/>
          </a:ln>
          <a:effectLst/>
        </c:spPr>
        <c:marker>
          <c:symbol val="none"/>
        </c:marker>
      </c:pivotFmt>
      <c:pivotFmt>
        <c:idx val="9"/>
        <c:spPr>
          <a:solidFill>
            <a:schemeClr val="accent1"/>
          </a:solidFill>
          <a:ln w="28575" cap="rnd">
            <a:solidFill>
              <a:schemeClr val="accent1"/>
            </a:solidFill>
            <a:round/>
          </a:ln>
          <a:effectLst/>
        </c:spPr>
        <c:marker>
          <c:symbol val="none"/>
        </c:marker>
      </c:pivotFmt>
      <c:pivotFmt>
        <c:idx val="10"/>
        <c:spPr>
          <a:solidFill>
            <a:schemeClr val="accent1"/>
          </a:solidFill>
          <a:ln w="28575" cap="rnd">
            <a:solidFill>
              <a:schemeClr val="accent1"/>
            </a:solidFill>
            <a:round/>
          </a:ln>
          <a:effectLst/>
        </c:spPr>
        <c:marker>
          <c:symbol val="none"/>
        </c:marker>
      </c:pivotFmt>
      <c:pivotFmt>
        <c:idx val="11"/>
        <c:spPr>
          <a:solidFill>
            <a:schemeClr val="accent1"/>
          </a:solidFill>
          <a:ln w="28575" cap="rnd">
            <a:solidFill>
              <a:schemeClr val="accent1"/>
            </a:solidFill>
            <a:round/>
          </a:ln>
          <a:effectLst/>
        </c:spPr>
        <c:marker>
          <c:symbol val="none"/>
        </c:marker>
      </c:pivotFmt>
      <c:pivotFmt>
        <c:idx val="12"/>
        <c:spPr>
          <a:solidFill>
            <a:schemeClr val="accent1"/>
          </a:solidFill>
          <a:ln w="28575" cap="rnd">
            <a:solidFill>
              <a:schemeClr val="accent1"/>
            </a:solidFill>
            <a:round/>
          </a:ln>
          <a:effectLst/>
        </c:spPr>
        <c:marker>
          <c:symbol val="none"/>
        </c:marker>
      </c:pivotFmt>
      <c:pivotFmt>
        <c:idx val="13"/>
        <c:spPr>
          <a:solidFill>
            <a:schemeClr val="accent1"/>
          </a:solidFill>
          <a:ln w="28575" cap="rnd">
            <a:solidFill>
              <a:schemeClr val="accent1"/>
            </a:solidFill>
            <a:round/>
          </a:ln>
          <a:effectLst/>
        </c:spPr>
        <c:marker>
          <c:symbol val="none"/>
        </c:marker>
      </c:pivotFmt>
      <c:pivotFmt>
        <c:idx val="14"/>
        <c:spPr>
          <a:solidFill>
            <a:schemeClr val="accent1"/>
          </a:solidFill>
          <a:ln w="28575" cap="rnd">
            <a:solidFill>
              <a:schemeClr val="accent1"/>
            </a:solidFill>
            <a:round/>
          </a:ln>
          <a:effectLst/>
        </c:spPr>
        <c:marker>
          <c:symbol val="none"/>
        </c:marker>
      </c:pivotFmt>
      <c:pivotFmt>
        <c:idx val="15"/>
        <c:spPr>
          <a:solidFill>
            <a:schemeClr val="accent1"/>
          </a:solidFill>
          <a:ln w="28575" cap="rnd">
            <a:solidFill>
              <a:schemeClr val="accent1"/>
            </a:solidFill>
            <a:round/>
          </a:ln>
          <a:effectLst/>
        </c:spPr>
        <c:marker>
          <c:symbol val="none"/>
        </c:marker>
      </c:pivotFmt>
      <c:pivotFmt>
        <c:idx val="16"/>
        <c:spPr>
          <a:solidFill>
            <a:schemeClr val="accent1"/>
          </a:solidFill>
          <a:ln w="28575" cap="rnd">
            <a:solidFill>
              <a:schemeClr val="accent1"/>
            </a:solidFill>
            <a:round/>
          </a:ln>
          <a:effectLst/>
        </c:spPr>
        <c:marker>
          <c:symbol val="none"/>
        </c:marker>
      </c:pivotFmt>
      <c:pivotFmt>
        <c:idx val="17"/>
        <c:spPr>
          <a:solidFill>
            <a:schemeClr val="accent1"/>
          </a:solidFill>
          <a:ln w="28575" cap="rnd">
            <a:solidFill>
              <a:schemeClr val="accent1"/>
            </a:solidFill>
            <a:round/>
          </a:ln>
          <a:effectLst/>
        </c:spPr>
        <c:marker>
          <c:symbol val="none"/>
        </c:marker>
      </c:pivotFmt>
      <c:pivotFmt>
        <c:idx val="18"/>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19"/>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0"/>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1"/>
        <c:spPr>
          <a:solidFill>
            <a:schemeClr val="accent1"/>
          </a:solidFill>
          <a:ln w="28575" cap="rnd">
            <a:solidFill>
              <a:schemeClr val="accent1"/>
            </a:solidFill>
            <a:round/>
          </a:ln>
          <a:effectLst/>
        </c:spPr>
        <c:marker>
          <c:symbol val="circle"/>
          <c:size val="5"/>
          <c:spPr>
            <a:solidFill>
              <a:schemeClr val="accent1">
                <a:lumMod val="60000"/>
              </a:schemeClr>
            </a:solidFill>
            <a:ln w="9525">
              <a:solidFill>
                <a:schemeClr val="accent1">
                  <a:lumMod val="60000"/>
                </a:schemeClr>
              </a:solidFill>
            </a:ln>
            <a:effectLst/>
          </c:spPr>
        </c:marker>
      </c:pivotFmt>
      <c:pivotFmt>
        <c:idx val="22"/>
        <c:spPr>
          <a:solidFill>
            <a:schemeClr val="accent1"/>
          </a:solidFill>
          <a:ln w="28575" cap="rnd">
            <a:solidFill>
              <a:schemeClr val="accent1"/>
            </a:solidFill>
            <a:round/>
          </a:ln>
          <a:effectLst/>
        </c:spPr>
        <c:marker>
          <c:symbol val="circle"/>
          <c:size val="5"/>
          <c:spPr>
            <a:solidFill>
              <a:schemeClr val="accent5"/>
            </a:solidFill>
            <a:ln w="9525">
              <a:solidFill>
                <a:schemeClr val="accent5"/>
              </a:solidFill>
            </a:ln>
            <a:effectLst/>
          </c:spPr>
        </c:marker>
      </c:pivotFmt>
      <c:pivotFmt>
        <c:idx val="23"/>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4"/>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5"/>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6"/>
        <c:spPr>
          <a:solidFill>
            <a:schemeClr val="accent1"/>
          </a:solidFill>
          <a:ln w="28575" cap="rnd">
            <a:solidFill>
              <a:schemeClr val="accent1"/>
            </a:solidFill>
            <a:round/>
          </a:ln>
          <a:effectLst/>
        </c:spPr>
        <c:marker>
          <c:symbol val="circle"/>
          <c:size val="5"/>
          <c:spPr>
            <a:solidFill>
              <a:schemeClr val="accent2"/>
            </a:solidFill>
            <a:ln w="9525">
              <a:solidFill>
                <a:schemeClr val="accent2"/>
              </a:solidFill>
            </a:ln>
            <a:effectLst/>
          </c:spPr>
        </c:marker>
      </c:pivotFmt>
      <c:pivotFmt>
        <c:idx val="27"/>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8"/>
        <c:spPr>
          <a:solidFill>
            <a:schemeClr val="accent1"/>
          </a:solidFill>
          <a:ln w="28575" cap="rnd">
            <a:solidFill>
              <a:schemeClr val="accent1"/>
            </a:solidFill>
            <a:round/>
          </a:ln>
          <a:effectLst/>
        </c:spPr>
        <c:marker>
          <c:symbol val="circle"/>
          <c:size val="5"/>
          <c:spPr>
            <a:solidFill>
              <a:schemeClr val="accent4"/>
            </a:solidFill>
            <a:ln w="9525">
              <a:solidFill>
                <a:schemeClr val="accent4"/>
              </a:solidFill>
            </a:ln>
            <a:effectLst/>
          </c:spPr>
        </c:marker>
      </c:pivotFmt>
      <c:pivotFmt>
        <c:idx val="29"/>
        <c:spPr>
          <a:solidFill>
            <a:schemeClr val="accent1"/>
          </a:solidFill>
          <a:ln w="28575" cap="rnd">
            <a:solidFill>
              <a:schemeClr val="accent1"/>
            </a:solidFill>
            <a:round/>
          </a:ln>
          <a:effectLst/>
        </c:spPr>
        <c:marker>
          <c:symbol val="circle"/>
          <c:size val="5"/>
          <c:spPr>
            <a:solidFill>
              <a:schemeClr val="accent5"/>
            </a:solidFill>
            <a:ln w="9525">
              <a:solidFill>
                <a:schemeClr val="accent5"/>
              </a:solidFill>
            </a:ln>
            <a:effectLst/>
          </c:spPr>
        </c:marker>
      </c:pivotFmt>
      <c:pivotFmt>
        <c:idx val="30"/>
        <c:spPr>
          <a:solidFill>
            <a:schemeClr val="accent1"/>
          </a:solidFill>
          <a:ln w="28575" cap="rnd">
            <a:solidFill>
              <a:schemeClr val="accent1"/>
            </a:solidFill>
            <a:round/>
          </a:ln>
          <a:effectLst/>
        </c:spPr>
        <c:marker>
          <c:symbol val="circle"/>
          <c:size val="5"/>
          <c:spPr>
            <a:solidFill>
              <a:schemeClr val="accent3"/>
            </a:solidFill>
            <a:ln w="9525">
              <a:solidFill>
                <a:schemeClr val="accent3"/>
              </a:solidFill>
            </a:ln>
            <a:effectLst/>
          </c:spPr>
        </c:marker>
      </c:pivotFmt>
      <c:pivotFmt>
        <c:idx val="31"/>
        <c:spPr>
          <a:solidFill>
            <a:schemeClr val="accent1"/>
          </a:solidFill>
          <a:ln w="28575" cap="rnd">
            <a:solidFill>
              <a:schemeClr val="accent1"/>
            </a:solidFill>
            <a:round/>
          </a:ln>
          <a:effectLst/>
        </c:spPr>
        <c:marker>
          <c:symbol val="circle"/>
          <c:size val="5"/>
          <c:spPr>
            <a:solidFill>
              <a:schemeClr val="accent6"/>
            </a:solidFill>
            <a:ln w="9525">
              <a:solidFill>
                <a:schemeClr val="accent6"/>
              </a:solidFill>
            </a:ln>
            <a:effectLst/>
          </c:spPr>
        </c:marker>
      </c:pivotFmt>
      <c:pivotFmt>
        <c:idx val="32"/>
        <c:spPr>
          <a:solidFill>
            <a:schemeClr val="accent1"/>
          </a:solidFill>
          <a:ln w="28575" cap="rnd">
            <a:solidFill>
              <a:schemeClr val="accent1"/>
            </a:solidFill>
            <a:round/>
          </a:ln>
          <a:effectLst/>
        </c:spPr>
        <c:marker>
          <c:symbol val="circle"/>
          <c:size val="5"/>
          <c:spPr>
            <a:solidFill>
              <a:schemeClr val="accent1">
                <a:lumMod val="60000"/>
              </a:schemeClr>
            </a:solidFill>
            <a:ln w="9525">
              <a:solidFill>
                <a:schemeClr val="accent1">
                  <a:lumMod val="60000"/>
                </a:schemeClr>
              </a:solidFill>
            </a:ln>
            <a:effectLst/>
          </c:spPr>
        </c:marker>
      </c:pivotFmt>
      <c:pivotFmt>
        <c:idx val="33"/>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34"/>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35"/>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36"/>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37"/>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38"/>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39"/>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40"/>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41"/>
        <c:spPr>
          <a:solidFill>
            <a:schemeClr val="accent1"/>
          </a:solidFill>
          <a:ln w="28575" cap="rnd">
            <a:solidFill>
              <a:schemeClr val="accent1"/>
            </a:solidFill>
            <a:round/>
          </a:ln>
          <a:effectLst/>
        </c:spPr>
        <c:marker>
          <c:symbol val="circle"/>
          <c:size val="5"/>
          <c:spPr>
            <a:solidFill>
              <a:schemeClr val="accent2"/>
            </a:solidFill>
            <a:ln w="9525">
              <a:solidFill>
                <a:schemeClr val="accent2"/>
              </a:solidFill>
            </a:ln>
            <a:effectLst/>
          </c:spPr>
        </c:marker>
      </c:pivotFmt>
      <c:pivotFmt>
        <c:idx val="42"/>
        <c:spPr>
          <a:solidFill>
            <a:schemeClr val="accent1"/>
          </a:solidFill>
          <a:ln w="28575" cap="rnd">
            <a:solidFill>
              <a:schemeClr val="accent1"/>
            </a:solidFill>
            <a:round/>
          </a:ln>
          <a:effectLst/>
        </c:spPr>
        <c:marker>
          <c:symbol val="circle"/>
          <c:size val="5"/>
          <c:spPr>
            <a:solidFill>
              <a:schemeClr val="accent3"/>
            </a:solidFill>
            <a:ln w="9525">
              <a:solidFill>
                <a:schemeClr val="accent3"/>
              </a:solidFill>
            </a:ln>
            <a:effectLst/>
          </c:spPr>
        </c:marker>
      </c:pivotFmt>
      <c:pivotFmt>
        <c:idx val="43"/>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44"/>
        <c:spPr>
          <a:solidFill>
            <a:schemeClr val="accent1"/>
          </a:solidFill>
          <a:ln w="28575" cap="rnd">
            <a:solidFill>
              <a:schemeClr val="accent1"/>
            </a:solidFill>
            <a:round/>
          </a:ln>
          <a:effectLst/>
        </c:spPr>
        <c:marker>
          <c:symbol val="circle"/>
          <c:size val="5"/>
          <c:spPr>
            <a:solidFill>
              <a:schemeClr val="accent2"/>
            </a:solidFill>
            <a:ln w="9525">
              <a:solidFill>
                <a:schemeClr val="accent2"/>
              </a:solidFill>
            </a:ln>
            <a:effectLst/>
          </c:spPr>
        </c:marker>
      </c:pivotFmt>
      <c:pivotFmt>
        <c:idx val="45"/>
        <c:spPr>
          <a:solidFill>
            <a:schemeClr val="accent1"/>
          </a:solidFill>
          <a:ln w="28575" cap="rnd">
            <a:solidFill>
              <a:schemeClr val="accent1"/>
            </a:solidFill>
            <a:round/>
          </a:ln>
          <a:effectLst/>
        </c:spPr>
        <c:marker>
          <c:symbol val="circle"/>
          <c:size val="5"/>
          <c:spPr>
            <a:solidFill>
              <a:schemeClr val="accent3"/>
            </a:solidFill>
            <a:ln w="9525">
              <a:solidFill>
                <a:schemeClr val="accent3"/>
              </a:solidFill>
            </a:ln>
            <a:effectLst/>
          </c:spPr>
        </c:marker>
      </c:pivotFmt>
      <c:pivotFmt>
        <c:idx val="46"/>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47"/>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48"/>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49"/>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50"/>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51"/>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52"/>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53"/>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54"/>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55"/>
        <c:spPr>
          <a:solidFill>
            <a:schemeClr val="accent1"/>
          </a:solidFill>
          <a:ln w="28575" cap="rnd">
            <a:solidFill>
              <a:schemeClr val="accent1"/>
            </a:solidFill>
            <a:round/>
          </a:ln>
          <a:effectLst/>
        </c:spPr>
        <c:marker>
          <c:symbol val="circle"/>
          <c:size val="5"/>
          <c:spPr>
            <a:solidFill>
              <a:schemeClr val="accent2"/>
            </a:solidFill>
            <a:ln w="9525">
              <a:solidFill>
                <a:schemeClr val="accent2"/>
              </a:solidFill>
            </a:ln>
            <a:effectLst/>
          </c:spPr>
        </c:marker>
      </c:pivotFmt>
      <c:pivotFmt>
        <c:idx val="56"/>
        <c:spPr>
          <a:solidFill>
            <a:schemeClr val="accent1"/>
          </a:solidFill>
          <a:ln w="28575" cap="rnd">
            <a:solidFill>
              <a:schemeClr val="accent1"/>
            </a:solidFill>
            <a:round/>
          </a:ln>
          <a:effectLst/>
        </c:spPr>
        <c:marker>
          <c:symbol val="circle"/>
          <c:size val="5"/>
          <c:spPr>
            <a:solidFill>
              <a:schemeClr val="accent3"/>
            </a:solidFill>
            <a:ln w="9525">
              <a:solidFill>
                <a:schemeClr val="accent3"/>
              </a:solidFill>
            </a:ln>
            <a:effectLst/>
          </c:spPr>
        </c:marker>
      </c:pivotFmt>
      <c:pivotFmt>
        <c:idx val="57"/>
        <c:spPr>
          <a:solidFill>
            <a:schemeClr val="accent1"/>
          </a:solidFill>
          <a:ln w="28575" cap="rnd">
            <a:solidFill>
              <a:schemeClr val="accent1"/>
            </a:solidFill>
            <a:round/>
          </a:ln>
          <a:effectLst/>
        </c:spPr>
        <c:marker>
          <c:symbol val="circle"/>
          <c:size val="5"/>
          <c:spPr>
            <a:solidFill>
              <a:schemeClr val="accent4"/>
            </a:solidFill>
            <a:ln w="9525">
              <a:solidFill>
                <a:schemeClr val="accent4"/>
              </a:solidFill>
            </a:ln>
            <a:effectLst/>
          </c:spPr>
        </c:marker>
      </c:pivotFmt>
      <c:pivotFmt>
        <c:idx val="58"/>
        <c:spPr>
          <a:solidFill>
            <a:schemeClr val="accent1"/>
          </a:solidFill>
          <a:ln w="28575" cap="rnd">
            <a:solidFill>
              <a:schemeClr val="accent1"/>
            </a:solidFill>
            <a:round/>
          </a:ln>
          <a:effectLst/>
        </c:spPr>
        <c:marker>
          <c:symbol val="circle"/>
          <c:size val="5"/>
          <c:spPr>
            <a:solidFill>
              <a:schemeClr val="accent5"/>
            </a:solidFill>
            <a:ln w="9525">
              <a:solidFill>
                <a:schemeClr val="accent5"/>
              </a:solidFill>
            </a:ln>
            <a:effectLst/>
          </c:spPr>
        </c:marker>
      </c:pivotFmt>
      <c:pivotFmt>
        <c:idx val="59"/>
        <c:spPr>
          <a:solidFill>
            <a:schemeClr val="accent1"/>
          </a:solidFill>
          <a:ln w="28575" cap="rnd">
            <a:solidFill>
              <a:schemeClr val="accent1"/>
            </a:solidFill>
            <a:round/>
          </a:ln>
          <a:effectLst/>
        </c:spPr>
        <c:marker>
          <c:symbol val="circle"/>
          <c:size val="5"/>
          <c:spPr>
            <a:solidFill>
              <a:schemeClr val="accent6"/>
            </a:solidFill>
            <a:ln w="9525">
              <a:solidFill>
                <a:schemeClr val="accent6"/>
              </a:solidFill>
            </a:ln>
            <a:effectLst/>
          </c:spPr>
        </c:marker>
      </c:pivotFmt>
      <c:pivotFmt>
        <c:idx val="60"/>
        <c:spPr>
          <a:solidFill>
            <a:schemeClr val="accent1"/>
          </a:solidFill>
          <a:ln w="28575" cap="rnd">
            <a:solidFill>
              <a:schemeClr val="accent1"/>
            </a:solidFill>
            <a:round/>
          </a:ln>
          <a:effectLst/>
        </c:spPr>
        <c:marker>
          <c:symbol val="circle"/>
          <c:size val="5"/>
          <c:spPr>
            <a:solidFill>
              <a:schemeClr val="accent1">
                <a:lumMod val="60000"/>
              </a:schemeClr>
            </a:solidFill>
            <a:ln w="9525">
              <a:solidFill>
                <a:schemeClr val="accent1">
                  <a:lumMod val="60000"/>
                </a:schemeClr>
              </a:solidFill>
            </a:ln>
            <a:effectLst/>
          </c:spPr>
        </c:marker>
      </c:pivotFmt>
      <c:pivotFmt>
        <c:idx val="61"/>
        <c:spPr>
          <a:solidFill>
            <a:schemeClr val="accent1"/>
          </a:solidFill>
          <a:ln w="28575" cap="rnd">
            <a:solidFill>
              <a:schemeClr val="accent1"/>
            </a:solidFill>
            <a:round/>
          </a:ln>
          <a:effectLst/>
        </c:spPr>
        <c:marker>
          <c:symbol val="circle"/>
          <c:size val="5"/>
          <c:spPr>
            <a:solidFill>
              <a:schemeClr val="accent2">
                <a:lumMod val="60000"/>
              </a:schemeClr>
            </a:solidFill>
            <a:ln w="9525">
              <a:solidFill>
                <a:schemeClr val="accent2">
                  <a:lumMod val="60000"/>
                </a:schemeClr>
              </a:solidFill>
            </a:ln>
            <a:effectLst/>
          </c:spPr>
        </c:marker>
      </c:pivotFmt>
      <c:pivotFmt>
        <c:idx val="62"/>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63"/>
        <c:spPr>
          <a:solidFill>
            <a:schemeClr val="accent1"/>
          </a:solidFill>
          <a:ln w="28575" cap="rnd">
            <a:solidFill>
              <a:schemeClr val="accent1"/>
            </a:solidFill>
            <a:round/>
          </a:ln>
          <a:effectLst/>
        </c:spPr>
        <c:marker>
          <c:symbol val="circle"/>
          <c:size val="5"/>
          <c:spPr>
            <a:solidFill>
              <a:schemeClr val="accent2"/>
            </a:solidFill>
            <a:ln w="9525">
              <a:solidFill>
                <a:schemeClr val="accent2"/>
              </a:solidFill>
            </a:ln>
            <a:effectLst/>
          </c:spPr>
        </c:marker>
      </c:pivotFmt>
      <c:pivotFmt>
        <c:idx val="64"/>
        <c:spPr>
          <a:solidFill>
            <a:schemeClr val="accent1"/>
          </a:solidFill>
          <a:ln w="28575" cap="rnd">
            <a:solidFill>
              <a:schemeClr val="accent1"/>
            </a:solidFill>
            <a:round/>
          </a:ln>
          <a:effectLst/>
        </c:spPr>
        <c:marker>
          <c:symbol val="circle"/>
          <c:size val="5"/>
          <c:spPr>
            <a:solidFill>
              <a:schemeClr val="accent3"/>
            </a:solidFill>
            <a:ln w="9525">
              <a:solidFill>
                <a:schemeClr val="accent3"/>
              </a:solidFill>
            </a:ln>
            <a:effectLst/>
          </c:spPr>
        </c:marker>
      </c:pivotFmt>
      <c:pivotFmt>
        <c:idx val="65"/>
        <c:spPr>
          <a:solidFill>
            <a:schemeClr val="accent1"/>
          </a:solidFill>
          <a:ln w="28575" cap="rnd">
            <a:solidFill>
              <a:schemeClr val="accent1"/>
            </a:solidFill>
            <a:round/>
          </a:ln>
          <a:effectLst/>
        </c:spPr>
        <c:marker>
          <c:symbol val="circle"/>
          <c:size val="5"/>
          <c:spPr>
            <a:solidFill>
              <a:schemeClr val="accent4"/>
            </a:solidFill>
            <a:ln w="9525">
              <a:solidFill>
                <a:schemeClr val="accent4"/>
              </a:solidFill>
            </a:ln>
            <a:effectLst/>
          </c:spPr>
        </c:marker>
      </c:pivotFmt>
      <c:pivotFmt>
        <c:idx val="66"/>
        <c:spPr>
          <a:solidFill>
            <a:schemeClr val="accent1"/>
          </a:solidFill>
          <a:ln w="28575" cap="rnd">
            <a:solidFill>
              <a:schemeClr val="accent1"/>
            </a:solidFill>
            <a:round/>
          </a:ln>
          <a:effectLst/>
        </c:spPr>
        <c:marker>
          <c:symbol val="circle"/>
          <c:size val="5"/>
          <c:spPr>
            <a:solidFill>
              <a:schemeClr val="accent5"/>
            </a:solidFill>
            <a:ln w="9525">
              <a:solidFill>
                <a:schemeClr val="accent5"/>
              </a:solidFill>
            </a:ln>
            <a:effectLst/>
          </c:spPr>
        </c:marker>
      </c:pivotFmt>
      <c:pivotFmt>
        <c:idx val="67"/>
        <c:spPr>
          <a:solidFill>
            <a:schemeClr val="accent1"/>
          </a:solidFill>
          <a:ln w="28575" cap="rnd">
            <a:solidFill>
              <a:schemeClr val="accent1"/>
            </a:solidFill>
            <a:round/>
          </a:ln>
          <a:effectLst/>
        </c:spPr>
        <c:marker>
          <c:symbol val="circle"/>
          <c:size val="5"/>
          <c:spPr>
            <a:solidFill>
              <a:schemeClr val="accent6"/>
            </a:solidFill>
            <a:ln w="9525">
              <a:solidFill>
                <a:schemeClr val="accent6"/>
              </a:solidFill>
            </a:ln>
            <a:effectLst/>
          </c:spPr>
        </c:marker>
      </c:pivotFmt>
      <c:pivotFmt>
        <c:idx val="68"/>
        <c:spPr>
          <a:solidFill>
            <a:schemeClr val="accent1"/>
          </a:solidFill>
          <a:ln w="28575" cap="rnd">
            <a:solidFill>
              <a:schemeClr val="accent1"/>
            </a:solidFill>
            <a:round/>
          </a:ln>
          <a:effectLst/>
        </c:spPr>
        <c:marker>
          <c:symbol val="circle"/>
          <c:size val="5"/>
          <c:spPr>
            <a:solidFill>
              <a:schemeClr val="accent1">
                <a:lumMod val="60000"/>
              </a:schemeClr>
            </a:solidFill>
            <a:ln w="9525">
              <a:solidFill>
                <a:schemeClr val="accent1">
                  <a:lumMod val="60000"/>
                </a:schemeClr>
              </a:solidFill>
            </a:ln>
            <a:effectLst/>
          </c:spPr>
        </c:marker>
      </c:pivotFmt>
      <c:pivotFmt>
        <c:idx val="69"/>
        <c:spPr>
          <a:solidFill>
            <a:schemeClr val="accent1"/>
          </a:solidFill>
          <a:ln w="28575" cap="rnd">
            <a:solidFill>
              <a:schemeClr val="accent1"/>
            </a:solidFill>
            <a:round/>
          </a:ln>
          <a:effectLst/>
        </c:spPr>
        <c:marker>
          <c:symbol val="circle"/>
          <c:size val="5"/>
          <c:spPr>
            <a:solidFill>
              <a:schemeClr val="accent2">
                <a:lumMod val="60000"/>
              </a:schemeClr>
            </a:solidFill>
            <a:ln w="9525">
              <a:solidFill>
                <a:schemeClr val="accent2">
                  <a:lumMod val="60000"/>
                </a:schemeClr>
              </a:solidFill>
            </a:ln>
            <a:effectLst/>
          </c:spPr>
        </c:marker>
      </c:pivotFmt>
    </c:pivotFmts>
    <c:plotArea>
      <c:layout>
        <c:manualLayout>
          <c:layoutTarget val="inner"/>
          <c:xMode val="edge"/>
          <c:yMode val="edge"/>
          <c:x val="9.3447345541559451E-2"/>
          <c:y val="6.4891661425420896E-2"/>
          <c:w val="0.64413703618073759"/>
          <c:h val="0.73182997308744013"/>
        </c:manualLayout>
      </c:layout>
      <c:lineChart>
        <c:grouping val="standard"/>
        <c:varyColors val="0"/>
        <c:ser>
          <c:idx val="0"/>
          <c:order val="0"/>
          <c:tx>
            <c:strRef>
              <c:f>'Sheet1 (10)'!$B$4:$B$6</c:f>
              <c:strCache>
                <c:ptCount val="1"/>
                <c:pt idx="0">
                  <c:v>Private - Induction treatment</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 (10)'!$A$7:$A$35</c:f>
              <c:strCache>
                <c:ptCount val="28"/>
                <c:pt idx="0">
                  <c:v>201903</c:v>
                </c:pt>
                <c:pt idx="1">
                  <c:v>201904</c:v>
                </c:pt>
                <c:pt idx="2">
                  <c:v>201905</c:v>
                </c:pt>
                <c:pt idx="3">
                  <c:v>201906</c:v>
                </c:pt>
                <c:pt idx="4">
                  <c:v>201907</c:v>
                </c:pt>
                <c:pt idx="5">
                  <c:v>201908</c:v>
                </c:pt>
                <c:pt idx="6">
                  <c:v>201909</c:v>
                </c:pt>
                <c:pt idx="7">
                  <c:v>201910</c:v>
                </c:pt>
                <c:pt idx="8">
                  <c:v>201911</c:v>
                </c:pt>
                <c:pt idx="9">
                  <c:v>201912</c:v>
                </c:pt>
                <c:pt idx="10">
                  <c:v>202001</c:v>
                </c:pt>
                <c:pt idx="11">
                  <c:v>202002</c:v>
                </c:pt>
                <c:pt idx="12">
                  <c:v>202003</c:v>
                </c:pt>
                <c:pt idx="13">
                  <c:v>202004</c:v>
                </c:pt>
                <c:pt idx="14">
                  <c:v>202005</c:v>
                </c:pt>
                <c:pt idx="15">
                  <c:v>202006</c:v>
                </c:pt>
                <c:pt idx="16">
                  <c:v>202007</c:v>
                </c:pt>
                <c:pt idx="17">
                  <c:v>202008</c:v>
                </c:pt>
                <c:pt idx="18">
                  <c:v>202009</c:v>
                </c:pt>
                <c:pt idx="19">
                  <c:v>202010</c:v>
                </c:pt>
                <c:pt idx="20">
                  <c:v>202011</c:v>
                </c:pt>
                <c:pt idx="21">
                  <c:v>202012</c:v>
                </c:pt>
                <c:pt idx="22">
                  <c:v>202101</c:v>
                </c:pt>
                <c:pt idx="23">
                  <c:v>202102</c:v>
                </c:pt>
                <c:pt idx="24">
                  <c:v>202103</c:v>
                </c:pt>
                <c:pt idx="25">
                  <c:v>202104</c:v>
                </c:pt>
                <c:pt idx="26">
                  <c:v>202105</c:v>
                </c:pt>
                <c:pt idx="27">
                  <c:v>202106</c:v>
                </c:pt>
              </c:strCache>
            </c:strRef>
          </c:cat>
          <c:val>
            <c:numRef>
              <c:f>'Sheet1 (10)'!$B$7:$B$35</c:f>
              <c:numCache>
                <c:formatCode>General</c:formatCode>
                <c:ptCount val="28"/>
                <c:pt idx="0">
                  <c:v>52</c:v>
                </c:pt>
                <c:pt idx="1">
                  <c:v>90</c:v>
                </c:pt>
                <c:pt idx="2">
                  <c:v>117</c:v>
                </c:pt>
                <c:pt idx="3">
                  <c:v>131</c:v>
                </c:pt>
                <c:pt idx="4">
                  <c:v>191</c:v>
                </c:pt>
                <c:pt idx="5">
                  <c:v>135</c:v>
                </c:pt>
                <c:pt idx="6">
                  <c:v>193</c:v>
                </c:pt>
                <c:pt idx="7">
                  <c:v>150</c:v>
                </c:pt>
                <c:pt idx="8">
                  <c:v>124</c:v>
                </c:pt>
                <c:pt idx="9">
                  <c:v>138</c:v>
                </c:pt>
                <c:pt idx="10">
                  <c:v>138</c:v>
                </c:pt>
                <c:pt idx="11">
                  <c:v>127</c:v>
                </c:pt>
                <c:pt idx="12">
                  <c:v>109</c:v>
                </c:pt>
                <c:pt idx="13">
                  <c:v>103</c:v>
                </c:pt>
                <c:pt idx="14">
                  <c:v>91</c:v>
                </c:pt>
                <c:pt idx="15">
                  <c:v>111</c:v>
                </c:pt>
                <c:pt idx="16">
                  <c:v>127</c:v>
                </c:pt>
                <c:pt idx="17">
                  <c:v>116</c:v>
                </c:pt>
                <c:pt idx="18">
                  <c:v>139</c:v>
                </c:pt>
                <c:pt idx="19">
                  <c:v>124</c:v>
                </c:pt>
                <c:pt idx="20">
                  <c:v>146</c:v>
                </c:pt>
                <c:pt idx="21">
                  <c:v>135</c:v>
                </c:pt>
                <c:pt idx="22">
                  <c:v>122</c:v>
                </c:pt>
                <c:pt idx="23">
                  <c:v>101</c:v>
                </c:pt>
                <c:pt idx="24">
                  <c:v>134</c:v>
                </c:pt>
                <c:pt idx="25">
                  <c:v>104</c:v>
                </c:pt>
                <c:pt idx="26">
                  <c:v>102</c:v>
                </c:pt>
                <c:pt idx="27">
                  <c:v>132</c:v>
                </c:pt>
              </c:numCache>
            </c:numRef>
          </c:val>
          <c:smooth val="0"/>
          <c:extLst>
            <c:ext xmlns:c16="http://schemas.microsoft.com/office/drawing/2014/chart" uri="{C3380CC4-5D6E-409C-BE32-E72D297353CC}">
              <c16:uniqueId val="{00000000-9124-4AB7-B67C-4371B8A67A30}"/>
            </c:ext>
          </c:extLst>
        </c:ser>
        <c:ser>
          <c:idx val="1"/>
          <c:order val="1"/>
          <c:tx>
            <c:strRef>
              <c:f>'Sheet1 (10)'!$C$4:$C$6</c:f>
              <c:strCache>
                <c:ptCount val="1"/>
                <c:pt idx="0">
                  <c:v>Private - Maintenance treatment</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 (10)'!$A$7:$A$35</c:f>
              <c:strCache>
                <c:ptCount val="28"/>
                <c:pt idx="0">
                  <c:v>201903</c:v>
                </c:pt>
                <c:pt idx="1">
                  <c:v>201904</c:v>
                </c:pt>
                <c:pt idx="2">
                  <c:v>201905</c:v>
                </c:pt>
                <c:pt idx="3">
                  <c:v>201906</c:v>
                </c:pt>
                <c:pt idx="4">
                  <c:v>201907</c:v>
                </c:pt>
                <c:pt idx="5">
                  <c:v>201908</c:v>
                </c:pt>
                <c:pt idx="6">
                  <c:v>201909</c:v>
                </c:pt>
                <c:pt idx="7">
                  <c:v>201910</c:v>
                </c:pt>
                <c:pt idx="8">
                  <c:v>201911</c:v>
                </c:pt>
                <c:pt idx="9">
                  <c:v>201912</c:v>
                </c:pt>
                <c:pt idx="10">
                  <c:v>202001</c:v>
                </c:pt>
                <c:pt idx="11">
                  <c:v>202002</c:v>
                </c:pt>
                <c:pt idx="12">
                  <c:v>202003</c:v>
                </c:pt>
                <c:pt idx="13">
                  <c:v>202004</c:v>
                </c:pt>
                <c:pt idx="14">
                  <c:v>202005</c:v>
                </c:pt>
                <c:pt idx="15">
                  <c:v>202006</c:v>
                </c:pt>
                <c:pt idx="16">
                  <c:v>202007</c:v>
                </c:pt>
                <c:pt idx="17">
                  <c:v>202008</c:v>
                </c:pt>
                <c:pt idx="18">
                  <c:v>202009</c:v>
                </c:pt>
                <c:pt idx="19">
                  <c:v>202010</c:v>
                </c:pt>
                <c:pt idx="20">
                  <c:v>202011</c:v>
                </c:pt>
                <c:pt idx="21">
                  <c:v>202012</c:v>
                </c:pt>
                <c:pt idx="22">
                  <c:v>202101</c:v>
                </c:pt>
                <c:pt idx="23">
                  <c:v>202102</c:v>
                </c:pt>
                <c:pt idx="24">
                  <c:v>202103</c:v>
                </c:pt>
                <c:pt idx="25">
                  <c:v>202104</c:v>
                </c:pt>
                <c:pt idx="26">
                  <c:v>202105</c:v>
                </c:pt>
                <c:pt idx="27">
                  <c:v>202106</c:v>
                </c:pt>
              </c:strCache>
            </c:strRef>
          </c:cat>
          <c:val>
            <c:numRef>
              <c:f>'Sheet1 (10)'!$C$7:$C$35</c:f>
              <c:numCache>
                <c:formatCode>General</c:formatCode>
                <c:ptCount val="28"/>
                <c:pt idx="0">
                  <c:v>8</c:v>
                </c:pt>
                <c:pt idx="1">
                  <c:v>19</c:v>
                </c:pt>
                <c:pt idx="2">
                  <c:v>38</c:v>
                </c:pt>
                <c:pt idx="3">
                  <c:v>58</c:v>
                </c:pt>
                <c:pt idx="4">
                  <c:v>69</c:v>
                </c:pt>
                <c:pt idx="5">
                  <c:v>96</c:v>
                </c:pt>
                <c:pt idx="6">
                  <c:v>79</c:v>
                </c:pt>
                <c:pt idx="7">
                  <c:v>117</c:v>
                </c:pt>
                <c:pt idx="8">
                  <c:v>110</c:v>
                </c:pt>
                <c:pt idx="9">
                  <c:v>139</c:v>
                </c:pt>
                <c:pt idx="10">
                  <c:v>156</c:v>
                </c:pt>
                <c:pt idx="11">
                  <c:v>138</c:v>
                </c:pt>
                <c:pt idx="12">
                  <c:v>146</c:v>
                </c:pt>
                <c:pt idx="13">
                  <c:v>133</c:v>
                </c:pt>
                <c:pt idx="14">
                  <c:v>124</c:v>
                </c:pt>
                <c:pt idx="15">
                  <c:v>111</c:v>
                </c:pt>
                <c:pt idx="16">
                  <c:v>124</c:v>
                </c:pt>
                <c:pt idx="17">
                  <c:v>123</c:v>
                </c:pt>
                <c:pt idx="18">
                  <c:v>109</c:v>
                </c:pt>
                <c:pt idx="19">
                  <c:v>109</c:v>
                </c:pt>
                <c:pt idx="20">
                  <c:v>105</c:v>
                </c:pt>
                <c:pt idx="21">
                  <c:v>121</c:v>
                </c:pt>
                <c:pt idx="22">
                  <c:v>117</c:v>
                </c:pt>
                <c:pt idx="23">
                  <c:v>123</c:v>
                </c:pt>
                <c:pt idx="24">
                  <c:v>129</c:v>
                </c:pt>
                <c:pt idx="25">
                  <c:v>116</c:v>
                </c:pt>
                <c:pt idx="26">
                  <c:v>113</c:v>
                </c:pt>
                <c:pt idx="27">
                  <c:v>122</c:v>
                </c:pt>
              </c:numCache>
            </c:numRef>
          </c:val>
          <c:smooth val="0"/>
          <c:extLst>
            <c:ext xmlns:c16="http://schemas.microsoft.com/office/drawing/2014/chart" uri="{C3380CC4-5D6E-409C-BE32-E72D297353CC}">
              <c16:uniqueId val="{00000001-9124-4AB7-B67C-4371B8A67A30}"/>
            </c:ext>
          </c:extLst>
        </c:ser>
        <c:ser>
          <c:idx val="2"/>
          <c:order val="2"/>
          <c:tx>
            <c:strRef>
              <c:f>'Sheet1 (10)'!$D$4:$D$6</c:f>
              <c:strCache>
                <c:ptCount val="1"/>
                <c:pt idx="0">
                  <c:v>Private - Grandfather patients</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'Sheet1 (10)'!$A$7:$A$35</c:f>
              <c:strCache>
                <c:ptCount val="28"/>
                <c:pt idx="0">
                  <c:v>201903</c:v>
                </c:pt>
                <c:pt idx="1">
                  <c:v>201904</c:v>
                </c:pt>
                <c:pt idx="2">
                  <c:v>201905</c:v>
                </c:pt>
                <c:pt idx="3">
                  <c:v>201906</c:v>
                </c:pt>
                <c:pt idx="4">
                  <c:v>201907</c:v>
                </c:pt>
                <c:pt idx="5">
                  <c:v>201908</c:v>
                </c:pt>
                <c:pt idx="6">
                  <c:v>201909</c:v>
                </c:pt>
                <c:pt idx="7">
                  <c:v>201910</c:v>
                </c:pt>
                <c:pt idx="8">
                  <c:v>201911</c:v>
                </c:pt>
                <c:pt idx="9">
                  <c:v>201912</c:v>
                </c:pt>
                <c:pt idx="10">
                  <c:v>202001</c:v>
                </c:pt>
                <c:pt idx="11">
                  <c:v>202002</c:v>
                </c:pt>
                <c:pt idx="12">
                  <c:v>202003</c:v>
                </c:pt>
                <c:pt idx="13">
                  <c:v>202004</c:v>
                </c:pt>
                <c:pt idx="14">
                  <c:v>202005</c:v>
                </c:pt>
                <c:pt idx="15">
                  <c:v>202006</c:v>
                </c:pt>
                <c:pt idx="16">
                  <c:v>202007</c:v>
                </c:pt>
                <c:pt idx="17">
                  <c:v>202008</c:v>
                </c:pt>
                <c:pt idx="18">
                  <c:v>202009</c:v>
                </c:pt>
                <c:pt idx="19">
                  <c:v>202010</c:v>
                </c:pt>
                <c:pt idx="20">
                  <c:v>202011</c:v>
                </c:pt>
                <c:pt idx="21">
                  <c:v>202012</c:v>
                </c:pt>
                <c:pt idx="22">
                  <c:v>202101</c:v>
                </c:pt>
                <c:pt idx="23">
                  <c:v>202102</c:v>
                </c:pt>
                <c:pt idx="24">
                  <c:v>202103</c:v>
                </c:pt>
                <c:pt idx="25">
                  <c:v>202104</c:v>
                </c:pt>
                <c:pt idx="26">
                  <c:v>202105</c:v>
                </c:pt>
                <c:pt idx="27">
                  <c:v>202106</c:v>
                </c:pt>
              </c:strCache>
            </c:strRef>
          </c:cat>
          <c:val>
            <c:numRef>
              <c:f>'Sheet1 (10)'!$D$7:$D$35</c:f>
              <c:numCache>
                <c:formatCode>General</c:formatCode>
                <c:ptCount val="28"/>
                <c:pt idx="0">
                  <c:v>11</c:v>
                </c:pt>
                <c:pt idx="1">
                  <c:v>15</c:v>
                </c:pt>
                <c:pt idx="2">
                  <c:v>13</c:v>
                </c:pt>
                <c:pt idx="3">
                  <c:v>8</c:v>
                </c:pt>
                <c:pt idx="4">
                  <c:v>14</c:v>
                </c:pt>
                <c:pt idx="5">
                  <c:v>5</c:v>
                </c:pt>
                <c:pt idx="6">
                  <c:v>2</c:v>
                </c:pt>
                <c:pt idx="7">
                  <c:v>5</c:v>
                </c:pt>
                <c:pt idx="8">
                  <c:v>3</c:v>
                </c:pt>
                <c:pt idx="9">
                  <c:v>5</c:v>
                </c:pt>
                <c:pt idx="10">
                  <c:v>2</c:v>
                </c:pt>
                <c:pt idx="11">
                  <c:v>1</c:v>
                </c:pt>
                <c:pt idx="12">
                  <c:v>4</c:v>
                </c:pt>
                <c:pt idx="13">
                  <c:v>1</c:v>
                </c:pt>
                <c:pt idx="14">
                  <c:v>5</c:v>
                </c:pt>
                <c:pt idx="15">
                  <c:v>6</c:v>
                </c:pt>
                <c:pt idx="16">
                  <c:v>2</c:v>
                </c:pt>
              </c:numCache>
            </c:numRef>
          </c:val>
          <c:smooth val="0"/>
          <c:extLst>
            <c:ext xmlns:c16="http://schemas.microsoft.com/office/drawing/2014/chart" uri="{C3380CC4-5D6E-409C-BE32-E72D297353CC}">
              <c16:uniqueId val="{00000002-9124-4AB7-B67C-4371B8A67A30}"/>
            </c:ext>
          </c:extLst>
        </c:ser>
        <c:ser>
          <c:idx val="3"/>
          <c:order val="3"/>
          <c:tx>
            <c:strRef>
              <c:f>'Sheet1 (10)'!$E$4:$E$6</c:f>
              <c:strCache>
                <c:ptCount val="1"/>
                <c:pt idx="0">
                  <c:v>Private - Induction treatment - Grandfather patients</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'Sheet1 (10)'!$A$7:$A$35</c:f>
              <c:strCache>
                <c:ptCount val="28"/>
                <c:pt idx="0">
                  <c:v>201903</c:v>
                </c:pt>
                <c:pt idx="1">
                  <c:v>201904</c:v>
                </c:pt>
                <c:pt idx="2">
                  <c:v>201905</c:v>
                </c:pt>
                <c:pt idx="3">
                  <c:v>201906</c:v>
                </c:pt>
                <c:pt idx="4">
                  <c:v>201907</c:v>
                </c:pt>
                <c:pt idx="5">
                  <c:v>201908</c:v>
                </c:pt>
                <c:pt idx="6">
                  <c:v>201909</c:v>
                </c:pt>
                <c:pt idx="7">
                  <c:v>201910</c:v>
                </c:pt>
                <c:pt idx="8">
                  <c:v>201911</c:v>
                </c:pt>
                <c:pt idx="9">
                  <c:v>201912</c:v>
                </c:pt>
                <c:pt idx="10">
                  <c:v>202001</c:v>
                </c:pt>
                <c:pt idx="11">
                  <c:v>202002</c:v>
                </c:pt>
                <c:pt idx="12">
                  <c:v>202003</c:v>
                </c:pt>
                <c:pt idx="13">
                  <c:v>202004</c:v>
                </c:pt>
                <c:pt idx="14">
                  <c:v>202005</c:v>
                </c:pt>
                <c:pt idx="15">
                  <c:v>202006</c:v>
                </c:pt>
                <c:pt idx="16">
                  <c:v>202007</c:v>
                </c:pt>
                <c:pt idx="17">
                  <c:v>202008</c:v>
                </c:pt>
                <c:pt idx="18">
                  <c:v>202009</c:v>
                </c:pt>
                <c:pt idx="19">
                  <c:v>202010</c:v>
                </c:pt>
                <c:pt idx="20">
                  <c:v>202011</c:v>
                </c:pt>
                <c:pt idx="21">
                  <c:v>202012</c:v>
                </c:pt>
                <c:pt idx="22">
                  <c:v>202101</c:v>
                </c:pt>
                <c:pt idx="23">
                  <c:v>202102</c:v>
                </c:pt>
                <c:pt idx="24">
                  <c:v>202103</c:v>
                </c:pt>
                <c:pt idx="25">
                  <c:v>202104</c:v>
                </c:pt>
                <c:pt idx="26">
                  <c:v>202105</c:v>
                </c:pt>
                <c:pt idx="27">
                  <c:v>202106</c:v>
                </c:pt>
              </c:strCache>
            </c:strRef>
          </c:cat>
          <c:val>
            <c:numRef>
              <c:f>'Sheet1 (10)'!$E$7:$E$35</c:f>
              <c:numCache>
                <c:formatCode>General</c:formatCode>
                <c:ptCount val="28"/>
                <c:pt idx="0">
                  <c:v>12</c:v>
                </c:pt>
                <c:pt idx="1">
                  <c:v>10</c:v>
                </c:pt>
                <c:pt idx="2">
                  <c:v>4</c:v>
                </c:pt>
                <c:pt idx="3">
                  <c:v>2</c:v>
                </c:pt>
                <c:pt idx="4">
                  <c:v>3</c:v>
                </c:pt>
                <c:pt idx="5">
                  <c:v>3</c:v>
                </c:pt>
                <c:pt idx="6">
                  <c:v>1</c:v>
                </c:pt>
                <c:pt idx="7">
                  <c:v>2</c:v>
                </c:pt>
                <c:pt idx="8">
                  <c:v>4</c:v>
                </c:pt>
                <c:pt idx="9">
                  <c:v>2</c:v>
                </c:pt>
                <c:pt idx="10">
                  <c:v>2</c:v>
                </c:pt>
                <c:pt idx="12">
                  <c:v>2</c:v>
                </c:pt>
                <c:pt idx="15">
                  <c:v>2</c:v>
                </c:pt>
                <c:pt idx="16">
                  <c:v>1</c:v>
                </c:pt>
                <c:pt idx="18">
                  <c:v>1</c:v>
                </c:pt>
              </c:numCache>
            </c:numRef>
          </c:val>
          <c:smooth val="0"/>
          <c:extLst>
            <c:ext xmlns:c16="http://schemas.microsoft.com/office/drawing/2014/chart" uri="{C3380CC4-5D6E-409C-BE32-E72D297353CC}">
              <c16:uniqueId val="{00000003-9124-4AB7-B67C-4371B8A67A30}"/>
            </c:ext>
          </c:extLst>
        </c:ser>
        <c:ser>
          <c:idx val="4"/>
          <c:order val="4"/>
          <c:tx>
            <c:strRef>
              <c:f>'Sheet1 (10)'!$F$4:$F$6</c:f>
              <c:strCache>
                <c:ptCount val="1"/>
                <c:pt idx="0">
                  <c:v>Public - Induction treatment</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'Sheet1 (10)'!$A$7:$A$35</c:f>
              <c:strCache>
                <c:ptCount val="28"/>
                <c:pt idx="0">
                  <c:v>201903</c:v>
                </c:pt>
                <c:pt idx="1">
                  <c:v>201904</c:v>
                </c:pt>
                <c:pt idx="2">
                  <c:v>201905</c:v>
                </c:pt>
                <c:pt idx="3">
                  <c:v>201906</c:v>
                </c:pt>
                <c:pt idx="4">
                  <c:v>201907</c:v>
                </c:pt>
                <c:pt idx="5">
                  <c:v>201908</c:v>
                </c:pt>
                <c:pt idx="6">
                  <c:v>201909</c:v>
                </c:pt>
                <c:pt idx="7">
                  <c:v>201910</c:v>
                </c:pt>
                <c:pt idx="8">
                  <c:v>201911</c:v>
                </c:pt>
                <c:pt idx="9">
                  <c:v>201912</c:v>
                </c:pt>
                <c:pt idx="10">
                  <c:v>202001</c:v>
                </c:pt>
                <c:pt idx="11">
                  <c:v>202002</c:v>
                </c:pt>
                <c:pt idx="12">
                  <c:v>202003</c:v>
                </c:pt>
                <c:pt idx="13">
                  <c:v>202004</c:v>
                </c:pt>
                <c:pt idx="14">
                  <c:v>202005</c:v>
                </c:pt>
                <c:pt idx="15">
                  <c:v>202006</c:v>
                </c:pt>
                <c:pt idx="16">
                  <c:v>202007</c:v>
                </c:pt>
                <c:pt idx="17">
                  <c:v>202008</c:v>
                </c:pt>
                <c:pt idx="18">
                  <c:v>202009</c:v>
                </c:pt>
                <c:pt idx="19">
                  <c:v>202010</c:v>
                </c:pt>
                <c:pt idx="20">
                  <c:v>202011</c:v>
                </c:pt>
                <c:pt idx="21">
                  <c:v>202012</c:v>
                </c:pt>
                <c:pt idx="22">
                  <c:v>202101</c:v>
                </c:pt>
                <c:pt idx="23">
                  <c:v>202102</c:v>
                </c:pt>
                <c:pt idx="24">
                  <c:v>202103</c:v>
                </c:pt>
                <c:pt idx="25">
                  <c:v>202104</c:v>
                </c:pt>
                <c:pt idx="26">
                  <c:v>202105</c:v>
                </c:pt>
                <c:pt idx="27">
                  <c:v>202106</c:v>
                </c:pt>
              </c:strCache>
            </c:strRef>
          </c:cat>
          <c:val>
            <c:numRef>
              <c:f>'Sheet1 (10)'!$F$7:$F$35</c:f>
              <c:numCache>
                <c:formatCode>General</c:formatCode>
                <c:ptCount val="28"/>
                <c:pt idx="0">
                  <c:v>36</c:v>
                </c:pt>
                <c:pt idx="1">
                  <c:v>51</c:v>
                </c:pt>
                <c:pt idx="2">
                  <c:v>73</c:v>
                </c:pt>
                <c:pt idx="3">
                  <c:v>62</c:v>
                </c:pt>
                <c:pt idx="4">
                  <c:v>77</c:v>
                </c:pt>
                <c:pt idx="5">
                  <c:v>85</c:v>
                </c:pt>
                <c:pt idx="6">
                  <c:v>71</c:v>
                </c:pt>
                <c:pt idx="7">
                  <c:v>73</c:v>
                </c:pt>
                <c:pt idx="8">
                  <c:v>75</c:v>
                </c:pt>
                <c:pt idx="9">
                  <c:v>56</c:v>
                </c:pt>
                <c:pt idx="10">
                  <c:v>67</c:v>
                </c:pt>
                <c:pt idx="11">
                  <c:v>65</c:v>
                </c:pt>
                <c:pt idx="12">
                  <c:v>70</c:v>
                </c:pt>
                <c:pt idx="13">
                  <c:v>71</c:v>
                </c:pt>
                <c:pt idx="14">
                  <c:v>65</c:v>
                </c:pt>
                <c:pt idx="15">
                  <c:v>77</c:v>
                </c:pt>
                <c:pt idx="16">
                  <c:v>98</c:v>
                </c:pt>
                <c:pt idx="17">
                  <c:v>99</c:v>
                </c:pt>
                <c:pt idx="18">
                  <c:v>88</c:v>
                </c:pt>
                <c:pt idx="19">
                  <c:v>68</c:v>
                </c:pt>
                <c:pt idx="20">
                  <c:v>65</c:v>
                </c:pt>
                <c:pt idx="21">
                  <c:v>104</c:v>
                </c:pt>
                <c:pt idx="22">
                  <c:v>81</c:v>
                </c:pt>
                <c:pt idx="23">
                  <c:v>72</c:v>
                </c:pt>
                <c:pt idx="24">
                  <c:v>87</c:v>
                </c:pt>
                <c:pt idx="25">
                  <c:v>116</c:v>
                </c:pt>
                <c:pt idx="26">
                  <c:v>102</c:v>
                </c:pt>
                <c:pt idx="27">
                  <c:v>95</c:v>
                </c:pt>
              </c:numCache>
            </c:numRef>
          </c:val>
          <c:smooth val="0"/>
          <c:extLst>
            <c:ext xmlns:c16="http://schemas.microsoft.com/office/drawing/2014/chart" uri="{C3380CC4-5D6E-409C-BE32-E72D297353CC}">
              <c16:uniqueId val="{00000004-9124-4AB7-B67C-4371B8A67A30}"/>
            </c:ext>
          </c:extLst>
        </c:ser>
        <c:ser>
          <c:idx val="5"/>
          <c:order val="5"/>
          <c:tx>
            <c:strRef>
              <c:f>'Sheet1 (10)'!$G$4:$G$6</c:f>
              <c:strCache>
                <c:ptCount val="1"/>
                <c:pt idx="0">
                  <c:v>Public - Maintenance treatment</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strRef>
              <c:f>'Sheet1 (10)'!$A$7:$A$35</c:f>
              <c:strCache>
                <c:ptCount val="28"/>
                <c:pt idx="0">
                  <c:v>201903</c:v>
                </c:pt>
                <c:pt idx="1">
                  <c:v>201904</c:v>
                </c:pt>
                <c:pt idx="2">
                  <c:v>201905</c:v>
                </c:pt>
                <c:pt idx="3">
                  <c:v>201906</c:v>
                </c:pt>
                <c:pt idx="4">
                  <c:v>201907</c:v>
                </c:pt>
                <c:pt idx="5">
                  <c:v>201908</c:v>
                </c:pt>
                <c:pt idx="6">
                  <c:v>201909</c:v>
                </c:pt>
                <c:pt idx="7">
                  <c:v>201910</c:v>
                </c:pt>
                <c:pt idx="8">
                  <c:v>201911</c:v>
                </c:pt>
                <c:pt idx="9">
                  <c:v>201912</c:v>
                </c:pt>
                <c:pt idx="10">
                  <c:v>202001</c:v>
                </c:pt>
                <c:pt idx="11">
                  <c:v>202002</c:v>
                </c:pt>
                <c:pt idx="12">
                  <c:v>202003</c:v>
                </c:pt>
                <c:pt idx="13">
                  <c:v>202004</c:v>
                </c:pt>
                <c:pt idx="14">
                  <c:v>202005</c:v>
                </c:pt>
                <c:pt idx="15">
                  <c:v>202006</c:v>
                </c:pt>
                <c:pt idx="16">
                  <c:v>202007</c:v>
                </c:pt>
                <c:pt idx="17">
                  <c:v>202008</c:v>
                </c:pt>
                <c:pt idx="18">
                  <c:v>202009</c:v>
                </c:pt>
                <c:pt idx="19">
                  <c:v>202010</c:v>
                </c:pt>
                <c:pt idx="20">
                  <c:v>202011</c:v>
                </c:pt>
                <c:pt idx="21">
                  <c:v>202012</c:v>
                </c:pt>
                <c:pt idx="22">
                  <c:v>202101</c:v>
                </c:pt>
                <c:pt idx="23">
                  <c:v>202102</c:v>
                </c:pt>
                <c:pt idx="24">
                  <c:v>202103</c:v>
                </c:pt>
                <c:pt idx="25">
                  <c:v>202104</c:v>
                </c:pt>
                <c:pt idx="26">
                  <c:v>202105</c:v>
                </c:pt>
                <c:pt idx="27">
                  <c:v>202106</c:v>
                </c:pt>
              </c:strCache>
            </c:strRef>
          </c:cat>
          <c:val>
            <c:numRef>
              <c:f>'Sheet1 (10)'!$G$7:$G$35</c:f>
              <c:numCache>
                <c:formatCode>General</c:formatCode>
                <c:ptCount val="28"/>
                <c:pt idx="0">
                  <c:v>1</c:v>
                </c:pt>
                <c:pt idx="1">
                  <c:v>2</c:v>
                </c:pt>
                <c:pt idx="2">
                  <c:v>6</c:v>
                </c:pt>
                <c:pt idx="3">
                  <c:v>11</c:v>
                </c:pt>
                <c:pt idx="4">
                  <c:v>18</c:v>
                </c:pt>
                <c:pt idx="5">
                  <c:v>24</c:v>
                </c:pt>
                <c:pt idx="6">
                  <c:v>19</c:v>
                </c:pt>
                <c:pt idx="7">
                  <c:v>23</c:v>
                </c:pt>
                <c:pt idx="8">
                  <c:v>31</c:v>
                </c:pt>
                <c:pt idx="9">
                  <c:v>35</c:v>
                </c:pt>
                <c:pt idx="10">
                  <c:v>41</c:v>
                </c:pt>
                <c:pt idx="11">
                  <c:v>39</c:v>
                </c:pt>
                <c:pt idx="12">
                  <c:v>47</c:v>
                </c:pt>
                <c:pt idx="13">
                  <c:v>47</c:v>
                </c:pt>
                <c:pt idx="14">
                  <c:v>43</c:v>
                </c:pt>
                <c:pt idx="15">
                  <c:v>46</c:v>
                </c:pt>
                <c:pt idx="16">
                  <c:v>53</c:v>
                </c:pt>
                <c:pt idx="17">
                  <c:v>47</c:v>
                </c:pt>
                <c:pt idx="18">
                  <c:v>52</c:v>
                </c:pt>
                <c:pt idx="19">
                  <c:v>62</c:v>
                </c:pt>
                <c:pt idx="20">
                  <c:v>59</c:v>
                </c:pt>
                <c:pt idx="21">
                  <c:v>71</c:v>
                </c:pt>
                <c:pt idx="22">
                  <c:v>57</c:v>
                </c:pt>
                <c:pt idx="23">
                  <c:v>54</c:v>
                </c:pt>
                <c:pt idx="24">
                  <c:v>68</c:v>
                </c:pt>
                <c:pt idx="25">
                  <c:v>64</c:v>
                </c:pt>
                <c:pt idx="26">
                  <c:v>56</c:v>
                </c:pt>
                <c:pt idx="27">
                  <c:v>66</c:v>
                </c:pt>
              </c:numCache>
            </c:numRef>
          </c:val>
          <c:smooth val="0"/>
          <c:extLst>
            <c:ext xmlns:c16="http://schemas.microsoft.com/office/drawing/2014/chart" uri="{C3380CC4-5D6E-409C-BE32-E72D297353CC}">
              <c16:uniqueId val="{00000005-9124-4AB7-B67C-4371B8A67A30}"/>
            </c:ext>
          </c:extLst>
        </c:ser>
        <c:ser>
          <c:idx val="6"/>
          <c:order val="6"/>
          <c:tx>
            <c:strRef>
              <c:f>'Sheet1 (10)'!$H$4:$H$6</c:f>
              <c:strCache>
                <c:ptCount val="1"/>
                <c:pt idx="0">
                  <c:v>Public - Grandfather patients</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cat>
            <c:strRef>
              <c:f>'Sheet1 (10)'!$A$7:$A$35</c:f>
              <c:strCache>
                <c:ptCount val="28"/>
                <c:pt idx="0">
                  <c:v>201903</c:v>
                </c:pt>
                <c:pt idx="1">
                  <c:v>201904</c:v>
                </c:pt>
                <c:pt idx="2">
                  <c:v>201905</c:v>
                </c:pt>
                <c:pt idx="3">
                  <c:v>201906</c:v>
                </c:pt>
                <c:pt idx="4">
                  <c:v>201907</c:v>
                </c:pt>
                <c:pt idx="5">
                  <c:v>201908</c:v>
                </c:pt>
                <c:pt idx="6">
                  <c:v>201909</c:v>
                </c:pt>
                <c:pt idx="7">
                  <c:v>201910</c:v>
                </c:pt>
                <c:pt idx="8">
                  <c:v>201911</c:v>
                </c:pt>
                <c:pt idx="9">
                  <c:v>201912</c:v>
                </c:pt>
                <c:pt idx="10">
                  <c:v>202001</c:v>
                </c:pt>
                <c:pt idx="11">
                  <c:v>202002</c:v>
                </c:pt>
                <c:pt idx="12">
                  <c:v>202003</c:v>
                </c:pt>
                <c:pt idx="13">
                  <c:v>202004</c:v>
                </c:pt>
                <c:pt idx="14">
                  <c:v>202005</c:v>
                </c:pt>
                <c:pt idx="15">
                  <c:v>202006</c:v>
                </c:pt>
                <c:pt idx="16">
                  <c:v>202007</c:v>
                </c:pt>
                <c:pt idx="17">
                  <c:v>202008</c:v>
                </c:pt>
                <c:pt idx="18">
                  <c:v>202009</c:v>
                </c:pt>
                <c:pt idx="19">
                  <c:v>202010</c:v>
                </c:pt>
                <c:pt idx="20">
                  <c:v>202011</c:v>
                </c:pt>
                <c:pt idx="21">
                  <c:v>202012</c:v>
                </c:pt>
                <c:pt idx="22">
                  <c:v>202101</c:v>
                </c:pt>
                <c:pt idx="23">
                  <c:v>202102</c:v>
                </c:pt>
                <c:pt idx="24">
                  <c:v>202103</c:v>
                </c:pt>
                <c:pt idx="25">
                  <c:v>202104</c:v>
                </c:pt>
                <c:pt idx="26">
                  <c:v>202105</c:v>
                </c:pt>
                <c:pt idx="27">
                  <c:v>202106</c:v>
                </c:pt>
              </c:strCache>
            </c:strRef>
          </c:cat>
          <c:val>
            <c:numRef>
              <c:f>'Sheet1 (10)'!$H$7:$H$35</c:f>
              <c:numCache>
                <c:formatCode>General</c:formatCode>
                <c:ptCount val="28"/>
                <c:pt idx="0">
                  <c:v>4</c:v>
                </c:pt>
                <c:pt idx="1">
                  <c:v>3</c:v>
                </c:pt>
                <c:pt idx="2">
                  <c:v>5</c:v>
                </c:pt>
                <c:pt idx="3">
                  <c:v>6</c:v>
                </c:pt>
                <c:pt idx="4">
                  <c:v>7</c:v>
                </c:pt>
                <c:pt idx="5">
                  <c:v>7</c:v>
                </c:pt>
                <c:pt idx="6">
                  <c:v>3</c:v>
                </c:pt>
                <c:pt idx="7">
                  <c:v>5</c:v>
                </c:pt>
                <c:pt idx="8">
                  <c:v>2</c:v>
                </c:pt>
                <c:pt idx="9">
                  <c:v>4</c:v>
                </c:pt>
                <c:pt idx="10">
                  <c:v>1</c:v>
                </c:pt>
                <c:pt idx="11">
                  <c:v>2</c:v>
                </c:pt>
              </c:numCache>
            </c:numRef>
          </c:val>
          <c:smooth val="0"/>
          <c:extLst>
            <c:ext xmlns:c16="http://schemas.microsoft.com/office/drawing/2014/chart" uri="{C3380CC4-5D6E-409C-BE32-E72D297353CC}">
              <c16:uniqueId val="{00000006-9124-4AB7-B67C-4371B8A67A30}"/>
            </c:ext>
          </c:extLst>
        </c:ser>
        <c:ser>
          <c:idx val="7"/>
          <c:order val="7"/>
          <c:tx>
            <c:strRef>
              <c:f>'Sheet1 (10)'!$I$4:$I$6</c:f>
              <c:strCache>
                <c:ptCount val="1"/>
                <c:pt idx="0">
                  <c:v>Public - Induction treatment - Grandfather patients</c:v>
                </c:pt>
              </c:strCache>
            </c:strRef>
          </c:tx>
          <c:spPr>
            <a:ln w="28575"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cat>
            <c:strRef>
              <c:f>'Sheet1 (10)'!$A$7:$A$35</c:f>
              <c:strCache>
                <c:ptCount val="28"/>
                <c:pt idx="0">
                  <c:v>201903</c:v>
                </c:pt>
                <c:pt idx="1">
                  <c:v>201904</c:v>
                </c:pt>
                <c:pt idx="2">
                  <c:v>201905</c:v>
                </c:pt>
                <c:pt idx="3">
                  <c:v>201906</c:v>
                </c:pt>
                <c:pt idx="4">
                  <c:v>201907</c:v>
                </c:pt>
                <c:pt idx="5">
                  <c:v>201908</c:v>
                </c:pt>
                <c:pt idx="6">
                  <c:v>201909</c:v>
                </c:pt>
                <c:pt idx="7">
                  <c:v>201910</c:v>
                </c:pt>
                <c:pt idx="8">
                  <c:v>201911</c:v>
                </c:pt>
                <c:pt idx="9">
                  <c:v>201912</c:v>
                </c:pt>
                <c:pt idx="10">
                  <c:v>202001</c:v>
                </c:pt>
                <c:pt idx="11">
                  <c:v>202002</c:v>
                </c:pt>
                <c:pt idx="12">
                  <c:v>202003</c:v>
                </c:pt>
                <c:pt idx="13">
                  <c:v>202004</c:v>
                </c:pt>
                <c:pt idx="14">
                  <c:v>202005</c:v>
                </c:pt>
                <c:pt idx="15">
                  <c:v>202006</c:v>
                </c:pt>
                <c:pt idx="16">
                  <c:v>202007</c:v>
                </c:pt>
                <c:pt idx="17">
                  <c:v>202008</c:v>
                </c:pt>
                <c:pt idx="18">
                  <c:v>202009</c:v>
                </c:pt>
                <c:pt idx="19">
                  <c:v>202010</c:v>
                </c:pt>
                <c:pt idx="20">
                  <c:v>202011</c:v>
                </c:pt>
                <c:pt idx="21">
                  <c:v>202012</c:v>
                </c:pt>
                <c:pt idx="22">
                  <c:v>202101</c:v>
                </c:pt>
                <c:pt idx="23">
                  <c:v>202102</c:v>
                </c:pt>
                <c:pt idx="24">
                  <c:v>202103</c:v>
                </c:pt>
                <c:pt idx="25">
                  <c:v>202104</c:v>
                </c:pt>
                <c:pt idx="26">
                  <c:v>202105</c:v>
                </c:pt>
                <c:pt idx="27">
                  <c:v>202106</c:v>
                </c:pt>
              </c:strCache>
            </c:strRef>
          </c:cat>
          <c:val>
            <c:numRef>
              <c:f>'Sheet1 (10)'!$I$7:$I$35</c:f>
              <c:numCache>
                <c:formatCode>General</c:formatCode>
                <c:ptCount val="28"/>
                <c:pt idx="0">
                  <c:v>2</c:v>
                </c:pt>
                <c:pt idx="1">
                  <c:v>2</c:v>
                </c:pt>
                <c:pt idx="6">
                  <c:v>3</c:v>
                </c:pt>
                <c:pt idx="7">
                  <c:v>3</c:v>
                </c:pt>
                <c:pt idx="8">
                  <c:v>2</c:v>
                </c:pt>
                <c:pt idx="9">
                  <c:v>1</c:v>
                </c:pt>
                <c:pt idx="14">
                  <c:v>1</c:v>
                </c:pt>
                <c:pt idx="15">
                  <c:v>2</c:v>
                </c:pt>
                <c:pt idx="16">
                  <c:v>1</c:v>
                </c:pt>
                <c:pt idx="17">
                  <c:v>4</c:v>
                </c:pt>
                <c:pt idx="18">
                  <c:v>1</c:v>
                </c:pt>
              </c:numCache>
            </c:numRef>
          </c:val>
          <c:smooth val="0"/>
          <c:extLst>
            <c:ext xmlns:c16="http://schemas.microsoft.com/office/drawing/2014/chart" uri="{C3380CC4-5D6E-409C-BE32-E72D297353CC}">
              <c16:uniqueId val="{00000007-9124-4AB7-B67C-4371B8A67A30}"/>
            </c:ext>
          </c:extLst>
        </c:ser>
        <c:dLbls>
          <c:showLegendKey val="0"/>
          <c:showVal val="0"/>
          <c:showCatName val="0"/>
          <c:showSerName val="0"/>
          <c:showPercent val="0"/>
          <c:showBubbleSize val="0"/>
        </c:dLbls>
        <c:marker val="1"/>
        <c:smooth val="0"/>
        <c:axId val="830822592"/>
        <c:axId val="830818328"/>
      </c:lineChart>
      <c:catAx>
        <c:axId val="83082259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sz="1000"/>
                  <a:t>Month of Supply</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0818328"/>
        <c:crosses val="autoZero"/>
        <c:auto val="1"/>
        <c:lblAlgn val="ctr"/>
        <c:lblOffset val="100"/>
        <c:noMultiLvlLbl val="0"/>
      </c:catAx>
      <c:valAx>
        <c:axId val="830818328"/>
        <c:scaling>
          <c:orientation val="minMax"/>
          <c:max val="2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Prescriptions</a:t>
                </a:r>
              </a:p>
            </c:rich>
          </c:tx>
          <c:layout>
            <c:manualLayout>
              <c:xMode val="edge"/>
              <c:yMode val="edge"/>
              <c:x val="1.2202131091769161E-2"/>
              <c:y val="0.34976907026148635"/>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0822592"/>
        <c:crosses val="autoZero"/>
        <c:crossBetween val="between"/>
      </c:valAx>
      <c:spPr>
        <a:noFill/>
        <a:ln>
          <a:noFill/>
        </a:ln>
        <a:effectLst/>
      </c:spPr>
    </c:plotArea>
    <c:legend>
      <c:legendPos val="r"/>
      <c:layout>
        <c:manualLayout>
          <c:xMode val="edge"/>
          <c:yMode val="edge"/>
          <c:x val="0.76396167516014835"/>
          <c:y val="5.1437540996439553E-2"/>
          <c:w val="0.23603832483985165"/>
          <c:h val="0.78378579006043858"/>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[D1326 - PATCNTBY_DRUG_N_SUPP_Q - RCC only, by drug &amp; line, fig3-5.xlsx]Sheet1!PivotTable3</c:name>
    <c:fmtId val="-1"/>
  </c:pivotSource>
  <c:chart>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pivotFmt>
      <c:pivotFmt>
        <c:idx val="8"/>
        <c:spPr>
          <a:solidFill>
            <a:schemeClr val="accent1"/>
          </a:solidFill>
          <a:ln>
            <a:noFill/>
          </a:ln>
          <a:effectLst/>
        </c:spPr>
        <c:marker>
          <c:symbol val="none"/>
        </c:marker>
      </c:pivotFmt>
      <c:pivotFmt>
        <c:idx val="9"/>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pivotFmt>
      <c:pivotFmt>
        <c:idx val="10"/>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pivotFmt>
      <c:pivotFmt>
        <c:idx val="11"/>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pivotFmt>
      <c:pivotFmt>
        <c:idx val="12"/>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pivotFmt>
      <c:pivotFmt>
        <c:idx val="13"/>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pivotFmt>
      <c:pivotFmt>
        <c:idx val="14"/>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pivotFmt>
      <c:pivotFmt>
        <c:idx val="15"/>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pivotFmt>
      <c:pivotFmt>
        <c:idx val="16"/>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pivotFmt>
      <c:pivotFmt>
        <c:idx val="17"/>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pivotFmt>
      <c:pivotFmt>
        <c:idx val="18"/>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19"/>
        <c:spPr>
          <a:solidFill>
            <a:schemeClr val="accent1"/>
          </a:solidFill>
          <a:ln w="28575" cap="rnd">
            <a:solidFill>
              <a:schemeClr val="accent1"/>
            </a:solidFill>
            <a:round/>
          </a:ln>
          <a:effectLst/>
        </c:spPr>
        <c:marker>
          <c:symbol val="circle"/>
          <c:size val="5"/>
          <c:spPr>
            <a:solidFill>
              <a:schemeClr val="accent2"/>
            </a:solidFill>
            <a:ln w="9525">
              <a:solidFill>
                <a:schemeClr val="accent2"/>
              </a:solidFill>
            </a:ln>
            <a:effectLst/>
          </c:spPr>
        </c:marker>
      </c:pivotFmt>
      <c:pivotFmt>
        <c:idx val="20"/>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1"/>
        <c:spPr>
          <a:solidFill>
            <a:schemeClr val="accent1"/>
          </a:solidFill>
          <a:ln w="28575" cap="rnd">
            <a:solidFill>
              <a:schemeClr val="accent1"/>
            </a:solidFill>
            <a:round/>
          </a:ln>
          <a:effectLst/>
        </c:spPr>
        <c:marker>
          <c:symbol val="circle"/>
          <c:size val="5"/>
          <c:spPr>
            <a:solidFill>
              <a:schemeClr val="accent2"/>
            </a:solidFill>
            <a:ln w="9525">
              <a:solidFill>
                <a:schemeClr val="accent2"/>
              </a:solidFill>
            </a:ln>
            <a:effectLst/>
          </c:spPr>
        </c:marker>
      </c:pivotFmt>
      <c:pivotFmt>
        <c:idx val="22"/>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3"/>
        <c:spPr>
          <a:solidFill>
            <a:schemeClr val="accent1"/>
          </a:solidFill>
          <a:ln w="28575" cap="rnd">
            <a:solidFill>
              <a:schemeClr val="accent1"/>
            </a:solidFill>
            <a:round/>
          </a:ln>
          <a:effectLst/>
        </c:spPr>
        <c:marker>
          <c:symbol val="circle"/>
          <c:size val="5"/>
          <c:spPr>
            <a:solidFill>
              <a:schemeClr val="accent2"/>
            </a:solidFill>
            <a:ln w="9525">
              <a:solidFill>
                <a:schemeClr val="accent2"/>
              </a:solidFill>
            </a:ln>
            <a:effectLst/>
          </c:spPr>
        </c:marker>
      </c:pivotFmt>
    </c:pivotFmts>
    <c:plotArea>
      <c:layout/>
      <c:lineChart>
        <c:grouping val="standard"/>
        <c:varyColors val="0"/>
        <c:ser>
          <c:idx val="0"/>
          <c:order val="0"/>
          <c:tx>
            <c:strRef>
              <c:f>Sheet1!$B$1:$B$2</c:f>
              <c:strCache>
                <c:ptCount val="1"/>
                <c:pt idx="0">
                  <c:v>prevalent patients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Sheet1!$A$3:$A$52</c:f>
              <c:strCache>
                <c:ptCount val="49"/>
                <c:pt idx="0">
                  <c:v>2009Q2</c:v>
                </c:pt>
                <c:pt idx="1">
                  <c:v>2009Q3</c:v>
                </c:pt>
                <c:pt idx="2">
                  <c:v>2009Q4</c:v>
                </c:pt>
                <c:pt idx="3">
                  <c:v>2010Q1</c:v>
                </c:pt>
                <c:pt idx="4">
                  <c:v>2010Q2</c:v>
                </c:pt>
                <c:pt idx="5">
                  <c:v>2010Q3</c:v>
                </c:pt>
                <c:pt idx="6">
                  <c:v>2010Q4</c:v>
                </c:pt>
                <c:pt idx="7">
                  <c:v>2011Q1</c:v>
                </c:pt>
                <c:pt idx="8">
                  <c:v>2011Q2</c:v>
                </c:pt>
                <c:pt idx="9">
                  <c:v>2011Q3</c:v>
                </c:pt>
                <c:pt idx="10">
                  <c:v>2011Q4</c:v>
                </c:pt>
                <c:pt idx="11">
                  <c:v>2012Q1</c:v>
                </c:pt>
                <c:pt idx="12">
                  <c:v>2012Q2</c:v>
                </c:pt>
                <c:pt idx="13">
                  <c:v>2012Q3</c:v>
                </c:pt>
                <c:pt idx="14">
                  <c:v>2012Q4</c:v>
                </c:pt>
                <c:pt idx="15">
                  <c:v>2013Q1</c:v>
                </c:pt>
                <c:pt idx="16">
                  <c:v>2013Q2</c:v>
                </c:pt>
                <c:pt idx="17">
                  <c:v>2013Q3</c:v>
                </c:pt>
                <c:pt idx="18">
                  <c:v>2013Q4</c:v>
                </c:pt>
                <c:pt idx="19">
                  <c:v>2014Q1</c:v>
                </c:pt>
                <c:pt idx="20">
                  <c:v>2014Q2</c:v>
                </c:pt>
                <c:pt idx="21">
                  <c:v>2014Q3</c:v>
                </c:pt>
                <c:pt idx="22">
                  <c:v>2014Q4</c:v>
                </c:pt>
                <c:pt idx="23">
                  <c:v>2015Q1</c:v>
                </c:pt>
                <c:pt idx="24">
                  <c:v>2015Q2</c:v>
                </c:pt>
                <c:pt idx="25">
                  <c:v>2015Q3</c:v>
                </c:pt>
                <c:pt idx="26">
                  <c:v>2015Q4</c:v>
                </c:pt>
                <c:pt idx="27">
                  <c:v>2016Q1</c:v>
                </c:pt>
                <c:pt idx="28">
                  <c:v>2016Q2</c:v>
                </c:pt>
                <c:pt idx="29">
                  <c:v>2016Q3</c:v>
                </c:pt>
                <c:pt idx="30">
                  <c:v>2016Q4</c:v>
                </c:pt>
                <c:pt idx="31">
                  <c:v>2017Q1</c:v>
                </c:pt>
                <c:pt idx="32">
                  <c:v>2017Q2</c:v>
                </c:pt>
                <c:pt idx="33">
                  <c:v>2017Q3</c:v>
                </c:pt>
                <c:pt idx="34">
                  <c:v>2017Q4</c:v>
                </c:pt>
                <c:pt idx="35">
                  <c:v>2018Q1</c:v>
                </c:pt>
                <c:pt idx="36">
                  <c:v>2018Q2</c:v>
                </c:pt>
                <c:pt idx="37">
                  <c:v>2018Q3</c:v>
                </c:pt>
                <c:pt idx="38">
                  <c:v>2018Q4</c:v>
                </c:pt>
                <c:pt idx="39">
                  <c:v>2019Q1</c:v>
                </c:pt>
                <c:pt idx="40">
                  <c:v>2019Q2</c:v>
                </c:pt>
                <c:pt idx="41">
                  <c:v>2019Q3</c:v>
                </c:pt>
                <c:pt idx="42">
                  <c:v>2019Q4</c:v>
                </c:pt>
                <c:pt idx="43">
                  <c:v>2020Q1</c:v>
                </c:pt>
                <c:pt idx="44">
                  <c:v>2020Q2</c:v>
                </c:pt>
                <c:pt idx="45">
                  <c:v>2020Q3</c:v>
                </c:pt>
                <c:pt idx="46">
                  <c:v>2020Q4</c:v>
                </c:pt>
                <c:pt idx="47">
                  <c:v>2021Q1</c:v>
                </c:pt>
                <c:pt idx="48">
                  <c:v>2021Q2</c:v>
                </c:pt>
              </c:strCache>
            </c:strRef>
          </c:cat>
          <c:val>
            <c:numRef>
              <c:f>Sheet1!$B$3:$B$52</c:f>
              <c:numCache>
                <c:formatCode>General</c:formatCode>
                <c:ptCount val="49"/>
                <c:pt idx="0">
                  <c:v>400</c:v>
                </c:pt>
                <c:pt idx="1">
                  <c:v>532</c:v>
                </c:pt>
                <c:pt idx="2">
                  <c:v>531</c:v>
                </c:pt>
                <c:pt idx="3">
                  <c:v>510</c:v>
                </c:pt>
                <c:pt idx="4">
                  <c:v>543</c:v>
                </c:pt>
                <c:pt idx="5">
                  <c:v>579</c:v>
                </c:pt>
                <c:pt idx="6">
                  <c:v>582</c:v>
                </c:pt>
                <c:pt idx="7">
                  <c:v>562</c:v>
                </c:pt>
                <c:pt idx="8">
                  <c:v>588</c:v>
                </c:pt>
                <c:pt idx="9">
                  <c:v>579</c:v>
                </c:pt>
                <c:pt idx="10">
                  <c:v>580</c:v>
                </c:pt>
                <c:pt idx="11">
                  <c:v>595</c:v>
                </c:pt>
                <c:pt idx="12">
                  <c:v>603</c:v>
                </c:pt>
                <c:pt idx="13">
                  <c:v>631</c:v>
                </c:pt>
                <c:pt idx="14">
                  <c:v>724</c:v>
                </c:pt>
                <c:pt idx="15">
                  <c:v>696</c:v>
                </c:pt>
                <c:pt idx="16">
                  <c:v>700</c:v>
                </c:pt>
                <c:pt idx="17">
                  <c:v>687</c:v>
                </c:pt>
                <c:pt idx="18">
                  <c:v>754</c:v>
                </c:pt>
                <c:pt idx="19">
                  <c:v>757</c:v>
                </c:pt>
                <c:pt idx="20">
                  <c:v>821</c:v>
                </c:pt>
                <c:pt idx="21">
                  <c:v>863</c:v>
                </c:pt>
                <c:pt idx="22">
                  <c:v>928</c:v>
                </c:pt>
                <c:pt idx="23">
                  <c:v>879</c:v>
                </c:pt>
                <c:pt idx="24">
                  <c:v>919</c:v>
                </c:pt>
                <c:pt idx="25">
                  <c:v>946</c:v>
                </c:pt>
                <c:pt idx="26">
                  <c:v>954</c:v>
                </c:pt>
                <c:pt idx="27">
                  <c:v>913</c:v>
                </c:pt>
                <c:pt idx="28">
                  <c:v>932</c:v>
                </c:pt>
                <c:pt idx="29">
                  <c:v>950</c:v>
                </c:pt>
                <c:pt idx="30">
                  <c:v>994</c:v>
                </c:pt>
                <c:pt idx="31">
                  <c:v>1039</c:v>
                </c:pt>
                <c:pt idx="32">
                  <c:v>1079</c:v>
                </c:pt>
                <c:pt idx="33">
                  <c:v>1184</c:v>
                </c:pt>
                <c:pt idx="34">
                  <c:v>1234</c:v>
                </c:pt>
                <c:pt idx="35">
                  <c:v>1217</c:v>
                </c:pt>
                <c:pt idx="36">
                  <c:v>1283</c:v>
                </c:pt>
                <c:pt idx="37">
                  <c:v>1342</c:v>
                </c:pt>
                <c:pt idx="38">
                  <c:v>1408</c:v>
                </c:pt>
                <c:pt idx="39">
                  <c:v>1411</c:v>
                </c:pt>
                <c:pt idx="40">
                  <c:v>1461</c:v>
                </c:pt>
                <c:pt idx="41">
                  <c:v>1526</c:v>
                </c:pt>
                <c:pt idx="42">
                  <c:v>1492</c:v>
                </c:pt>
                <c:pt idx="43">
                  <c:v>1491</c:v>
                </c:pt>
                <c:pt idx="44">
                  <c:v>1486</c:v>
                </c:pt>
                <c:pt idx="45">
                  <c:v>1525</c:v>
                </c:pt>
                <c:pt idx="46">
                  <c:v>1575</c:v>
                </c:pt>
                <c:pt idx="47">
                  <c:v>1545</c:v>
                </c:pt>
                <c:pt idx="48">
                  <c:v>1579</c:v>
                </c:pt>
              </c:numCache>
            </c:numRef>
          </c:val>
          <c:smooth val="0"/>
          <c:extLst>
            <c:ext xmlns:c16="http://schemas.microsoft.com/office/drawing/2014/chart" uri="{C3380CC4-5D6E-409C-BE32-E72D297353CC}">
              <c16:uniqueId val="{00000000-C0B9-420D-A178-83A14AD3F44F}"/>
            </c:ext>
          </c:extLst>
        </c:ser>
        <c:ser>
          <c:idx val="1"/>
          <c:order val="1"/>
          <c:tx>
            <c:strRef>
              <c:f>Sheet1!$C$1:$C$2</c:f>
              <c:strCache>
                <c:ptCount val="1"/>
                <c:pt idx="0">
                  <c:v>initiating patients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Sheet1!$A$3:$A$52</c:f>
              <c:strCache>
                <c:ptCount val="49"/>
                <c:pt idx="0">
                  <c:v>2009Q2</c:v>
                </c:pt>
                <c:pt idx="1">
                  <c:v>2009Q3</c:v>
                </c:pt>
                <c:pt idx="2">
                  <c:v>2009Q4</c:v>
                </c:pt>
                <c:pt idx="3">
                  <c:v>2010Q1</c:v>
                </c:pt>
                <c:pt idx="4">
                  <c:v>2010Q2</c:v>
                </c:pt>
                <c:pt idx="5">
                  <c:v>2010Q3</c:v>
                </c:pt>
                <c:pt idx="6">
                  <c:v>2010Q4</c:v>
                </c:pt>
                <c:pt idx="7">
                  <c:v>2011Q1</c:v>
                </c:pt>
                <c:pt idx="8">
                  <c:v>2011Q2</c:v>
                </c:pt>
                <c:pt idx="9">
                  <c:v>2011Q3</c:v>
                </c:pt>
                <c:pt idx="10">
                  <c:v>2011Q4</c:v>
                </c:pt>
                <c:pt idx="11">
                  <c:v>2012Q1</c:v>
                </c:pt>
                <c:pt idx="12">
                  <c:v>2012Q2</c:v>
                </c:pt>
                <c:pt idx="13">
                  <c:v>2012Q3</c:v>
                </c:pt>
                <c:pt idx="14">
                  <c:v>2012Q4</c:v>
                </c:pt>
                <c:pt idx="15">
                  <c:v>2013Q1</c:v>
                </c:pt>
                <c:pt idx="16">
                  <c:v>2013Q2</c:v>
                </c:pt>
                <c:pt idx="17">
                  <c:v>2013Q3</c:v>
                </c:pt>
                <c:pt idx="18">
                  <c:v>2013Q4</c:v>
                </c:pt>
                <c:pt idx="19">
                  <c:v>2014Q1</c:v>
                </c:pt>
                <c:pt idx="20">
                  <c:v>2014Q2</c:v>
                </c:pt>
                <c:pt idx="21">
                  <c:v>2014Q3</c:v>
                </c:pt>
                <c:pt idx="22">
                  <c:v>2014Q4</c:v>
                </c:pt>
                <c:pt idx="23">
                  <c:v>2015Q1</c:v>
                </c:pt>
                <c:pt idx="24">
                  <c:v>2015Q2</c:v>
                </c:pt>
                <c:pt idx="25">
                  <c:v>2015Q3</c:v>
                </c:pt>
                <c:pt idx="26">
                  <c:v>2015Q4</c:v>
                </c:pt>
                <c:pt idx="27">
                  <c:v>2016Q1</c:v>
                </c:pt>
                <c:pt idx="28">
                  <c:v>2016Q2</c:v>
                </c:pt>
                <c:pt idx="29">
                  <c:v>2016Q3</c:v>
                </c:pt>
                <c:pt idx="30">
                  <c:v>2016Q4</c:v>
                </c:pt>
                <c:pt idx="31">
                  <c:v>2017Q1</c:v>
                </c:pt>
                <c:pt idx="32">
                  <c:v>2017Q2</c:v>
                </c:pt>
                <c:pt idx="33">
                  <c:v>2017Q3</c:v>
                </c:pt>
                <c:pt idx="34">
                  <c:v>2017Q4</c:v>
                </c:pt>
                <c:pt idx="35">
                  <c:v>2018Q1</c:v>
                </c:pt>
                <c:pt idx="36">
                  <c:v>2018Q2</c:v>
                </c:pt>
                <c:pt idx="37">
                  <c:v>2018Q3</c:v>
                </c:pt>
                <c:pt idx="38">
                  <c:v>2018Q4</c:v>
                </c:pt>
                <c:pt idx="39">
                  <c:v>2019Q1</c:v>
                </c:pt>
                <c:pt idx="40">
                  <c:v>2019Q2</c:v>
                </c:pt>
                <c:pt idx="41">
                  <c:v>2019Q3</c:v>
                </c:pt>
                <c:pt idx="42">
                  <c:v>2019Q4</c:v>
                </c:pt>
                <c:pt idx="43">
                  <c:v>2020Q1</c:v>
                </c:pt>
                <c:pt idx="44">
                  <c:v>2020Q2</c:v>
                </c:pt>
                <c:pt idx="45">
                  <c:v>2020Q3</c:v>
                </c:pt>
                <c:pt idx="46">
                  <c:v>2020Q4</c:v>
                </c:pt>
                <c:pt idx="47">
                  <c:v>2021Q1</c:v>
                </c:pt>
                <c:pt idx="48">
                  <c:v>2021Q2</c:v>
                </c:pt>
              </c:strCache>
            </c:strRef>
          </c:cat>
          <c:val>
            <c:numRef>
              <c:f>Sheet1!$C$3:$C$52</c:f>
              <c:numCache>
                <c:formatCode>General</c:formatCode>
                <c:ptCount val="49"/>
                <c:pt idx="0">
                  <c:v>400</c:v>
                </c:pt>
                <c:pt idx="1">
                  <c:v>200</c:v>
                </c:pt>
                <c:pt idx="2">
                  <c:v>118</c:v>
                </c:pt>
                <c:pt idx="3">
                  <c:v>125</c:v>
                </c:pt>
                <c:pt idx="4">
                  <c:v>137</c:v>
                </c:pt>
                <c:pt idx="5">
                  <c:v>130</c:v>
                </c:pt>
                <c:pt idx="6">
                  <c:v>138</c:v>
                </c:pt>
                <c:pt idx="7">
                  <c:v>117</c:v>
                </c:pt>
                <c:pt idx="8">
                  <c:v>119</c:v>
                </c:pt>
                <c:pt idx="9">
                  <c:v>141</c:v>
                </c:pt>
                <c:pt idx="10">
                  <c:v>120</c:v>
                </c:pt>
                <c:pt idx="11">
                  <c:v>128</c:v>
                </c:pt>
                <c:pt idx="12">
                  <c:v>119</c:v>
                </c:pt>
                <c:pt idx="13">
                  <c:v>116</c:v>
                </c:pt>
                <c:pt idx="14">
                  <c:v>157</c:v>
                </c:pt>
                <c:pt idx="15">
                  <c:v>132</c:v>
                </c:pt>
                <c:pt idx="16">
                  <c:v>116</c:v>
                </c:pt>
                <c:pt idx="17">
                  <c:v>130</c:v>
                </c:pt>
                <c:pt idx="18">
                  <c:v>153</c:v>
                </c:pt>
                <c:pt idx="19">
                  <c:v>145</c:v>
                </c:pt>
                <c:pt idx="20">
                  <c:v>170</c:v>
                </c:pt>
                <c:pt idx="21">
                  <c:v>169</c:v>
                </c:pt>
                <c:pt idx="22">
                  <c:v>168</c:v>
                </c:pt>
                <c:pt idx="23">
                  <c:v>125</c:v>
                </c:pt>
                <c:pt idx="24">
                  <c:v>167</c:v>
                </c:pt>
                <c:pt idx="25">
                  <c:v>207</c:v>
                </c:pt>
                <c:pt idx="26">
                  <c:v>182</c:v>
                </c:pt>
                <c:pt idx="27">
                  <c:v>182</c:v>
                </c:pt>
                <c:pt idx="28">
                  <c:v>190</c:v>
                </c:pt>
                <c:pt idx="29">
                  <c:v>164</c:v>
                </c:pt>
                <c:pt idx="30">
                  <c:v>186</c:v>
                </c:pt>
                <c:pt idx="31">
                  <c:v>192</c:v>
                </c:pt>
                <c:pt idx="32">
                  <c:v>200</c:v>
                </c:pt>
                <c:pt idx="33">
                  <c:v>234</c:v>
                </c:pt>
                <c:pt idx="34">
                  <c:v>225</c:v>
                </c:pt>
                <c:pt idx="35">
                  <c:v>196</c:v>
                </c:pt>
                <c:pt idx="36">
                  <c:v>244</c:v>
                </c:pt>
                <c:pt idx="37">
                  <c:v>276</c:v>
                </c:pt>
                <c:pt idx="38">
                  <c:v>256</c:v>
                </c:pt>
                <c:pt idx="39">
                  <c:v>250</c:v>
                </c:pt>
                <c:pt idx="40">
                  <c:v>237</c:v>
                </c:pt>
                <c:pt idx="41">
                  <c:v>267</c:v>
                </c:pt>
                <c:pt idx="42">
                  <c:v>215</c:v>
                </c:pt>
                <c:pt idx="43">
                  <c:v>225</c:v>
                </c:pt>
                <c:pt idx="44">
                  <c:v>209</c:v>
                </c:pt>
                <c:pt idx="45">
                  <c:v>226</c:v>
                </c:pt>
                <c:pt idx="46">
                  <c:v>214</c:v>
                </c:pt>
                <c:pt idx="47">
                  <c:v>186</c:v>
                </c:pt>
                <c:pt idx="48">
                  <c:v>214</c:v>
                </c:pt>
              </c:numCache>
            </c:numRef>
          </c:val>
          <c:smooth val="0"/>
          <c:extLst>
            <c:ext xmlns:c16="http://schemas.microsoft.com/office/drawing/2014/chart" uri="{C3380CC4-5D6E-409C-BE32-E72D297353CC}">
              <c16:uniqueId val="{00000001-C0B9-420D-A178-83A14AD3F44F}"/>
            </c:ext>
          </c:extLst>
        </c:ser>
        <c:dLbls>
          <c:showLegendKey val="0"/>
          <c:showVal val="0"/>
          <c:showCatName val="0"/>
          <c:showSerName val="0"/>
          <c:showPercent val="0"/>
          <c:showBubbleSize val="0"/>
        </c:dLbls>
        <c:marker val="1"/>
        <c:smooth val="0"/>
        <c:axId val="823415984"/>
        <c:axId val="823416312"/>
      </c:lineChart>
      <c:catAx>
        <c:axId val="823415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3416312"/>
        <c:crosses val="autoZero"/>
        <c:auto val="1"/>
        <c:lblAlgn val="ctr"/>
        <c:lblOffset val="100"/>
        <c:noMultiLvlLbl val="0"/>
      </c:catAx>
      <c:valAx>
        <c:axId val="823416312"/>
        <c:scaling>
          <c:orientation val="minMax"/>
          <c:max val="16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Number</a:t>
                </a:r>
                <a:r>
                  <a:rPr lang="en-AU" baseline="0"/>
                  <a:t> of patients</a:t>
                </a:r>
                <a:endParaRPr lang="en-AU"/>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341598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[D1326 - PATCNTBY_DRUG_N_SUPP_Q - RCC only, by drug &amp; line, fig3-5.xlsx]Sheet1 (2)!PivotTable3</c:name>
    <c:fmtId val="-1"/>
  </c:pivotSource>
  <c:chart>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pivotFmt>
      <c:pivotFmt>
        <c:idx val="8"/>
        <c:spPr>
          <a:solidFill>
            <a:schemeClr val="accent1"/>
          </a:solidFill>
          <a:ln>
            <a:noFill/>
          </a:ln>
          <a:effectLst/>
        </c:spPr>
        <c:marker>
          <c:symbol val="none"/>
        </c:marker>
      </c:pivotFmt>
      <c:pivotFmt>
        <c:idx val="9"/>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pivotFmt>
      <c:pivotFmt>
        <c:idx val="10"/>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pivotFmt>
      <c:pivotFmt>
        <c:idx val="11"/>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pivotFmt>
      <c:pivotFmt>
        <c:idx val="12"/>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pivotFmt>
      <c:pivotFmt>
        <c:idx val="13"/>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pivotFmt>
      <c:pivotFmt>
        <c:idx val="14"/>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pivotFmt>
      <c:pivotFmt>
        <c:idx val="15"/>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pivotFmt>
      <c:pivotFmt>
        <c:idx val="16"/>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pivotFmt>
      <c:pivotFmt>
        <c:idx val="17"/>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pivotFmt>
      <c:pivotFmt>
        <c:idx val="18"/>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19"/>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0"/>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1"/>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2"/>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3"/>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4"/>
        <c:spPr>
          <a:solidFill>
            <a:schemeClr val="accent1"/>
          </a:solidFill>
          <a:ln w="28575" cap="rnd">
            <a:solidFill>
              <a:schemeClr val="accent1"/>
            </a:solidFill>
            <a:round/>
          </a:ln>
          <a:effectLst/>
        </c:spPr>
        <c:marker>
          <c:symbol val="circle"/>
          <c:size val="5"/>
          <c:spPr>
            <a:solidFill>
              <a:schemeClr val="accent2">
                <a:lumMod val="60000"/>
              </a:schemeClr>
            </a:solidFill>
            <a:ln w="9525">
              <a:solidFill>
                <a:schemeClr val="accent2">
                  <a:lumMod val="60000"/>
                </a:schemeClr>
              </a:solidFill>
            </a:ln>
            <a:effectLst/>
          </c:spPr>
        </c:marker>
      </c:pivotFmt>
      <c:pivotFmt>
        <c:idx val="25"/>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6"/>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7"/>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8"/>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9"/>
        <c:spPr>
          <a:solidFill>
            <a:schemeClr val="accent1"/>
          </a:solidFill>
          <a:ln w="28575" cap="rnd">
            <a:solidFill>
              <a:schemeClr val="accent1"/>
            </a:solidFill>
            <a:round/>
          </a:ln>
          <a:effectLst/>
        </c:spPr>
        <c:marker>
          <c:symbol val="circle"/>
          <c:size val="5"/>
          <c:spPr>
            <a:solidFill>
              <a:schemeClr val="accent2"/>
            </a:solidFill>
            <a:ln w="9525">
              <a:solidFill>
                <a:schemeClr val="accent2"/>
              </a:solidFill>
            </a:ln>
            <a:effectLst/>
          </c:spPr>
        </c:marker>
      </c:pivotFmt>
      <c:pivotFmt>
        <c:idx val="30"/>
        <c:spPr>
          <a:solidFill>
            <a:schemeClr val="accent1"/>
          </a:solidFill>
          <a:ln w="28575" cap="rnd">
            <a:solidFill>
              <a:schemeClr val="accent1"/>
            </a:solidFill>
            <a:round/>
          </a:ln>
          <a:effectLst/>
        </c:spPr>
        <c:marker>
          <c:symbol val="circle"/>
          <c:size val="5"/>
          <c:spPr>
            <a:solidFill>
              <a:schemeClr val="accent3"/>
            </a:solidFill>
            <a:ln w="9525">
              <a:solidFill>
                <a:schemeClr val="accent3"/>
              </a:solidFill>
            </a:ln>
            <a:effectLst/>
          </c:spPr>
        </c:marker>
      </c:pivotFmt>
      <c:pivotFmt>
        <c:idx val="31"/>
        <c:spPr>
          <a:solidFill>
            <a:schemeClr val="accent1"/>
          </a:solidFill>
          <a:ln w="28575" cap="rnd">
            <a:solidFill>
              <a:schemeClr val="accent1"/>
            </a:solidFill>
            <a:round/>
          </a:ln>
          <a:effectLst/>
        </c:spPr>
        <c:marker>
          <c:symbol val="circle"/>
          <c:size val="5"/>
          <c:spPr>
            <a:solidFill>
              <a:schemeClr val="accent4"/>
            </a:solidFill>
            <a:ln w="9525">
              <a:solidFill>
                <a:schemeClr val="accent4"/>
              </a:solidFill>
            </a:ln>
            <a:effectLst/>
          </c:spPr>
        </c:marker>
      </c:pivotFmt>
      <c:pivotFmt>
        <c:idx val="32"/>
        <c:spPr>
          <a:solidFill>
            <a:schemeClr val="accent1"/>
          </a:solidFill>
          <a:ln w="28575" cap="rnd">
            <a:solidFill>
              <a:schemeClr val="accent1"/>
            </a:solidFill>
            <a:round/>
          </a:ln>
          <a:effectLst/>
        </c:spPr>
        <c:marker>
          <c:symbol val="circle"/>
          <c:size val="5"/>
          <c:spPr>
            <a:solidFill>
              <a:schemeClr val="accent5"/>
            </a:solidFill>
            <a:ln w="9525">
              <a:solidFill>
                <a:schemeClr val="accent5"/>
              </a:solidFill>
            </a:ln>
            <a:effectLst/>
          </c:spPr>
        </c:marker>
      </c:pivotFmt>
      <c:pivotFmt>
        <c:idx val="33"/>
        <c:spPr>
          <a:solidFill>
            <a:schemeClr val="accent1"/>
          </a:solidFill>
          <a:ln w="28575" cap="rnd">
            <a:solidFill>
              <a:schemeClr val="accent1"/>
            </a:solidFill>
            <a:round/>
          </a:ln>
          <a:effectLst/>
        </c:spPr>
        <c:marker>
          <c:symbol val="circle"/>
          <c:size val="5"/>
          <c:spPr>
            <a:solidFill>
              <a:schemeClr val="accent6"/>
            </a:solidFill>
            <a:ln w="9525">
              <a:solidFill>
                <a:schemeClr val="accent6"/>
              </a:solidFill>
            </a:ln>
            <a:effectLst/>
          </c:spPr>
        </c:marker>
      </c:pivotFmt>
      <c:pivotFmt>
        <c:idx val="34"/>
        <c:spPr>
          <a:solidFill>
            <a:schemeClr val="accent1"/>
          </a:solidFill>
          <a:ln w="28575" cap="rnd">
            <a:solidFill>
              <a:schemeClr val="accent1"/>
            </a:solidFill>
            <a:round/>
          </a:ln>
          <a:effectLst/>
        </c:spPr>
        <c:marker>
          <c:symbol val="circle"/>
          <c:size val="5"/>
          <c:spPr>
            <a:solidFill>
              <a:schemeClr val="accent1">
                <a:lumMod val="60000"/>
              </a:schemeClr>
            </a:solidFill>
            <a:ln w="9525">
              <a:solidFill>
                <a:schemeClr val="accent1">
                  <a:lumMod val="60000"/>
                </a:schemeClr>
              </a:solidFill>
            </a:ln>
            <a:effectLst/>
          </c:spPr>
        </c:marker>
      </c:pivotFmt>
      <c:pivotFmt>
        <c:idx val="35"/>
        <c:spPr>
          <a:solidFill>
            <a:schemeClr val="accent1"/>
          </a:solidFill>
          <a:ln w="28575" cap="rnd">
            <a:solidFill>
              <a:schemeClr val="accent1"/>
            </a:solidFill>
            <a:round/>
          </a:ln>
          <a:effectLst/>
        </c:spPr>
        <c:marker>
          <c:symbol val="circle"/>
          <c:size val="5"/>
          <c:spPr>
            <a:solidFill>
              <a:schemeClr val="accent2">
                <a:lumMod val="60000"/>
              </a:schemeClr>
            </a:solidFill>
            <a:ln w="9525">
              <a:solidFill>
                <a:schemeClr val="accent2">
                  <a:lumMod val="60000"/>
                </a:schemeClr>
              </a:solidFill>
            </a:ln>
            <a:effectLst/>
          </c:spPr>
        </c:marker>
      </c:pivotFmt>
      <c:pivotFmt>
        <c:idx val="36"/>
        <c:spPr>
          <a:solidFill>
            <a:schemeClr val="accent1"/>
          </a:solidFill>
          <a:ln w="28575" cap="rnd">
            <a:solidFill>
              <a:schemeClr val="accent1"/>
            </a:solidFill>
            <a:round/>
          </a:ln>
          <a:effectLst/>
        </c:spPr>
        <c:marker>
          <c:symbol val="circle"/>
          <c:size val="5"/>
          <c:spPr>
            <a:solidFill>
              <a:schemeClr val="accent3">
                <a:lumMod val="60000"/>
              </a:schemeClr>
            </a:solidFill>
            <a:ln w="9525">
              <a:solidFill>
                <a:schemeClr val="accent3">
                  <a:lumMod val="60000"/>
                </a:schemeClr>
              </a:solidFill>
            </a:ln>
            <a:effectLst/>
          </c:spPr>
        </c:marker>
      </c:pivotFmt>
      <c:pivotFmt>
        <c:idx val="37"/>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38"/>
        <c:spPr>
          <a:solidFill>
            <a:schemeClr val="accent1"/>
          </a:solidFill>
          <a:ln w="28575" cap="rnd">
            <a:solidFill>
              <a:schemeClr val="accent1"/>
            </a:solidFill>
            <a:round/>
          </a:ln>
          <a:effectLst/>
        </c:spPr>
        <c:marker>
          <c:symbol val="circle"/>
          <c:size val="5"/>
          <c:spPr>
            <a:solidFill>
              <a:schemeClr val="accent2"/>
            </a:solidFill>
            <a:ln w="9525">
              <a:solidFill>
                <a:schemeClr val="accent2"/>
              </a:solidFill>
            </a:ln>
            <a:effectLst/>
          </c:spPr>
        </c:marker>
      </c:pivotFmt>
      <c:pivotFmt>
        <c:idx val="39"/>
        <c:spPr>
          <a:solidFill>
            <a:schemeClr val="accent1"/>
          </a:solidFill>
          <a:ln w="28575" cap="rnd">
            <a:solidFill>
              <a:schemeClr val="accent1"/>
            </a:solidFill>
            <a:round/>
          </a:ln>
          <a:effectLst/>
        </c:spPr>
        <c:marker>
          <c:symbol val="circle"/>
          <c:size val="5"/>
          <c:spPr>
            <a:solidFill>
              <a:schemeClr val="accent3"/>
            </a:solidFill>
            <a:ln w="9525">
              <a:solidFill>
                <a:schemeClr val="accent3"/>
              </a:solidFill>
            </a:ln>
            <a:effectLst/>
          </c:spPr>
        </c:marker>
      </c:pivotFmt>
      <c:pivotFmt>
        <c:idx val="40"/>
        <c:spPr>
          <a:solidFill>
            <a:schemeClr val="accent1"/>
          </a:solidFill>
          <a:ln w="28575" cap="rnd">
            <a:solidFill>
              <a:schemeClr val="accent1"/>
            </a:solidFill>
            <a:round/>
          </a:ln>
          <a:effectLst/>
        </c:spPr>
        <c:marker>
          <c:symbol val="circle"/>
          <c:size val="5"/>
          <c:spPr>
            <a:solidFill>
              <a:schemeClr val="accent4"/>
            </a:solidFill>
            <a:ln w="9525">
              <a:solidFill>
                <a:schemeClr val="accent4"/>
              </a:solidFill>
            </a:ln>
            <a:effectLst/>
          </c:spPr>
        </c:marker>
      </c:pivotFmt>
      <c:pivotFmt>
        <c:idx val="41"/>
        <c:spPr>
          <a:solidFill>
            <a:schemeClr val="accent1"/>
          </a:solidFill>
          <a:ln w="28575" cap="rnd">
            <a:solidFill>
              <a:schemeClr val="accent1"/>
            </a:solidFill>
            <a:round/>
          </a:ln>
          <a:effectLst/>
        </c:spPr>
        <c:marker>
          <c:symbol val="circle"/>
          <c:size val="5"/>
          <c:spPr>
            <a:solidFill>
              <a:schemeClr val="accent5"/>
            </a:solidFill>
            <a:ln w="9525">
              <a:solidFill>
                <a:schemeClr val="accent5"/>
              </a:solidFill>
            </a:ln>
            <a:effectLst/>
          </c:spPr>
        </c:marker>
      </c:pivotFmt>
      <c:pivotFmt>
        <c:idx val="42"/>
        <c:spPr>
          <a:solidFill>
            <a:schemeClr val="accent1"/>
          </a:solidFill>
          <a:ln w="28575" cap="rnd">
            <a:solidFill>
              <a:schemeClr val="accent1"/>
            </a:solidFill>
            <a:round/>
          </a:ln>
          <a:effectLst/>
        </c:spPr>
        <c:marker>
          <c:symbol val="circle"/>
          <c:size val="5"/>
          <c:spPr>
            <a:solidFill>
              <a:schemeClr val="accent6"/>
            </a:solidFill>
            <a:ln w="9525">
              <a:solidFill>
                <a:schemeClr val="accent6"/>
              </a:solidFill>
            </a:ln>
            <a:effectLst/>
          </c:spPr>
        </c:marker>
      </c:pivotFmt>
      <c:pivotFmt>
        <c:idx val="43"/>
        <c:spPr>
          <a:solidFill>
            <a:schemeClr val="accent1"/>
          </a:solidFill>
          <a:ln w="28575" cap="rnd">
            <a:solidFill>
              <a:schemeClr val="accent1"/>
            </a:solidFill>
            <a:round/>
          </a:ln>
          <a:effectLst/>
        </c:spPr>
        <c:marker>
          <c:symbol val="circle"/>
          <c:size val="5"/>
          <c:spPr>
            <a:solidFill>
              <a:schemeClr val="accent1">
                <a:lumMod val="60000"/>
              </a:schemeClr>
            </a:solidFill>
            <a:ln w="9525">
              <a:solidFill>
                <a:schemeClr val="accent1">
                  <a:lumMod val="60000"/>
                </a:schemeClr>
              </a:solidFill>
            </a:ln>
            <a:effectLst/>
          </c:spPr>
        </c:marker>
      </c:pivotFmt>
      <c:pivotFmt>
        <c:idx val="44"/>
        <c:spPr>
          <a:solidFill>
            <a:schemeClr val="accent1"/>
          </a:solidFill>
          <a:ln w="28575" cap="rnd">
            <a:solidFill>
              <a:schemeClr val="accent1"/>
            </a:solidFill>
            <a:round/>
          </a:ln>
          <a:effectLst/>
        </c:spPr>
        <c:marker>
          <c:symbol val="circle"/>
          <c:size val="5"/>
          <c:spPr>
            <a:solidFill>
              <a:schemeClr val="accent2">
                <a:lumMod val="60000"/>
              </a:schemeClr>
            </a:solidFill>
            <a:ln w="9525">
              <a:solidFill>
                <a:schemeClr val="accent2">
                  <a:lumMod val="60000"/>
                </a:schemeClr>
              </a:solidFill>
            </a:ln>
            <a:effectLst/>
          </c:spPr>
        </c:marker>
      </c:pivotFmt>
      <c:pivotFmt>
        <c:idx val="45"/>
        <c:spPr>
          <a:solidFill>
            <a:schemeClr val="accent1"/>
          </a:solidFill>
          <a:ln w="28575" cap="rnd">
            <a:solidFill>
              <a:schemeClr val="accent1"/>
            </a:solidFill>
            <a:round/>
          </a:ln>
          <a:effectLst/>
        </c:spPr>
        <c:marker>
          <c:symbol val="circle"/>
          <c:size val="5"/>
          <c:spPr>
            <a:solidFill>
              <a:schemeClr val="accent3">
                <a:lumMod val="60000"/>
              </a:schemeClr>
            </a:solidFill>
            <a:ln w="9525">
              <a:solidFill>
                <a:schemeClr val="accent3">
                  <a:lumMod val="60000"/>
                </a:schemeClr>
              </a:solidFill>
            </a:ln>
            <a:effectLst/>
          </c:spPr>
        </c:marker>
      </c:pivotFmt>
      <c:pivotFmt>
        <c:idx val="46"/>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47"/>
        <c:spPr>
          <a:solidFill>
            <a:schemeClr val="accent1"/>
          </a:solidFill>
          <a:ln w="28575" cap="rnd">
            <a:solidFill>
              <a:schemeClr val="accent1"/>
            </a:solidFill>
            <a:round/>
          </a:ln>
          <a:effectLst/>
        </c:spPr>
        <c:marker>
          <c:symbol val="circle"/>
          <c:size val="5"/>
          <c:spPr>
            <a:solidFill>
              <a:schemeClr val="accent2"/>
            </a:solidFill>
            <a:ln w="9525">
              <a:solidFill>
                <a:schemeClr val="accent2"/>
              </a:solidFill>
            </a:ln>
            <a:effectLst/>
          </c:spPr>
        </c:marker>
      </c:pivotFmt>
      <c:pivotFmt>
        <c:idx val="48"/>
        <c:spPr>
          <a:solidFill>
            <a:schemeClr val="accent1"/>
          </a:solidFill>
          <a:ln w="28575" cap="rnd">
            <a:solidFill>
              <a:schemeClr val="accent1"/>
            </a:solidFill>
            <a:round/>
          </a:ln>
          <a:effectLst/>
        </c:spPr>
        <c:marker>
          <c:symbol val="circle"/>
          <c:size val="5"/>
          <c:spPr>
            <a:solidFill>
              <a:schemeClr val="accent3"/>
            </a:solidFill>
            <a:ln w="9525">
              <a:solidFill>
                <a:schemeClr val="accent3"/>
              </a:solidFill>
            </a:ln>
            <a:effectLst/>
          </c:spPr>
        </c:marker>
      </c:pivotFmt>
      <c:pivotFmt>
        <c:idx val="49"/>
        <c:spPr>
          <a:solidFill>
            <a:schemeClr val="accent1"/>
          </a:solidFill>
          <a:ln w="28575" cap="rnd">
            <a:solidFill>
              <a:schemeClr val="accent1"/>
            </a:solidFill>
            <a:round/>
          </a:ln>
          <a:effectLst/>
        </c:spPr>
        <c:marker>
          <c:symbol val="circle"/>
          <c:size val="5"/>
          <c:spPr>
            <a:solidFill>
              <a:schemeClr val="accent4"/>
            </a:solidFill>
            <a:ln w="9525">
              <a:solidFill>
                <a:schemeClr val="accent4"/>
              </a:solidFill>
            </a:ln>
            <a:effectLst/>
          </c:spPr>
        </c:marker>
      </c:pivotFmt>
      <c:pivotFmt>
        <c:idx val="50"/>
        <c:spPr>
          <a:solidFill>
            <a:schemeClr val="accent1"/>
          </a:solidFill>
          <a:ln w="28575" cap="rnd">
            <a:solidFill>
              <a:schemeClr val="accent1"/>
            </a:solidFill>
            <a:round/>
          </a:ln>
          <a:effectLst/>
        </c:spPr>
        <c:marker>
          <c:symbol val="circle"/>
          <c:size val="5"/>
          <c:spPr>
            <a:solidFill>
              <a:schemeClr val="accent5"/>
            </a:solidFill>
            <a:ln w="9525">
              <a:solidFill>
                <a:schemeClr val="accent5"/>
              </a:solidFill>
            </a:ln>
            <a:effectLst/>
          </c:spPr>
        </c:marker>
      </c:pivotFmt>
      <c:pivotFmt>
        <c:idx val="51"/>
        <c:spPr>
          <a:solidFill>
            <a:schemeClr val="accent1"/>
          </a:solidFill>
          <a:ln w="28575" cap="rnd">
            <a:solidFill>
              <a:schemeClr val="accent1"/>
            </a:solidFill>
            <a:round/>
          </a:ln>
          <a:effectLst/>
        </c:spPr>
        <c:marker>
          <c:symbol val="circle"/>
          <c:size val="5"/>
          <c:spPr>
            <a:solidFill>
              <a:schemeClr val="accent6"/>
            </a:solidFill>
            <a:ln w="9525">
              <a:solidFill>
                <a:schemeClr val="accent6"/>
              </a:solidFill>
            </a:ln>
            <a:effectLst/>
          </c:spPr>
        </c:marker>
      </c:pivotFmt>
      <c:pivotFmt>
        <c:idx val="52"/>
        <c:spPr>
          <a:solidFill>
            <a:schemeClr val="accent1"/>
          </a:solidFill>
          <a:ln w="28575" cap="rnd">
            <a:solidFill>
              <a:schemeClr val="accent1"/>
            </a:solidFill>
            <a:round/>
          </a:ln>
          <a:effectLst/>
        </c:spPr>
        <c:marker>
          <c:symbol val="circle"/>
          <c:size val="5"/>
          <c:spPr>
            <a:solidFill>
              <a:schemeClr val="accent1">
                <a:lumMod val="60000"/>
              </a:schemeClr>
            </a:solidFill>
            <a:ln w="9525">
              <a:solidFill>
                <a:schemeClr val="accent1">
                  <a:lumMod val="60000"/>
                </a:schemeClr>
              </a:solidFill>
            </a:ln>
            <a:effectLst/>
          </c:spPr>
        </c:marker>
      </c:pivotFmt>
      <c:pivotFmt>
        <c:idx val="53"/>
        <c:spPr>
          <a:solidFill>
            <a:schemeClr val="accent1"/>
          </a:solidFill>
          <a:ln w="28575" cap="rnd">
            <a:solidFill>
              <a:schemeClr val="accent1"/>
            </a:solidFill>
            <a:round/>
          </a:ln>
          <a:effectLst/>
        </c:spPr>
        <c:marker>
          <c:symbol val="circle"/>
          <c:size val="5"/>
          <c:spPr>
            <a:solidFill>
              <a:schemeClr val="accent2">
                <a:lumMod val="60000"/>
              </a:schemeClr>
            </a:solidFill>
            <a:ln w="9525">
              <a:solidFill>
                <a:schemeClr val="accent2">
                  <a:lumMod val="60000"/>
                </a:schemeClr>
              </a:solidFill>
            </a:ln>
            <a:effectLst/>
          </c:spPr>
        </c:marker>
      </c:pivotFmt>
      <c:pivotFmt>
        <c:idx val="54"/>
        <c:spPr>
          <a:solidFill>
            <a:schemeClr val="accent1"/>
          </a:solidFill>
          <a:ln w="28575" cap="rnd">
            <a:solidFill>
              <a:schemeClr val="accent1"/>
            </a:solidFill>
            <a:round/>
          </a:ln>
          <a:effectLst/>
        </c:spPr>
        <c:marker>
          <c:symbol val="circle"/>
          <c:size val="5"/>
          <c:spPr>
            <a:solidFill>
              <a:schemeClr val="accent3">
                <a:lumMod val="60000"/>
              </a:schemeClr>
            </a:solidFill>
            <a:ln w="9525">
              <a:solidFill>
                <a:schemeClr val="accent3">
                  <a:lumMod val="60000"/>
                </a:schemeClr>
              </a:solidFill>
            </a:ln>
            <a:effectLst/>
          </c:spPr>
        </c:marker>
      </c:pivotFmt>
    </c:pivotFmts>
    <c:plotArea>
      <c:layout/>
      <c:lineChart>
        <c:grouping val="standard"/>
        <c:varyColors val="0"/>
        <c:ser>
          <c:idx val="0"/>
          <c:order val="0"/>
          <c:tx>
            <c:strRef>
              <c:f>'Sheet1 (2)'!$B$3:$B$5</c:f>
              <c:strCache>
                <c:ptCount val="1"/>
                <c:pt idx="0">
                  <c:v>1st line - IPILIMUMAB</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 (2)'!$A$6:$A$55</c:f>
              <c:strCache>
                <c:ptCount val="49"/>
                <c:pt idx="0">
                  <c:v>2009Q2</c:v>
                </c:pt>
                <c:pt idx="1">
                  <c:v>2009Q3</c:v>
                </c:pt>
                <c:pt idx="2">
                  <c:v>2009Q4</c:v>
                </c:pt>
                <c:pt idx="3">
                  <c:v>2010Q1</c:v>
                </c:pt>
                <c:pt idx="4">
                  <c:v>2010Q2</c:v>
                </c:pt>
                <c:pt idx="5">
                  <c:v>2010Q3</c:v>
                </c:pt>
                <c:pt idx="6">
                  <c:v>2010Q4</c:v>
                </c:pt>
                <c:pt idx="7">
                  <c:v>2011Q1</c:v>
                </c:pt>
                <c:pt idx="8">
                  <c:v>2011Q2</c:v>
                </c:pt>
                <c:pt idx="9">
                  <c:v>2011Q3</c:v>
                </c:pt>
                <c:pt idx="10">
                  <c:v>2011Q4</c:v>
                </c:pt>
                <c:pt idx="11">
                  <c:v>2012Q1</c:v>
                </c:pt>
                <c:pt idx="12">
                  <c:v>2012Q2</c:v>
                </c:pt>
                <c:pt idx="13">
                  <c:v>2012Q3</c:v>
                </c:pt>
                <c:pt idx="14">
                  <c:v>2012Q4</c:v>
                </c:pt>
                <c:pt idx="15">
                  <c:v>2013Q1</c:v>
                </c:pt>
                <c:pt idx="16">
                  <c:v>2013Q2</c:v>
                </c:pt>
                <c:pt idx="17">
                  <c:v>2013Q3</c:v>
                </c:pt>
                <c:pt idx="18">
                  <c:v>2013Q4</c:v>
                </c:pt>
                <c:pt idx="19">
                  <c:v>2014Q1</c:v>
                </c:pt>
                <c:pt idx="20">
                  <c:v>2014Q2</c:v>
                </c:pt>
                <c:pt idx="21">
                  <c:v>2014Q3</c:v>
                </c:pt>
                <c:pt idx="22">
                  <c:v>2014Q4</c:v>
                </c:pt>
                <c:pt idx="23">
                  <c:v>2015Q1</c:v>
                </c:pt>
                <c:pt idx="24">
                  <c:v>2015Q2</c:v>
                </c:pt>
                <c:pt idx="25">
                  <c:v>2015Q3</c:v>
                </c:pt>
                <c:pt idx="26">
                  <c:v>2015Q4</c:v>
                </c:pt>
                <c:pt idx="27">
                  <c:v>2016Q1</c:v>
                </c:pt>
                <c:pt idx="28">
                  <c:v>2016Q2</c:v>
                </c:pt>
                <c:pt idx="29">
                  <c:v>2016Q3</c:v>
                </c:pt>
                <c:pt idx="30">
                  <c:v>2016Q4</c:v>
                </c:pt>
                <c:pt idx="31">
                  <c:v>2017Q1</c:v>
                </c:pt>
                <c:pt idx="32">
                  <c:v>2017Q2</c:v>
                </c:pt>
                <c:pt idx="33">
                  <c:v>2017Q3</c:v>
                </c:pt>
                <c:pt idx="34">
                  <c:v>2017Q4</c:v>
                </c:pt>
                <c:pt idx="35">
                  <c:v>2018Q1</c:v>
                </c:pt>
                <c:pt idx="36">
                  <c:v>2018Q2</c:v>
                </c:pt>
                <c:pt idx="37">
                  <c:v>2018Q3</c:v>
                </c:pt>
                <c:pt idx="38">
                  <c:v>2018Q4</c:v>
                </c:pt>
                <c:pt idx="39">
                  <c:v>2019Q1</c:v>
                </c:pt>
                <c:pt idx="40">
                  <c:v>2019Q2</c:v>
                </c:pt>
                <c:pt idx="41">
                  <c:v>2019Q3</c:v>
                </c:pt>
                <c:pt idx="42">
                  <c:v>2019Q4</c:v>
                </c:pt>
                <c:pt idx="43">
                  <c:v>2020Q1</c:v>
                </c:pt>
                <c:pt idx="44">
                  <c:v>2020Q2</c:v>
                </c:pt>
                <c:pt idx="45">
                  <c:v>2020Q3</c:v>
                </c:pt>
                <c:pt idx="46">
                  <c:v>2020Q4</c:v>
                </c:pt>
                <c:pt idx="47">
                  <c:v>2021Q1</c:v>
                </c:pt>
                <c:pt idx="48">
                  <c:v>2021Q2</c:v>
                </c:pt>
              </c:strCache>
            </c:strRef>
          </c:cat>
          <c:val>
            <c:numRef>
              <c:f>'Sheet1 (2)'!$B$6:$B$55</c:f>
              <c:numCache>
                <c:formatCode>General</c:formatCode>
                <c:ptCount val="49"/>
                <c:pt idx="39">
                  <c:v>43</c:v>
                </c:pt>
                <c:pt idx="40">
                  <c:v>129</c:v>
                </c:pt>
                <c:pt idx="41">
                  <c:v>171</c:v>
                </c:pt>
                <c:pt idx="42">
                  <c:v>149</c:v>
                </c:pt>
                <c:pt idx="43">
                  <c:v>135</c:v>
                </c:pt>
                <c:pt idx="44">
                  <c:v>126</c:v>
                </c:pt>
                <c:pt idx="45">
                  <c:v>157</c:v>
                </c:pt>
                <c:pt idx="46">
                  <c:v>152</c:v>
                </c:pt>
                <c:pt idx="47">
                  <c:v>152</c:v>
                </c:pt>
                <c:pt idx="48">
                  <c:v>175</c:v>
                </c:pt>
              </c:numCache>
            </c:numRef>
          </c:val>
          <c:smooth val="0"/>
          <c:extLst>
            <c:ext xmlns:c16="http://schemas.microsoft.com/office/drawing/2014/chart" uri="{C3380CC4-5D6E-409C-BE32-E72D297353CC}">
              <c16:uniqueId val="{00000000-EB73-42FE-BBBA-815E7044099A}"/>
            </c:ext>
          </c:extLst>
        </c:ser>
        <c:ser>
          <c:idx val="1"/>
          <c:order val="1"/>
          <c:tx>
            <c:strRef>
              <c:f>'Sheet1 (2)'!$C$3:$C$5</c:f>
              <c:strCache>
                <c:ptCount val="1"/>
                <c:pt idx="0">
                  <c:v>1st line - NIVOLUMAB</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 (2)'!$A$6:$A$55</c:f>
              <c:strCache>
                <c:ptCount val="49"/>
                <c:pt idx="0">
                  <c:v>2009Q2</c:v>
                </c:pt>
                <c:pt idx="1">
                  <c:v>2009Q3</c:v>
                </c:pt>
                <c:pt idx="2">
                  <c:v>2009Q4</c:v>
                </c:pt>
                <c:pt idx="3">
                  <c:v>2010Q1</c:v>
                </c:pt>
                <c:pt idx="4">
                  <c:v>2010Q2</c:v>
                </c:pt>
                <c:pt idx="5">
                  <c:v>2010Q3</c:v>
                </c:pt>
                <c:pt idx="6">
                  <c:v>2010Q4</c:v>
                </c:pt>
                <c:pt idx="7">
                  <c:v>2011Q1</c:v>
                </c:pt>
                <c:pt idx="8">
                  <c:v>2011Q2</c:v>
                </c:pt>
                <c:pt idx="9">
                  <c:v>2011Q3</c:v>
                </c:pt>
                <c:pt idx="10">
                  <c:v>2011Q4</c:v>
                </c:pt>
                <c:pt idx="11">
                  <c:v>2012Q1</c:v>
                </c:pt>
                <c:pt idx="12">
                  <c:v>2012Q2</c:v>
                </c:pt>
                <c:pt idx="13">
                  <c:v>2012Q3</c:v>
                </c:pt>
                <c:pt idx="14">
                  <c:v>2012Q4</c:v>
                </c:pt>
                <c:pt idx="15">
                  <c:v>2013Q1</c:v>
                </c:pt>
                <c:pt idx="16">
                  <c:v>2013Q2</c:v>
                </c:pt>
                <c:pt idx="17">
                  <c:v>2013Q3</c:v>
                </c:pt>
                <c:pt idx="18">
                  <c:v>2013Q4</c:v>
                </c:pt>
                <c:pt idx="19">
                  <c:v>2014Q1</c:v>
                </c:pt>
                <c:pt idx="20">
                  <c:v>2014Q2</c:v>
                </c:pt>
                <c:pt idx="21">
                  <c:v>2014Q3</c:v>
                </c:pt>
                <c:pt idx="22">
                  <c:v>2014Q4</c:v>
                </c:pt>
                <c:pt idx="23">
                  <c:v>2015Q1</c:v>
                </c:pt>
                <c:pt idx="24">
                  <c:v>2015Q2</c:v>
                </c:pt>
                <c:pt idx="25">
                  <c:v>2015Q3</c:v>
                </c:pt>
                <c:pt idx="26">
                  <c:v>2015Q4</c:v>
                </c:pt>
                <c:pt idx="27">
                  <c:v>2016Q1</c:v>
                </c:pt>
                <c:pt idx="28">
                  <c:v>2016Q2</c:v>
                </c:pt>
                <c:pt idx="29">
                  <c:v>2016Q3</c:v>
                </c:pt>
                <c:pt idx="30">
                  <c:v>2016Q4</c:v>
                </c:pt>
                <c:pt idx="31">
                  <c:v>2017Q1</c:v>
                </c:pt>
                <c:pt idx="32">
                  <c:v>2017Q2</c:v>
                </c:pt>
                <c:pt idx="33">
                  <c:v>2017Q3</c:v>
                </c:pt>
                <c:pt idx="34">
                  <c:v>2017Q4</c:v>
                </c:pt>
                <c:pt idx="35">
                  <c:v>2018Q1</c:v>
                </c:pt>
                <c:pt idx="36">
                  <c:v>2018Q2</c:v>
                </c:pt>
                <c:pt idx="37">
                  <c:v>2018Q3</c:v>
                </c:pt>
                <c:pt idx="38">
                  <c:v>2018Q4</c:v>
                </c:pt>
                <c:pt idx="39">
                  <c:v>2019Q1</c:v>
                </c:pt>
                <c:pt idx="40">
                  <c:v>2019Q2</c:v>
                </c:pt>
                <c:pt idx="41">
                  <c:v>2019Q3</c:v>
                </c:pt>
                <c:pt idx="42">
                  <c:v>2019Q4</c:v>
                </c:pt>
                <c:pt idx="43">
                  <c:v>2020Q1</c:v>
                </c:pt>
                <c:pt idx="44">
                  <c:v>2020Q2</c:v>
                </c:pt>
                <c:pt idx="45">
                  <c:v>2020Q3</c:v>
                </c:pt>
                <c:pt idx="46">
                  <c:v>2020Q4</c:v>
                </c:pt>
                <c:pt idx="47">
                  <c:v>2021Q1</c:v>
                </c:pt>
                <c:pt idx="48">
                  <c:v>2021Q2</c:v>
                </c:pt>
              </c:strCache>
            </c:strRef>
          </c:cat>
          <c:val>
            <c:numRef>
              <c:f>'Sheet1 (2)'!$C$6:$C$55</c:f>
              <c:numCache>
                <c:formatCode>General</c:formatCode>
                <c:ptCount val="49"/>
                <c:pt idx="39">
                  <c:v>52</c:v>
                </c:pt>
                <c:pt idx="40">
                  <c:v>148</c:v>
                </c:pt>
                <c:pt idx="41">
                  <c:v>231</c:v>
                </c:pt>
                <c:pt idx="42">
                  <c:v>251</c:v>
                </c:pt>
                <c:pt idx="43">
                  <c:v>272</c:v>
                </c:pt>
                <c:pt idx="44">
                  <c:v>266</c:v>
                </c:pt>
                <c:pt idx="45">
                  <c:v>286</c:v>
                </c:pt>
                <c:pt idx="46">
                  <c:v>291</c:v>
                </c:pt>
                <c:pt idx="47">
                  <c:v>295</c:v>
                </c:pt>
                <c:pt idx="48">
                  <c:v>312</c:v>
                </c:pt>
              </c:numCache>
            </c:numRef>
          </c:val>
          <c:smooth val="0"/>
          <c:extLst>
            <c:ext xmlns:c16="http://schemas.microsoft.com/office/drawing/2014/chart" uri="{C3380CC4-5D6E-409C-BE32-E72D297353CC}">
              <c16:uniqueId val="{00000001-EB73-42FE-BBBA-815E7044099A}"/>
            </c:ext>
          </c:extLst>
        </c:ser>
        <c:ser>
          <c:idx val="2"/>
          <c:order val="2"/>
          <c:tx>
            <c:strRef>
              <c:f>'Sheet1 (2)'!$D$3:$D$5</c:f>
              <c:strCache>
                <c:ptCount val="1"/>
                <c:pt idx="0">
                  <c:v>1st line - PAZOPANIB</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'Sheet1 (2)'!$A$6:$A$55</c:f>
              <c:strCache>
                <c:ptCount val="49"/>
                <c:pt idx="0">
                  <c:v>2009Q2</c:v>
                </c:pt>
                <c:pt idx="1">
                  <c:v>2009Q3</c:v>
                </c:pt>
                <c:pt idx="2">
                  <c:v>2009Q4</c:v>
                </c:pt>
                <c:pt idx="3">
                  <c:v>2010Q1</c:v>
                </c:pt>
                <c:pt idx="4">
                  <c:v>2010Q2</c:v>
                </c:pt>
                <c:pt idx="5">
                  <c:v>2010Q3</c:v>
                </c:pt>
                <c:pt idx="6">
                  <c:v>2010Q4</c:v>
                </c:pt>
                <c:pt idx="7">
                  <c:v>2011Q1</c:v>
                </c:pt>
                <c:pt idx="8">
                  <c:v>2011Q2</c:v>
                </c:pt>
                <c:pt idx="9">
                  <c:v>2011Q3</c:v>
                </c:pt>
                <c:pt idx="10">
                  <c:v>2011Q4</c:v>
                </c:pt>
                <c:pt idx="11">
                  <c:v>2012Q1</c:v>
                </c:pt>
                <c:pt idx="12">
                  <c:v>2012Q2</c:v>
                </c:pt>
                <c:pt idx="13">
                  <c:v>2012Q3</c:v>
                </c:pt>
                <c:pt idx="14">
                  <c:v>2012Q4</c:v>
                </c:pt>
                <c:pt idx="15">
                  <c:v>2013Q1</c:v>
                </c:pt>
                <c:pt idx="16">
                  <c:v>2013Q2</c:v>
                </c:pt>
                <c:pt idx="17">
                  <c:v>2013Q3</c:v>
                </c:pt>
                <c:pt idx="18">
                  <c:v>2013Q4</c:v>
                </c:pt>
                <c:pt idx="19">
                  <c:v>2014Q1</c:v>
                </c:pt>
                <c:pt idx="20">
                  <c:v>2014Q2</c:v>
                </c:pt>
                <c:pt idx="21">
                  <c:v>2014Q3</c:v>
                </c:pt>
                <c:pt idx="22">
                  <c:v>2014Q4</c:v>
                </c:pt>
                <c:pt idx="23">
                  <c:v>2015Q1</c:v>
                </c:pt>
                <c:pt idx="24">
                  <c:v>2015Q2</c:v>
                </c:pt>
                <c:pt idx="25">
                  <c:v>2015Q3</c:v>
                </c:pt>
                <c:pt idx="26">
                  <c:v>2015Q4</c:v>
                </c:pt>
                <c:pt idx="27">
                  <c:v>2016Q1</c:v>
                </c:pt>
                <c:pt idx="28">
                  <c:v>2016Q2</c:v>
                </c:pt>
                <c:pt idx="29">
                  <c:v>2016Q3</c:v>
                </c:pt>
                <c:pt idx="30">
                  <c:v>2016Q4</c:v>
                </c:pt>
                <c:pt idx="31">
                  <c:v>2017Q1</c:v>
                </c:pt>
                <c:pt idx="32">
                  <c:v>2017Q2</c:v>
                </c:pt>
                <c:pt idx="33">
                  <c:v>2017Q3</c:v>
                </c:pt>
                <c:pt idx="34">
                  <c:v>2017Q4</c:v>
                </c:pt>
                <c:pt idx="35">
                  <c:v>2018Q1</c:v>
                </c:pt>
                <c:pt idx="36">
                  <c:v>2018Q2</c:v>
                </c:pt>
                <c:pt idx="37">
                  <c:v>2018Q3</c:v>
                </c:pt>
                <c:pt idx="38">
                  <c:v>2018Q4</c:v>
                </c:pt>
                <c:pt idx="39">
                  <c:v>2019Q1</c:v>
                </c:pt>
                <c:pt idx="40">
                  <c:v>2019Q2</c:v>
                </c:pt>
                <c:pt idx="41">
                  <c:v>2019Q3</c:v>
                </c:pt>
                <c:pt idx="42">
                  <c:v>2019Q4</c:v>
                </c:pt>
                <c:pt idx="43">
                  <c:v>2020Q1</c:v>
                </c:pt>
                <c:pt idx="44">
                  <c:v>2020Q2</c:v>
                </c:pt>
                <c:pt idx="45">
                  <c:v>2020Q3</c:v>
                </c:pt>
                <c:pt idx="46">
                  <c:v>2020Q4</c:v>
                </c:pt>
                <c:pt idx="47">
                  <c:v>2021Q1</c:v>
                </c:pt>
                <c:pt idx="48">
                  <c:v>2021Q2</c:v>
                </c:pt>
              </c:strCache>
            </c:strRef>
          </c:cat>
          <c:val>
            <c:numRef>
              <c:f>'Sheet1 (2)'!$D$6:$D$55</c:f>
              <c:numCache>
                <c:formatCode>General</c:formatCode>
                <c:ptCount val="49"/>
                <c:pt idx="14">
                  <c:v>168</c:v>
                </c:pt>
                <c:pt idx="15">
                  <c:v>226</c:v>
                </c:pt>
                <c:pt idx="16">
                  <c:v>266</c:v>
                </c:pt>
                <c:pt idx="17">
                  <c:v>294</c:v>
                </c:pt>
                <c:pt idx="18">
                  <c:v>379</c:v>
                </c:pt>
                <c:pt idx="19">
                  <c:v>406</c:v>
                </c:pt>
                <c:pt idx="20">
                  <c:v>458</c:v>
                </c:pt>
                <c:pt idx="21">
                  <c:v>488</c:v>
                </c:pt>
                <c:pt idx="22">
                  <c:v>486</c:v>
                </c:pt>
                <c:pt idx="23">
                  <c:v>432</c:v>
                </c:pt>
                <c:pt idx="24">
                  <c:v>429</c:v>
                </c:pt>
                <c:pt idx="25">
                  <c:v>418</c:v>
                </c:pt>
                <c:pt idx="26">
                  <c:v>421</c:v>
                </c:pt>
                <c:pt idx="27">
                  <c:v>390</c:v>
                </c:pt>
                <c:pt idx="28">
                  <c:v>413</c:v>
                </c:pt>
                <c:pt idx="29">
                  <c:v>406</c:v>
                </c:pt>
                <c:pt idx="30">
                  <c:v>402</c:v>
                </c:pt>
                <c:pt idx="31">
                  <c:v>408</c:v>
                </c:pt>
                <c:pt idx="32">
                  <c:v>421</c:v>
                </c:pt>
                <c:pt idx="33">
                  <c:v>422</c:v>
                </c:pt>
                <c:pt idx="34">
                  <c:v>396</c:v>
                </c:pt>
                <c:pt idx="35">
                  <c:v>375</c:v>
                </c:pt>
                <c:pt idx="36">
                  <c:v>385</c:v>
                </c:pt>
                <c:pt idx="37">
                  <c:v>428</c:v>
                </c:pt>
                <c:pt idx="38">
                  <c:v>422</c:v>
                </c:pt>
                <c:pt idx="39">
                  <c:v>391</c:v>
                </c:pt>
                <c:pt idx="40">
                  <c:v>343</c:v>
                </c:pt>
                <c:pt idx="41">
                  <c:v>326</c:v>
                </c:pt>
                <c:pt idx="42">
                  <c:v>286</c:v>
                </c:pt>
                <c:pt idx="43">
                  <c:v>265</c:v>
                </c:pt>
                <c:pt idx="44">
                  <c:v>269</c:v>
                </c:pt>
                <c:pt idx="45">
                  <c:v>281</c:v>
                </c:pt>
                <c:pt idx="46">
                  <c:v>298</c:v>
                </c:pt>
                <c:pt idx="47">
                  <c:v>278</c:v>
                </c:pt>
                <c:pt idx="48">
                  <c:v>275</c:v>
                </c:pt>
              </c:numCache>
            </c:numRef>
          </c:val>
          <c:smooth val="0"/>
          <c:extLst>
            <c:ext xmlns:c16="http://schemas.microsoft.com/office/drawing/2014/chart" uri="{C3380CC4-5D6E-409C-BE32-E72D297353CC}">
              <c16:uniqueId val="{00000002-EB73-42FE-BBBA-815E7044099A}"/>
            </c:ext>
          </c:extLst>
        </c:ser>
        <c:ser>
          <c:idx val="3"/>
          <c:order val="3"/>
          <c:tx>
            <c:strRef>
              <c:f>'Sheet1 (2)'!$E$3:$E$5</c:f>
              <c:strCache>
                <c:ptCount val="1"/>
                <c:pt idx="0">
                  <c:v>1st line - SUNITINIB</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'Sheet1 (2)'!$A$6:$A$55</c:f>
              <c:strCache>
                <c:ptCount val="49"/>
                <c:pt idx="0">
                  <c:v>2009Q2</c:v>
                </c:pt>
                <c:pt idx="1">
                  <c:v>2009Q3</c:v>
                </c:pt>
                <c:pt idx="2">
                  <c:v>2009Q4</c:v>
                </c:pt>
                <c:pt idx="3">
                  <c:v>2010Q1</c:v>
                </c:pt>
                <c:pt idx="4">
                  <c:v>2010Q2</c:v>
                </c:pt>
                <c:pt idx="5">
                  <c:v>2010Q3</c:v>
                </c:pt>
                <c:pt idx="6">
                  <c:v>2010Q4</c:v>
                </c:pt>
                <c:pt idx="7">
                  <c:v>2011Q1</c:v>
                </c:pt>
                <c:pt idx="8">
                  <c:v>2011Q2</c:v>
                </c:pt>
                <c:pt idx="9">
                  <c:v>2011Q3</c:v>
                </c:pt>
                <c:pt idx="10">
                  <c:v>2011Q4</c:v>
                </c:pt>
                <c:pt idx="11">
                  <c:v>2012Q1</c:v>
                </c:pt>
                <c:pt idx="12">
                  <c:v>2012Q2</c:v>
                </c:pt>
                <c:pt idx="13">
                  <c:v>2012Q3</c:v>
                </c:pt>
                <c:pt idx="14">
                  <c:v>2012Q4</c:v>
                </c:pt>
                <c:pt idx="15">
                  <c:v>2013Q1</c:v>
                </c:pt>
                <c:pt idx="16">
                  <c:v>2013Q2</c:v>
                </c:pt>
                <c:pt idx="17">
                  <c:v>2013Q3</c:v>
                </c:pt>
                <c:pt idx="18">
                  <c:v>2013Q4</c:v>
                </c:pt>
                <c:pt idx="19">
                  <c:v>2014Q1</c:v>
                </c:pt>
                <c:pt idx="20">
                  <c:v>2014Q2</c:v>
                </c:pt>
                <c:pt idx="21">
                  <c:v>2014Q3</c:v>
                </c:pt>
                <c:pt idx="22">
                  <c:v>2014Q4</c:v>
                </c:pt>
                <c:pt idx="23">
                  <c:v>2015Q1</c:v>
                </c:pt>
                <c:pt idx="24">
                  <c:v>2015Q2</c:v>
                </c:pt>
                <c:pt idx="25">
                  <c:v>2015Q3</c:v>
                </c:pt>
                <c:pt idx="26">
                  <c:v>2015Q4</c:v>
                </c:pt>
                <c:pt idx="27">
                  <c:v>2016Q1</c:v>
                </c:pt>
                <c:pt idx="28">
                  <c:v>2016Q2</c:v>
                </c:pt>
                <c:pt idx="29">
                  <c:v>2016Q3</c:v>
                </c:pt>
                <c:pt idx="30">
                  <c:v>2016Q4</c:v>
                </c:pt>
                <c:pt idx="31">
                  <c:v>2017Q1</c:v>
                </c:pt>
                <c:pt idx="32">
                  <c:v>2017Q2</c:v>
                </c:pt>
                <c:pt idx="33">
                  <c:v>2017Q3</c:v>
                </c:pt>
                <c:pt idx="34">
                  <c:v>2017Q4</c:v>
                </c:pt>
                <c:pt idx="35">
                  <c:v>2018Q1</c:v>
                </c:pt>
                <c:pt idx="36">
                  <c:v>2018Q2</c:v>
                </c:pt>
                <c:pt idx="37">
                  <c:v>2018Q3</c:v>
                </c:pt>
                <c:pt idx="38">
                  <c:v>2018Q4</c:v>
                </c:pt>
                <c:pt idx="39">
                  <c:v>2019Q1</c:v>
                </c:pt>
                <c:pt idx="40">
                  <c:v>2019Q2</c:v>
                </c:pt>
                <c:pt idx="41">
                  <c:v>2019Q3</c:v>
                </c:pt>
                <c:pt idx="42">
                  <c:v>2019Q4</c:v>
                </c:pt>
                <c:pt idx="43">
                  <c:v>2020Q1</c:v>
                </c:pt>
                <c:pt idx="44">
                  <c:v>2020Q2</c:v>
                </c:pt>
                <c:pt idx="45">
                  <c:v>2020Q3</c:v>
                </c:pt>
                <c:pt idx="46">
                  <c:v>2020Q4</c:v>
                </c:pt>
                <c:pt idx="47">
                  <c:v>2021Q1</c:v>
                </c:pt>
                <c:pt idx="48">
                  <c:v>2021Q2</c:v>
                </c:pt>
              </c:strCache>
            </c:strRef>
          </c:cat>
          <c:val>
            <c:numRef>
              <c:f>'Sheet1 (2)'!$E$6:$E$55</c:f>
              <c:numCache>
                <c:formatCode>General</c:formatCode>
                <c:ptCount val="49"/>
                <c:pt idx="0">
                  <c:v>400</c:v>
                </c:pt>
                <c:pt idx="1">
                  <c:v>532</c:v>
                </c:pt>
                <c:pt idx="2">
                  <c:v>531</c:v>
                </c:pt>
                <c:pt idx="3">
                  <c:v>510</c:v>
                </c:pt>
                <c:pt idx="4">
                  <c:v>543</c:v>
                </c:pt>
                <c:pt idx="5">
                  <c:v>579</c:v>
                </c:pt>
                <c:pt idx="6">
                  <c:v>582</c:v>
                </c:pt>
                <c:pt idx="7">
                  <c:v>562</c:v>
                </c:pt>
                <c:pt idx="8">
                  <c:v>588</c:v>
                </c:pt>
                <c:pt idx="9">
                  <c:v>579</c:v>
                </c:pt>
                <c:pt idx="10">
                  <c:v>580</c:v>
                </c:pt>
                <c:pt idx="11">
                  <c:v>595</c:v>
                </c:pt>
                <c:pt idx="12">
                  <c:v>603</c:v>
                </c:pt>
                <c:pt idx="13">
                  <c:v>631</c:v>
                </c:pt>
                <c:pt idx="14">
                  <c:v>579</c:v>
                </c:pt>
                <c:pt idx="15">
                  <c:v>483</c:v>
                </c:pt>
                <c:pt idx="16">
                  <c:v>443</c:v>
                </c:pt>
                <c:pt idx="17">
                  <c:v>412</c:v>
                </c:pt>
                <c:pt idx="18">
                  <c:v>387</c:v>
                </c:pt>
                <c:pt idx="19">
                  <c:v>367</c:v>
                </c:pt>
                <c:pt idx="20">
                  <c:v>375</c:v>
                </c:pt>
                <c:pt idx="21">
                  <c:v>359</c:v>
                </c:pt>
                <c:pt idx="22">
                  <c:v>346</c:v>
                </c:pt>
                <c:pt idx="23">
                  <c:v>345</c:v>
                </c:pt>
                <c:pt idx="24">
                  <c:v>345</c:v>
                </c:pt>
                <c:pt idx="25">
                  <c:v>365</c:v>
                </c:pt>
                <c:pt idx="26">
                  <c:v>363</c:v>
                </c:pt>
                <c:pt idx="27">
                  <c:v>340</c:v>
                </c:pt>
                <c:pt idx="28">
                  <c:v>331</c:v>
                </c:pt>
                <c:pt idx="29">
                  <c:v>321</c:v>
                </c:pt>
                <c:pt idx="30">
                  <c:v>340</c:v>
                </c:pt>
                <c:pt idx="31">
                  <c:v>354</c:v>
                </c:pt>
                <c:pt idx="32">
                  <c:v>355</c:v>
                </c:pt>
                <c:pt idx="33">
                  <c:v>320</c:v>
                </c:pt>
                <c:pt idx="34">
                  <c:v>311</c:v>
                </c:pt>
                <c:pt idx="35">
                  <c:v>284</c:v>
                </c:pt>
                <c:pt idx="36">
                  <c:v>282</c:v>
                </c:pt>
                <c:pt idx="37">
                  <c:v>271</c:v>
                </c:pt>
                <c:pt idx="38">
                  <c:v>300</c:v>
                </c:pt>
                <c:pt idx="39">
                  <c:v>290</c:v>
                </c:pt>
                <c:pt idx="40">
                  <c:v>257</c:v>
                </c:pt>
                <c:pt idx="41">
                  <c:v>261</c:v>
                </c:pt>
                <c:pt idx="42">
                  <c:v>232</c:v>
                </c:pt>
                <c:pt idx="43">
                  <c:v>214</c:v>
                </c:pt>
                <c:pt idx="44">
                  <c:v>217</c:v>
                </c:pt>
                <c:pt idx="45">
                  <c:v>240</c:v>
                </c:pt>
                <c:pt idx="46">
                  <c:v>261</c:v>
                </c:pt>
                <c:pt idx="47">
                  <c:v>243</c:v>
                </c:pt>
                <c:pt idx="48">
                  <c:v>234</c:v>
                </c:pt>
              </c:numCache>
            </c:numRef>
          </c:val>
          <c:smooth val="0"/>
          <c:extLst>
            <c:ext xmlns:c16="http://schemas.microsoft.com/office/drawing/2014/chart" uri="{C3380CC4-5D6E-409C-BE32-E72D297353CC}">
              <c16:uniqueId val="{00000003-EB73-42FE-BBBA-815E7044099A}"/>
            </c:ext>
          </c:extLst>
        </c:ser>
        <c:ser>
          <c:idx val="4"/>
          <c:order val="4"/>
          <c:tx>
            <c:strRef>
              <c:f>'Sheet1 (2)'!$F$3:$F$5</c:f>
              <c:strCache>
                <c:ptCount val="1"/>
                <c:pt idx="0">
                  <c:v>2nd line - AXITINIB</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'Sheet1 (2)'!$A$6:$A$55</c:f>
              <c:strCache>
                <c:ptCount val="49"/>
                <c:pt idx="0">
                  <c:v>2009Q2</c:v>
                </c:pt>
                <c:pt idx="1">
                  <c:v>2009Q3</c:v>
                </c:pt>
                <c:pt idx="2">
                  <c:v>2009Q4</c:v>
                </c:pt>
                <c:pt idx="3">
                  <c:v>2010Q1</c:v>
                </c:pt>
                <c:pt idx="4">
                  <c:v>2010Q2</c:v>
                </c:pt>
                <c:pt idx="5">
                  <c:v>2010Q3</c:v>
                </c:pt>
                <c:pt idx="6">
                  <c:v>2010Q4</c:v>
                </c:pt>
                <c:pt idx="7">
                  <c:v>2011Q1</c:v>
                </c:pt>
                <c:pt idx="8">
                  <c:v>2011Q2</c:v>
                </c:pt>
                <c:pt idx="9">
                  <c:v>2011Q3</c:v>
                </c:pt>
                <c:pt idx="10">
                  <c:v>2011Q4</c:v>
                </c:pt>
                <c:pt idx="11">
                  <c:v>2012Q1</c:v>
                </c:pt>
                <c:pt idx="12">
                  <c:v>2012Q2</c:v>
                </c:pt>
                <c:pt idx="13">
                  <c:v>2012Q3</c:v>
                </c:pt>
                <c:pt idx="14">
                  <c:v>2012Q4</c:v>
                </c:pt>
                <c:pt idx="15">
                  <c:v>2013Q1</c:v>
                </c:pt>
                <c:pt idx="16">
                  <c:v>2013Q2</c:v>
                </c:pt>
                <c:pt idx="17">
                  <c:v>2013Q3</c:v>
                </c:pt>
                <c:pt idx="18">
                  <c:v>2013Q4</c:v>
                </c:pt>
                <c:pt idx="19">
                  <c:v>2014Q1</c:v>
                </c:pt>
                <c:pt idx="20">
                  <c:v>2014Q2</c:v>
                </c:pt>
                <c:pt idx="21">
                  <c:v>2014Q3</c:v>
                </c:pt>
                <c:pt idx="22">
                  <c:v>2014Q4</c:v>
                </c:pt>
                <c:pt idx="23">
                  <c:v>2015Q1</c:v>
                </c:pt>
                <c:pt idx="24">
                  <c:v>2015Q2</c:v>
                </c:pt>
                <c:pt idx="25">
                  <c:v>2015Q3</c:v>
                </c:pt>
                <c:pt idx="26">
                  <c:v>2015Q4</c:v>
                </c:pt>
                <c:pt idx="27">
                  <c:v>2016Q1</c:v>
                </c:pt>
                <c:pt idx="28">
                  <c:v>2016Q2</c:v>
                </c:pt>
                <c:pt idx="29">
                  <c:v>2016Q3</c:v>
                </c:pt>
                <c:pt idx="30">
                  <c:v>2016Q4</c:v>
                </c:pt>
                <c:pt idx="31">
                  <c:v>2017Q1</c:v>
                </c:pt>
                <c:pt idx="32">
                  <c:v>2017Q2</c:v>
                </c:pt>
                <c:pt idx="33">
                  <c:v>2017Q3</c:v>
                </c:pt>
                <c:pt idx="34">
                  <c:v>2017Q4</c:v>
                </c:pt>
                <c:pt idx="35">
                  <c:v>2018Q1</c:v>
                </c:pt>
                <c:pt idx="36">
                  <c:v>2018Q2</c:v>
                </c:pt>
                <c:pt idx="37">
                  <c:v>2018Q3</c:v>
                </c:pt>
                <c:pt idx="38">
                  <c:v>2018Q4</c:v>
                </c:pt>
                <c:pt idx="39">
                  <c:v>2019Q1</c:v>
                </c:pt>
                <c:pt idx="40">
                  <c:v>2019Q2</c:v>
                </c:pt>
                <c:pt idx="41">
                  <c:v>2019Q3</c:v>
                </c:pt>
                <c:pt idx="42">
                  <c:v>2019Q4</c:v>
                </c:pt>
                <c:pt idx="43">
                  <c:v>2020Q1</c:v>
                </c:pt>
                <c:pt idx="44">
                  <c:v>2020Q2</c:v>
                </c:pt>
                <c:pt idx="45">
                  <c:v>2020Q3</c:v>
                </c:pt>
                <c:pt idx="46">
                  <c:v>2020Q4</c:v>
                </c:pt>
                <c:pt idx="47">
                  <c:v>2021Q1</c:v>
                </c:pt>
                <c:pt idx="48">
                  <c:v>2021Q2</c:v>
                </c:pt>
              </c:strCache>
            </c:strRef>
          </c:cat>
          <c:val>
            <c:numRef>
              <c:f>'Sheet1 (2)'!$F$6:$F$55</c:f>
              <c:numCache>
                <c:formatCode>General</c:formatCode>
                <c:ptCount val="49"/>
                <c:pt idx="26">
                  <c:v>32</c:v>
                </c:pt>
                <c:pt idx="27">
                  <c:v>83</c:v>
                </c:pt>
                <c:pt idx="28">
                  <c:v>106</c:v>
                </c:pt>
                <c:pt idx="29">
                  <c:v>153</c:v>
                </c:pt>
                <c:pt idx="30">
                  <c:v>179</c:v>
                </c:pt>
                <c:pt idx="31">
                  <c:v>204</c:v>
                </c:pt>
                <c:pt idx="32">
                  <c:v>208</c:v>
                </c:pt>
                <c:pt idx="33">
                  <c:v>157</c:v>
                </c:pt>
                <c:pt idx="34">
                  <c:v>107</c:v>
                </c:pt>
                <c:pt idx="35">
                  <c:v>122</c:v>
                </c:pt>
                <c:pt idx="36">
                  <c:v>106</c:v>
                </c:pt>
                <c:pt idx="37">
                  <c:v>91</c:v>
                </c:pt>
                <c:pt idx="38">
                  <c:v>82</c:v>
                </c:pt>
                <c:pt idx="39">
                  <c:v>61</c:v>
                </c:pt>
                <c:pt idx="40">
                  <c:v>68</c:v>
                </c:pt>
                <c:pt idx="41">
                  <c:v>79</c:v>
                </c:pt>
                <c:pt idx="42">
                  <c:v>68</c:v>
                </c:pt>
                <c:pt idx="43">
                  <c:v>75</c:v>
                </c:pt>
                <c:pt idx="44">
                  <c:v>70</c:v>
                </c:pt>
                <c:pt idx="45">
                  <c:v>61</c:v>
                </c:pt>
                <c:pt idx="46">
                  <c:v>63</c:v>
                </c:pt>
                <c:pt idx="47">
                  <c:v>60</c:v>
                </c:pt>
                <c:pt idx="48">
                  <c:v>60</c:v>
                </c:pt>
              </c:numCache>
            </c:numRef>
          </c:val>
          <c:smooth val="0"/>
          <c:extLst>
            <c:ext xmlns:c16="http://schemas.microsoft.com/office/drawing/2014/chart" uri="{C3380CC4-5D6E-409C-BE32-E72D297353CC}">
              <c16:uniqueId val="{00000004-EB73-42FE-BBBA-815E7044099A}"/>
            </c:ext>
          </c:extLst>
        </c:ser>
        <c:ser>
          <c:idx val="5"/>
          <c:order val="5"/>
          <c:tx>
            <c:strRef>
              <c:f>'Sheet1 (2)'!$G$3:$G$5</c:f>
              <c:strCache>
                <c:ptCount val="1"/>
                <c:pt idx="0">
                  <c:v>2nd line - CABOZANTINIB</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strRef>
              <c:f>'Sheet1 (2)'!$A$6:$A$55</c:f>
              <c:strCache>
                <c:ptCount val="49"/>
                <c:pt idx="0">
                  <c:v>2009Q2</c:v>
                </c:pt>
                <c:pt idx="1">
                  <c:v>2009Q3</c:v>
                </c:pt>
                <c:pt idx="2">
                  <c:v>2009Q4</c:v>
                </c:pt>
                <c:pt idx="3">
                  <c:v>2010Q1</c:v>
                </c:pt>
                <c:pt idx="4">
                  <c:v>2010Q2</c:v>
                </c:pt>
                <c:pt idx="5">
                  <c:v>2010Q3</c:v>
                </c:pt>
                <c:pt idx="6">
                  <c:v>2010Q4</c:v>
                </c:pt>
                <c:pt idx="7">
                  <c:v>2011Q1</c:v>
                </c:pt>
                <c:pt idx="8">
                  <c:v>2011Q2</c:v>
                </c:pt>
                <c:pt idx="9">
                  <c:v>2011Q3</c:v>
                </c:pt>
                <c:pt idx="10">
                  <c:v>2011Q4</c:v>
                </c:pt>
                <c:pt idx="11">
                  <c:v>2012Q1</c:v>
                </c:pt>
                <c:pt idx="12">
                  <c:v>2012Q2</c:v>
                </c:pt>
                <c:pt idx="13">
                  <c:v>2012Q3</c:v>
                </c:pt>
                <c:pt idx="14">
                  <c:v>2012Q4</c:v>
                </c:pt>
                <c:pt idx="15">
                  <c:v>2013Q1</c:v>
                </c:pt>
                <c:pt idx="16">
                  <c:v>2013Q2</c:v>
                </c:pt>
                <c:pt idx="17">
                  <c:v>2013Q3</c:v>
                </c:pt>
                <c:pt idx="18">
                  <c:v>2013Q4</c:v>
                </c:pt>
                <c:pt idx="19">
                  <c:v>2014Q1</c:v>
                </c:pt>
                <c:pt idx="20">
                  <c:v>2014Q2</c:v>
                </c:pt>
                <c:pt idx="21">
                  <c:v>2014Q3</c:v>
                </c:pt>
                <c:pt idx="22">
                  <c:v>2014Q4</c:v>
                </c:pt>
                <c:pt idx="23">
                  <c:v>2015Q1</c:v>
                </c:pt>
                <c:pt idx="24">
                  <c:v>2015Q2</c:v>
                </c:pt>
                <c:pt idx="25">
                  <c:v>2015Q3</c:v>
                </c:pt>
                <c:pt idx="26">
                  <c:v>2015Q4</c:v>
                </c:pt>
                <c:pt idx="27">
                  <c:v>2016Q1</c:v>
                </c:pt>
                <c:pt idx="28">
                  <c:v>2016Q2</c:v>
                </c:pt>
                <c:pt idx="29">
                  <c:v>2016Q3</c:v>
                </c:pt>
                <c:pt idx="30">
                  <c:v>2016Q4</c:v>
                </c:pt>
                <c:pt idx="31">
                  <c:v>2017Q1</c:v>
                </c:pt>
                <c:pt idx="32">
                  <c:v>2017Q2</c:v>
                </c:pt>
                <c:pt idx="33">
                  <c:v>2017Q3</c:v>
                </c:pt>
                <c:pt idx="34">
                  <c:v>2017Q4</c:v>
                </c:pt>
                <c:pt idx="35">
                  <c:v>2018Q1</c:v>
                </c:pt>
                <c:pt idx="36">
                  <c:v>2018Q2</c:v>
                </c:pt>
                <c:pt idx="37">
                  <c:v>2018Q3</c:v>
                </c:pt>
                <c:pt idx="38">
                  <c:v>2018Q4</c:v>
                </c:pt>
                <c:pt idx="39">
                  <c:v>2019Q1</c:v>
                </c:pt>
                <c:pt idx="40">
                  <c:v>2019Q2</c:v>
                </c:pt>
                <c:pt idx="41">
                  <c:v>2019Q3</c:v>
                </c:pt>
                <c:pt idx="42">
                  <c:v>2019Q4</c:v>
                </c:pt>
                <c:pt idx="43">
                  <c:v>2020Q1</c:v>
                </c:pt>
                <c:pt idx="44">
                  <c:v>2020Q2</c:v>
                </c:pt>
                <c:pt idx="45">
                  <c:v>2020Q3</c:v>
                </c:pt>
                <c:pt idx="46">
                  <c:v>2020Q4</c:v>
                </c:pt>
                <c:pt idx="47">
                  <c:v>2021Q1</c:v>
                </c:pt>
                <c:pt idx="48">
                  <c:v>2021Q2</c:v>
                </c:pt>
              </c:strCache>
            </c:strRef>
          </c:cat>
          <c:val>
            <c:numRef>
              <c:f>'Sheet1 (2)'!$G$6:$G$55</c:f>
              <c:numCache>
                <c:formatCode>General</c:formatCode>
                <c:ptCount val="49"/>
                <c:pt idx="36">
                  <c:v>56</c:v>
                </c:pt>
                <c:pt idx="37">
                  <c:v>122</c:v>
                </c:pt>
                <c:pt idx="38">
                  <c:v>151</c:v>
                </c:pt>
                <c:pt idx="39">
                  <c:v>180</c:v>
                </c:pt>
                <c:pt idx="40">
                  <c:v>187</c:v>
                </c:pt>
                <c:pt idx="41">
                  <c:v>197</c:v>
                </c:pt>
                <c:pt idx="42">
                  <c:v>217</c:v>
                </c:pt>
                <c:pt idx="43">
                  <c:v>215</c:v>
                </c:pt>
                <c:pt idx="44">
                  <c:v>240</c:v>
                </c:pt>
                <c:pt idx="45">
                  <c:v>233</c:v>
                </c:pt>
                <c:pt idx="46">
                  <c:v>244</c:v>
                </c:pt>
                <c:pt idx="47">
                  <c:v>252</c:v>
                </c:pt>
                <c:pt idx="48">
                  <c:v>283</c:v>
                </c:pt>
              </c:numCache>
            </c:numRef>
          </c:val>
          <c:smooth val="0"/>
          <c:extLst>
            <c:ext xmlns:c16="http://schemas.microsoft.com/office/drawing/2014/chart" uri="{C3380CC4-5D6E-409C-BE32-E72D297353CC}">
              <c16:uniqueId val="{00000005-EB73-42FE-BBBA-815E7044099A}"/>
            </c:ext>
          </c:extLst>
        </c:ser>
        <c:ser>
          <c:idx val="6"/>
          <c:order val="6"/>
          <c:tx>
            <c:strRef>
              <c:f>'Sheet1 (2)'!$H$3:$H$5</c:f>
              <c:strCache>
                <c:ptCount val="1"/>
                <c:pt idx="0">
                  <c:v>2nd line - EVEROLIMUS</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cat>
            <c:strRef>
              <c:f>'Sheet1 (2)'!$A$6:$A$55</c:f>
              <c:strCache>
                <c:ptCount val="49"/>
                <c:pt idx="0">
                  <c:v>2009Q2</c:v>
                </c:pt>
                <c:pt idx="1">
                  <c:v>2009Q3</c:v>
                </c:pt>
                <c:pt idx="2">
                  <c:v>2009Q4</c:v>
                </c:pt>
                <c:pt idx="3">
                  <c:v>2010Q1</c:v>
                </c:pt>
                <c:pt idx="4">
                  <c:v>2010Q2</c:v>
                </c:pt>
                <c:pt idx="5">
                  <c:v>2010Q3</c:v>
                </c:pt>
                <c:pt idx="6">
                  <c:v>2010Q4</c:v>
                </c:pt>
                <c:pt idx="7">
                  <c:v>2011Q1</c:v>
                </c:pt>
                <c:pt idx="8">
                  <c:v>2011Q2</c:v>
                </c:pt>
                <c:pt idx="9">
                  <c:v>2011Q3</c:v>
                </c:pt>
                <c:pt idx="10">
                  <c:v>2011Q4</c:v>
                </c:pt>
                <c:pt idx="11">
                  <c:v>2012Q1</c:v>
                </c:pt>
                <c:pt idx="12">
                  <c:v>2012Q2</c:v>
                </c:pt>
                <c:pt idx="13">
                  <c:v>2012Q3</c:v>
                </c:pt>
                <c:pt idx="14">
                  <c:v>2012Q4</c:v>
                </c:pt>
                <c:pt idx="15">
                  <c:v>2013Q1</c:v>
                </c:pt>
                <c:pt idx="16">
                  <c:v>2013Q2</c:v>
                </c:pt>
                <c:pt idx="17">
                  <c:v>2013Q3</c:v>
                </c:pt>
                <c:pt idx="18">
                  <c:v>2013Q4</c:v>
                </c:pt>
                <c:pt idx="19">
                  <c:v>2014Q1</c:v>
                </c:pt>
                <c:pt idx="20">
                  <c:v>2014Q2</c:v>
                </c:pt>
                <c:pt idx="21">
                  <c:v>2014Q3</c:v>
                </c:pt>
                <c:pt idx="22">
                  <c:v>2014Q4</c:v>
                </c:pt>
                <c:pt idx="23">
                  <c:v>2015Q1</c:v>
                </c:pt>
                <c:pt idx="24">
                  <c:v>2015Q2</c:v>
                </c:pt>
                <c:pt idx="25">
                  <c:v>2015Q3</c:v>
                </c:pt>
                <c:pt idx="26">
                  <c:v>2015Q4</c:v>
                </c:pt>
                <c:pt idx="27">
                  <c:v>2016Q1</c:v>
                </c:pt>
                <c:pt idx="28">
                  <c:v>2016Q2</c:v>
                </c:pt>
                <c:pt idx="29">
                  <c:v>2016Q3</c:v>
                </c:pt>
                <c:pt idx="30">
                  <c:v>2016Q4</c:v>
                </c:pt>
                <c:pt idx="31">
                  <c:v>2017Q1</c:v>
                </c:pt>
                <c:pt idx="32">
                  <c:v>2017Q2</c:v>
                </c:pt>
                <c:pt idx="33">
                  <c:v>2017Q3</c:v>
                </c:pt>
                <c:pt idx="34">
                  <c:v>2017Q4</c:v>
                </c:pt>
                <c:pt idx="35">
                  <c:v>2018Q1</c:v>
                </c:pt>
                <c:pt idx="36">
                  <c:v>2018Q2</c:v>
                </c:pt>
                <c:pt idx="37">
                  <c:v>2018Q3</c:v>
                </c:pt>
                <c:pt idx="38">
                  <c:v>2018Q4</c:v>
                </c:pt>
                <c:pt idx="39">
                  <c:v>2019Q1</c:v>
                </c:pt>
                <c:pt idx="40">
                  <c:v>2019Q2</c:v>
                </c:pt>
                <c:pt idx="41">
                  <c:v>2019Q3</c:v>
                </c:pt>
                <c:pt idx="42">
                  <c:v>2019Q4</c:v>
                </c:pt>
                <c:pt idx="43">
                  <c:v>2020Q1</c:v>
                </c:pt>
                <c:pt idx="44">
                  <c:v>2020Q2</c:v>
                </c:pt>
                <c:pt idx="45">
                  <c:v>2020Q3</c:v>
                </c:pt>
                <c:pt idx="46">
                  <c:v>2020Q4</c:v>
                </c:pt>
                <c:pt idx="47">
                  <c:v>2021Q1</c:v>
                </c:pt>
                <c:pt idx="48">
                  <c:v>2021Q2</c:v>
                </c:pt>
              </c:strCache>
            </c:strRef>
          </c:cat>
          <c:val>
            <c:numRef>
              <c:f>'Sheet1 (2)'!$H$6:$H$55</c:f>
              <c:numCache>
                <c:formatCode>General</c:formatCode>
                <c:ptCount val="49"/>
                <c:pt idx="21">
                  <c:v>53</c:v>
                </c:pt>
                <c:pt idx="22">
                  <c:v>132</c:v>
                </c:pt>
                <c:pt idx="23">
                  <c:v>152</c:v>
                </c:pt>
                <c:pt idx="24">
                  <c:v>146</c:v>
                </c:pt>
                <c:pt idx="25">
                  <c:v>154</c:v>
                </c:pt>
                <c:pt idx="26">
                  <c:v>131</c:v>
                </c:pt>
                <c:pt idx="27">
                  <c:v>95</c:v>
                </c:pt>
                <c:pt idx="28">
                  <c:v>100</c:v>
                </c:pt>
                <c:pt idx="29">
                  <c:v>85</c:v>
                </c:pt>
                <c:pt idx="30">
                  <c:v>86</c:v>
                </c:pt>
                <c:pt idx="31">
                  <c:v>102</c:v>
                </c:pt>
                <c:pt idx="32">
                  <c:v>99</c:v>
                </c:pt>
                <c:pt idx="33">
                  <c:v>80</c:v>
                </c:pt>
                <c:pt idx="34">
                  <c:v>67</c:v>
                </c:pt>
                <c:pt idx="35">
                  <c:v>61</c:v>
                </c:pt>
                <c:pt idx="36">
                  <c:v>65</c:v>
                </c:pt>
                <c:pt idx="37">
                  <c:v>66</c:v>
                </c:pt>
                <c:pt idx="38">
                  <c:v>74</c:v>
                </c:pt>
                <c:pt idx="39">
                  <c:v>83</c:v>
                </c:pt>
                <c:pt idx="40">
                  <c:v>71</c:v>
                </c:pt>
                <c:pt idx="41">
                  <c:v>71</c:v>
                </c:pt>
                <c:pt idx="42">
                  <c:v>72</c:v>
                </c:pt>
                <c:pt idx="43">
                  <c:v>74</c:v>
                </c:pt>
                <c:pt idx="44">
                  <c:v>73</c:v>
                </c:pt>
                <c:pt idx="45">
                  <c:v>71</c:v>
                </c:pt>
                <c:pt idx="46">
                  <c:v>63</c:v>
                </c:pt>
                <c:pt idx="47">
                  <c:v>64</c:v>
                </c:pt>
                <c:pt idx="48">
                  <c:v>63</c:v>
                </c:pt>
              </c:numCache>
            </c:numRef>
          </c:val>
          <c:smooth val="0"/>
          <c:extLst>
            <c:ext xmlns:c16="http://schemas.microsoft.com/office/drawing/2014/chart" uri="{C3380CC4-5D6E-409C-BE32-E72D297353CC}">
              <c16:uniqueId val="{00000006-EB73-42FE-BBBA-815E7044099A}"/>
            </c:ext>
          </c:extLst>
        </c:ser>
        <c:ser>
          <c:idx val="7"/>
          <c:order val="7"/>
          <c:tx>
            <c:strRef>
              <c:f>'Sheet1 (2)'!$I$3:$I$5</c:f>
              <c:strCache>
                <c:ptCount val="1"/>
                <c:pt idx="0">
                  <c:v>2nd line - NIVOLUMAB</c:v>
                </c:pt>
              </c:strCache>
            </c:strRef>
          </c:tx>
          <c:spPr>
            <a:ln w="28575"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cat>
            <c:strRef>
              <c:f>'Sheet1 (2)'!$A$6:$A$55</c:f>
              <c:strCache>
                <c:ptCount val="49"/>
                <c:pt idx="0">
                  <c:v>2009Q2</c:v>
                </c:pt>
                <c:pt idx="1">
                  <c:v>2009Q3</c:v>
                </c:pt>
                <c:pt idx="2">
                  <c:v>2009Q4</c:v>
                </c:pt>
                <c:pt idx="3">
                  <c:v>2010Q1</c:v>
                </c:pt>
                <c:pt idx="4">
                  <c:v>2010Q2</c:v>
                </c:pt>
                <c:pt idx="5">
                  <c:v>2010Q3</c:v>
                </c:pt>
                <c:pt idx="6">
                  <c:v>2010Q4</c:v>
                </c:pt>
                <c:pt idx="7">
                  <c:v>2011Q1</c:v>
                </c:pt>
                <c:pt idx="8">
                  <c:v>2011Q2</c:v>
                </c:pt>
                <c:pt idx="9">
                  <c:v>2011Q3</c:v>
                </c:pt>
                <c:pt idx="10">
                  <c:v>2011Q4</c:v>
                </c:pt>
                <c:pt idx="11">
                  <c:v>2012Q1</c:v>
                </c:pt>
                <c:pt idx="12">
                  <c:v>2012Q2</c:v>
                </c:pt>
                <c:pt idx="13">
                  <c:v>2012Q3</c:v>
                </c:pt>
                <c:pt idx="14">
                  <c:v>2012Q4</c:v>
                </c:pt>
                <c:pt idx="15">
                  <c:v>2013Q1</c:v>
                </c:pt>
                <c:pt idx="16">
                  <c:v>2013Q2</c:v>
                </c:pt>
                <c:pt idx="17">
                  <c:v>2013Q3</c:v>
                </c:pt>
                <c:pt idx="18">
                  <c:v>2013Q4</c:v>
                </c:pt>
                <c:pt idx="19">
                  <c:v>2014Q1</c:v>
                </c:pt>
                <c:pt idx="20">
                  <c:v>2014Q2</c:v>
                </c:pt>
                <c:pt idx="21">
                  <c:v>2014Q3</c:v>
                </c:pt>
                <c:pt idx="22">
                  <c:v>2014Q4</c:v>
                </c:pt>
                <c:pt idx="23">
                  <c:v>2015Q1</c:v>
                </c:pt>
                <c:pt idx="24">
                  <c:v>2015Q2</c:v>
                </c:pt>
                <c:pt idx="25">
                  <c:v>2015Q3</c:v>
                </c:pt>
                <c:pt idx="26">
                  <c:v>2015Q4</c:v>
                </c:pt>
                <c:pt idx="27">
                  <c:v>2016Q1</c:v>
                </c:pt>
                <c:pt idx="28">
                  <c:v>2016Q2</c:v>
                </c:pt>
                <c:pt idx="29">
                  <c:v>2016Q3</c:v>
                </c:pt>
                <c:pt idx="30">
                  <c:v>2016Q4</c:v>
                </c:pt>
                <c:pt idx="31">
                  <c:v>2017Q1</c:v>
                </c:pt>
                <c:pt idx="32">
                  <c:v>2017Q2</c:v>
                </c:pt>
                <c:pt idx="33">
                  <c:v>2017Q3</c:v>
                </c:pt>
                <c:pt idx="34">
                  <c:v>2017Q4</c:v>
                </c:pt>
                <c:pt idx="35">
                  <c:v>2018Q1</c:v>
                </c:pt>
                <c:pt idx="36">
                  <c:v>2018Q2</c:v>
                </c:pt>
                <c:pt idx="37">
                  <c:v>2018Q3</c:v>
                </c:pt>
                <c:pt idx="38">
                  <c:v>2018Q4</c:v>
                </c:pt>
                <c:pt idx="39">
                  <c:v>2019Q1</c:v>
                </c:pt>
                <c:pt idx="40">
                  <c:v>2019Q2</c:v>
                </c:pt>
                <c:pt idx="41">
                  <c:v>2019Q3</c:v>
                </c:pt>
                <c:pt idx="42">
                  <c:v>2019Q4</c:v>
                </c:pt>
                <c:pt idx="43">
                  <c:v>2020Q1</c:v>
                </c:pt>
                <c:pt idx="44">
                  <c:v>2020Q2</c:v>
                </c:pt>
                <c:pt idx="45">
                  <c:v>2020Q3</c:v>
                </c:pt>
                <c:pt idx="46">
                  <c:v>2020Q4</c:v>
                </c:pt>
                <c:pt idx="47">
                  <c:v>2021Q1</c:v>
                </c:pt>
                <c:pt idx="48">
                  <c:v>2021Q2</c:v>
                </c:pt>
              </c:strCache>
            </c:strRef>
          </c:cat>
          <c:val>
            <c:numRef>
              <c:f>'Sheet1 (2)'!$I$6:$I$55</c:f>
              <c:numCache>
                <c:formatCode>General</c:formatCode>
                <c:ptCount val="49"/>
                <c:pt idx="33">
                  <c:v>262</c:v>
                </c:pt>
                <c:pt idx="34">
                  <c:v>390</c:v>
                </c:pt>
                <c:pt idx="35">
                  <c:v>403</c:v>
                </c:pt>
                <c:pt idx="36">
                  <c:v>430</c:v>
                </c:pt>
                <c:pt idx="37">
                  <c:v>419</c:v>
                </c:pt>
                <c:pt idx="38">
                  <c:v>418</c:v>
                </c:pt>
                <c:pt idx="39">
                  <c:v>395</c:v>
                </c:pt>
                <c:pt idx="40">
                  <c:v>427</c:v>
                </c:pt>
                <c:pt idx="41">
                  <c:v>466</c:v>
                </c:pt>
                <c:pt idx="42">
                  <c:v>463</c:v>
                </c:pt>
                <c:pt idx="43">
                  <c:v>463</c:v>
                </c:pt>
                <c:pt idx="44">
                  <c:v>436</c:v>
                </c:pt>
                <c:pt idx="45">
                  <c:v>450</c:v>
                </c:pt>
                <c:pt idx="46">
                  <c:v>461</c:v>
                </c:pt>
                <c:pt idx="47">
                  <c:v>466</c:v>
                </c:pt>
                <c:pt idx="48">
                  <c:v>472</c:v>
                </c:pt>
              </c:numCache>
            </c:numRef>
          </c:val>
          <c:smooth val="0"/>
          <c:extLst>
            <c:ext xmlns:c16="http://schemas.microsoft.com/office/drawing/2014/chart" uri="{C3380CC4-5D6E-409C-BE32-E72D297353CC}">
              <c16:uniqueId val="{00000007-EB73-42FE-BBBA-815E7044099A}"/>
            </c:ext>
          </c:extLst>
        </c:ser>
        <c:ser>
          <c:idx val="8"/>
          <c:order val="8"/>
          <c:tx>
            <c:strRef>
              <c:f>'Sheet1 (2)'!$J$3:$J$5</c:f>
              <c:strCache>
                <c:ptCount val="1"/>
                <c:pt idx="0">
                  <c:v>2nd line - SORAFENIB</c:v>
                </c:pt>
              </c:strCache>
            </c:strRef>
          </c:tx>
          <c:spPr>
            <a:ln w="28575" cap="rnd">
              <a:solidFill>
                <a:schemeClr val="accent3">
                  <a:lumMod val="60000"/>
                </a:schemeClr>
              </a:solidFill>
              <a:round/>
            </a:ln>
            <a:effectLst/>
          </c:spPr>
          <c:marker>
            <c:symbol val="circle"/>
            <c:size val="5"/>
            <c:spPr>
              <a:solidFill>
                <a:schemeClr val="accent3">
                  <a:lumMod val="60000"/>
                </a:schemeClr>
              </a:solidFill>
              <a:ln w="9525">
                <a:solidFill>
                  <a:schemeClr val="accent3">
                    <a:lumMod val="60000"/>
                  </a:schemeClr>
                </a:solidFill>
              </a:ln>
              <a:effectLst/>
            </c:spPr>
          </c:marker>
          <c:cat>
            <c:strRef>
              <c:f>'Sheet1 (2)'!$A$6:$A$55</c:f>
              <c:strCache>
                <c:ptCount val="49"/>
                <c:pt idx="0">
                  <c:v>2009Q2</c:v>
                </c:pt>
                <c:pt idx="1">
                  <c:v>2009Q3</c:v>
                </c:pt>
                <c:pt idx="2">
                  <c:v>2009Q4</c:v>
                </c:pt>
                <c:pt idx="3">
                  <c:v>2010Q1</c:v>
                </c:pt>
                <c:pt idx="4">
                  <c:v>2010Q2</c:v>
                </c:pt>
                <c:pt idx="5">
                  <c:v>2010Q3</c:v>
                </c:pt>
                <c:pt idx="6">
                  <c:v>2010Q4</c:v>
                </c:pt>
                <c:pt idx="7">
                  <c:v>2011Q1</c:v>
                </c:pt>
                <c:pt idx="8">
                  <c:v>2011Q2</c:v>
                </c:pt>
                <c:pt idx="9">
                  <c:v>2011Q3</c:v>
                </c:pt>
                <c:pt idx="10">
                  <c:v>2011Q4</c:v>
                </c:pt>
                <c:pt idx="11">
                  <c:v>2012Q1</c:v>
                </c:pt>
                <c:pt idx="12">
                  <c:v>2012Q2</c:v>
                </c:pt>
                <c:pt idx="13">
                  <c:v>2012Q3</c:v>
                </c:pt>
                <c:pt idx="14">
                  <c:v>2012Q4</c:v>
                </c:pt>
                <c:pt idx="15">
                  <c:v>2013Q1</c:v>
                </c:pt>
                <c:pt idx="16">
                  <c:v>2013Q2</c:v>
                </c:pt>
                <c:pt idx="17">
                  <c:v>2013Q3</c:v>
                </c:pt>
                <c:pt idx="18">
                  <c:v>2013Q4</c:v>
                </c:pt>
                <c:pt idx="19">
                  <c:v>2014Q1</c:v>
                </c:pt>
                <c:pt idx="20">
                  <c:v>2014Q2</c:v>
                </c:pt>
                <c:pt idx="21">
                  <c:v>2014Q3</c:v>
                </c:pt>
                <c:pt idx="22">
                  <c:v>2014Q4</c:v>
                </c:pt>
                <c:pt idx="23">
                  <c:v>2015Q1</c:v>
                </c:pt>
                <c:pt idx="24">
                  <c:v>2015Q2</c:v>
                </c:pt>
                <c:pt idx="25">
                  <c:v>2015Q3</c:v>
                </c:pt>
                <c:pt idx="26">
                  <c:v>2015Q4</c:v>
                </c:pt>
                <c:pt idx="27">
                  <c:v>2016Q1</c:v>
                </c:pt>
                <c:pt idx="28">
                  <c:v>2016Q2</c:v>
                </c:pt>
                <c:pt idx="29">
                  <c:v>2016Q3</c:v>
                </c:pt>
                <c:pt idx="30">
                  <c:v>2016Q4</c:v>
                </c:pt>
                <c:pt idx="31">
                  <c:v>2017Q1</c:v>
                </c:pt>
                <c:pt idx="32">
                  <c:v>2017Q2</c:v>
                </c:pt>
                <c:pt idx="33">
                  <c:v>2017Q3</c:v>
                </c:pt>
                <c:pt idx="34">
                  <c:v>2017Q4</c:v>
                </c:pt>
                <c:pt idx="35">
                  <c:v>2018Q1</c:v>
                </c:pt>
                <c:pt idx="36">
                  <c:v>2018Q2</c:v>
                </c:pt>
                <c:pt idx="37">
                  <c:v>2018Q3</c:v>
                </c:pt>
                <c:pt idx="38">
                  <c:v>2018Q4</c:v>
                </c:pt>
                <c:pt idx="39">
                  <c:v>2019Q1</c:v>
                </c:pt>
                <c:pt idx="40">
                  <c:v>2019Q2</c:v>
                </c:pt>
                <c:pt idx="41">
                  <c:v>2019Q3</c:v>
                </c:pt>
                <c:pt idx="42">
                  <c:v>2019Q4</c:v>
                </c:pt>
                <c:pt idx="43">
                  <c:v>2020Q1</c:v>
                </c:pt>
                <c:pt idx="44">
                  <c:v>2020Q2</c:v>
                </c:pt>
                <c:pt idx="45">
                  <c:v>2020Q3</c:v>
                </c:pt>
                <c:pt idx="46">
                  <c:v>2020Q4</c:v>
                </c:pt>
                <c:pt idx="47">
                  <c:v>2021Q1</c:v>
                </c:pt>
                <c:pt idx="48">
                  <c:v>2021Q2</c:v>
                </c:pt>
              </c:strCache>
            </c:strRef>
          </c:cat>
          <c:val>
            <c:numRef>
              <c:f>'Sheet1 (2)'!$J$6:$J$55</c:f>
              <c:numCache>
                <c:formatCode>General</c:formatCode>
                <c:ptCount val="49"/>
                <c:pt idx="24">
                  <c:v>45</c:v>
                </c:pt>
                <c:pt idx="25">
                  <c:v>56</c:v>
                </c:pt>
                <c:pt idx="26">
                  <c:v>54</c:v>
                </c:pt>
                <c:pt idx="27">
                  <c:v>36</c:v>
                </c:pt>
                <c:pt idx="28">
                  <c:v>24</c:v>
                </c:pt>
                <c:pt idx="29">
                  <c:v>36</c:v>
                </c:pt>
                <c:pt idx="30">
                  <c:v>40</c:v>
                </c:pt>
                <c:pt idx="31">
                  <c:v>34</c:v>
                </c:pt>
                <c:pt idx="32">
                  <c:v>52</c:v>
                </c:pt>
                <c:pt idx="33">
                  <c:v>51</c:v>
                </c:pt>
                <c:pt idx="34">
                  <c:v>53</c:v>
                </c:pt>
                <c:pt idx="35">
                  <c:v>51</c:v>
                </c:pt>
                <c:pt idx="36">
                  <c:v>53</c:v>
                </c:pt>
                <c:pt idx="37">
                  <c:v>61</c:v>
                </c:pt>
                <c:pt idx="38">
                  <c:v>74</c:v>
                </c:pt>
                <c:pt idx="39">
                  <c:v>55</c:v>
                </c:pt>
                <c:pt idx="40">
                  <c:v>47</c:v>
                </c:pt>
                <c:pt idx="41">
                  <c:v>29</c:v>
                </c:pt>
                <c:pt idx="42">
                  <c:v>28</c:v>
                </c:pt>
                <c:pt idx="43">
                  <c:v>28</c:v>
                </c:pt>
                <c:pt idx="44">
                  <c:v>26</c:v>
                </c:pt>
                <c:pt idx="45">
                  <c:v>13</c:v>
                </c:pt>
                <c:pt idx="46">
                  <c:v>15</c:v>
                </c:pt>
                <c:pt idx="47">
                  <c:v>15</c:v>
                </c:pt>
                <c:pt idx="48">
                  <c:v>12</c:v>
                </c:pt>
              </c:numCache>
            </c:numRef>
          </c:val>
          <c:smooth val="0"/>
          <c:extLst>
            <c:ext xmlns:c16="http://schemas.microsoft.com/office/drawing/2014/chart" uri="{C3380CC4-5D6E-409C-BE32-E72D297353CC}">
              <c16:uniqueId val="{00000008-EB73-42FE-BBBA-815E7044099A}"/>
            </c:ext>
          </c:extLst>
        </c:ser>
        <c:dLbls>
          <c:showLegendKey val="0"/>
          <c:showVal val="0"/>
          <c:showCatName val="0"/>
          <c:showSerName val="0"/>
          <c:showPercent val="0"/>
          <c:showBubbleSize val="0"/>
        </c:dLbls>
        <c:marker val="1"/>
        <c:smooth val="0"/>
        <c:axId val="823415984"/>
        <c:axId val="823416312"/>
      </c:lineChart>
      <c:catAx>
        <c:axId val="8234159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Quarter of supply</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3416312"/>
        <c:crosses val="autoZero"/>
        <c:auto val="1"/>
        <c:lblAlgn val="ctr"/>
        <c:lblOffset val="100"/>
        <c:noMultiLvlLbl val="0"/>
      </c:catAx>
      <c:valAx>
        <c:axId val="8234163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Patients</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3415984"/>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[D1326 - PATCNTBY_DRUG_N_SUPP_Q - RCC only, by drug &amp; line, fig3-5.xlsx]Sheet1 (3)!PivotTable3</c:name>
    <c:fmtId val="-1"/>
  </c:pivotSource>
  <c:chart>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pivotFmt>
      <c:pivotFmt>
        <c:idx val="8"/>
        <c:spPr>
          <a:solidFill>
            <a:schemeClr val="accent1"/>
          </a:solidFill>
          <a:ln>
            <a:noFill/>
          </a:ln>
          <a:effectLst/>
        </c:spPr>
        <c:marker>
          <c:symbol val="none"/>
        </c:marker>
      </c:pivotFmt>
      <c:pivotFmt>
        <c:idx val="9"/>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pivotFmt>
      <c:pivotFmt>
        <c:idx val="10"/>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pivotFmt>
      <c:pivotFmt>
        <c:idx val="11"/>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pivotFmt>
      <c:pivotFmt>
        <c:idx val="12"/>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pivotFmt>
      <c:pivotFmt>
        <c:idx val="13"/>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pivotFmt>
      <c:pivotFmt>
        <c:idx val="14"/>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pivotFmt>
      <c:pivotFmt>
        <c:idx val="15"/>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pivotFmt>
      <c:pivotFmt>
        <c:idx val="16"/>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pivotFmt>
      <c:pivotFmt>
        <c:idx val="17"/>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pivotFmt>
      <c:pivotFmt>
        <c:idx val="18"/>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19"/>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0"/>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1"/>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2"/>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3"/>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4"/>
        <c:spPr>
          <a:solidFill>
            <a:schemeClr val="accent1"/>
          </a:solidFill>
          <a:ln w="28575" cap="rnd">
            <a:solidFill>
              <a:schemeClr val="accent1"/>
            </a:solidFill>
            <a:round/>
          </a:ln>
          <a:effectLst/>
        </c:spPr>
        <c:marker>
          <c:symbol val="circle"/>
          <c:size val="5"/>
          <c:spPr>
            <a:solidFill>
              <a:schemeClr val="accent2">
                <a:lumMod val="60000"/>
              </a:schemeClr>
            </a:solidFill>
            <a:ln w="9525">
              <a:solidFill>
                <a:schemeClr val="accent2">
                  <a:lumMod val="60000"/>
                </a:schemeClr>
              </a:solidFill>
            </a:ln>
            <a:effectLst/>
          </c:spPr>
        </c:marker>
      </c:pivotFmt>
      <c:pivotFmt>
        <c:idx val="25"/>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6"/>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7"/>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8"/>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9"/>
        <c:spPr>
          <a:solidFill>
            <a:schemeClr val="accent1"/>
          </a:solidFill>
          <a:ln w="28575" cap="rnd">
            <a:solidFill>
              <a:schemeClr val="accent1"/>
            </a:solidFill>
            <a:round/>
          </a:ln>
          <a:effectLst/>
        </c:spPr>
        <c:marker>
          <c:symbol val="circle"/>
          <c:size val="5"/>
          <c:spPr>
            <a:solidFill>
              <a:schemeClr val="accent2"/>
            </a:solidFill>
            <a:ln w="9525">
              <a:solidFill>
                <a:schemeClr val="accent2"/>
              </a:solidFill>
            </a:ln>
            <a:effectLst/>
          </c:spPr>
        </c:marker>
      </c:pivotFmt>
      <c:pivotFmt>
        <c:idx val="30"/>
        <c:spPr>
          <a:solidFill>
            <a:schemeClr val="accent1"/>
          </a:solidFill>
          <a:ln w="28575" cap="rnd">
            <a:solidFill>
              <a:schemeClr val="accent1"/>
            </a:solidFill>
            <a:round/>
          </a:ln>
          <a:effectLst/>
        </c:spPr>
        <c:marker>
          <c:symbol val="circle"/>
          <c:size val="5"/>
          <c:spPr>
            <a:solidFill>
              <a:schemeClr val="accent3"/>
            </a:solidFill>
            <a:ln w="9525">
              <a:solidFill>
                <a:schemeClr val="accent3"/>
              </a:solidFill>
            </a:ln>
            <a:effectLst/>
          </c:spPr>
        </c:marker>
      </c:pivotFmt>
      <c:pivotFmt>
        <c:idx val="31"/>
        <c:spPr>
          <a:solidFill>
            <a:schemeClr val="accent1"/>
          </a:solidFill>
          <a:ln w="28575" cap="rnd">
            <a:solidFill>
              <a:schemeClr val="accent1"/>
            </a:solidFill>
            <a:round/>
          </a:ln>
          <a:effectLst/>
        </c:spPr>
        <c:marker>
          <c:symbol val="circle"/>
          <c:size val="5"/>
          <c:spPr>
            <a:solidFill>
              <a:schemeClr val="accent4"/>
            </a:solidFill>
            <a:ln w="9525">
              <a:solidFill>
                <a:schemeClr val="accent4"/>
              </a:solidFill>
            </a:ln>
            <a:effectLst/>
          </c:spPr>
        </c:marker>
      </c:pivotFmt>
      <c:pivotFmt>
        <c:idx val="32"/>
        <c:spPr>
          <a:solidFill>
            <a:schemeClr val="accent1"/>
          </a:solidFill>
          <a:ln w="28575" cap="rnd">
            <a:solidFill>
              <a:schemeClr val="accent1"/>
            </a:solidFill>
            <a:round/>
          </a:ln>
          <a:effectLst/>
        </c:spPr>
        <c:marker>
          <c:symbol val="circle"/>
          <c:size val="5"/>
          <c:spPr>
            <a:solidFill>
              <a:schemeClr val="accent5"/>
            </a:solidFill>
            <a:ln w="9525">
              <a:solidFill>
                <a:schemeClr val="accent5"/>
              </a:solidFill>
            </a:ln>
            <a:effectLst/>
          </c:spPr>
        </c:marker>
      </c:pivotFmt>
      <c:pivotFmt>
        <c:idx val="33"/>
        <c:spPr>
          <a:solidFill>
            <a:schemeClr val="accent1"/>
          </a:solidFill>
          <a:ln w="28575" cap="rnd">
            <a:solidFill>
              <a:schemeClr val="accent1"/>
            </a:solidFill>
            <a:round/>
          </a:ln>
          <a:effectLst/>
        </c:spPr>
        <c:marker>
          <c:symbol val="circle"/>
          <c:size val="5"/>
          <c:spPr>
            <a:solidFill>
              <a:schemeClr val="accent6"/>
            </a:solidFill>
            <a:ln w="9525">
              <a:solidFill>
                <a:schemeClr val="accent6"/>
              </a:solidFill>
            </a:ln>
            <a:effectLst/>
          </c:spPr>
        </c:marker>
      </c:pivotFmt>
      <c:pivotFmt>
        <c:idx val="34"/>
        <c:spPr>
          <a:solidFill>
            <a:schemeClr val="accent1"/>
          </a:solidFill>
          <a:ln w="28575" cap="rnd">
            <a:solidFill>
              <a:schemeClr val="accent1"/>
            </a:solidFill>
            <a:round/>
          </a:ln>
          <a:effectLst/>
        </c:spPr>
        <c:marker>
          <c:symbol val="circle"/>
          <c:size val="5"/>
          <c:spPr>
            <a:solidFill>
              <a:schemeClr val="accent1">
                <a:lumMod val="60000"/>
              </a:schemeClr>
            </a:solidFill>
            <a:ln w="9525">
              <a:solidFill>
                <a:schemeClr val="accent1">
                  <a:lumMod val="60000"/>
                </a:schemeClr>
              </a:solidFill>
            </a:ln>
            <a:effectLst/>
          </c:spPr>
        </c:marker>
      </c:pivotFmt>
      <c:pivotFmt>
        <c:idx val="35"/>
        <c:spPr>
          <a:solidFill>
            <a:schemeClr val="accent1"/>
          </a:solidFill>
          <a:ln w="28575" cap="rnd">
            <a:solidFill>
              <a:schemeClr val="accent1"/>
            </a:solidFill>
            <a:round/>
          </a:ln>
          <a:effectLst/>
        </c:spPr>
        <c:marker>
          <c:symbol val="circle"/>
          <c:size val="5"/>
          <c:spPr>
            <a:solidFill>
              <a:schemeClr val="accent2">
                <a:lumMod val="60000"/>
              </a:schemeClr>
            </a:solidFill>
            <a:ln w="9525">
              <a:solidFill>
                <a:schemeClr val="accent2">
                  <a:lumMod val="60000"/>
                </a:schemeClr>
              </a:solidFill>
            </a:ln>
            <a:effectLst/>
          </c:spPr>
        </c:marker>
      </c:pivotFmt>
      <c:pivotFmt>
        <c:idx val="36"/>
        <c:spPr>
          <a:solidFill>
            <a:schemeClr val="accent1"/>
          </a:solidFill>
          <a:ln w="28575" cap="rnd">
            <a:solidFill>
              <a:schemeClr val="accent1"/>
            </a:solidFill>
            <a:round/>
          </a:ln>
          <a:effectLst/>
        </c:spPr>
        <c:marker>
          <c:symbol val="circle"/>
          <c:size val="5"/>
          <c:spPr>
            <a:solidFill>
              <a:schemeClr val="accent3">
                <a:lumMod val="60000"/>
              </a:schemeClr>
            </a:solidFill>
            <a:ln w="9525">
              <a:solidFill>
                <a:schemeClr val="accent3">
                  <a:lumMod val="60000"/>
                </a:schemeClr>
              </a:solidFill>
            </a:ln>
            <a:effectLst/>
          </c:spPr>
        </c:marker>
      </c:pivotFmt>
      <c:pivotFmt>
        <c:idx val="37"/>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38"/>
        <c:spPr>
          <a:solidFill>
            <a:schemeClr val="accent1"/>
          </a:solidFill>
          <a:ln w="28575" cap="rnd">
            <a:solidFill>
              <a:schemeClr val="accent1"/>
            </a:solidFill>
            <a:round/>
          </a:ln>
          <a:effectLst/>
        </c:spPr>
        <c:marker>
          <c:symbol val="circle"/>
          <c:size val="5"/>
          <c:spPr>
            <a:solidFill>
              <a:schemeClr val="accent2"/>
            </a:solidFill>
            <a:ln w="9525">
              <a:solidFill>
                <a:schemeClr val="accent2"/>
              </a:solidFill>
            </a:ln>
            <a:effectLst/>
          </c:spPr>
        </c:marker>
      </c:pivotFmt>
      <c:pivotFmt>
        <c:idx val="39"/>
        <c:spPr>
          <a:solidFill>
            <a:schemeClr val="accent1"/>
          </a:solidFill>
          <a:ln w="28575" cap="rnd">
            <a:solidFill>
              <a:schemeClr val="accent1"/>
            </a:solidFill>
            <a:round/>
          </a:ln>
          <a:effectLst/>
        </c:spPr>
        <c:marker>
          <c:symbol val="circle"/>
          <c:size val="5"/>
          <c:spPr>
            <a:solidFill>
              <a:schemeClr val="accent3"/>
            </a:solidFill>
            <a:ln w="9525">
              <a:solidFill>
                <a:schemeClr val="accent3"/>
              </a:solidFill>
            </a:ln>
            <a:effectLst/>
          </c:spPr>
        </c:marker>
      </c:pivotFmt>
      <c:pivotFmt>
        <c:idx val="40"/>
        <c:spPr>
          <a:solidFill>
            <a:schemeClr val="accent1"/>
          </a:solidFill>
          <a:ln w="28575" cap="rnd">
            <a:solidFill>
              <a:schemeClr val="accent1"/>
            </a:solidFill>
            <a:round/>
          </a:ln>
          <a:effectLst/>
        </c:spPr>
        <c:marker>
          <c:symbol val="circle"/>
          <c:size val="5"/>
          <c:spPr>
            <a:solidFill>
              <a:schemeClr val="accent4"/>
            </a:solidFill>
            <a:ln w="9525">
              <a:solidFill>
                <a:schemeClr val="accent4"/>
              </a:solidFill>
            </a:ln>
            <a:effectLst/>
          </c:spPr>
        </c:marker>
      </c:pivotFmt>
      <c:pivotFmt>
        <c:idx val="41"/>
        <c:spPr>
          <a:solidFill>
            <a:schemeClr val="accent1"/>
          </a:solidFill>
          <a:ln w="28575" cap="rnd">
            <a:solidFill>
              <a:schemeClr val="accent1"/>
            </a:solidFill>
            <a:round/>
          </a:ln>
          <a:effectLst/>
        </c:spPr>
        <c:marker>
          <c:symbol val="circle"/>
          <c:size val="5"/>
          <c:spPr>
            <a:solidFill>
              <a:schemeClr val="accent5"/>
            </a:solidFill>
            <a:ln w="9525">
              <a:solidFill>
                <a:schemeClr val="accent5"/>
              </a:solidFill>
            </a:ln>
            <a:effectLst/>
          </c:spPr>
        </c:marker>
      </c:pivotFmt>
      <c:pivotFmt>
        <c:idx val="42"/>
        <c:spPr>
          <a:solidFill>
            <a:schemeClr val="accent1"/>
          </a:solidFill>
          <a:ln w="28575" cap="rnd">
            <a:solidFill>
              <a:schemeClr val="accent1"/>
            </a:solidFill>
            <a:round/>
          </a:ln>
          <a:effectLst/>
        </c:spPr>
        <c:marker>
          <c:symbol val="circle"/>
          <c:size val="5"/>
          <c:spPr>
            <a:solidFill>
              <a:schemeClr val="accent6"/>
            </a:solidFill>
            <a:ln w="9525">
              <a:solidFill>
                <a:schemeClr val="accent6"/>
              </a:solidFill>
            </a:ln>
            <a:effectLst/>
          </c:spPr>
        </c:marker>
      </c:pivotFmt>
      <c:pivotFmt>
        <c:idx val="43"/>
        <c:spPr>
          <a:solidFill>
            <a:schemeClr val="accent1"/>
          </a:solidFill>
          <a:ln w="28575" cap="rnd">
            <a:solidFill>
              <a:schemeClr val="accent1"/>
            </a:solidFill>
            <a:round/>
          </a:ln>
          <a:effectLst/>
        </c:spPr>
        <c:marker>
          <c:symbol val="circle"/>
          <c:size val="5"/>
          <c:spPr>
            <a:solidFill>
              <a:schemeClr val="accent1">
                <a:lumMod val="60000"/>
              </a:schemeClr>
            </a:solidFill>
            <a:ln w="9525">
              <a:solidFill>
                <a:schemeClr val="accent1">
                  <a:lumMod val="60000"/>
                </a:schemeClr>
              </a:solidFill>
            </a:ln>
            <a:effectLst/>
          </c:spPr>
        </c:marker>
      </c:pivotFmt>
      <c:pivotFmt>
        <c:idx val="44"/>
        <c:spPr>
          <a:solidFill>
            <a:schemeClr val="accent1"/>
          </a:solidFill>
          <a:ln w="28575" cap="rnd">
            <a:solidFill>
              <a:schemeClr val="accent1"/>
            </a:solidFill>
            <a:round/>
          </a:ln>
          <a:effectLst/>
        </c:spPr>
        <c:marker>
          <c:symbol val="circle"/>
          <c:size val="5"/>
          <c:spPr>
            <a:solidFill>
              <a:schemeClr val="accent2">
                <a:lumMod val="60000"/>
              </a:schemeClr>
            </a:solidFill>
            <a:ln w="9525">
              <a:solidFill>
                <a:schemeClr val="accent2">
                  <a:lumMod val="60000"/>
                </a:schemeClr>
              </a:solidFill>
            </a:ln>
            <a:effectLst/>
          </c:spPr>
        </c:marker>
      </c:pivotFmt>
      <c:pivotFmt>
        <c:idx val="45"/>
        <c:spPr>
          <a:solidFill>
            <a:schemeClr val="accent1"/>
          </a:solidFill>
          <a:ln w="28575" cap="rnd">
            <a:solidFill>
              <a:schemeClr val="accent1"/>
            </a:solidFill>
            <a:round/>
          </a:ln>
          <a:effectLst/>
        </c:spPr>
        <c:marker>
          <c:symbol val="circle"/>
          <c:size val="5"/>
          <c:spPr>
            <a:solidFill>
              <a:schemeClr val="accent3">
                <a:lumMod val="60000"/>
              </a:schemeClr>
            </a:solidFill>
            <a:ln w="9525">
              <a:solidFill>
                <a:schemeClr val="accent3">
                  <a:lumMod val="60000"/>
                </a:schemeClr>
              </a:solidFill>
            </a:ln>
            <a:effectLst/>
          </c:spPr>
        </c:marker>
      </c:pivotFmt>
      <c:pivotFmt>
        <c:idx val="46"/>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47"/>
        <c:spPr>
          <a:solidFill>
            <a:schemeClr val="accent1"/>
          </a:solidFill>
          <a:ln w="28575" cap="rnd">
            <a:solidFill>
              <a:schemeClr val="accent1"/>
            </a:solidFill>
            <a:round/>
          </a:ln>
          <a:effectLst/>
        </c:spPr>
        <c:marker>
          <c:symbol val="circle"/>
          <c:size val="5"/>
          <c:spPr>
            <a:solidFill>
              <a:schemeClr val="accent2"/>
            </a:solidFill>
            <a:ln w="9525">
              <a:solidFill>
                <a:schemeClr val="accent2"/>
              </a:solidFill>
            </a:ln>
            <a:effectLst/>
          </c:spPr>
        </c:marker>
      </c:pivotFmt>
      <c:pivotFmt>
        <c:idx val="48"/>
        <c:spPr>
          <a:solidFill>
            <a:schemeClr val="accent1"/>
          </a:solidFill>
          <a:ln w="28575" cap="rnd">
            <a:solidFill>
              <a:schemeClr val="accent1"/>
            </a:solidFill>
            <a:round/>
          </a:ln>
          <a:effectLst/>
        </c:spPr>
        <c:marker>
          <c:symbol val="circle"/>
          <c:size val="5"/>
          <c:spPr>
            <a:solidFill>
              <a:schemeClr val="accent3"/>
            </a:solidFill>
            <a:ln w="9525">
              <a:solidFill>
                <a:schemeClr val="accent3"/>
              </a:solidFill>
            </a:ln>
            <a:effectLst/>
          </c:spPr>
        </c:marker>
      </c:pivotFmt>
      <c:pivotFmt>
        <c:idx val="49"/>
        <c:spPr>
          <a:solidFill>
            <a:schemeClr val="accent1"/>
          </a:solidFill>
          <a:ln w="28575" cap="rnd">
            <a:solidFill>
              <a:schemeClr val="accent1"/>
            </a:solidFill>
            <a:round/>
          </a:ln>
          <a:effectLst/>
        </c:spPr>
        <c:marker>
          <c:symbol val="circle"/>
          <c:size val="5"/>
          <c:spPr>
            <a:solidFill>
              <a:schemeClr val="accent4"/>
            </a:solidFill>
            <a:ln w="9525">
              <a:solidFill>
                <a:schemeClr val="accent4"/>
              </a:solidFill>
            </a:ln>
            <a:effectLst/>
          </c:spPr>
        </c:marker>
      </c:pivotFmt>
      <c:pivotFmt>
        <c:idx val="50"/>
        <c:spPr>
          <a:solidFill>
            <a:schemeClr val="accent1"/>
          </a:solidFill>
          <a:ln w="28575" cap="rnd">
            <a:solidFill>
              <a:schemeClr val="accent1"/>
            </a:solidFill>
            <a:round/>
          </a:ln>
          <a:effectLst/>
        </c:spPr>
        <c:marker>
          <c:symbol val="circle"/>
          <c:size val="5"/>
          <c:spPr>
            <a:solidFill>
              <a:schemeClr val="accent5"/>
            </a:solidFill>
            <a:ln w="9525">
              <a:solidFill>
                <a:schemeClr val="accent5"/>
              </a:solidFill>
            </a:ln>
            <a:effectLst/>
          </c:spPr>
        </c:marker>
      </c:pivotFmt>
      <c:pivotFmt>
        <c:idx val="51"/>
        <c:spPr>
          <a:solidFill>
            <a:schemeClr val="accent1"/>
          </a:solidFill>
          <a:ln w="28575" cap="rnd">
            <a:solidFill>
              <a:schemeClr val="accent1"/>
            </a:solidFill>
            <a:round/>
          </a:ln>
          <a:effectLst/>
        </c:spPr>
        <c:marker>
          <c:symbol val="circle"/>
          <c:size val="5"/>
          <c:spPr>
            <a:solidFill>
              <a:schemeClr val="accent6"/>
            </a:solidFill>
            <a:ln w="9525">
              <a:solidFill>
                <a:schemeClr val="accent6"/>
              </a:solidFill>
            </a:ln>
            <a:effectLst/>
          </c:spPr>
        </c:marker>
      </c:pivotFmt>
      <c:pivotFmt>
        <c:idx val="52"/>
        <c:spPr>
          <a:solidFill>
            <a:schemeClr val="accent1"/>
          </a:solidFill>
          <a:ln w="28575" cap="rnd">
            <a:solidFill>
              <a:schemeClr val="accent1"/>
            </a:solidFill>
            <a:round/>
          </a:ln>
          <a:effectLst/>
        </c:spPr>
        <c:marker>
          <c:symbol val="circle"/>
          <c:size val="5"/>
          <c:spPr>
            <a:solidFill>
              <a:schemeClr val="accent1">
                <a:lumMod val="60000"/>
              </a:schemeClr>
            </a:solidFill>
            <a:ln w="9525">
              <a:solidFill>
                <a:schemeClr val="accent1">
                  <a:lumMod val="60000"/>
                </a:schemeClr>
              </a:solidFill>
            </a:ln>
            <a:effectLst/>
          </c:spPr>
        </c:marker>
      </c:pivotFmt>
      <c:pivotFmt>
        <c:idx val="53"/>
        <c:spPr>
          <a:solidFill>
            <a:schemeClr val="accent1"/>
          </a:solidFill>
          <a:ln w="28575" cap="rnd">
            <a:solidFill>
              <a:schemeClr val="accent1"/>
            </a:solidFill>
            <a:round/>
          </a:ln>
          <a:effectLst/>
        </c:spPr>
        <c:marker>
          <c:symbol val="circle"/>
          <c:size val="5"/>
          <c:spPr>
            <a:solidFill>
              <a:schemeClr val="accent2">
                <a:lumMod val="60000"/>
              </a:schemeClr>
            </a:solidFill>
            <a:ln w="9525">
              <a:solidFill>
                <a:schemeClr val="accent2">
                  <a:lumMod val="60000"/>
                </a:schemeClr>
              </a:solidFill>
            </a:ln>
            <a:effectLst/>
          </c:spPr>
        </c:marker>
      </c:pivotFmt>
      <c:pivotFmt>
        <c:idx val="54"/>
        <c:spPr>
          <a:solidFill>
            <a:schemeClr val="accent1"/>
          </a:solidFill>
          <a:ln w="28575" cap="rnd">
            <a:solidFill>
              <a:schemeClr val="accent1"/>
            </a:solidFill>
            <a:round/>
          </a:ln>
          <a:effectLst/>
        </c:spPr>
        <c:marker>
          <c:symbol val="circle"/>
          <c:size val="5"/>
          <c:spPr>
            <a:solidFill>
              <a:schemeClr val="accent3">
                <a:lumMod val="60000"/>
              </a:schemeClr>
            </a:solidFill>
            <a:ln w="9525">
              <a:solidFill>
                <a:schemeClr val="accent3">
                  <a:lumMod val="60000"/>
                </a:schemeClr>
              </a:solidFill>
            </a:ln>
            <a:effectLst/>
          </c:spPr>
        </c:marker>
      </c:pivotFmt>
    </c:pivotFmts>
    <c:plotArea>
      <c:layout/>
      <c:lineChart>
        <c:grouping val="standard"/>
        <c:varyColors val="0"/>
        <c:ser>
          <c:idx val="0"/>
          <c:order val="0"/>
          <c:tx>
            <c:strRef>
              <c:f>'Sheet1 (3)'!$B$3:$B$5</c:f>
              <c:strCache>
                <c:ptCount val="1"/>
                <c:pt idx="0">
                  <c:v>1st line - IPILIMUMAB</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 (3)'!$A$6:$A$55</c:f>
              <c:strCache>
                <c:ptCount val="49"/>
                <c:pt idx="0">
                  <c:v>2009Q2</c:v>
                </c:pt>
                <c:pt idx="1">
                  <c:v>2009Q3</c:v>
                </c:pt>
                <c:pt idx="2">
                  <c:v>2009Q4</c:v>
                </c:pt>
                <c:pt idx="3">
                  <c:v>2010Q1</c:v>
                </c:pt>
                <c:pt idx="4">
                  <c:v>2010Q2</c:v>
                </c:pt>
                <c:pt idx="5">
                  <c:v>2010Q3</c:v>
                </c:pt>
                <c:pt idx="6">
                  <c:v>2010Q4</c:v>
                </c:pt>
                <c:pt idx="7">
                  <c:v>2011Q1</c:v>
                </c:pt>
                <c:pt idx="8">
                  <c:v>2011Q2</c:v>
                </c:pt>
                <c:pt idx="9">
                  <c:v>2011Q3</c:v>
                </c:pt>
                <c:pt idx="10">
                  <c:v>2011Q4</c:v>
                </c:pt>
                <c:pt idx="11">
                  <c:v>2012Q1</c:v>
                </c:pt>
                <c:pt idx="12">
                  <c:v>2012Q2</c:v>
                </c:pt>
                <c:pt idx="13">
                  <c:v>2012Q3</c:v>
                </c:pt>
                <c:pt idx="14">
                  <c:v>2012Q4</c:v>
                </c:pt>
                <c:pt idx="15">
                  <c:v>2013Q1</c:v>
                </c:pt>
                <c:pt idx="16">
                  <c:v>2013Q2</c:v>
                </c:pt>
                <c:pt idx="17">
                  <c:v>2013Q3</c:v>
                </c:pt>
                <c:pt idx="18">
                  <c:v>2013Q4</c:v>
                </c:pt>
                <c:pt idx="19">
                  <c:v>2014Q1</c:v>
                </c:pt>
                <c:pt idx="20">
                  <c:v>2014Q2</c:v>
                </c:pt>
                <c:pt idx="21">
                  <c:v>2014Q3</c:v>
                </c:pt>
                <c:pt idx="22">
                  <c:v>2014Q4</c:v>
                </c:pt>
                <c:pt idx="23">
                  <c:v>2015Q1</c:v>
                </c:pt>
                <c:pt idx="24">
                  <c:v>2015Q2</c:v>
                </c:pt>
                <c:pt idx="25">
                  <c:v>2015Q3</c:v>
                </c:pt>
                <c:pt idx="26">
                  <c:v>2015Q4</c:v>
                </c:pt>
                <c:pt idx="27">
                  <c:v>2016Q1</c:v>
                </c:pt>
                <c:pt idx="28">
                  <c:v>2016Q2</c:v>
                </c:pt>
                <c:pt idx="29">
                  <c:v>2016Q3</c:v>
                </c:pt>
                <c:pt idx="30">
                  <c:v>2016Q4</c:v>
                </c:pt>
                <c:pt idx="31">
                  <c:v>2017Q1</c:v>
                </c:pt>
                <c:pt idx="32">
                  <c:v>2017Q2</c:v>
                </c:pt>
                <c:pt idx="33">
                  <c:v>2017Q3</c:v>
                </c:pt>
                <c:pt idx="34">
                  <c:v>2017Q4</c:v>
                </c:pt>
                <c:pt idx="35">
                  <c:v>2018Q1</c:v>
                </c:pt>
                <c:pt idx="36">
                  <c:v>2018Q2</c:v>
                </c:pt>
                <c:pt idx="37">
                  <c:v>2018Q3</c:v>
                </c:pt>
                <c:pt idx="38">
                  <c:v>2018Q4</c:v>
                </c:pt>
                <c:pt idx="39">
                  <c:v>2019Q1</c:v>
                </c:pt>
                <c:pt idx="40">
                  <c:v>2019Q2</c:v>
                </c:pt>
                <c:pt idx="41">
                  <c:v>2019Q3</c:v>
                </c:pt>
                <c:pt idx="42">
                  <c:v>2019Q4</c:v>
                </c:pt>
                <c:pt idx="43">
                  <c:v>2020Q1</c:v>
                </c:pt>
                <c:pt idx="44">
                  <c:v>2020Q2</c:v>
                </c:pt>
                <c:pt idx="45">
                  <c:v>2020Q3</c:v>
                </c:pt>
                <c:pt idx="46">
                  <c:v>2020Q4</c:v>
                </c:pt>
                <c:pt idx="47">
                  <c:v>2021Q1</c:v>
                </c:pt>
                <c:pt idx="48">
                  <c:v>2021Q2</c:v>
                </c:pt>
              </c:strCache>
            </c:strRef>
          </c:cat>
          <c:val>
            <c:numRef>
              <c:f>'Sheet1 (3)'!$B$6:$B$55</c:f>
              <c:numCache>
                <c:formatCode>General</c:formatCode>
                <c:ptCount val="49"/>
                <c:pt idx="39">
                  <c:v>43</c:v>
                </c:pt>
                <c:pt idx="40">
                  <c:v>97</c:v>
                </c:pt>
                <c:pt idx="41">
                  <c:v>109</c:v>
                </c:pt>
                <c:pt idx="42">
                  <c:v>86</c:v>
                </c:pt>
                <c:pt idx="43">
                  <c:v>85</c:v>
                </c:pt>
                <c:pt idx="44">
                  <c:v>84</c:v>
                </c:pt>
                <c:pt idx="45">
                  <c:v>103</c:v>
                </c:pt>
                <c:pt idx="46">
                  <c:v>90</c:v>
                </c:pt>
                <c:pt idx="47">
                  <c:v>93</c:v>
                </c:pt>
                <c:pt idx="48">
                  <c:v>118</c:v>
                </c:pt>
              </c:numCache>
            </c:numRef>
          </c:val>
          <c:smooth val="0"/>
          <c:extLst>
            <c:ext xmlns:c16="http://schemas.microsoft.com/office/drawing/2014/chart" uri="{C3380CC4-5D6E-409C-BE32-E72D297353CC}">
              <c16:uniqueId val="{00000000-2611-49EF-983D-7B4BEC317F36}"/>
            </c:ext>
          </c:extLst>
        </c:ser>
        <c:ser>
          <c:idx val="1"/>
          <c:order val="1"/>
          <c:tx>
            <c:strRef>
              <c:f>'Sheet1 (3)'!$C$3:$C$5</c:f>
              <c:strCache>
                <c:ptCount val="1"/>
                <c:pt idx="0">
                  <c:v>1st line - NIVOLUMAB</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 (3)'!$A$6:$A$55</c:f>
              <c:strCache>
                <c:ptCount val="49"/>
                <c:pt idx="0">
                  <c:v>2009Q2</c:v>
                </c:pt>
                <c:pt idx="1">
                  <c:v>2009Q3</c:v>
                </c:pt>
                <c:pt idx="2">
                  <c:v>2009Q4</c:v>
                </c:pt>
                <c:pt idx="3">
                  <c:v>2010Q1</c:v>
                </c:pt>
                <c:pt idx="4">
                  <c:v>2010Q2</c:v>
                </c:pt>
                <c:pt idx="5">
                  <c:v>2010Q3</c:v>
                </c:pt>
                <c:pt idx="6">
                  <c:v>2010Q4</c:v>
                </c:pt>
                <c:pt idx="7">
                  <c:v>2011Q1</c:v>
                </c:pt>
                <c:pt idx="8">
                  <c:v>2011Q2</c:v>
                </c:pt>
                <c:pt idx="9">
                  <c:v>2011Q3</c:v>
                </c:pt>
                <c:pt idx="10">
                  <c:v>2011Q4</c:v>
                </c:pt>
                <c:pt idx="11">
                  <c:v>2012Q1</c:v>
                </c:pt>
                <c:pt idx="12">
                  <c:v>2012Q2</c:v>
                </c:pt>
                <c:pt idx="13">
                  <c:v>2012Q3</c:v>
                </c:pt>
                <c:pt idx="14">
                  <c:v>2012Q4</c:v>
                </c:pt>
                <c:pt idx="15">
                  <c:v>2013Q1</c:v>
                </c:pt>
                <c:pt idx="16">
                  <c:v>2013Q2</c:v>
                </c:pt>
                <c:pt idx="17">
                  <c:v>2013Q3</c:v>
                </c:pt>
                <c:pt idx="18">
                  <c:v>2013Q4</c:v>
                </c:pt>
                <c:pt idx="19">
                  <c:v>2014Q1</c:v>
                </c:pt>
                <c:pt idx="20">
                  <c:v>2014Q2</c:v>
                </c:pt>
                <c:pt idx="21">
                  <c:v>2014Q3</c:v>
                </c:pt>
                <c:pt idx="22">
                  <c:v>2014Q4</c:v>
                </c:pt>
                <c:pt idx="23">
                  <c:v>2015Q1</c:v>
                </c:pt>
                <c:pt idx="24">
                  <c:v>2015Q2</c:v>
                </c:pt>
                <c:pt idx="25">
                  <c:v>2015Q3</c:v>
                </c:pt>
                <c:pt idx="26">
                  <c:v>2015Q4</c:v>
                </c:pt>
                <c:pt idx="27">
                  <c:v>2016Q1</c:v>
                </c:pt>
                <c:pt idx="28">
                  <c:v>2016Q2</c:v>
                </c:pt>
                <c:pt idx="29">
                  <c:v>2016Q3</c:v>
                </c:pt>
                <c:pt idx="30">
                  <c:v>2016Q4</c:v>
                </c:pt>
                <c:pt idx="31">
                  <c:v>2017Q1</c:v>
                </c:pt>
                <c:pt idx="32">
                  <c:v>2017Q2</c:v>
                </c:pt>
                <c:pt idx="33">
                  <c:v>2017Q3</c:v>
                </c:pt>
                <c:pt idx="34">
                  <c:v>2017Q4</c:v>
                </c:pt>
                <c:pt idx="35">
                  <c:v>2018Q1</c:v>
                </c:pt>
                <c:pt idx="36">
                  <c:v>2018Q2</c:v>
                </c:pt>
                <c:pt idx="37">
                  <c:v>2018Q3</c:v>
                </c:pt>
                <c:pt idx="38">
                  <c:v>2018Q4</c:v>
                </c:pt>
                <c:pt idx="39">
                  <c:v>2019Q1</c:v>
                </c:pt>
                <c:pt idx="40">
                  <c:v>2019Q2</c:v>
                </c:pt>
                <c:pt idx="41">
                  <c:v>2019Q3</c:v>
                </c:pt>
                <c:pt idx="42">
                  <c:v>2019Q4</c:v>
                </c:pt>
                <c:pt idx="43">
                  <c:v>2020Q1</c:v>
                </c:pt>
                <c:pt idx="44">
                  <c:v>2020Q2</c:v>
                </c:pt>
                <c:pt idx="45">
                  <c:v>2020Q3</c:v>
                </c:pt>
                <c:pt idx="46">
                  <c:v>2020Q4</c:v>
                </c:pt>
                <c:pt idx="47">
                  <c:v>2021Q1</c:v>
                </c:pt>
                <c:pt idx="48">
                  <c:v>2021Q2</c:v>
                </c:pt>
              </c:strCache>
            </c:strRef>
          </c:cat>
          <c:val>
            <c:numRef>
              <c:f>'Sheet1 (3)'!$C$6:$C$55</c:f>
              <c:numCache>
                <c:formatCode>General</c:formatCode>
                <c:ptCount val="49"/>
                <c:pt idx="39">
                  <c:v>52</c:v>
                </c:pt>
                <c:pt idx="40">
                  <c:v>105</c:v>
                </c:pt>
                <c:pt idx="41">
                  <c:v>116</c:v>
                </c:pt>
                <c:pt idx="42">
                  <c:v>105</c:v>
                </c:pt>
                <c:pt idx="43">
                  <c:v>100</c:v>
                </c:pt>
                <c:pt idx="44">
                  <c:v>98</c:v>
                </c:pt>
                <c:pt idx="45">
                  <c:v>108</c:v>
                </c:pt>
                <c:pt idx="46">
                  <c:v>93</c:v>
                </c:pt>
                <c:pt idx="47">
                  <c:v>89</c:v>
                </c:pt>
                <c:pt idx="48">
                  <c:v>105</c:v>
                </c:pt>
              </c:numCache>
            </c:numRef>
          </c:val>
          <c:smooth val="0"/>
          <c:extLst>
            <c:ext xmlns:c16="http://schemas.microsoft.com/office/drawing/2014/chart" uri="{C3380CC4-5D6E-409C-BE32-E72D297353CC}">
              <c16:uniqueId val="{00000001-2611-49EF-983D-7B4BEC317F36}"/>
            </c:ext>
          </c:extLst>
        </c:ser>
        <c:ser>
          <c:idx val="2"/>
          <c:order val="2"/>
          <c:tx>
            <c:strRef>
              <c:f>'Sheet1 (3)'!$D$3:$D$5</c:f>
              <c:strCache>
                <c:ptCount val="1"/>
                <c:pt idx="0">
                  <c:v>1st line - PAZOPANIB</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'Sheet1 (3)'!$A$6:$A$55</c:f>
              <c:strCache>
                <c:ptCount val="49"/>
                <c:pt idx="0">
                  <c:v>2009Q2</c:v>
                </c:pt>
                <c:pt idx="1">
                  <c:v>2009Q3</c:v>
                </c:pt>
                <c:pt idx="2">
                  <c:v>2009Q4</c:v>
                </c:pt>
                <c:pt idx="3">
                  <c:v>2010Q1</c:v>
                </c:pt>
                <c:pt idx="4">
                  <c:v>2010Q2</c:v>
                </c:pt>
                <c:pt idx="5">
                  <c:v>2010Q3</c:v>
                </c:pt>
                <c:pt idx="6">
                  <c:v>2010Q4</c:v>
                </c:pt>
                <c:pt idx="7">
                  <c:v>2011Q1</c:v>
                </c:pt>
                <c:pt idx="8">
                  <c:v>2011Q2</c:v>
                </c:pt>
                <c:pt idx="9">
                  <c:v>2011Q3</c:v>
                </c:pt>
                <c:pt idx="10">
                  <c:v>2011Q4</c:v>
                </c:pt>
                <c:pt idx="11">
                  <c:v>2012Q1</c:v>
                </c:pt>
                <c:pt idx="12">
                  <c:v>2012Q2</c:v>
                </c:pt>
                <c:pt idx="13">
                  <c:v>2012Q3</c:v>
                </c:pt>
                <c:pt idx="14">
                  <c:v>2012Q4</c:v>
                </c:pt>
                <c:pt idx="15">
                  <c:v>2013Q1</c:v>
                </c:pt>
                <c:pt idx="16">
                  <c:v>2013Q2</c:v>
                </c:pt>
                <c:pt idx="17">
                  <c:v>2013Q3</c:v>
                </c:pt>
                <c:pt idx="18">
                  <c:v>2013Q4</c:v>
                </c:pt>
                <c:pt idx="19">
                  <c:v>2014Q1</c:v>
                </c:pt>
                <c:pt idx="20">
                  <c:v>2014Q2</c:v>
                </c:pt>
                <c:pt idx="21">
                  <c:v>2014Q3</c:v>
                </c:pt>
                <c:pt idx="22">
                  <c:v>2014Q4</c:v>
                </c:pt>
                <c:pt idx="23">
                  <c:v>2015Q1</c:v>
                </c:pt>
                <c:pt idx="24">
                  <c:v>2015Q2</c:v>
                </c:pt>
                <c:pt idx="25">
                  <c:v>2015Q3</c:v>
                </c:pt>
                <c:pt idx="26">
                  <c:v>2015Q4</c:v>
                </c:pt>
                <c:pt idx="27">
                  <c:v>2016Q1</c:v>
                </c:pt>
                <c:pt idx="28">
                  <c:v>2016Q2</c:v>
                </c:pt>
                <c:pt idx="29">
                  <c:v>2016Q3</c:v>
                </c:pt>
                <c:pt idx="30">
                  <c:v>2016Q4</c:v>
                </c:pt>
                <c:pt idx="31">
                  <c:v>2017Q1</c:v>
                </c:pt>
                <c:pt idx="32">
                  <c:v>2017Q2</c:v>
                </c:pt>
                <c:pt idx="33">
                  <c:v>2017Q3</c:v>
                </c:pt>
                <c:pt idx="34">
                  <c:v>2017Q4</c:v>
                </c:pt>
                <c:pt idx="35">
                  <c:v>2018Q1</c:v>
                </c:pt>
                <c:pt idx="36">
                  <c:v>2018Q2</c:v>
                </c:pt>
                <c:pt idx="37">
                  <c:v>2018Q3</c:v>
                </c:pt>
                <c:pt idx="38">
                  <c:v>2018Q4</c:v>
                </c:pt>
                <c:pt idx="39">
                  <c:v>2019Q1</c:v>
                </c:pt>
                <c:pt idx="40">
                  <c:v>2019Q2</c:v>
                </c:pt>
                <c:pt idx="41">
                  <c:v>2019Q3</c:v>
                </c:pt>
                <c:pt idx="42">
                  <c:v>2019Q4</c:v>
                </c:pt>
                <c:pt idx="43">
                  <c:v>2020Q1</c:v>
                </c:pt>
                <c:pt idx="44">
                  <c:v>2020Q2</c:v>
                </c:pt>
                <c:pt idx="45">
                  <c:v>2020Q3</c:v>
                </c:pt>
                <c:pt idx="46">
                  <c:v>2020Q4</c:v>
                </c:pt>
                <c:pt idx="47">
                  <c:v>2021Q1</c:v>
                </c:pt>
                <c:pt idx="48">
                  <c:v>2021Q2</c:v>
                </c:pt>
              </c:strCache>
            </c:strRef>
          </c:cat>
          <c:val>
            <c:numRef>
              <c:f>'Sheet1 (3)'!$D$6:$D$55</c:f>
              <c:numCache>
                <c:formatCode>General</c:formatCode>
                <c:ptCount val="49"/>
                <c:pt idx="14">
                  <c:v>168</c:v>
                </c:pt>
                <c:pt idx="15">
                  <c:v>105</c:v>
                </c:pt>
                <c:pt idx="16">
                  <c:v>98</c:v>
                </c:pt>
                <c:pt idx="17">
                  <c:v>105</c:v>
                </c:pt>
                <c:pt idx="18">
                  <c:v>145</c:v>
                </c:pt>
                <c:pt idx="19">
                  <c:v>115</c:v>
                </c:pt>
                <c:pt idx="20">
                  <c:v>139</c:v>
                </c:pt>
                <c:pt idx="21">
                  <c:v>128</c:v>
                </c:pt>
                <c:pt idx="22">
                  <c:v>115</c:v>
                </c:pt>
                <c:pt idx="23">
                  <c:v>89</c:v>
                </c:pt>
                <c:pt idx="24">
                  <c:v>100</c:v>
                </c:pt>
                <c:pt idx="25">
                  <c:v>110</c:v>
                </c:pt>
                <c:pt idx="26">
                  <c:v>109</c:v>
                </c:pt>
                <c:pt idx="27">
                  <c:v>105</c:v>
                </c:pt>
                <c:pt idx="28">
                  <c:v>119</c:v>
                </c:pt>
                <c:pt idx="29">
                  <c:v>93</c:v>
                </c:pt>
                <c:pt idx="30">
                  <c:v>104</c:v>
                </c:pt>
                <c:pt idx="31">
                  <c:v>106</c:v>
                </c:pt>
                <c:pt idx="32">
                  <c:v>111</c:v>
                </c:pt>
                <c:pt idx="33">
                  <c:v>118</c:v>
                </c:pt>
                <c:pt idx="34">
                  <c:v>94</c:v>
                </c:pt>
                <c:pt idx="35">
                  <c:v>95</c:v>
                </c:pt>
                <c:pt idx="36">
                  <c:v>107</c:v>
                </c:pt>
                <c:pt idx="37">
                  <c:v>130</c:v>
                </c:pt>
                <c:pt idx="38">
                  <c:v>113</c:v>
                </c:pt>
                <c:pt idx="39">
                  <c:v>88</c:v>
                </c:pt>
                <c:pt idx="40">
                  <c:v>59</c:v>
                </c:pt>
                <c:pt idx="41">
                  <c:v>76</c:v>
                </c:pt>
                <c:pt idx="42">
                  <c:v>60</c:v>
                </c:pt>
                <c:pt idx="43">
                  <c:v>65</c:v>
                </c:pt>
                <c:pt idx="44">
                  <c:v>70</c:v>
                </c:pt>
                <c:pt idx="45">
                  <c:v>73</c:v>
                </c:pt>
                <c:pt idx="46">
                  <c:v>74</c:v>
                </c:pt>
                <c:pt idx="47">
                  <c:v>56</c:v>
                </c:pt>
                <c:pt idx="48">
                  <c:v>65</c:v>
                </c:pt>
              </c:numCache>
            </c:numRef>
          </c:val>
          <c:smooth val="0"/>
          <c:extLst>
            <c:ext xmlns:c16="http://schemas.microsoft.com/office/drawing/2014/chart" uri="{C3380CC4-5D6E-409C-BE32-E72D297353CC}">
              <c16:uniqueId val="{00000002-2611-49EF-983D-7B4BEC317F36}"/>
            </c:ext>
          </c:extLst>
        </c:ser>
        <c:ser>
          <c:idx val="3"/>
          <c:order val="3"/>
          <c:tx>
            <c:strRef>
              <c:f>'Sheet1 (3)'!$E$3:$E$5</c:f>
              <c:strCache>
                <c:ptCount val="1"/>
                <c:pt idx="0">
                  <c:v>1st line - SUNITINIB</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'Sheet1 (3)'!$A$6:$A$55</c:f>
              <c:strCache>
                <c:ptCount val="49"/>
                <c:pt idx="0">
                  <c:v>2009Q2</c:v>
                </c:pt>
                <c:pt idx="1">
                  <c:v>2009Q3</c:v>
                </c:pt>
                <c:pt idx="2">
                  <c:v>2009Q4</c:v>
                </c:pt>
                <c:pt idx="3">
                  <c:v>2010Q1</c:v>
                </c:pt>
                <c:pt idx="4">
                  <c:v>2010Q2</c:v>
                </c:pt>
                <c:pt idx="5">
                  <c:v>2010Q3</c:v>
                </c:pt>
                <c:pt idx="6">
                  <c:v>2010Q4</c:v>
                </c:pt>
                <c:pt idx="7">
                  <c:v>2011Q1</c:v>
                </c:pt>
                <c:pt idx="8">
                  <c:v>2011Q2</c:v>
                </c:pt>
                <c:pt idx="9">
                  <c:v>2011Q3</c:v>
                </c:pt>
                <c:pt idx="10">
                  <c:v>2011Q4</c:v>
                </c:pt>
                <c:pt idx="11">
                  <c:v>2012Q1</c:v>
                </c:pt>
                <c:pt idx="12">
                  <c:v>2012Q2</c:v>
                </c:pt>
                <c:pt idx="13">
                  <c:v>2012Q3</c:v>
                </c:pt>
                <c:pt idx="14">
                  <c:v>2012Q4</c:v>
                </c:pt>
                <c:pt idx="15">
                  <c:v>2013Q1</c:v>
                </c:pt>
                <c:pt idx="16">
                  <c:v>2013Q2</c:v>
                </c:pt>
                <c:pt idx="17">
                  <c:v>2013Q3</c:v>
                </c:pt>
                <c:pt idx="18">
                  <c:v>2013Q4</c:v>
                </c:pt>
                <c:pt idx="19">
                  <c:v>2014Q1</c:v>
                </c:pt>
                <c:pt idx="20">
                  <c:v>2014Q2</c:v>
                </c:pt>
                <c:pt idx="21">
                  <c:v>2014Q3</c:v>
                </c:pt>
                <c:pt idx="22">
                  <c:v>2014Q4</c:v>
                </c:pt>
                <c:pt idx="23">
                  <c:v>2015Q1</c:v>
                </c:pt>
                <c:pt idx="24">
                  <c:v>2015Q2</c:v>
                </c:pt>
                <c:pt idx="25">
                  <c:v>2015Q3</c:v>
                </c:pt>
                <c:pt idx="26">
                  <c:v>2015Q4</c:v>
                </c:pt>
                <c:pt idx="27">
                  <c:v>2016Q1</c:v>
                </c:pt>
                <c:pt idx="28">
                  <c:v>2016Q2</c:v>
                </c:pt>
                <c:pt idx="29">
                  <c:v>2016Q3</c:v>
                </c:pt>
                <c:pt idx="30">
                  <c:v>2016Q4</c:v>
                </c:pt>
                <c:pt idx="31">
                  <c:v>2017Q1</c:v>
                </c:pt>
                <c:pt idx="32">
                  <c:v>2017Q2</c:v>
                </c:pt>
                <c:pt idx="33">
                  <c:v>2017Q3</c:v>
                </c:pt>
                <c:pt idx="34">
                  <c:v>2017Q4</c:v>
                </c:pt>
                <c:pt idx="35">
                  <c:v>2018Q1</c:v>
                </c:pt>
                <c:pt idx="36">
                  <c:v>2018Q2</c:v>
                </c:pt>
                <c:pt idx="37">
                  <c:v>2018Q3</c:v>
                </c:pt>
                <c:pt idx="38">
                  <c:v>2018Q4</c:v>
                </c:pt>
                <c:pt idx="39">
                  <c:v>2019Q1</c:v>
                </c:pt>
                <c:pt idx="40">
                  <c:v>2019Q2</c:v>
                </c:pt>
                <c:pt idx="41">
                  <c:v>2019Q3</c:v>
                </c:pt>
                <c:pt idx="42">
                  <c:v>2019Q4</c:v>
                </c:pt>
                <c:pt idx="43">
                  <c:v>2020Q1</c:v>
                </c:pt>
                <c:pt idx="44">
                  <c:v>2020Q2</c:v>
                </c:pt>
                <c:pt idx="45">
                  <c:v>2020Q3</c:v>
                </c:pt>
                <c:pt idx="46">
                  <c:v>2020Q4</c:v>
                </c:pt>
                <c:pt idx="47">
                  <c:v>2021Q1</c:v>
                </c:pt>
                <c:pt idx="48">
                  <c:v>2021Q2</c:v>
                </c:pt>
              </c:strCache>
            </c:strRef>
          </c:cat>
          <c:val>
            <c:numRef>
              <c:f>'Sheet1 (3)'!$E$6:$E$55</c:f>
              <c:numCache>
                <c:formatCode>General</c:formatCode>
                <c:ptCount val="49"/>
                <c:pt idx="0">
                  <c:v>400</c:v>
                </c:pt>
                <c:pt idx="1">
                  <c:v>200</c:v>
                </c:pt>
                <c:pt idx="2">
                  <c:v>118</c:v>
                </c:pt>
                <c:pt idx="3">
                  <c:v>125</c:v>
                </c:pt>
                <c:pt idx="4">
                  <c:v>137</c:v>
                </c:pt>
                <c:pt idx="5">
                  <c:v>130</c:v>
                </c:pt>
                <c:pt idx="6">
                  <c:v>138</c:v>
                </c:pt>
                <c:pt idx="7">
                  <c:v>117</c:v>
                </c:pt>
                <c:pt idx="8">
                  <c:v>119</c:v>
                </c:pt>
                <c:pt idx="9">
                  <c:v>141</c:v>
                </c:pt>
                <c:pt idx="10">
                  <c:v>120</c:v>
                </c:pt>
                <c:pt idx="11">
                  <c:v>128</c:v>
                </c:pt>
                <c:pt idx="12">
                  <c:v>119</c:v>
                </c:pt>
                <c:pt idx="13">
                  <c:v>116</c:v>
                </c:pt>
                <c:pt idx="14">
                  <c:v>78</c:v>
                </c:pt>
                <c:pt idx="15">
                  <c:v>67</c:v>
                </c:pt>
                <c:pt idx="16">
                  <c:v>50</c:v>
                </c:pt>
                <c:pt idx="17">
                  <c:v>63</c:v>
                </c:pt>
                <c:pt idx="18">
                  <c:v>50</c:v>
                </c:pt>
                <c:pt idx="19">
                  <c:v>59</c:v>
                </c:pt>
                <c:pt idx="20">
                  <c:v>66</c:v>
                </c:pt>
                <c:pt idx="21">
                  <c:v>61</c:v>
                </c:pt>
                <c:pt idx="22">
                  <c:v>58</c:v>
                </c:pt>
                <c:pt idx="23">
                  <c:v>69</c:v>
                </c:pt>
                <c:pt idx="24">
                  <c:v>65</c:v>
                </c:pt>
                <c:pt idx="25">
                  <c:v>81</c:v>
                </c:pt>
                <c:pt idx="26">
                  <c:v>62</c:v>
                </c:pt>
                <c:pt idx="27">
                  <c:v>66</c:v>
                </c:pt>
                <c:pt idx="28">
                  <c:v>72</c:v>
                </c:pt>
                <c:pt idx="29">
                  <c:v>67</c:v>
                </c:pt>
                <c:pt idx="30">
                  <c:v>84</c:v>
                </c:pt>
                <c:pt idx="31">
                  <c:v>81</c:v>
                </c:pt>
                <c:pt idx="32">
                  <c:v>72</c:v>
                </c:pt>
                <c:pt idx="33">
                  <c:v>61</c:v>
                </c:pt>
                <c:pt idx="34">
                  <c:v>80</c:v>
                </c:pt>
                <c:pt idx="35">
                  <c:v>46</c:v>
                </c:pt>
                <c:pt idx="36">
                  <c:v>71</c:v>
                </c:pt>
                <c:pt idx="37">
                  <c:v>68</c:v>
                </c:pt>
                <c:pt idx="38">
                  <c:v>90</c:v>
                </c:pt>
                <c:pt idx="39">
                  <c:v>67</c:v>
                </c:pt>
                <c:pt idx="40">
                  <c:v>44</c:v>
                </c:pt>
                <c:pt idx="41">
                  <c:v>53</c:v>
                </c:pt>
                <c:pt idx="42">
                  <c:v>37</c:v>
                </c:pt>
                <c:pt idx="43">
                  <c:v>41</c:v>
                </c:pt>
                <c:pt idx="44">
                  <c:v>42</c:v>
                </c:pt>
                <c:pt idx="45">
                  <c:v>63</c:v>
                </c:pt>
                <c:pt idx="46">
                  <c:v>70</c:v>
                </c:pt>
                <c:pt idx="47">
                  <c:v>53</c:v>
                </c:pt>
                <c:pt idx="48">
                  <c:v>53</c:v>
                </c:pt>
              </c:numCache>
            </c:numRef>
          </c:val>
          <c:smooth val="0"/>
          <c:extLst>
            <c:ext xmlns:c16="http://schemas.microsoft.com/office/drawing/2014/chart" uri="{C3380CC4-5D6E-409C-BE32-E72D297353CC}">
              <c16:uniqueId val="{00000003-2611-49EF-983D-7B4BEC317F36}"/>
            </c:ext>
          </c:extLst>
        </c:ser>
        <c:ser>
          <c:idx val="4"/>
          <c:order val="4"/>
          <c:tx>
            <c:strRef>
              <c:f>'Sheet1 (3)'!$F$3:$F$5</c:f>
              <c:strCache>
                <c:ptCount val="1"/>
                <c:pt idx="0">
                  <c:v>2nd line - AXITINIB</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'Sheet1 (3)'!$A$6:$A$55</c:f>
              <c:strCache>
                <c:ptCount val="49"/>
                <c:pt idx="0">
                  <c:v>2009Q2</c:v>
                </c:pt>
                <c:pt idx="1">
                  <c:v>2009Q3</c:v>
                </c:pt>
                <c:pt idx="2">
                  <c:v>2009Q4</c:v>
                </c:pt>
                <c:pt idx="3">
                  <c:v>2010Q1</c:v>
                </c:pt>
                <c:pt idx="4">
                  <c:v>2010Q2</c:v>
                </c:pt>
                <c:pt idx="5">
                  <c:v>2010Q3</c:v>
                </c:pt>
                <c:pt idx="6">
                  <c:v>2010Q4</c:v>
                </c:pt>
                <c:pt idx="7">
                  <c:v>2011Q1</c:v>
                </c:pt>
                <c:pt idx="8">
                  <c:v>2011Q2</c:v>
                </c:pt>
                <c:pt idx="9">
                  <c:v>2011Q3</c:v>
                </c:pt>
                <c:pt idx="10">
                  <c:v>2011Q4</c:v>
                </c:pt>
                <c:pt idx="11">
                  <c:v>2012Q1</c:v>
                </c:pt>
                <c:pt idx="12">
                  <c:v>2012Q2</c:v>
                </c:pt>
                <c:pt idx="13">
                  <c:v>2012Q3</c:v>
                </c:pt>
                <c:pt idx="14">
                  <c:v>2012Q4</c:v>
                </c:pt>
                <c:pt idx="15">
                  <c:v>2013Q1</c:v>
                </c:pt>
                <c:pt idx="16">
                  <c:v>2013Q2</c:v>
                </c:pt>
                <c:pt idx="17">
                  <c:v>2013Q3</c:v>
                </c:pt>
                <c:pt idx="18">
                  <c:v>2013Q4</c:v>
                </c:pt>
                <c:pt idx="19">
                  <c:v>2014Q1</c:v>
                </c:pt>
                <c:pt idx="20">
                  <c:v>2014Q2</c:v>
                </c:pt>
                <c:pt idx="21">
                  <c:v>2014Q3</c:v>
                </c:pt>
                <c:pt idx="22">
                  <c:v>2014Q4</c:v>
                </c:pt>
                <c:pt idx="23">
                  <c:v>2015Q1</c:v>
                </c:pt>
                <c:pt idx="24">
                  <c:v>2015Q2</c:v>
                </c:pt>
                <c:pt idx="25">
                  <c:v>2015Q3</c:v>
                </c:pt>
                <c:pt idx="26">
                  <c:v>2015Q4</c:v>
                </c:pt>
                <c:pt idx="27">
                  <c:v>2016Q1</c:v>
                </c:pt>
                <c:pt idx="28">
                  <c:v>2016Q2</c:v>
                </c:pt>
                <c:pt idx="29">
                  <c:v>2016Q3</c:v>
                </c:pt>
                <c:pt idx="30">
                  <c:v>2016Q4</c:v>
                </c:pt>
                <c:pt idx="31">
                  <c:v>2017Q1</c:v>
                </c:pt>
                <c:pt idx="32">
                  <c:v>2017Q2</c:v>
                </c:pt>
                <c:pt idx="33">
                  <c:v>2017Q3</c:v>
                </c:pt>
                <c:pt idx="34">
                  <c:v>2017Q4</c:v>
                </c:pt>
                <c:pt idx="35">
                  <c:v>2018Q1</c:v>
                </c:pt>
                <c:pt idx="36">
                  <c:v>2018Q2</c:v>
                </c:pt>
                <c:pt idx="37">
                  <c:v>2018Q3</c:v>
                </c:pt>
                <c:pt idx="38">
                  <c:v>2018Q4</c:v>
                </c:pt>
                <c:pt idx="39">
                  <c:v>2019Q1</c:v>
                </c:pt>
                <c:pt idx="40">
                  <c:v>2019Q2</c:v>
                </c:pt>
                <c:pt idx="41">
                  <c:v>2019Q3</c:v>
                </c:pt>
                <c:pt idx="42">
                  <c:v>2019Q4</c:v>
                </c:pt>
                <c:pt idx="43">
                  <c:v>2020Q1</c:v>
                </c:pt>
                <c:pt idx="44">
                  <c:v>2020Q2</c:v>
                </c:pt>
                <c:pt idx="45">
                  <c:v>2020Q3</c:v>
                </c:pt>
                <c:pt idx="46">
                  <c:v>2020Q4</c:v>
                </c:pt>
                <c:pt idx="47">
                  <c:v>2021Q1</c:v>
                </c:pt>
                <c:pt idx="48">
                  <c:v>2021Q2</c:v>
                </c:pt>
              </c:strCache>
            </c:strRef>
          </c:cat>
          <c:val>
            <c:numRef>
              <c:f>'Sheet1 (3)'!$F$6:$F$55</c:f>
              <c:numCache>
                <c:formatCode>General</c:formatCode>
                <c:ptCount val="49"/>
                <c:pt idx="26">
                  <c:v>32</c:v>
                </c:pt>
                <c:pt idx="27">
                  <c:v>54</c:v>
                </c:pt>
                <c:pt idx="28">
                  <c:v>54</c:v>
                </c:pt>
                <c:pt idx="29">
                  <c:v>78</c:v>
                </c:pt>
                <c:pt idx="30">
                  <c:v>73</c:v>
                </c:pt>
                <c:pt idx="31">
                  <c:v>73</c:v>
                </c:pt>
                <c:pt idx="32">
                  <c:v>70</c:v>
                </c:pt>
                <c:pt idx="33">
                  <c:v>16</c:v>
                </c:pt>
                <c:pt idx="34">
                  <c:v>26</c:v>
                </c:pt>
                <c:pt idx="35">
                  <c:v>45</c:v>
                </c:pt>
                <c:pt idx="36">
                  <c:v>25</c:v>
                </c:pt>
                <c:pt idx="37">
                  <c:v>16</c:v>
                </c:pt>
                <c:pt idx="38">
                  <c:v>16</c:v>
                </c:pt>
                <c:pt idx="39">
                  <c:v>9</c:v>
                </c:pt>
                <c:pt idx="40">
                  <c:v>20</c:v>
                </c:pt>
                <c:pt idx="41">
                  <c:v>24</c:v>
                </c:pt>
                <c:pt idx="42">
                  <c:v>20</c:v>
                </c:pt>
                <c:pt idx="43">
                  <c:v>27</c:v>
                </c:pt>
                <c:pt idx="44">
                  <c:v>16</c:v>
                </c:pt>
                <c:pt idx="45">
                  <c:v>20</c:v>
                </c:pt>
                <c:pt idx="46">
                  <c:v>20</c:v>
                </c:pt>
                <c:pt idx="47">
                  <c:v>20</c:v>
                </c:pt>
                <c:pt idx="48">
                  <c:v>26</c:v>
                </c:pt>
              </c:numCache>
            </c:numRef>
          </c:val>
          <c:smooth val="0"/>
          <c:extLst>
            <c:ext xmlns:c16="http://schemas.microsoft.com/office/drawing/2014/chart" uri="{C3380CC4-5D6E-409C-BE32-E72D297353CC}">
              <c16:uniqueId val="{00000004-2611-49EF-983D-7B4BEC317F36}"/>
            </c:ext>
          </c:extLst>
        </c:ser>
        <c:ser>
          <c:idx val="5"/>
          <c:order val="5"/>
          <c:tx>
            <c:strRef>
              <c:f>'Sheet1 (3)'!$G$3:$G$5</c:f>
              <c:strCache>
                <c:ptCount val="1"/>
                <c:pt idx="0">
                  <c:v>2nd line - CABOZANTINIB</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strRef>
              <c:f>'Sheet1 (3)'!$A$6:$A$55</c:f>
              <c:strCache>
                <c:ptCount val="49"/>
                <c:pt idx="0">
                  <c:v>2009Q2</c:v>
                </c:pt>
                <c:pt idx="1">
                  <c:v>2009Q3</c:v>
                </c:pt>
                <c:pt idx="2">
                  <c:v>2009Q4</c:v>
                </c:pt>
                <c:pt idx="3">
                  <c:v>2010Q1</c:v>
                </c:pt>
                <c:pt idx="4">
                  <c:v>2010Q2</c:v>
                </c:pt>
                <c:pt idx="5">
                  <c:v>2010Q3</c:v>
                </c:pt>
                <c:pt idx="6">
                  <c:v>2010Q4</c:v>
                </c:pt>
                <c:pt idx="7">
                  <c:v>2011Q1</c:v>
                </c:pt>
                <c:pt idx="8">
                  <c:v>2011Q2</c:v>
                </c:pt>
                <c:pt idx="9">
                  <c:v>2011Q3</c:v>
                </c:pt>
                <c:pt idx="10">
                  <c:v>2011Q4</c:v>
                </c:pt>
                <c:pt idx="11">
                  <c:v>2012Q1</c:v>
                </c:pt>
                <c:pt idx="12">
                  <c:v>2012Q2</c:v>
                </c:pt>
                <c:pt idx="13">
                  <c:v>2012Q3</c:v>
                </c:pt>
                <c:pt idx="14">
                  <c:v>2012Q4</c:v>
                </c:pt>
                <c:pt idx="15">
                  <c:v>2013Q1</c:v>
                </c:pt>
                <c:pt idx="16">
                  <c:v>2013Q2</c:v>
                </c:pt>
                <c:pt idx="17">
                  <c:v>2013Q3</c:v>
                </c:pt>
                <c:pt idx="18">
                  <c:v>2013Q4</c:v>
                </c:pt>
                <c:pt idx="19">
                  <c:v>2014Q1</c:v>
                </c:pt>
                <c:pt idx="20">
                  <c:v>2014Q2</c:v>
                </c:pt>
                <c:pt idx="21">
                  <c:v>2014Q3</c:v>
                </c:pt>
                <c:pt idx="22">
                  <c:v>2014Q4</c:v>
                </c:pt>
                <c:pt idx="23">
                  <c:v>2015Q1</c:v>
                </c:pt>
                <c:pt idx="24">
                  <c:v>2015Q2</c:v>
                </c:pt>
                <c:pt idx="25">
                  <c:v>2015Q3</c:v>
                </c:pt>
                <c:pt idx="26">
                  <c:v>2015Q4</c:v>
                </c:pt>
                <c:pt idx="27">
                  <c:v>2016Q1</c:v>
                </c:pt>
                <c:pt idx="28">
                  <c:v>2016Q2</c:v>
                </c:pt>
                <c:pt idx="29">
                  <c:v>2016Q3</c:v>
                </c:pt>
                <c:pt idx="30">
                  <c:v>2016Q4</c:v>
                </c:pt>
                <c:pt idx="31">
                  <c:v>2017Q1</c:v>
                </c:pt>
                <c:pt idx="32">
                  <c:v>2017Q2</c:v>
                </c:pt>
                <c:pt idx="33">
                  <c:v>2017Q3</c:v>
                </c:pt>
                <c:pt idx="34">
                  <c:v>2017Q4</c:v>
                </c:pt>
                <c:pt idx="35">
                  <c:v>2018Q1</c:v>
                </c:pt>
                <c:pt idx="36">
                  <c:v>2018Q2</c:v>
                </c:pt>
                <c:pt idx="37">
                  <c:v>2018Q3</c:v>
                </c:pt>
                <c:pt idx="38">
                  <c:v>2018Q4</c:v>
                </c:pt>
                <c:pt idx="39">
                  <c:v>2019Q1</c:v>
                </c:pt>
                <c:pt idx="40">
                  <c:v>2019Q2</c:v>
                </c:pt>
                <c:pt idx="41">
                  <c:v>2019Q3</c:v>
                </c:pt>
                <c:pt idx="42">
                  <c:v>2019Q4</c:v>
                </c:pt>
                <c:pt idx="43">
                  <c:v>2020Q1</c:v>
                </c:pt>
                <c:pt idx="44">
                  <c:v>2020Q2</c:v>
                </c:pt>
                <c:pt idx="45">
                  <c:v>2020Q3</c:v>
                </c:pt>
                <c:pt idx="46">
                  <c:v>2020Q4</c:v>
                </c:pt>
                <c:pt idx="47">
                  <c:v>2021Q1</c:v>
                </c:pt>
                <c:pt idx="48">
                  <c:v>2021Q2</c:v>
                </c:pt>
              </c:strCache>
            </c:strRef>
          </c:cat>
          <c:val>
            <c:numRef>
              <c:f>'Sheet1 (3)'!$G$6:$G$55</c:f>
              <c:numCache>
                <c:formatCode>General</c:formatCode>
                <c:ptCount val="49"/>
                <c:pt idx="36">
                  <c:v>56</c:v>
                </c:pt>
                <c:pt idx="37">
                  <c:v>72</c:v>
                </c:pt>
                <c:pt idx="38">
                  <c:v>62</c:v>
                </c:pt>
                <c:pt idx="39">
                  <c:v>60</c:v>
                </c:pt>
                <c:pt idx="40">
                  <c:v>48</c:v>
                </c:pt>
                <c:pt idx="41">
                  <c:v>61</c:v>
                </c:pt>
                <c:pt idx="42">
                  <c:v>66</c:v>
                </c:pt>
                <c:pt idx="43">
                  <c:v>56</c:v>
                </c:pt>
                <c:pt idx="44">
                  <c:v>63</c:v>
                </c:pt>
                <c:pt idx="45">
                  <c:v>53</c:v>
                </c:pt>
                <c:pt idx="46">
                  <c:v>60</c:v>
                </c:pt>
                <c:pt idx="47">
                  <c:v>61</c:v>
                </c:pt>
                <c:pt idx="48">
                  <c:v>77</c:v>
                </c:pt>
              </c:numCache>
            </c:numRef>
          </c:val>
          <c:smooth val="0"/>
          <c:extLst>
            <c:ext xmlns:c16="http://schemas.microsoft.com/office/drawing/2014/chart" uri="{C3380CC4-5D6E-409C-BE32-E72D297353CC}">
              <c16:uniqueId val="{00000005-2611-49EF-983D-7B4BEC317F36}"/>
            </c:ext>
          </c:extLst>
        </c:ser>
        <c:ser>
          <c:idx val="6"/>
          <c:order val="6"/>
          <c:tx>
            <c:strRef>
              <c:f>'Sheet1 (3)'!$H$3:$H$5</c:f>
              <c:strCache>
                <c:ptCount val="1"/>
                <c:pt idx="0">
                  <c:v>2nd line - EVEROLIMUS</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cat>
            <c:strRef>
              <c:f>'Sheet1 (3)'!$A$6:$A$55</c:f>
              <c:strCache>
                <c:ptCount val="49"/>
                <c:pt idx="0">
                  <c:v>2009Q2</c:v>
                </c:pt>
                <c:pt idx="1">
                  <c:v>2009Q3</c:v>
                </c:pt>
                <c:pt idx="2">
                  <c:v>2009Q4</c:v>
                </c:pt>
                <c:pt idx="3">
                  <c:v>2010Q1</c:v>
                </c:pt>
                <c:pt idx="4">
                  <c:v>2010Q2</c:v>
                </c:pt>
                <c:pt idx="5">
                  <c:v>2010Q3</c:v>
                </c:pt>
                <c:pt idx="6">
                  <c:v>2010Q4</c:v>
                </c:pt>
                <c:pt idx="7">
                  <c:v>2011Q1</c:v>
                </c:pt>
                <c:pt idx="8">
                  <c:v>2011Q2</c:v>
                </c:pt>
                <c:pt idx="9">
                  <c:v>2011Q3</c:v>
                </c:pt>
                <c:pt idx="10">
                  <c:v>2011Q4</c:v>
                </c:pt>
                <c:pt idx="11">
                  <c:v>2012Q1</c:v>
                </c:pt>
                <c:pt idx="12">
                  <c:v>2012Q2</c:v>
                </c:pt>
                <c:pt idx="13">
                  <c:v>2012Q3</c:v>
                </c:pt>
                <c:pt idx="14">
                  <c:v>2012Q4</c:v>
                </c:pt>
                <c:pt idx="15">
                  <c:v>2013Q1</c:v>
                </c:pt>
                <c:pt idx="16">
                  <c:v>2013Q2</c:v>
                </c:pt>
                <c:pt idx="17">
                  <c:v>2013Q3</c:v>
                </c:pt>
                <c:pt idx="18">
                  <c:v>2013Q4</c:v>
                </c:pt>
                <c:pt idx="19">
                  <c:v>2014Q1</c:v>
                </c:pt>
                <c:pt idx="20">
                  <c:v>2014Q2</c:v>
                </c:pt>
                <c:pt idx="21">
                  <c:v>2014Q3</c:v>
                </c:pt>
                <c:pt idx="22">
                  <c:v>2014Q4</c:v>
                </c:pt>
                <c:pt idx="23">
                  <c:v>2015Q1</c:v>
                </c:pt>
                <c:pt idx="24">
                  <c:v>2015Q2</c:v>
                </c:pt>
                <c:pt idx="25">
                  <c:v>2015Q3</c:v>
                </c:pt>
                <c:pt idx="26">
                  <c:v>2015Q4</c:v>
                </c:pt>
                <c:pt idx="27">
                  <c:v>2016Q1</c:v>
                </c:pt>
                <c:pt idx="28">
                  <c:v>2016Q2</c:v>
                </c:pt>
                <c:pt idx="29">
                  <c:v>2016Q3</c:v>
                </c:pt>
                <c:pt idx="30">
                  <c:v>2016Q4</c:v>
                </c:pt>
                <c:pt idx="31">
                  <c:v>2017Q1</c:v>
                </c:pt>
                <c:pt idx="32">
                  <c:v>2017Q2</c:v>
                </c:pt>
                <c:pt idx="33">
                  <c:v>2017Q3</c:v>
                </c:pt>
                <c:pt idx="34">
                  <c:v>2017Q4</c:v>
                </c:pt>
                <c:pt idx="35">
                  <c:v>2018Q1</c:v>
                </c:pt>
                <c:pt idx="36">
                  <c:v>2018Q2</c:v>
                </c:pt>
                <c:pt idx="37">
                  <c:v>2018Q3</c:v>
                </c:pt>
                <c:pt idx="38">
                  <c:v>2018Q4</c:v>
                </c:pt>
                <c:pt idx="39">
                  <c:v>2019Q1</c:v>
                </c:pt>
                <c:pt idx="40">
                  <c:v>2019Q2</c:v>
                </c:pt>
                <c:pt idx="41">
                  <c:v>2019Q3</c:v>
                </c:pt>
                <c:pt idx="42">
                  <c:v>2019Q4</c:v>
                </c:pt>
                <c:pt idx="43">
                  <c:v>2020Q1</c:v>
                </c:pt>
                <c:pt idx="44">
                  <c:v>2020Q2</c:v>
                </c:pt>
                <c:pt idx="45">
                  <c:v>2020Q3</c:v>
                </c:pt>
                <c:pt idx="46">
                  <c:v>2020Q4</c:v>
                </c:pt>
                <c:pt idx="47">
                  <c:v>2021Q1</c:v>
                </c:pt>
                <c:pt idx="48">
                  <c:v>2021Q2</c:v>
                </c:pt>
              </c:strCache>
            </c:strRef>
          </c:cat>
          <c:val>
            <c:numRef>
              <c:f>'Sheet1 (3)'!$H$6:$H$55</c:f>
              <c:numCache>
                <c:formatCode>General</c:formatCode>
                <c:ptCount val="49"/>
                <c:pt idx="21">
                  <c:v>53</c:v>
                </c:pt>
                <c:pt idx="22">
                  <c:v>91</c:v>
                </c:pt>
                <c:pt idx="23">
                  <c:v>88</c:v>
                </c:pt>
                <c:pt idx="24">
                  <c:v>58</c:v>
                </c:pt>
                <c:pt idx="25">
                  <c:v>83</c:v>
                </c:pt>
                <c:pt idx="26">
                  <c:v>42</c:v>
                </c:pt>
                <c:pt idx="27">
                  <c:v>32</c:v>
                </c:pt>
                <c:pt idx="28">
                  <c:v>44</c:v>
                </c:pt>
                <c:pt idx="29">
                  <c:v>35</c:v>
                </c:pt>
                <c:pt idx="30">
                  <c:v>39</c:v>
                </c:pt>
                <c:pt idx="31">
                  <c:v>46</c:v>
                </c:pt>
                <c:pt idx="32">
                  <c:v>36</c:v>
                </c:pt>
                <c:pt idx="33">
                  <c:v>21</c:v>
                </c:pt>
                <c:pt idx="34">
                  <c:v>24</c:v>
                </c:pt>
                <c:pt idx="35">
                  <c:v>19</c:v>
                </c:pt>
                <c:pt idx="36">
                  <c:v>25</c:v>
                </c:pt>
                <c:pt idx="37">
                  <c:v>30</c:v>
                </c:pt>
                <c:pt idx="38">
                  <c:v>26</c:v>
                </c:pt>
                <c:pt idx="39">
                  <c:v>38</c:v>
                </c:pt>
                <c:pt idx="40">
                  <c:v>19</c:v>
                </c:pt>
                <c:pt idx="41">
                  <c:v>23</c:v>
                </c:pt>
                <c:pt idx="42">
                  <c:v>36</c:v>
                </c:pt>
                <c:pt idx="43">
                  <c:v>28</c:v>
                </c:pt>
                <c:pt idx="44">
                  <c:v>31</c:v>
                </c:pt>
                <c:pt idx="45">
                  <c:v>24</c:v>
                </c:pt>
                <c:pt idx="46">
                  <c:v>21</c:v>
                </c:pt>
                <c:pt idx="47">
                  <c:v>23</c:v>
                </c:pt>
                <c:pt idx="48">
                  <c:v>19</c:v>
                </c:pt>
              </c:numCache>
            </c:numRef>
          </c:val>
          <c:smooth val="0"/>
          <c:extLst>
            <c:ext xmlns:c16="http://schemas.microsoft.com/office/drawing/2014/chart" uri="{C3380CC4-5D6E-409C-BE32-E72D297353CC}">
              <c16:uniqueId val="{00000006-2611-49EF-983D-7B4BEC317F36}"/>
            </c:ext>
          </c:extLst>
        </c:ser>
        <c:ser>
          <c:idx val="7"/>
          <c:order val="7"/>
          <c:tx>
            <c:strRef>
              <c:f>'Sheet1 (3)'!$I$3:$I$5</c:f>
              <c:strCache>
                <c:ptCount val="1"/>
                <c:pt idx="0">
                  <c:v>2nd line - NIVOLUMAB</c:v>
                </c:pt>
              </c:strCache>
            </c:strRef>
          </c:tx>
          <c:spPr>
            <a:ln w="28575" cap="rnd">
              <a:solidFill>
                <a:schemeClr val="accent2">
                  <a:lumMod val="60000"/>
                </a:schemeClr>
              </a:solidFill>
              <a:round/>
            </a:ln>
            <a:effectLst/>
          </c:spPr>
          <c:marker>
            <c:symbol val="circle"/>
            <c:size val="5"/>
            <c:spPr>
              <a:solidFill>
                <a:schemeClr val="accent2">
                  <a:lumMod val="60000"/>
                </a:schemeClr>
              </a:solidFill>
              <a:ln w="9525">
                <a:solidFill>
                  <a:schemeClr val="accent2">
                    <a:lumMod val="60000"/>
                  </a:schemeClr>
                </a:solidFill>
              </a:ln>
              <a:effectLst/>
            </c:spPr>
          </c:marker>
          <c:cat>
            <c:strRef>
              <c:f>'Sheet1 (3)'!$A$6:$A$55</c:f>
              <c:strCache>
                <c:ptCount val="49"/>
                <c:pt idx="0">
                  <c:v>2009Q2</c:v>
                </c:pt>
                <c:pt idx="1">
                  <c:v>2009Q3</c:v>
                </c:pt>
                <c:pt idx="2">
                  <c:v>2009Q4</c:v>
                </c:pt>
                <c:pt idx="3">
                  <c:v>2010Q1</c:v>
                </c:pt>
                <c:pt idx="4">
                  <c:v>2010Q2</c:v>
                </c:pt>
                <c:pt idx="5">
                  <c:v>2010Q3</c:v>
                </c:pt>
                <c:pt idx="6">
                  <c:v>2010Q4</c:v>
                </c:pt>
                <c:pt idx="7">
                  <c:v>2011Q1</c:v>
                </c:pt>
                <c:pt idx="8">
                  <c:v>2011Q2</c:v>
                </c:pt>
                <c:pt idx="9">
                  <c:v>2011Q3</c:v>
                </c:pt>
                <c:pt idx="10">
                  <c:v>2011Q4</c:v>
                </c:pt>
                <c:pt idx="11">
                  <c:v>2012Q1</c:v>
                </c:pt>
                <c:pt idx="12">
                  <c:v>2012Q2</c:v>
                </c:pt>
                <c:pt idx="13">
                  <c:v>2012Q3</c:v>
                </c:pt>
                <c:pt idx="14">
                  <c:v>2012Q4</c:v>
                </c:pt>
                <c:pt idx="15">
                  <c:v>2013Q1</c:v>
                </c:pt>
                <c:pt idx="16">
                  <c:v>2013Q2</c:v>
                </c:pt>
                <c:pt idx="17">
                  <c:v>2013Q3</c:v>
                </c:pt>
                <c:pt idx="18">
                  <c:v>2013Q4</c:v>
                </c:pt>
                <c:pt idx="19">
                  <c:v>2014Q1</c:v>
                </c:pt>
                <c:pt idx="20">
                  <c:v>2014Q2</c:v>
                </c:pt>
                <c:pt idx="21">
                  <c:v>2014Q3</c:v>
                </c:pt>
                <c:pt idx="22">
                  <c:v>2014Q4</c:v>
                </c:pt>
                <c:pt idx="23">
                  <c:v>2015Q1</c:v>
                </c:pt>
                <c:pt idx="24">
                  <c:v>2015Q2</c:v>
                </c:pt>
                <c:pt idx="25">
                  <c:v>2015Q3</c:v>
                </c:pt>
                <c:pt idx="26">
                  <c:v>2015Q4</c:v>
                </c:pt>
                <c:pt idx="27">
                  <c:v>2016Q1</c:v>
                </c:pt>
                <c:pt idx="28">
                  <c:v>2016Q2</c:v>
                </c:pt>
                <c:pt idx="29">
                  <c:v>2016Q3</c:v>
                </c:pt>
                <c:pt idx="30">
                  <c:v>2016Q4</c:v>
                </c:pt>
                <c:pt idx="31">
                  <c:v>2017Q1</c:v>
                </c:pt>
                <c:pt idx="32">
                  <c:v>2017Q2</c:v>
                </c:pt>
                <c:pt idx="33">
                  <c:v>2017Q3</c:v>
                </c:pt>
                <c:pt idx="34">
                  <c:v>2017Q4</c:v>
                </c:pt>
                <c:pt idx="35">
                  <c:v>2018Q1</c:v>
                </c:pt>
                <c:pt idx="36">
                  <c:v>2018Q2</c:v>
                </c:pt>
                <c:pt idx="37">
                  <c:v>2018Q3</c:v>
                </c:pt>
                <c:pt idx="38">
                  <c:v>2018Q4</c:v>
                </c:pt>
                <c:pt idx="39">
                  <c:v>2019Q1</c:v>
                </c:pt>
                <c:pt idx="40">
                  <c:v>2019Q2</c:v>
                </c:pt>
                <c:pt idx="41">
                  <c:v>2019Q3</c:v>
                </c:pt>
                <c:pt idx="42">
                  <c:v>2019Q4</c:v>
                </c:pt>
                <c:pt idx="43">
                  <c:v>2020Q1</c:v>
                </c:pt>
                <c:pt idx="44">
                  <c:v>2020Q2</c:v>
                </c:pt>
                <c:pt idx="45">
                  <c:v>2020Q3</c:v>
                </c:pt>
                <c:pt idx="46">
                  <c:v>2020Q4</c:v>
                </c:pt>
                <c:pt idx="47">
                  <c:v>2021Q1</c:v>
                </c:pt>
                <c:pt idx="48">
                  <c:v>2021Q2</c:v>
                </c:pt>
              </c:strCache>
            </c:strRef>
          </c:cat>
          <c:val>
            <c:numRef>
              <c:f>'Sheet1 (3)'!$I$6:$I$55</c:f>
              <c:numCache>
                <c:formatCode>General</c:formatCode>
                <c:ptCount val="49"/>
                <c:pt idx="33">
                  <c:v>262</c:v>
                </c:pt>
                <c:pt idx="34">
                  <c:v>171</c:v>
                </c:pt>
                <c:pt idx="35">
                  <c:v>138</c:v>
                </c:pt>
                <c:pt idx="36">
                  <c:v>132</c:v>
                </c:pt>
                <c:pt idx="37">
                  <c:v>123</c:v>
                </c:pt>
                <c:pt idx="38">
                  <c:v>103</c:v>
                </c:pt>
                <c:pt idx="39">
                  <c:v>97</c:v>
                </c:pt>
                <c:pt idx="40">
                  <c:v>117</c:v>
                </c:pt>
                <c:pt idx="41">
                  <c:v>130</c:v>
                </c:pt>
                <c:pt idx="42">
                  <c:v>109</c:v>
                </c:pt>
                <c:pt idx="43">
                  <c:v>101</c:v>
                </c:pt>
                <c:pt idx="44">
                  <c:v>84</c:v>
                </c:pt>
                <c:pt idx="45">
                  <c:v>98</c:v>
                </c:pt>
                <c:pt idx="46">
                  <c:v>92</c:v>
                </c:pt>
                <c:pt idx="47">
                  <c:v>96</c:v>
                </c:pt>
                <c:pt idx="48">
                  <c:v>99</c:v>
                </c:pt>
              </c:numCache>
            </c:numRef>
          </c:val>
          <c:smooth val="0"/>
          <c:extLst>
            <c:ext xmlns:c16="http://schemas.microsoft.com/office/drawing/2014/chart" uri="{C3380CC4-5D6E-409C-BE32-E72D297353CC}">
              <c16:uniqueId val="{00000007-2611-49EF-983D-7B4BEC317F36}"/>
            </c:ext>
          </c:extLst>
        </c:ser>
        <c:ser>
          <c:idx val="8"/>
          <c:order val="8"/>
          <c:tx>
            <c:strRef>
              <c:f>'Sheet1 (3)'!$J$3:$J$5</c:f>
              <c:strCache>
                <c:ptCount val="1"/>
                <c:pt idx="0">
                  <c:v>2nd line - SORAFENIB</c:v>
                </c:pt>
              </c:strCache>
            </c:strRef>
          </c:tx>
          <c:spPr>
            <a:ln w="28575" cap="rnd">
              <a:solidFill>
                <a:schemeClr val="accent3">
                  <a:lumMod val="60000"/>
                </a:schemeClr>
              </a:solidFill>
              <a:round/>
            </a:ln>
            <a:effectLst/>
          </c:spPr>
          <c:marker>
            <c:symbol val="circle"/>
            <c:size val="5"/>
            <c:spPr>
              <a:solidFill>
                <a:schemeClr val="accent3">
                  <a:lumMod val="60000"/>
                </a:schemeClr>
              </a:solidFill>
              <a:ln w="9525">
                <a:solidFill>
                  <a:schemeClr val="accent3">
                    <a:lumMod val="60000"/>
                  </a:schemeClr>
                </a:solidFill>
              </a:ln>
              <a:effectLst/>
            </c:spPr>
          </c:marker>
          <c:cat>
            <c:strRef>
              <c:f>'Sheet1 (3)'!$A$6:$A$55</c:f>
              <c:strCache>
                <c:ptCount val="49"/>
                <c:pt idx="0">
                  <c:v>2009Q2</c:v>
                </c:pt>
                <c:pt idx="1">
                  <c:v>2009Q3</c:v>
                </c:pt>
                <c:pt idx="2">
                  <c:v>2009Q4</c:v>
                </c:pt>
                <c:pt idx="3">
                  <c:v>2010Q1</c:v>
                </c:pt>
                <c:pt idx="4">
                  <c:v>2010Q2</c:v>
                </c:pt>
                <c:pt idx="5">
                  <c:v>2010Q3</c:v>
                </c:pt>
                <c:pt idx="6">
                  <c:v>2010Q4</c:v>
                </c:pt>
                <c:pt idx="7">
                  <c:v>2011Q1</c:v>
                </c:pt>
                <c:pt idx="8">
                  <c:v>2011Q2</c:v>
                </c:pt>
                <c:pt idx="9">
                  <c:v>2011Q3</c:v>
                </c:pt>
                <c:pt idx="10">
                  <c:v>2011Q4</c:v>
                </c:pt>
                <c:pt idx="11">
                  <c:v>2012Q1</c:v>
                </c:pt>
                <c:pt idx="12">
                  <c:v>2012Q2</c:v>
                </c:pt>
                <c:pt idx="13">
                  <c:v>2012Q3</c:v>
                </c:pt>
                <c:pt idx="14">
                  <c:v>2012Q4</c:v>
                </c:pt>
                <c:pt idx="15">
                  <c:v>2013Q1</c:v>
                </c:pt>
                <c:pt idx="16">
                  <c:v>2013Q2</c:v>
                </c:pt>
                <c:pt idx="17">
                  <c:v>2013Q3</c:v>
                </c:pt>
                <c:pt idx="18">
                  <c:v>2013Q4</c:v>
                </c:pt>
                <c:pt idx="19">
                  <c:v>2014Q1</c:v>
                </c:pt>
                <c:pt idx="20">
                  <c:v>2014Q2</c:v>
                </c:pt>
                <c:pt idx="21">
                  <c:v>2014Q3</c:v>
                </c:pt>
                <c:pt idx="22">
                  <c:v>2014Q4</c:v>
                </c:pt>
                <c:pt idx="23">
                  <c:v>2015Q1</c:v>
                </c:pt>
                <c:pt idx="24">
                  <c:v>2015Q2</c:v>
                </c:pt>
                <c:pt idx="25">
                  <c:v>2015Q3</c:v>
                </c:pt>
                <c:pt idx="26">
                  <c:v>2015Q4</c:v>
                </c:pt>
                <c:pt idx="27">
                  <c:v>2016Q1</c:v>
                </c:pt>
                <c:pt idx="28">
                  <c:v>2016Q2</c:v>
                </c:pt>
                <c:pt idx="29">
                  <c:v>2016Q3</c:v>
                </c:pt>
                <c:pt idx="30">
                  <c:v>2016Q4</c:v>
                </c:pt>
                <c:pt idx="31">
                  <c:v>2017Q1</c:v>
                </c:pt>
                <c:pt idx="32">
                  <c:v>2017Q2</c:v>
                </c:pt>
                <c:pt idx="33">
                  <c:v>2017Q3</c:v>
                </c:pt>
                <c:pt idx="34">
                  <c:v>2017Q4</c:v>
                </c:pt>
                <c:pt idx="35">
                  <c:v>2018Q1</c:v>
                </c:pt>
                <c:pt idx="36">
                  <c:v>2018Q2</c:v>
                </c:pt>
                <c:pt idx="37">
                  <c:v>2018Q3</c:v>
                </c:pt>
                <c:pt idx="38">
                  <c:v>2018Q4</c:v>
                </c:pt>
                <c:pt idx="39">
                  <c:v>2019Q1</c:v>
                </c:pt>
                <c:pt idx="40">
                  <c:v>2019Q2</c:v>
                </c:pt>
                <c:pt idx="41">
                  <c:v>2019Q3</c:v>
                </c:pt>
                <c:pt idx="42">
                  <c:v>2019Q4</c:v>
                </c:pt>
                <c:pt idx="43">
                  <c:v>2020Q1</c:v>
                </c:pt>
                <c:pt idx="44">
                  <c:v>2020Q2</c:v>
                </c:pt>
                <c:pt idx="45">
                  <c:v>2020Q3</c:v>
                </c:pt>
                <c:pt idx="46">
                  <c:v>2020Q4</c:v>
                </c:pt>
                <c:pt idx="47">
                  <c:v>2021Q1</c:v>
                </c:pt>
                <c:pt idx="48">
                  <c:v>2021Q2</c:v>
                </c:pt>
              </c:strCache>
            </c:strRef>
          </c:cat>
          <c:val>
            <c:numRef>
              <c:f>'Sheet1 (3)'!$J$6:$J$55</c:f>
              <c:numCache>
                <c:formatCode>General</c:formatCode>
                <c:ptCount val="49"/>
                <c:pt idx="24">
                  <c:v>45</c:v>
                </c:pt>
                <c:pt idx="25">
                  <c:v>42</c:v>
                </c:pt>
                <c:pt idx="26">
                  <c:v>25</c:v>
                </c:pt>
                <c:pt idx="27">
                  <c:v>16</c:v>
                </c:pt>
                <c:pt idx="28">
                  <c:v>17</c:v>
                </c:pt>
                <c:pt idx="29">
                  <c:v>20</c:v>
                </c:pt>
                <c:pt idx="30">
                  <c:v>18</c:v>
                </c:pt>
                <c:pt idx="31">
                  <c:v>14</c:v>
                </c:pt>
                <c:pt idx="32">
                  <c:v>34</c:v>
                </c:pt>
                <c:pt idx="33">
                  <c:v>28</c:v>
                </c:pt>
                <c:pt idx="34">
                  <c:v>28</c:v>
                </c:pt>
                <c:pt idx="35">
                  <c:v>27</c:v>
                </c:pt>
                <c:pt idx="36">
                  <c:v>31</c:v>
                </c:pt>
                <c:pt idx="37">
                  <c:v>36</c:v>
                </c:pt>
                <c:pt idx="38">
                  <c:v>37</c:v>
                </c:pt>
                <c:pt idx="39">
                  <c:v>27</c:v>
                </c:pt>
                <c:pt idx="40">
                  <c:v>16</c:v>
                </c:pt>
                <c:pt idx="41">
                  <c:v>13</c:v>
                </c:pt>
                <c:pt idx="42">
                  <c:v>8</c:v>
                </c:pt>
                <c:pt idx="43">
                  <c:v>12</c:v>
                </c:pt>
                <c:pt idx="44">
                  <c:v>10</c:v>
                </c:pt>
                <c:pt idx="45">
                  <c:v>3</c:v>
                </c:pt>
                <c:pt idx="46">
                  <c:v>10</c:v>
                </c:pt>
                <c:pt idx="47">
                  <c:v>4</c:v>
                </c:pt>
                <c:pt idx="48">
                  <c:v>4</c:v>
                </c:pt>
              </c:numCache>
            </c:numRef>
          </c:val>
          <c:smooth val="0"/>
          <c:extLst>
            <c:ext xmlns:c16="http://schemas.microsoft.com/office/drawing/2014/chart" uri="{C3380CC4-5D6E-409C-BE32-E72D297353CC}">
              <c16:uniqueId val="{00000008-2611-49EF-983D-7B4BEC317F36}"/>
            </c:ext>
          </c:extLst>
        </c:ser>
        <c:dLbls>
          <c:showLegendKey val="0"/>
          <c:showVal val="0"/>
          <c:showCatName val="0"/>
          <c:showSerName val="0"/>
          <c:showPercent val="0"/>
          <c:showBubbleSize val="0"/>
        </c:dLbls>
        <c:marker val="1"/>
        <c:smooth val="0"/>
        <c:axId val="823415984"/>
        <c:axId val="823416312"/>
      </c:lineChart>
      <c:catAx>
        <c:axId val="8234159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Quarter of supply</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3416312"/>
        <c:crosses val="autoZero"/>
        <c:auto val="1"/>
        <c:lblAlgn val="ctr"/>
        <c:lblOffset val="100"/>
        <c:noMultiLvlLbl val="0"/>
      </c:catAx>
      <c:valAx>
        <c:axId val="823416312"/>
        <c:scaling>
          <c:orientation val="minMax"/>
          <c:max val="4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Patients</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3415984"/>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[D1326 - PATCNTBY_DRUG_N_SUPP_Q - RCC only, by drug &amp; line + phase.xlsx]Sheet1 (4)!PivotTable3</c:name>
    <c:fmtId val="-1"/>
  </c:pivotSource>
  <c:chart>
    <c:autoTitleDeleted val="1"/>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pivotFmt>
      <c:pivotFmt>
        <c:idx val="8"/>
        <c:spPr>
          <a:solidFill>
            <a:schemeClr val="accent1"/>
          </a:solidFill>
          <a:ln>
            <a:noFill/>
          </a:ln>
          <a:effectLst/>
        </c:spPr>
        <c:marker>
          <c:symbol val="none"/>
        </c:marker>
      </c:pivotFmt>
      <c:pivotFmt>
        <c:idx val="9"/>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pivotFmt>
      <c:pivotFmt>
        <c:idx val="10"/>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pivotFmt>
      <c:pivotFmt>
        <c:idx val="11"/>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pivotFmt>
      <c:pivotFmt>
        <c:idx val="12"/>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pivotFmt>
      <c:pivotFmt>
        <c:idx val="13"/>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pivotFmt>
      <c:pivotFmt>
        <c:idx val="14"/>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pivotFmt>
      <c:pivotFmt>
        <c:idx val="15"/>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pivotFmt>
      <c:pivotFmt>
        <c:idx val="16"/>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pivotFmt>
      <c:pivotFmt>
        <c:idx val="17"/>
        <c:spPr>
          <a:solidFill>
            <a:schemeClr val="accent1"/>
          </a:solidFill>
          <a:ln w="28575" cap="rnd">
            <a:solidFill>
              <a:schemeClr val="accent1"/>
            </a:solidFill>
            <a:round/>
          </a:ln>
          <a:effectLst/>
        </c:spPr>
        <c:marker>
          <c:spPr>
            <a:solidFill>
              <a:schemeClr val="accent1"/>
            </a:solidFill>
            <a:ln w="9525">
              <a:solidFill>
                <a:schemeClr val="accent1"/>
              </a:solidFill>
            </a:ln>
            <a:effectLst/>
          </c:spPr>
        </c:marker>
      </c:pivotFmt>
      <c:pivotFmt>
        <c:idx val="18"/>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19"/>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0"/>
        <c:spPr>
          <a:solidFill>
            <a:schemeClr val="accent1"/>
          </a:solidFill>
          <a:ln w="28575" cap="rnd">
            <a:solidFill>
              <a:schemeClr val="accent1"/>
            </a:solidFill>
            <a:round/>
          </a:ln>
          <a:effectLst/>
        </c:spPr>
        <c:marker>
          <c:symbol val="circle"/>
          <c:size val="5"/>
          <c:spPr>
            <a:solidFill>
              <a:schemeClr val="accent5"/>
            </a:solidFill>
            <a:ln w="9525">
              <a:solidFill>
                <a:schemeClr val="accent5"/>
              </a:solidFill>
            </a:ln>
            <a:effectLst/>
          </c:spPr>
        </c:marker>
      </c:pivotFmt>
      <c:pivotFmt>
        <c:idx val="21"/>
        <c:spPr>
          <a:solidFill>
            <a:schemeClr val="accent1"/>
          </a:solidFill>
          <a:ln w="28575" cap="rnd">
            <a:solidFill>
              <a:schemeClr val="accent1"/>
            </a:solidFill>
            <a:round/>
          </a:ln>
          <a:effectLst/>
        </c:spPr>
        <c:marker>
          <c:symbol val="circle"/>
          <c:size val="5"/>
          <c:spPr>
            <a:solidFill>
              <a:schemeClr val="accent6"/>
            </a:solidFill>
            <a:ln w="9525">
              <a:solidFill>
                <a:schemeClr val="accent6"/>
              </a:solidFill>
            </a:ln>
            <a:effectLst/>
          </c:spPr>
        </c:marker>
      </c:pivotFmt>
      <c:pivotFmt>
        <c:idx val="22"/>
        <c:spPr>
          <a:solidFill>
            <a:schemeClr val="accent1"/>
          </a:solidFill>
          <a:ln w="28575" cap="rnd">
            <a:solidFill>
              <a:schemeClr val="accent1"/>
            </a:solidFill>
            <a:round/>
          </a:ln>
          <a:effectLst/>
        </c:spPr>
        <c:marker>
          <c:symbol val="circle"/>
          <c:size val="5"/>
          <c:spPr>
            <a:solidFill>
              <a:schemeClr val="accent1">
                <a:lumMod val="60000"/>
              </a:schemeClr>
            </a:solidFill>
            <a:ln w="9525">
              <a:solidFill>
                <a:schemeClr val="accent1">
                  <a:lumMod val="60000"/>
                </a:schemeClr>
              </a:solidFill>
            </a:ln>
            <a:effectLst/>
          </c:spPr>
        </c:marker>
      </c:pivotFmt>
      <c:pivotFmt>
        <c:idx val="23"/>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4"/>
        <c:spPr>
          <a:solidFill>
            <a:schemeClr val="accent1"/>
          </a:solidFill>
          <a:ln w="28575" cap="rnd">
            <a:solidFill>
              <a:schemeClr val="accent1"/>
            </a:solidFill>
            <a:round/>
          </a:ln>
          <a:effectLst/>
        </c:spPr>
        <c:marker>
          <c:symbol val="circle"/>
          <c:size val="5"/>
          <c:spPr>
            <a:solidFill>
              <a:schemeClr val="accent2">
                <a:lumMod val="60000"/>
              </a:schemeClr>
            </a:solidFill>
            <a:ln w="9525">
              <a:solidFill>
                <a:schemeClr val="accent2">
                  <a:lumMod val="60000"/>
                </a:schemeClr>
              </a:solidFill>
            </a:ln>
            <a:effectLst/>
          </c:spPr>
        </c:marker>
      </c:pivotFmt>
      <c:pivotFmt>
        <c:idx val="25"/>
        <c:spPr>
          <a:solidFill>
            <a:schemeClr val="accent1"/>
          </a:solidFill>
          <a:ln w="28575" cap="rnd">
            <a:solidFill>
              <a:schemeClr val="accent1"/>
            </a:solidFill>
            <a:round/>
          </a:ln>
          <a:effectLst/>
        </c:spPr>
        <c:marker>
          <c:symbol val="circle"/>
          <c:size val="5"/>
          <c:spPr>
            <a:solidFill>
              <a:schemeClr val="accent3"/>
            </a:solidFill>
            <a:ln w="9525">
              <a:solidFill>
                <a:schemeClr val="accent3"/>
              </a:solidFill>
            </a:ln>
            <a:effectLst/>
          </c:spPr>
        </c:marker>
      </c:pivotFmt>
      <c:pivotFmt>
        <c:idx val="26"/>
        <c:spPr>
          <a:solidFill>
            <a:schemeClr val="accent1"/>
          </a:solidFill>
          <a:ln w="28575" cap="rnd">
            <a:solidFill>
              <a:schemeClr val="accent1"/>
            </a:solidFill>
            <a:round/>
          </a:ln>
          <a:effectLst/>
        </c:spPr>
        <c:marker>
          <c:symbol val="circle"/>
          <c:size val="5"/>
          <c:spPr>
            <a:solidFill>
              <a:schemeClr val="accent3">
                <a:lumMod val="60000"/>
              </a:schemeClr>
            </a:solidFill>
            <a:ln w="9525">
              <a:solidFill>
                <a:schemeClr val="accent3">
                  <a:lumMod val="60000"/>
                </a:schemeClr>
              </a:solidFill>
            </a:ln>
            <a:effectLst/>
          </c:spPr>
        </c:marker>
      </c:pivotFmt>
      <c:pivotFmt>
        <c:idx val="27"/>
        <c:spPr>
          <a:solidFill>
            <a:schemeClr val="accent1"/>
          </a:solidFill>
          <a:ln w="28575" cap="rnd">
            <a:solidFill>
              <a:schemeClr val="accent1"/>
            </a:solidFill>
            <a:round/>
          </a:ln>
          <a:effectLst/>
        </c:spPr>
        <c:marker>
          <c:symbol val="circle"/>
          <c:size val="5"/>
          <c:spPr>
            <a:solidFill>
              <a:schemeClr val="accent4"/>
            </a:solidFill>
            <a:ln w="9525">
              <a:solidFill>
                <a:schemeClr val="accent4"/>
              </a:solidFill>
            </a:ln>
            <a:effectLst/>
          </c:spPr>
        </c:marker>
      </c:pivotFmt>
      <c:pivotFmt>
        <c:idx val="28"/>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29"/>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30"/>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31"/>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32"/>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33"/>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34"/>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35"/>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36"/>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37"/>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38"/>
        <c:spPr>
          <a:solidFill>
            <a:schemeClr val="accent1"/>
          </a:solidFill>
          <a:ln w="28575" cap="rnd">
            <a:solidFill>
              <a:schemeClr val="accent1"/>
            </a:solidFill>
            <a:round/>
          </a:ln>
          <a:effectLst/>
        </c:spPr>
        <c:marker>
          <c:symbol val="circle"/>
          <c:size val="5"/>
          <c:spPr>
            <a:solidFill>
              <a:schemeClr val="accent2"/>
            </a:solidFill>
            <a:ln w="9525">
              <a:solidFill>
                <a:schemeClr val="accent2"/>
              </a:solidFill>
            </a:ln>
            <a:effectLst/>
          </c:spPr>
        </c:marker>
      </c:pivotFmt>
      <c:pivotFmt>
        <c:idx val="39"/>
        <c:spPr>
          <a:solidFill>
            <a:schemeClr val="accent1"/>
          </a:solidFill>
          <a:ln w="28575" cap="rnd">
            <a:solidFill>
              <a:schemeClr val="accent1"/>
            </a:solidFill>
            <a:round/>
          </a:ln>
          <a:effectLst/>
        </c:spPr>
        <c:marker>
          <c:symbol val="circle"/>
          <c:size val="5"/>
          <c:spPr>
            <a:solidFill>
              <a:schemeClr val="accent3"/>
            </a:solidFill>
            <a:ln w="9525">
              <a:solidFill>
                <a:schemeClr val="accent3"/>
              </a:solidFill>
            </a:ln>
            <a:effectLst/>
          </c:spPr>
        </c:marker>
      </c:pivotFmt>
      <c:pivotFmt>
        <c:idx val="40"/>
        <c:spPr>
          <a:solidFill>
            <a:schemeClr val="accent1"/>
          </a:solidFill>
          <a:ln w="28575" cap="rnd">
            <a:solidFill>
              <a:schemeClr val="accent1"/>
            </a:solidFill>
            <a:round/>
          </a:ln>
          <a:effectLst/>
        </c:spPr>
        <c:marker>
          <c:symbol val="circle"/>
          <c:size val="5"/>
          <c:spPr>
            <a:solidFill>
              <a:schemeClr val="accent4"/>
            </a:solidFill>
            <a:ln w="9525">
              <a:solidFill>
                <a:schemeClr val="accent4"/>
              </a:solidFill>
            </a:ln>
            <a:effectLst/>
          </c:spPr>
        </c:marker>
      </c:pivotFmt>
      <c:pivotFmt>
        <c:idx val="41"/>
        <c:spPr>
          <a:solidFill>
            <a:schemeClr val="accent1"/>
          </a:solidFill>
          <a:ln w="28575" cap="rnd">
            <a:solidFill>
              <a:schemeClr val="accent1"/>
            </a:solidFill>
            <a:round/>
          </a:ln>
          <a:effectLst/>
        </c:spPr>
        <c:marker>
          <c:symbol val="circle"/>
          <c:size val="5"/>
          <c:spPr>
            <a:solidFill>
              <a:schemeClr val="accent5"/>
            </a:solidFill>
            <a:ln w="9525">
              <a:solidFill>
                <a:schemeClr val="accent5"/>
              </a:solidFill>
            </a:ln>
            <a:effectLst/>
          </c:spPr>
        </c:marker>
      </c:pivotFmt>
      <c:pivotFmt>
        <c:idx val="42"/>
        <c:spPr>
          <a:solidFill>
            <a:schemeClr val="accent1"/>
          </a:solidFill>
          <a:ln w="28575" cap="rnd">
            <a:solidFill>
              <a:schemeClr val="accent1"/>
            </a:solidFill>
            <a:round/>
          </a:ln>
          <a:effectLst/>
        </c:spPr>
        <c:marker>
          <c:symbol val="circle"/>
          <c:size val="5"/>
          <c:spPr>
            <a:solidFill>
              <a:schemeClr val="accent1"/>
            </a:solidFill>
            <a:ln w="9525">
              <a:solidFill>
                <a:schemeClr val="accent1"/>
              </a:solidFill>
            </a:ln>
            <a:effectLst/>
          </c:spPr>
        </c:marker>
      </c:pivotFmt>
      <c:pivotFmt>
        <c:idx val="43"/>
        <c:spPr>
          <a:solidFill>
            <a:schemeClr val="accent1"/>
          </a:solidFill>
          <a:ln w="28575" cap="rnd">
            <a:solidFill>
              <a:schemeClr val="accent1"/>
            </a:solidFill>
            <a:round/>
          </a:ln>
          <a:effectLst/>
        </c:spPr>
        <c:marker>
          <c:symbol val="circle"/>
          <c:size val="5"/>
          <c:spPr>
            <a:solidFill>
              <a:schemeClr val="accent2"/>
            </a:solidFill>
            <a:ln w="9525">
              <a:solidFill>
                <a:schemeClr val="accent2"/>
              </a:solidFill>
            </a:ln>
            <a:effectLst/>
          </c:spPr>
        </c:marker>
      </c:pivotFmt>
      <c:pivotFmt>
        <c:idx val="44"/>
        <c:spPr>
          <a:solidFill>
            <a:schemeClr val="accent1"/>
          </a:solidFill>
          <a:ln w="28575" cap="rnd">
            <a:solidFill>
              <a:schemeClr val="accent1"/>
            </a:solidFill>
            <a:round/>
          </a:ln>
          <a:effectLst/>
        </c:spPr>
        <c:marker>
          <c:symbol val="circle"/>
          <c:size val="5"/>
          <c:spPr>
            <a:solidFill>
              <a:schemeClr val="accent3"/>
            </a:solidFill>
            <a:ln w="9525">
              <a:solidFill>
                <a:schemeClr val="accent3"/>
              </a:solidFill>
            </a:ln>
            <a:effectLst/>
          </c:spPr>
        </c:marker>
      </c:pivotFmt>
      <c:pivotFmt>
        <c:idx val="45"/>
        <c:spPr>
          <a:solidFill>
            <a:schemeClr val="accent1"/>
          </a:solidFill>
          <a:ln w="28575" cap="rnd">
            <a:solidFill>
              <a:schemeClr val="accent1"/>
            </a:solidFill>
            <a:round/>
          </a:ln>
          <a:effectLst/>
        </c:spPr>
        <c:marker>
          <c:symbol val="circle"/>
          <c:size val="5"/>
          <c:spPr>
            <a:solidFill>
              <a:schemeClr val="accent4"/>
            </a:solidFill>
            <a:ln w="9525">
              <a:solidFill>
                <a:schemeClr val="accent4"/>
              </a:solidFill>
            </a:ln>
            <a:effectLst/>
          </c:spPr>
        </c:marker>
      </c:pivotFmt>
      <c:pivotFmt>
        <c:idx val="46"/>
        <c:spPr>
          <a:solidFill>
            <a:schemeClr val="accent1"/>
          </a:solidFill>
          <a:ln w="28575" cap="rnd">
            <a:solidFill>
              <a:schemeClr val="accent1"/>
            </a:solidFill>
            <a:round/>
          </a:ln>
          <a:effectLst/>
        </c:spPr>
        <c:marker>
          <c:symbol val="circle"/>
          <c:size val="5"/>
          <c:spPr>
            <a:solidFill>
              <a:schemeClr val="accent5"/>
            </a:solidFill>
            <a:ln w="9525">
              <a:solidFill>
                <a:schemeClr val="accent5"/>
              </a:solidFill>
            </a:ln>
            <a:effectLst/>
          </c:spPr>
        </c:marker>
      </c:pivotFmt>
    </c:pivotFmts>
    <c:plotArea>
      <c:layout>
        <c:manualLayout>
          <c:layoutTarget val="inner"/>
          <c:xMode val="edge"/>
          <c:yMode val="edge"/>
          <c:x val="9.2554716805313922E-2"/>
          <c:y val="0.10609503676479701"/>
          <c:w val="0.6752988688739463"/>
          <c:h val="0.71466267230734981"/>
        </c:manualLayout>
      </c:layout>
      <c:lineChart>
        <c:grouping val="standard"/>
        <c:varyColors val="0"/>
        <c:ser>
          <c:idx val="0"/>
          <c:order val="0"/>
          <c:tx>
            <c:strRef>
              <c:f>'Sheet1 (4)'!$B$4:$B$6</c:f>
              <c:strCache>
                <c:ptCount val="1"/>
                <c:pt idx="0">
                  <c:v>NIVOLUMAB - Induction treatment</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 (4)'!$A$7:$A$17</c:f>
              <c:strCache>
                <c:ptCount val="10"/>
                <c:pt idx="0">
                  <c:v>2019Q1</c:v>
                </c:pt>
                <c:pt idx="1">
                  <c:v>2019Q2</c:v>
                </c:pt>
                <c:pt idx="2">
                  <c:v>2019Q3</c:v>
                </c:pt>
                <c:pt idx="3">
                  <c:v>2019Q4</c:v>
                </c:pt>
                <c:pt idx="4">
                  <c:v>2020Q1</c:v>
                </c:pt>
                <c:pt idx="5">
                  <c:v>2020Q2</c:v>
                </c:pt>
                <c:pt idx="6">
                  <c:v>2020Q3</c:v>
                </c:pt>
                <c:pt idx="7">
                  <c:v>2020Q4</c:v>
                </c:pt>
                <c:pt idx="8">
                  <c:v>2021Q1</c:v>
                </c:pt>
                <c:pt idx="9">
                  <c:v>2021Q2</c:v>
                </c:pt>
              </c:strCache>
            </c:strRef>
          </c:cat>
          <c:val>
            <c:numRef>
              <c:f>'Sheet1 (4)'!$B$7:$B$17</c:f>
              <c:numCache>
                <c:formatCode>General</c:formatCode>
                <c:ptCount val="10"/>
                <c:pt idx="0">
                  <c:v>34</c:v>
                </c:pt>
                <c:pt idx="1">
                  <c:v>99</c:v>
                </c:pt>
                <c:pt idx="2">
                  <c:v>159</c:v>
                </c:pt>
                <c:pt idx="3">
                  <c:v>137</c:v>
                </c:pt>
                <c:pt idx="4">
                  <c:v>119</c:v>
                </c:pt>
                <c:pt idx="5">
                  <c:v>119</c:v>
                </c:pt>
                <c:pt idx="6">
                  <c:v>148</c:v>
                </c:pt>
                <c:pt idx="7">
                  <c:v>137</c:v>
                </c:pt>
                <c:pt idx="8">
                  <c:v>133</c:v>
                </c:pt>
                <c:pt idx="9">
                  <c:v>145</c:v>
                </c:pt>
              </c:numCache>
            </c:numRef>
          </c:val>
          <c:smooth val="0"/>
          <c:extLst>
            <c:ext xmlns:c16="http://schemas.microsoft.com/office/drawing/2014/chart" uri="{C3380CC4-5D6E-409C-BE32-E72D297353CC}">
              <c16:uniqueId val="{00000000-E4FC-41A1-AB15-A4E26874547A}"/>
            </c:ext>
          </c:extLst>
        </c:ser>
        <c:ser>
          <c:idx val="1"/>
          <c:order val="1"/>
          <c:tx>
            <c:strRef>
              <c:f>'Sheet1 (4)'!$C$4:$C$6</c:f>
              <c:strCache>
                <c:ptCount val="1"/>
                <c:pt idx="0">
                  <c:v>NIVOLUMAB - Maintenance treatment</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 (4)'!$A$7:$A$17</c:f>
              <c:strCache>
                <c:ptCount val="10"/>
                <c:pt idx="0">
                  <c:v>2019Q1</c:v>
                </c:pt>
                <c:pt idx="1">
                  <c:v>2019Q2</c:v>
                </c:pt>
                <c:pt idx="2">
                  <c:v>2019Q3</c:v>
                </c:pt>
                <c:pt idx="3">
                  <c:v>2019Q4</c:v>
                </c:pt>
                <c:pt idx="4">
                  <c:v>2020Q1</c:v>
                </c:pt>
                <c:pt idx="5">
                  <c:v>2020Q2</c:v>
                </c:pt>
                <c:pt idx="6">
                  <c:v>2020Q3</c:v>
                </c:pt>
                <c:pt idx="7">
                  <c:v>2020Q4</c:v>
                </c:pt>
                <c:pt idx="8">
                  <c:v>2021Q1</c:v>
                </c:pt>
                <c:pt idx="9">
                  <c:v>2021Q2</c:v>
                </c:pt>
              </c:strCache>
            </c:strRef>
          </c:cat>
          <c:val>
            <c:numRef>
              <c:f>'Sheet1 (4)'!$C$7:$C$17</c:f>
              <c:numCache>
                <c:formatCode>General</c:formatCode>
                <c:ptCount val="10"/>
                <c:pt idx="0">
                  <c:v>7</c:v>
                </c:pt>
                <c:pt idx="1">
                  <c:v>32</c:v>
                </c:pt>
                <c:pt idx="2">
                  <c:v>58</c:v>
                </c:pt>
                <c:pt idx="3">
                  <c:v>107</c:v>
                </c:pt>
                <c:pt idx="4">
                  <c:v>149</c:v>
                </c:pt>
                <c:pt idx="5">
                  <c:v>144</c:v>
                </c:pt>
                <c:pt idx="6">
                  <c:v>136</c:v>
                </c:pt>
                <c:pt idx="7">
                  <c:v>154</c:v>
                </c:pt>
                <c:pt idx="8">
                  <c:v>162</c:v>
                </c:pt>
                <c:pt idx="9">
                  <c:v>167</c:v>
                </c:pt>
              </c:numCache>
            </c:numRef>
          </c:val>
          <c:smooth val="0"/>
          <c:extLst>
            <c:ext xmlns:c16="http://schemas.microsoft.com/office/drawing/2014/chart" uri="{C3380CC4-5D6E-409C-BE32-E72D297353CC}">
              <c16:uniqueId val="{00000001-E4FC-41A1-AB15-A4E26874547A}"/>
            </c:ext>
          </c:extLst>
        </c:ser>
        <c:ser>
          <c:idx val="2"/>
          <c:order val="2"/>
          <c:tx>
            <c:strRef>
              <c:f>'Sheet1 (4)'!$D$4:$D$6</c:f>
              <c:strCache>
                <c:ptCount val="1"/>
                <c:pt idx="0">
                  <c:v>NIVOLUMAB - Grandfather patients</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'Sheet1 (4)'!$A$7:$A$17</c:f>
              <c:strCache>
                <c:ptCount val="10"/>
                <c:pt idx="0">
                  <c:v>2019Q1</c:v>
                </c:pt>
                <c:pt idx="1">
                  <c:v>2019Q2</c:v>
                </c:pt>
                <c:pt idx="2">
                  <c:v>2019Q3</c:v>
                </c:pt>
                <c:pt idx="3">
                  <c:v>2019Q4</c:v>
                </c:pt>
                <c:pt idx="4">
                  <c:v>2020Q1</c:v>
                </c:pt>
                <c:pt idx="5">
                  <c:v>2020Q2</c:v>
                </c:pt>
                <c:pt idx="6">
                  <c:v>2020Q3</c:v>
                </c:pt>
                <c:pt idx="7">
                  <c:v>2020Q4</c:v>
                </c:pt>
                <c:pt idx="8">
                  <c:v>2021Q1</c:v>
                </c:pt>
                <c:pt idx="9">
                  <c:v>2021Q2</c:v>
                </c:pt>
              </c:strCache>
            </c:strRef>
          </c:cat>
          <c:val>
            <c:numRef>
              <c:f>'Sheet1 (4)'!$D$7:$D$17</c:f>
              <c:numCache>
                <c:formatCode>General</c:formatCode>
                <c:ptCount val="10"/>
                <c:pt idx="0">
                  <c:v>11</c:v>
                </c:pt>
                <c:pt idx="1">
                  <c:v>17</c:v>
                </c:pt>
                <c:pt idx="2">
                  <c:v>14</c:v>
                </c:pt>
                <c:pt idx="3">
                  <c:v>7</c:v>
                </c:pt>
                <c:pt idx="4">
                  <c:v>4</c:v>
                </c:pt>
                <c:pt idx="5">
                  <c:v>3</c:v>
                </c:pt>
                <c:pt idx="6">
                  <c:v>2</c:v>
                </c:pt>
              </c:numCache>
            </c:numRef>
          </c:val>
          <c:smooth val="0"/>
          <c:extLst>
            <c:ext xmlns:c16="http://schemas.microsoft.com/office/drawing/2014/chart" uri="{C3380CC4-5D6E-409C-BE32-E72D297353CC}">
              <c16:uniqueId val="{00000002-E4FC-41A1-AB15-A4E26874547A}"/>
            </c:ext>
          </c:extLst>
        </c:ser>
        <c:ser>
          <c:idx val="3"/>
          <c:order val="3"/>
          <c:tx>
            <c:strRef>
              <c:f>'Sheet1 (4)'!$F$4:$F$6</c:f>
              <c:strCache>
                <c:ptCount val="1"/>
                <c:pt idx="0">
                  <c:v>IPILIMUMAB - Induction treatment</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'Sheet1 (4)'!$A$7:$A$17</c:f>
              <c:strCache>
                <c:ptCount val="10"/>
                <c:pt idx="0">
                  <c:v>2019Q1</c:v>
                </c:pt>
                <c:pt idx="1">
                  <c:v>2019Q2</c:v>
                </c:pt>
                <c:pt idx="2">
                  <c:v>2019Q3</c:v>
                </c:pt>
                <c:pt idx="3">
                  <c:v>2019Q4</c:v>
                </c:pt>
                <c:pt idx="4">
                  <c:v>2020Q1</c:v>
                </c:pt>
                <c:pt idx="5">
                  <c:v>2020Q2</c:v>
                </c:pt>
                <c:pt idx="6">
                  <c:v>2020Q3</c:v>
                </c:pt>
                <c:pt idx="7">
                  <c:v>2020Q4</c:v>
                </c:pt>
                <c:pt idx="8">
                  <c:v>2021Q1</c:v>
                </c:pt>
                <c:pt idx="9">
                  <c:v>2021Q2</c:v>
                </c:pt>
              </c:strCache>
            </c:strRef>
          </c:cat>
          <c:val>
            <c:numRef>
              <c:f>'Sheet1 (4)'!$F$7:$F$17</c:f>
              <c:numCache>
                <c:formatCode>General</c:formatCode>
                <c:ptCount val="10"/>
                <c:pt idx="0">
                  <c:v>32</c:v>
                </c:pt>
                <c:pt idx="1">
                  <c:v>118</c:v>
                </c:pt>
                <c:pt idx="2">
                  <c:v>165</c:v>
                </c:pt>
                <c:pt idx="3">
                  <c:v>143</c:v>
                </c:pt>
                <c:pt idx="4">
                  <c:v>132</c:v>
                </c:pt>
                <c:pt idx="5">
                  <c:v>124</c:v>
                </c:pt>
                <c:pt idx="6">
                  <c:v>151</c:v>
                </c:pt>
                <c:pt idx="7">
                  <c:v>152</c:v>
                </c:pt>
                <c:pt idx="8">
                  <c:v>152</c:v>
                </c:pt>
                <c:pt idx="9">
                  <c:v>175</c:v>
                </c:pt>
              </c:numCache>
            </c:numRef>
          </c:val>
          <c:smooth val="0"/>
          <c:extLst>
            <c:ext xmlns:c16="http://schemas.microsoft.com/office/drawing/2014/chart" uri="{C3380CC4-5D6E-409C-BE32-E72D297353CC}">
              <c16:uniqueId val="{00000003-E4FC-41A1-AB15-A4E26874547A}"/>
            </c:ext>
          </c:extLst>
        </c:ser>
        <c:ser>
          <c:idx val="4"/>
          <c:order val="4"/>
          <c:tx>
            <c:strRef>
              <c:f>'Sheet1 (4)'!$G$4:$G$6</c:f>
              <c:strCache>
                <c:ptCount val="1"/>
                <c:pt idx="0">
                  <c:v>IPILIMUMAB - Induction treatment - Grandfather patients</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'Sheet1 (4)'!$A$7:$A$17</c:f>
              <c:strCache>
                <c:ptCount val="10"/>
                <c:pt idx="0">
                  <c:v>2019Q1</c:v>
                </c:pt>
                <c:pt idx="1">
                  <c:v>2019Q2</c:v>
                </c:pt>
                <c:pt idx="2">
                  <c:v>2019Q3</c:v>
                </c:pt>
                <c:pt idx="3">
                  <c:v>2019Q4</c:v>
                </c:pt>
                <c:pt idx="4">
                  <c:v>2020Q1</c:v>
                </c:pt>
                <c:pt idx="5">
                  <c:v>2020Q2</c:v>
                </c:pt>
                <c:pt idx="6">
                  <c:v>2020Q3</c:v>
                </c:pt>
                <c:pt idx="7">
                  <c:v>2020Q4</c:v>
                </c:pt>
                <c:pt idx="8">
                  <c:v>2021Q1</c:v>
                </c:pt>
                <c:pt idx="9">
                  <c:v>2021Q2</c:v>
                </c:pt>
              </c:strCache>
            </c:strRef>
          </c:cat>
          <c:val>
            <c:numRef>
              <c:f>'Sheet1 (4)'!$G$7:$G$17</c:f>
              <c:numCache>
                <c:formatCode>General</c:formatCode>
                <c:ptCount val="10"/>
                <c:pt idx="0">
                  <c:v>11</c:v>
                </c:pt>
                <c:pt idx="1">
                  <c:v>11</c:v>
                </c:pt>
                <c:pt idx="2">
                  <c:v>6</c:v>
                </c:pt>
                <c:pt idx="3">
                  <c:v>6</c:v>
                </c:pt>
                <c:pt idx="4">
                  <c:v>3</c:v>
                </c:pt>
                <c:pt idx="5">
                  <c:v>2</c:v>
                </c:pt>
                <c:pt idx="6">
                  <c:v>6</c:v>
                </c:pt>
              </c:numCache>
            </c:numRef>
          </c:val>
          <c:smooth val="0"/>
          <c:extLst>
            <c:ext xmlns:c16="http://schemas.microsoft.com/office/drawing/2014/chart" uri="{C3380CC4-5D6E-409C-BE32-E72D297353CC}">
              <c16:uniqueId val="{00000004-E4FC-41A1-AB15-A4E26874547A}"/>
            </c:ext>
          </c:extLst>
        </c:ser>
        <c:dLbls>
          <c:showLegendKey val="0"/>
          <c:showVal val="0"/>
          <c:showCatName val="0"/>
          <c:showSerName val="0"/>
          <c:showPercent val="0"/>
          <c:showBubbleSize val="0"/>
        </c:dLbls>
        <c:marker val="1"/>
        <c:smooth val="0"/>
        <c:axId val="823415984"/>
        <c:axId val="823416312"/>
      </c:lineChart>
      <c:catAx>
        <c:axId val="8234159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Quarter of supply</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3416312"/>
        <c:crosses val="autoZero"/>
        <c:auto val="1"/>
        <c:lblAlgn val="ctr"/>
        <c:lblOffset val="100"/>
        <c:noMultiLvlLbl val="0"/>
      </c:catAx>
      <c:valAx>
        <c:axId val="8234163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Patients</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3415984"/>
        <c:crosses val="autoZero"/>
        <c:crossBetween val="between"/>
      </c:valAx>
      <c:spPr>
        <a:noFill/>
        <a:ln>
          <a:noFill/>
        </a:ln>
        <a:effectLst/>
      </c:spPr>
    </c:plotArea>
    <c:legend>
      <c:legendPos val="r"/>
      <c:layout>
        <c:manualLayout>
          <c:xMode val="edge"/>
          <c:yMode val="edge"/>
          <c:x val="0.769220708299034"/>
          <c:y val="0.16294557010707855"/>
          <c:w val="0.22257652711094436"/>
          <c:h val="0.62657031624260318"/>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[D1326 - DRUG_FREQ, 12 mnths post init.xlsx]Sheet1 (2)!PivotTable1</c:name>
    <c:fmtId val="-1"/>
  </c:pivotSource>
  <c:chart>
    <c:autoTitleDeleted val="1"/>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pivotFmt>
      <c:pivotFmt>
        <c:idx val="8"/>
        <c:spPr>
          <a:solidFill>
            <a:schemeClr val="accent1"/>
          </a:solidFill>
          <a:ln>
            <a:noFill/>
          </a:ln>
          <a:effectLst/>
        </c:spPr>
        <c:marker>
          <c:symbol val="none"/>
        </c:marker>
      </c:pivotFmt>
      <c:pivotFmt>
        <c:idx val="9"/>
        <c:spPr>
          <a:solidFill>
            <a:schemeClr val="accent1"/>
          </a:solidFill>
          <a:ln>
            <a:noFill/>
          </a:ln>
          <a:effectLst/>
        </c:spPr>
        <c:marker>
          <c:symbol val="none"/>
        </c:marker>
      </c:pivotFmt>
      <c:pivotFmt>
        <c:idx val="10"/>
        <c:spPr>
          <a:solidFill>
            <a:schemeClr val="accent1"/>
          </a:solidFill>
          <a:ln>
            <a:noFill/>
          </a:ln>
          <a:effectLst/>
        </c:spPr>
        <c:marker>
          <c:symbol val="none"/>
        </c:marker>
      </c:pivotFmt>
      <c:pivotFmt>
        <c:idx val="11"/>
        <c:spPr>
          <a:solidFill>
            <a:schemeClr val="accent1"/>
          </a:solidFill>
          <a:ln>
            <a:noFill/>
          </a:ln>
          <a:effectLst/>
        </c:spPr>
        <c:marker>
          <c:symbol val="none"/>
        </c:marker>
      </c:pivotFmt>
    </c:pivotFmts>
    <c:plotArea>
      <c:layout/>
      <c:barChart>
        <c:barDir val="col"/>
        <c:grouping val="clustered"/>
        <c:varyColors val="0"/>
        <c:ser>
          <c:idx val="0"/>
          <c:order val="0"/>
          <c:tx>
            <c:strRef>
              <c:f>'Sheet1 (2)'!$B$3:$B$4</c:f>
              <c:strCache>
                <c:ptCount val="1"/>
                <c:pt idx="0">
                  <c:v>IPILIMUMAB</c:v>
                </c:pt>
              </c:strCache>
            </c:strRef>
          </c:tx>
          <c:spPr>
            <a:solidFill>
              <a:schemeClr val="accent1"/>
            </a:solidFill>
            <a:ln>
              <a:noFill/>
            </a:ln>
            <a:effectLst/>
          </c:spPr>
          <c:invertIfNegative val="0"/>
          <c:cat>
            <c:strRef>
              <c:f>'Sheet1 (2)'!$A$5:$A$31</c:f>
              <c:strCache>
                <c:ptCount val="2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&gt;=26</c:v>
                </c:pt>
              </c:strCache>
            </c:strRef>
          </c:cat>
          <c:val>
            <c:numRef>
              <c:f>'Sheet1 (2)'!$B$5:$B$31</c:f>
              <c:numCache>
                <c:formatCode>0.00%</c:formatCode>
                <c:ptCount val="26"/>
                <c:pt idx="0">
                  <c:v>9.7916666666666666E-2</c:v>
                </c:pt>
                <c:pt idx="1">
                  <c:v>0.10208333333333333</c:v>
                </c:pt>
                <c:pt idx="2">
                  <c:v>0.18124999999999999</c:v>
                </c:pt>
                <c:pt idx="3">
                  <c:v>0.57708333333333328</c:v>
                </c:pt>
                <c:pt idx="4">
                  <c:v>2.9166666666666667E-2</c:v>
                </c:pt>
                <c:pt idx="5">
                  <c:v>6.2500000000000003E-3</c:v>
                </c:pt>
                <c:pt idx="6">
                  <c:v>2.0833333333333333E-3</c:v>
                </c:pt>
                <c:pt idx="7">
                  <c:v>4.1666666666666666E-3</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numCache>
            </c:numRef>
          </c:val>
          <c:extLst>
            <c:ext xmlns:c16="http://schemas.microsoft.com/office/drawing/2014/chart" uri="{C3380CC4-5D6E-409C-BE32-E72D297353CC}">
              <c16:uniqueId val="{00000000-A77D-4977-96E3-402A5E7A27A3}"/>
            </c:ext>
          </c:extLst>
        </c:ser>
        <c:ser>
          <c:idx val="1"/>
          <c:order val="1"/>
          <c:tx>
            <c:strRef>
              <c:f>'Sheet1 (2)'!$C$3:$C$4</c:f>
              <c:strCache>
                <c:ptCount val="1"/>
                <c:pt idx="0">
                  <c:v>NIVOLUMAB</c:v>
                </c:pt>
              </c:strCache>
            </c:strRef>
          </c:tx>
          <c:spPr>
            <a:solidFill>
              <a:schemeClr val="accent2"/>
            </a:solidFill>
            <a:ln>
              <a:noFill/>
            </a:ln>
            <a:effectLst/>
          </c:spPr>
          <c:invertIfNegative val="0"/>
          <c:cat>
            <c:strRef>
              <c:f>'Sheet1 (2)'!$A$5:$A$31</c:f>
              <c:strCache>
                <c:ptCount val="2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&gt;=26</c:v>
                </c:pt>
              </c:strCache>
            </c:strRef>
          </c:cat>
          <c:val>
            <c:numRef>
              <c:f>'Sheet1 (2)'!$C$5:$C$31</c:f>
              <c:numCache>
                <c:formatCode>0.00%</c:formatCode>
                <c:ptCount val="26"/>
                <c:pt idx="0">
                  <c:v>8.3032490974729242E-2</c:v>
                </c:pt>
                <c:pt idx="1">
                  <c:v>8.3032490974729242E-2</c:v>
                </c:pt>
                <c:pt idx="2">
                  <c:v>8.8447653429602882E-2</c:v>
                </c:pt>
                <c:pt idx="3">
                  <c:v>0.18592057761732853</c:v>
                </c:pt>
                <c:pt idx="4">
                  <c:v>5.2346570397111915E-2</c:v>
                </c:pt>
                <c:pt idx="5">
                  <c:v>6.4981949458483748E-2</c:v>
                </c:pt>
                <c:pt idx="6">
                  <c:v>4.3321299638989168E-2</c:v>
                </c:pt>
                <c:pt idx="7">
                  <c:v>3.6101083032490974E-2</c:v>
                </c:pt>
                <c:pt idx="8">
                  <c:v>4.1516245487364621E-2</c:v>
                </c:pt>
                <c:pt idx="9">
                  <c:v>3.4296028880866428E-2</c:v>
                </c:pt>
                <c:pt idx="10">
                  <c:v>1.6245487364620937E-2</c:v>
                </c:pt>
                <c:pt idx="11">
                  <c:v>4.1516245487364621E-2</c:v>
                </c:pt>
                <c:pt idx="12">
                  <c:v>3.7906137184115521E-2</c:v>
                </c:pt>
                <c:pt idx="13">
                  <c:v>4.8736462093862815E-2</c:v>
                </c:pt>
                <c:pt idx="14">
                  <c:v>2.1660649819494584E-2</c:v>
                </c:pt>
                <c:pt idx="15">
                  <c:v>3.0685920577617327E-2</c:v>
                </c:pt>
                <c:pt idx="16">
                  <c:v>1.0830324909747292E-2</c:v>
                </c:pt>
                <c:pt idx="17">
                  <c:v>1.8050541516245488E-3</c:v>
                </c:pt>
                <c:pt idx="18">
                  <c:v>2.1660649819494584E-2</c:v>
                </c:pt>
                <c:pt idx="19">
                  <c:v>1.444043321299639E-2</c:v>
                </c:pt>
                <c:pt idx="20">
                  <c:v>3.6101083032490976E-3</c:v>
                </c:pt>
                <c:pt idx="21">
                  <c:v>3.6101083032490976E-3</c:v>
                </c:pt>
                <c:pt idx="22">
                  <c:v>1.0830324909747292E-2</c:v>
                </c:pt>
                <c:pt idx="23">
                  <c:v>1.263537906137184E-2</c:v>
                </c:pt>
                <c:pt idx="24">
                  <c:v>3.6101083032490976E-3</c:v>
                </c:pt>
                <c:pt idx="25">
                  <c:v>7.2202166064981952E-3</c:v>
                </c:pt>
              </c:numCache>
            </c:numRef>
          </c:val>
          <c:extLst>
            <c:ext xmlns:c16="http://schemas.microsoft.com/office/drawing/2014/chart" uri="{C3380CC4-5D6E-409C-BE32-E72D297353CC}">
              <c16:uniqueId val="{00000001-A77D-4977-96E3-402A5E7A27A3}"/>
            </c:ext>
          </c:extLst>
        </c:ser>
        <c:dLbls>
          <c:showLegendKey val="0"/>
          <c:showVal val="0"/>
          <c:showCatName val="0"/>
          <c:showSerName val="0"/>
          <c:showPercent val="0"/>
          <c:showBubbleSize val="0"/>
        </c:dLbls>
        <c:gapWidth val="219"/>
        <c:overlap val="-27"/>
        <c:axId val="718736136"/>
        <c:axId val="718729904"/>
      </c:barChart>
      <c:catAx>
        <c:axId val="7187361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Prescriptions per patient</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8729904"/>
        <c:crosses val="autoZero"/>
        <c:auto val="1"/>
        <c:lblAlgn val="ctr"/>
        <c:lblOffset val="100"/>
        <c:noMultiLvlLbl val="0"/>
      </c:catAx>
      <c:valAx>
        <c:axId val="718729904"/>
        <c:scaling>
          <c:orientation val="minMax"/>
          <c:max val="0.60000000000000009"/>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Patients</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873613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[D1326 - DOSE_FREQ v2.xlsx]Sheet1 (2)!PivotTable1</c:name>
    <c:fmtId val="-1"/>
  </c:pivotSource>
  <c:chart>
    <c:autoTitleDeleted val="1"/>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pivotFmt>
      <c:pivotFmt>
        <c:idx val="8"/>
        <c:spPr>
          <a:solidFill>
            <a:schemeClr val="accent1"/>
          </a:solidFill>
          <a:ln>
            <a:noFill/>
          </a:ln>
          <a:effectLst/>
        </c:spPr>
        <c:marker>
          <c:symbol val="none"/>
        </c:marker>
      </c:pivotFmt>
      <c:pivotFmt>
        <c:idx val="9"/>
        <c:spPr>
          <a:solidFill>
            <a:schemeClr val="accent1"/>
          </a:solidFill>
          <a:ln>
            <a:noFill/>
          </a:ln>
          <a:effectLst/>
        </c:spPr>
        <c:marker>
          <c:symbol val="none"/>
        </c:marker>
      </c:pivotFmt>
      <c:pivotFmt>
        <c:idx val="10"/>
        <c:spPr>
          <a:solidFill>
            <a:schemeClr val="accent1"/>
          </a:solidFill>
          <a:ln>
            <a:noFill/>
          </a:ln>
          <a:effectLst/>
        </c:spPr>
        <c:marker>
          <c:symbol val="none"/>
        </c:marker>
      </c:pivotFmt>
      <c:pivotFmt>
        <c:idx val="11"/>
        <c:spPr>
          <a:solidFill>
            <a:schemeClr val="accent1"/>
          </a:solidFill>
          <a:ln>
            <a:noFill/>
          </a:ln>
          <a:effectLst/>
        </c:spPr>
        <c:marker>
          <c:symbol val="none"/>
        </c:marker>
      </c:pivotFmt>
      <c:pivotFmt>
        <c:idx val="12"/>
        <c:spPr>
          <a:solidFill>
            <a:schemeClr val="accent1"/>
          </a:solidFill>
          <a:ln>
            <a:noFill/>
          </a:ln>
          <a:effectLst/>
        </c:spPr>
        <c:marker>
          <c:symbol val="none"/>
        </c:marker>
      </c:pivotFmt>
    </c:pivotFmts>
    <c:plotArea>
      <c:layout/>
      <c:barChart>
        <c:barDir val="col"/>
        <c:grouping val="clustered"/>
        <c:varyColors val="0"/>
        <c:ser>
          <c:idx val="0"/>
          <c:order val="0"/>
          <c:tx>
            <c:strRef>
              <c:f>'Sheet1 (2)'!$B$2</c:f>
              <c:strCache>
                <c:ptCount val="1"/>
                <c:pt idx="0">
                  <c:v>pre 1 September 2019</c:v>
                </c:pt>
              </c:strCache>
            </c:strRef>
          </c:tx>
          <c:spPr>
            <a:solidFill>
              <a:schemeClr val="accent1"/>
            </a:solidFill>
            <a:ln>
              <a:noFill/>
            </a:ln>
            <a:effectLst/>
          </c:spPr>
          <c:invertIfNegative val="0"/>
          <c:cat>
            <c:strRef>
              <c:f>'Sheet1 (2)'!$B$2</c:f>
              <c:strCache>
                <c:ptCount val="18"/>
                <c:pt idx="0">
                  <c:v>&lt;= 120mg</c:v>
                </c:pt>
                <c:pt idx="1">
                  <c:v>121 to 140 mg</c:v>
                </c:pt>
                <c:pt idx="2">
                  <c:v>141 to 160 mg</c:v>
                </c:pt>
                <c:pt idx="3">
                  <c:v>161 to 180 mg</c:v>
                </c:pt>
                <c:pt idx="4">
                  <c:v>181 to 200 mg</c:v>
                </c:pt>
                <c:pt idx="5">
                  <c:v>201 to 220 mg</c:v>
                </c:pt>
                <c:pt idx="6">
                  <c:v>221 to 240 mg</c:v>
                </c:pt>
                <c:pt idx="7">
                  <c:v>241 to 260 mg</c:v>
                </c:pt>
                <c:pt idx="8">
                  <c:v>261 to 280 mg</c:v>
                </c:pt>
                <c:pt idx="9">
                  <c:v>281 to 300 mg</c:v>
                </c:pt>
                <c:pt idx="10">
                  <c:v>301 to 320 mg</c:v>
                </c:pt>
                <c:pt idx="11">
                  <c:v>321 to 340 mg</c:v>
                </c:pt>
                <c:pt idx="12">
                  <c:v>341 to 360 mg</c:v>
                </c:pt>
                <c:pt idx="13">
                  <c:v>361 to 380 mg</c:v>
                </c:pt>
                <c:pt idx="14">
                  <c:v>381 to 400 mg</c:v>
                </c:pt>
                <c:pt idx="15">
                  <c:v>401 to 420 mg</c:v>
                </c:pt>
                <c:pt idx="16">
                  <c:v>421 to 440 mg</c:v>
                </c:pt>
                <c:pt idx="17">
                  <c:v>461 to 480 mg</c:v>
                </c:pt>
              </c:strCache>
            </c:strRef>
          </c:cat>
          <c:val>
            <c:numRef>
              <c:f>'Sheet1 (2)'!$B$2</c:f>
              <c:numCache>
                <c:formatCode>0.00%</c:formatCode>
                <c:ptCount val="18"/>
                <c:pt idx="0">
                  <c:v>5.7142857142857143E-3</c:v>
                </c:pt>
                <c:pt idx="1">
                  <c:v>0</c:v>
                </c:pt>
                <c:pt idx="2">
                  <c:v>8.5714285714285719E-3</c:v>
                </c:pt>
                <c:pt idx="3">
                  <c:v>6.2857142857142861E-2</c:v>
                </c:pt>
                <c:pt idx="4">
                  <c:v>7.7142857142857138E-2</c:v>
                </c:pt>
                <c:pt idx="5">
                  <c:v>0.13428571428571429</c:v>
                </c:pt>
                <c:pt idx="6">
                  <c:v>0.25714285714285712</c:v>
                </c:pt>
                <c:pt idx="7">
                  <c:v>0.12</c:v>
                </c:pt>
                <c:pt idx="8">
                  <c:v>0.12571428571428572</c:v>
                </c:pt>
                <c:pt idx="9">
                  <c:v>4.2857142857142858E-2</c:v>
                </c:pt>
                <c:pt idx="10">
                  <c:v>4.2857142857142858E-2</c:v>
                </c:pt>
                <c:pt idx="11">
                  <c:v>2.2857142857142857E-2</c:v>
                </c:pt>
                <c:pt idx="12">
                  <c:v>4.2857142857142858E-2</c:v>
                </c:pt>
                <c:pt idx="13">
                  <c:v>0</c:v>
                </c:pt>
                <c:pt idx="14">
                  <c:v>0.02</c:v>
                </c:pt>
                <c:pt idx="15">
                  <c:v>1.4285714285714285E-2</c:v>
                </c:pt>
                <c:pt idx="16">
                  <c:v>0</c:v>
                </c:pt>
                <c:pt idx="17">
                  <c:v>2.2857142857142857E-2</c:v>
                </c:pt>
              </c:numCache>
            </c:numRef>
          </c:val>
          <c:extLst>
            <c:ext xmlns:c16="http://schemas.microsoft.com/office/drawing/2014/chart" uri="{C3380CC4-5D6E-409C-BE32-E72D297353CC}">
              <c16:uniqueId val="{00000000-38C5-49F0-AC87-EFCF1C0B1FFF}"/>
            </c:ext>
          </c:extLst>
        </c:ser>
        <c:ser>
          <c:idx val="1"/>
          <c:order val="1"/>
          <c:tx>
            <c:strRef>
              <c:f>'Sheet1 (2)'!$B$2</c:f>
              <c:strCache>
                <c:ptCount val="1"/>
                <c:pt idx="0">
                  <c:v>1Sep2019 to 31Aug2020</c:v>
                </c:pt>
              </c:strCache>
            </c:strRef>
          </c:tx>
          <c:spPr>
            <a:solidFill>
              <a:schemeClr val="accent2"/>
            </a:solidFill>
            <a:ln>
              <a:noFill/>
            </a:ln>
            <a:effectLst/>
          </c:spPr>
          <c:invertIfNegative val="0"/>
          <c:cat>
            <c:strRef>
              <c:f>'Sheet1 (2)'!$B$2</c:f>
              <c:strCache>
                <c:ptCount val="18"/>
                <c:pt idx="0">
                  <c:v>&lt;= 120mg</c:v>
                </c:pt>
                <c:pt idx="1">
                  <c:v>121 to 140 mg</c:v>
                </c:pt>
                <c:pt idx="2">
                  <c:v>141 to 160 mg</c:v>
                </c:pt>
                <c:pt idx="3">
                  <c:v>161 to 180 mg</c:v>
                </c:pt>
                <c:pt idx="4">
                  <c:v>181 to 200 mg</c:v>
                </c:pt>
                <c:pt idx="5">
                  <c:v>201 to 220 mg</c:v>
                </c:pt>
                <c:pt idx="6">
                  <c:v>221 to 240 mg</c:v>
                </c:pt>
                <c:pt idx="7">
                  <c:v>241 to 260 mg</c:v>
                </c:pt>
                <c:pt idx="8">
                  <c:v>261 to 280 mg</c:v>
                </c:pt>
                <c:pt idx="9">
                  <c:v>281 to 300 mg</c:v>
                </c:pt>
                <c:pt idx="10">
                  <c:v>301 to 320 mg</c:v>
                </c:pt>
                <c:pt idx="11">
                  <c:v>321 to 340 mg</c:v>
                </c:pt>
                <c:pt idx="12">
                  <c:v>341 to 360 mg</c:v>
                </c:pt>
                <c:pt idx="13">
                  <c:v>361 to 380 mg</c:v>
                </c:pt>
                <c:pt idx="14">
                  <c:v>381 to 400 mg</c:v>
                </c:pt>
                <c:pt idx="15">
                  <c:v>401 to 420 mg</c:v>
                </c:pt>
                <c:pt idx="16">
                  <c:v>421 to 440 mg</c:v>
                </c:pt>
                <c:pt idx="17">
                  <c:v>461 to 480 mg</c:v>
                </c:pt>
              </c:strCache>
            </c:strRef>
          </c:cat>
          <c:val>
            <c:numRef>
              <c:f>'Sheet1 (2)'!$B$2</c:f>
              <c:numCache>
                <c:formatCode>0.00%</c:formatCode>
                <c:ptCount val="18"/>
                <c:pt idx="0">
                  <c:v>1.2683916793505834E-2</c:v>
                </c:pt>
                <c:pt idx="1">
                  <c:v>4.5662100456621002E-3</c:v>
                </c:pt>
                <c:pt idx="2">
                  <c:v>3.5514967021816335E-3</c:v>
                </c:pt>
                <c:pt idx="3">
                  <c:v>4.2110603754439369E-2</c:v>
                </c:pt>
                <c:pt idx="4">
                  <c:v>3.5514967021816335E-2</c:v>
                </c:pt>
                <c:pt idx="5">
                  <c:v>6.2912227295788936E-2</c:v>
                </c:pt>
                <c:pt idx="6">
                  <c:v>0.22729578893962454</c:v>
                </c:pt>
                <c:pt idx="7">
                  <c:v>6.6971080669710803E-2</c:v>
                </c:pt>
                <c:pt idx="8">
                  <c:v>4.8198883815322169E-2</c:v>
                </c:pt>
                <c:pt idx="9">
                  <c:v>2.1308980213089801E-2</c:v>
                </c:pt>
                <c:pt idx="10">
                  <c:v>1.3698630136986301E-2</c:v>
                </c:pt>
                <c:pt idx="11">
                  <c:v>1.9786910197869101E-2</c:v>
                </c:pt>
                <c:pt idx="12">
                  <c:v>1.4713343480466767E-2</c:v>
                </c:pt>
                <c:pt idx="13">
                  <c:v>2.0294266869609334E-3</c:v>
                </c:pt>
                <c:pt idx="14">
                  <c:v>5.0735667174023336E-4</c:v>
                </c:pt>
                <c:pt idx="15">
                  <c:v>1.8264840182648401E-2</c:v>
                </c:pt>
                <c:pt idx="16">
                  <c:v>0</c:v>
                </c:pt>
                <c:pt idx="17">
                  <c:v>0.40588533739218668</c:v>
                </c:pt>
              </c:numCache>
            </c:numRef>
          </c:val>
          <c:extLst>
            <c:ext xmlns:c16="http://schemas.microsoft.com/office/drawing/2014/chart" uri="{C3380CC4-5D6E-409C-BE32-E72D297353CC}">
              <c16:uniqueId val="{00000001-38C5-49F0-AC87-EFCF1C0B1FFF}"/>
            </c:ext>
          </c:extLst>
        </c:ser>
        <c:ser>
          <c:idx val="2"/>
          <c:order val="2"/>
          <c:tx>
            <c:strRef>
              <c:f>'Sheet1 (2)'!$B$2</c:f>
              <c:strCache>
                <c:ptCount val="1"/>
                <c:pt idx="0">
                  <c:v>1Sep2020 to 30Jun2021</c:v>
                </c:pt>
              </c:strCache>
            </c:strRef>
          </c:tx>
          <c:spPr>
            <a:solidFill>
              <a:schemeClr val="accent3"/>
            </a:solidFill>
            <a:ln>
              <a:noFill/>
            </a:ln>
            <a:effectLst/>
          </c:spPr>
          <c:invertIfNegative val="0"/>
          <c:cat>
            <c:strRef>
              <c:f>'Sheet1 (2)'!$B$2</c:f>
              <c:strCache>
                <c:ptCount val="18"/>
                <c:pt idx="0">
                  <c:v>&lt;= 120mg</c:v>
                </c:pt>
                <c:pt idx="1">
                  <c:v>121 to 140 mg</c:v>
                </c:pt>
                <c:pt idx="2">
                  <c:v>141 to 160 mg</c:v>
                </c:pt>
                <c:pt idx="3">
                  <c:v>161 to 180 mg</c:v>
                </c:pt>
                <c:pt idx="4">
                  <c:v>181 to 200 mg</c:v>
                </c:pt>
                <c:pt idx="5">
                  <c:v>201 to 220 mg</c:v>
                </c:pt>
                <c:pt idx="6">
                  <c:v>221 to 240 mg</c:v>
                </c:pt>
                <c:pt idx="7">
                  <c:v>241 to 260 mg</c:v>
                </c:pt>
                <c:pt idx="8">
                  <c:v>261 to 280 mg</c:v>
                </c:pt>
                <c:pt idx="9">
                  <c:v>281 to 300 mg</c:v>
                </c:pt>
                <c:pt idx="10">
                  <c:v>301 to 320 mg</c:v>
                </c:pt>
                <c:pt idx="11">
                  <c:v>321 to 340 mg</c:v>
                </c:pt>
                <c:pt idx="12">
                  <c:v>341 to 360 mg</c:v>
                </c:pt>
                <c:pt idx="13">
                  <c:v>361 to 380 mg</c:v>
                </c:pt>
                <c:pt idx="14">
                  <c:v>381 to 400 mg</c:v>
                </c:pt>
                <c:pt idx="15">
                  <c:v>401 to 420 mg</c:v>
                </c:pt>
                <c:pt idx="16">
                  <c:v>421 to 440 mg</c:v>
                </c:pt>
                <c:pt idx="17">
                  <c:v>461 to 480 mg</c:v>
                </c:pt>
              </c:strCache>
            </c:strRef>
          </c:cat>
          <c:val>
            <c:numRef>
              <c:f>'Sheet1 (2)'!$B$2</c:f>
              <c:numCache>
                <c:formatCode>0.00%</c:formatCode>
                <c:ptCount val="18"/>
                <c:pt idx="0">
                  <c:v>5.0790067720090292E-3</c:v>
                </c:pt>
                <c:pt idx="1">
                  <c:v>7.3363431151241536E-3</c:v>
                </c:pt>
                <c:pt idx="2">
                  <c:v>0</c:v>
                </c:pt>
                <c:pt idx="3">
                  <c:v>1.072234762979684E-2</c:v>
                </c:pt>
                <c:pt idx="4">
                  <c:v>2.3702031602708805E-2</c:v>
                </c:pt>
                <c:pt idx="5">
                  <c:v>1.8623024830699775E-2</c:v>
                </c:pt>
                <c:pt idx="6">
                  <c:v>0.17494356659142213</c:v>
                </c:pt>
                <c:pt idx="7">
                  <c:v>3.1038374717832957E-2</c:v>
                </c:pt>
                <c:pt idx="8">
                  <c:v>1.5237020316027089E-2</c:v>
                </c:pt>
                <c:pt idx="9">
                  <c:v>1.2415349887133182E-2</c:v>
                </c:pt>
                <c:pt idx="10">
                  <c:v>0</c:v>
                </c:pt>
                <c:pt idx="11">
                  <c:v>1.636568848758465E-2</c:v>
                </c:pt>
                <c:pt idx="12">
                  <c:v>1.128668171557562E-3</c:v>
                </c:pt>
                <c:pt idx="13">
                  <c:v>4.5146726862302479E-3</c:v>
                </c:pt>
                <c:pt idx="14">
                  <c:v>0</c:v>
                </c:pt>
                <c:pt idx="15">
                  <c:v>7.900677200902935E-3</c:v>
                </c:pt>
                <c:pt idx="16">
                  <c:v>3.9503386004514675E-3</c:v>
                </c:pt>
                <c:pt idx="17">
                  <c:v>0.66704288939051914</c:v>
                </c:pt>
              </c:numCache>
            </c:numRef>
          </c:val>
          <c:extLst>
            <c:ext xmlns:c16="http://schemas.microsoft.com/office/drawing/2014/chart" uri="{C3380CC4-5D6E-409C-BE32-E72D297353CC}">
              <c16:uniqueId val="{00000002-38C5-49F0-AC87-EFCF1C0B1FFF}"/>
            </c:ext>
          </c:extLst>
        </c:ser>
        <c:dLbls>
          <c:showLegendKey val="0"/>
          <c:showVal val="0"/>
          <c:showCatName val="0"/>
          <c:showSerName val="0"/>
          <c:showPercent val="0"/>
          <c:showBubbleSize val="0"/>
        </c:dLbls>
        <c:gapWidth val="219"/>
        <c:overlap val="-27"/>
        <c:axId val="704514472"/>
        <c:axId val="705286336"/>
      </c:barChart>
      <c:catAx>
        <c:axId val="7045144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Infusion dose</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5286336"/>
        <c:crosses val="autoZero"/>
        <c:auto val="1"/>
        <c:lblAlgn val="ctr"/>
        <c:lblOffset val="100"/>
        <c:noMultiLvlLbl val="0"/>
      </c:catAx>
      <c:valAx>
        <c:axId val="705286336"/>
        <c:scaling>
          <c:orientation val="minMax"/>
          <c:max val="0.70000000000000007"/>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Infusions</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451447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[D1326 - DRUG_FREQ, 12 mnths post init, all nivo.xlsx]Sheet1 (2)!PivotTable1</c:name>
    <c:fmtId val="-1"/>
  </c:pivotSource>
  <c:chart>
    <c:autoTitleDeleted val="1"/>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pivotFmt>
      <c:pivotFmt>
        <c:idx val="8"/>
        <c:spPr>
          <a:solidFill>
            <a:schemeClr val="accent1"/>
          </a:solidFill>
          <a:ln>
            <a:noFill/>
          </a:ln>
          <a:effectLst/>
        </c:spPr>
        <c:marker>
          <c:symbol val="none"/>
        </c:marker>
      </c:pivotFmt>
      <c:pivotFmt>
        <c:idx val="9"/>
        <c:spPr>
          <a:solidFill>
            <a:schemeClr val="accent1"/>
          </a:solidFill>
          <a:ln>
            <a:noFill/>
          </a:ln>
          <a:effectLst/>
        </c:spPr>
        <c:marker>
          <c:symbol val="none"/>
        </c:marker>
      </c:pivotFmt>
    </c:pivotFmts>
    <c:plotArea>
      <c:layout/>
      <c:barChart>
        <c:barDir val="col"/>
        <c:grouping val="clustered"/>
        <c:varyColors val="0"/>
        <c:ser>
          <c:idx val="0"/>
          <c:order val="0"/>
          <c:tx>
            <c:strRef>
              <c:f>'Sheet1 (2)'!$B$3:$B$4</c:f>
              <c:strCache>
                <c:ptCount val="1"/>
                <c:pt idx="0">
                  <c:v>IPILIMUMAB</c:v>
                </c:pt>
              </c:strCache>
            </c:strRef>
          </c:tx>
          <c:spPr>
            <a:solidFill>
              <a:schemeClr val="accent1"/>
            </a:solidFill>
            <a:ln>
              <a:noFill/>
            </a:ln>
            <a:effectLst/>
          </c:spPr>
          <c:invertIfNegative val="0"/>
          <c:cat>
            <c:strRef>
              <c:f>'Sheet1 (2)'!$A$5:$A$31</c:f>
              <c:strCache>
                <c:ptCount val="2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&gt;=26</c:v>
                </c:pt>
              </c:strCache>
            </c:strRef>
          </c:cat>
          <c:val>
            <c:numRef>
              <c:f>'Sheet1 (2)'!$B$5:$B$31</c:f>
              <c:numCache>
                <c:formatCode>0.00%</c:formatCode>
                <c:ptCount val="26"/>
                <c:pt idx="0">
                  <c:v>9.49367088607595E-2</c:v>
                </c:pt>
                <c:pt idx="1">
                  <c:v>0.10337552742616034</c:v>
                </c:pt>
                <c:pt idx="2">
                  <c:v>0.18354430379746836</c:v>
                </c:pt>
                <c:pt idx="3">
                  <c:v>0.57594936708860756</c:v>
                </c:pt>
                <c:pt idx="4">
                  <c:v>2.9535864978902954E-2</c:v>
                </c:pt>
                <c:pt idx="5">
                  <c:v>6.3291139240506328E-3</c:v>
                </c:pt>
                <c:pt idx="6">
                  <c:v>2.1097046413502108E-3</c:v>
                </c:pt>
                <c:pt idx="7">
                  <c:v>4.2194092827004216E-3</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numCache>
            </c:numRef>
          </c:val>
          <c:extLst>
            <c:ext xmlns:c16="http://schemas.microsoft.com/office/drawing/2014/chart" uri="{C3380CC4-5D6E-409C-BE32-E72D297353CC}">
              <c16:uniqueId val="{00000000-B23F-4356-94E1-B0D42641A3CE}"/>
            </c:ext>
          </c:extLst>
        </c:ser>
        <c:ser>
          <c:idx val="1"/>
          <c:order val="1"/>
          <c:tx>
            <c:strRef>
              <c:f>'Sheet1 (2)'!$C$3:$C$4</c:f>
              <c:strCache>
                <c:ptCount val="1"/>
                <c:pt idx="0">
                  <c:v>NIVOLUMAB</c:v>
                </c:pt>
              </c:strCache>
            </c:strRef>
          </c:tx>
          <c:spPr>
            <a:solidFill>
              <a:schemeClr val="accent2"/>
            </a:solidFill>
            <a:ln>
              <a:noFill/>
            </a:ln>
            <a:effectLst/>
          </c:spPr>
          <c:invertIfNegative val="0"/>
          <c:cat>
            <c:strRef>
              <c:f>'Sheet1 (2)'!$A$5:$A$31</c:f>
              <c:strCache>
                <c:ptCount val="2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&gt;=26</c:v>
                </c:pt>
              </c:strCache>
            </c:strRef>
          </c:cat>
          <c:val>
            <c:numRef>
              <c:f>'Sheet1 (2)'!$C$5:$C$31</c:f>
              <c:numCache>
                <c:formatCode>0.00%</c:formatCode>
                <c:ptCount val="26"/>
                <c:pt idx="0">
                  <c:v>7.2368421052631582E-2</c:v>
                </c:pt>
                <c:pt idx="1">
                  <c:v>7.4013157894736836E-2</c:v>
                </c:pt>
                <c:pt idx="2">
                  <c:v>8.5526315789473686E-2</c:v>
                </c:pt>
                <c:pt idx="3">
                  <c:v>0.10526315789473684</c:v>
                </c:pt>
                <c:pt idx="4">
                  <c:v>5.7565789473684209E-2</c:v>
                </c:pt>
                <c:pt idx="5">
                  <c:v>4.6052631578947366E-2</c:v>
                </c:pt>
                <c:pt idx="6">
                  <c:v>3.7828947368421052E-2</c:v>
                </c:pt>
                <c:pt idx="7">
                  <c:v>3.6184210526315791E-2</c:v>
                </c:pt>
                <c:pt idx="8">
                  <c:v>3.453947368421053E-2</c:v>
                </c:pt>
                <c:pt idx="9">
                  <c:v>3.125E-2</c:v>
                </c:pt>
                <c:pt idx="10">
                  <c:v>2.4671052631578948E-2</c:v>
                </c:pt>
                <c:pt idx="11">
                  <c:v>4.4407894736842105E-2</c:v>
                </c:pt>
                <c:pt idx="12">
                  <c:v>4.1118421052631582E-2</c:v>
                </c:pt>
                <c:pt idx="13">
                  <c:v>7.2368421052631582E-2</c:v>
                </c:pt>
                <c:pt idx="14">
                  <c:v>4.4407894736842105E-2</c:v>
                </c:pt>
                <c:pt idx="15">
                  <c:v>3.453947368421053E-2</c:v>
                </c:pt>
                <c:pt idx="16">
                  <c:v>2.1381578947368422E-2</c:v>
                </c:pt>
                <c:pt idx="17">
                  <c:v>9.8684210526315784E-3</c:v>
                </c:pt>
                <c:pt idx="18">
                  <c:v>2.6315789473684209E-2</c:v>
                </c:pt>
                <c:pt idx="19">
                  <c:v>1.6447368421052631E-2</c:v>
                </c:pt>
                <c:pt idx="20">
                  <c:v>8.2236842105263153E-3</c:v>
                </c:pt>
                <c:pt idx="21">
                  <c:v>1.4802631578947368E-2</c:v>
                </c:pt>
                <c:pt idx="22">
                  <c:v>1.6447368421052631E-2</c:v>
                </c:pt>
                <c:pt idx="23">
                  <c:v>1.9736842105263157E-2</c:v>
                </c:pt>
                <c:pt idx="24">
                  <c:v>1.4802631578947368E-2</c:v>
                </c:pt>
                <c:pt idx="25">
                  <c:v>9.8684210526315784E-3</c:v>
                </c:pt>
              </c:numCache>
            </c:numRef>
          </c:val>
          <c:extLst>
            <c:ext xmlns:c16="http://schemas.microsoft.com/office/drawing/2014/chart" uri="{C3380CC4-5D6E-409C-BE32-E72D297353CC}">
              <c16:uniqueId val="{00000001-B23F-4356-94E1-B0D42641A3CE}"/>
            </c:ext>
          </c:extLst>
        </c:ser>
        <c:dLbls>
          <c:showLegendKey val="0"/>
          <c:showVal val="0"/>
          <c:showCatName val="0"/>
          <c:showSerName val="0"/>
          <c:showPercent val="0"/>
          <c:showBubbleSize val="0"/>
        </c:dLbls>
        <c:gapWidth val="219"/>
        <c:overlap val="-27"/>
        <c:axId val="718736136"/>
        <c:axId val="718729904"/>
      </c:barChart>
      <c:catAx>
        <c:axId val="7187361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Prescriptions per patient</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8729904"/>
        <c:crosses val="autoZero"/>
        <c:auto val="1"/>
        <c:lblAlgn val="ctr"/>
        <c:lblOffset val="100"/>
        <c:noMultiLvlLbl val="0"/>
      </c:catAx>
      <c:valAx>
        <c:axId val="718729904"/>
        <c:scaling>
          <c:orientation val="minMax"/>
          <c:max val="0.60000000000000009"/>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Patients</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873613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[D1326 - DRUG_FREQ, 12 mnths post init, all nivo, LoT.xlsx]Sheet1 (2)!PivotTable1</c:name>
    <c:fmtId val="-1"/>
  </c:pivotSource>
  <c:chart>
    <c:autoTitleDeleted val="1"/>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pivotFmt>
      <c:pivotFmt>
        <c:idx val="8"/>
        <c:spPr>
          <a:solidFill>
            <a:schemeClr val="accent1"/>
          </a:solidFill>
          <a:ln>
            <a:noFill/>
          </a:ln>
          <a:effectLst/>
        </c:spPr>
        <c:marker>
          <c:symbol val="none"/>
        </c:marker>
      </c:pivotFmt>
      <c:pivotFmt>
        <c:idx val="9"/>
        <c:spPr>
          <a:solidFill>
            <a:schemeClr val="accent1"/>
          </a:solidFill>
          <a:ln>
            <a:noFill/>
          </a:ln>
          <a:effectLst/>
        </c:spPr>
        <c:marker>
          <c:symbol val="none"/>
        </c:marker>
      </c:pivotFmt>
    </c:pivotFmts>
    <c:plotArea>
      <c:layout/>
      <c:barChart>
        <c:barDir val="col"/>
        <c:grouping val="clustered"/>
        <c:varyColors val="0"/>
        <c:ser>
          <c:idx val="0"/>
          <c:order val="0"/>
          <c:tx>
            <c:strRef>
              <c:f>'Sheet1 (2)'!$B$3:$B$4</c:f>
              <c:strCache>
                <c:ptCount val="1"/>
                <c:pt idx="0">
                  <c:v>IPILIMUMAB</c:v>
                </c:pt>
              </c:strCache>
            </c:strRef>
          </c:tx>
          <c:spPr>
            <a:solidFill>
              <a:schemeClr val="accent1"/>
            </a:solidFill>
            <a:ln>
              <a:noFill/>
            </a:ln>
            <a:effectLst/>
          </c:spPr>
          <c:invertIfNegative val="0"/>
          <c:cat>
            <c:strRef>
              <c:f>'Sheet1 (2)'!$A$5:$A$20</c:f>
              <c:strCach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&gt;=15</c:v>
                </c:pt>
              </c:strCache>
            </c:strRef>
          </c:cat>
          <c:val>
            <c:numRef>
              <c:f>'Sheet1 (2)'!$B$5:$B$20</c:f>
              <c:numCache>
                <c:formatCode>0.00%</c:formatCode>
                <c:ptCount val="15"/>
                <c:pt idx="0">
                  <c:v>9.49367088607595E-2</c:v>
                </c:pt>
                <c:pt idx="1">
                  <c:v>0.10337552742616034</c:v>
                </c:pt>
                <c:pt idx="2">
                  <c:v>0.759493670886076</c:v>
                </c:pt>
                <c:pt idx="3">
                  <c:v>2.9535864978902954E-2</c:v>
                </c:pt>
                <c:pt idx="4">
                  <c:v>8.4388185654008432E-3</c:v>
                </c:pt>
                <c:pt idx="5">
                  <c:v>4.2194092827004216E-3</c:v>
                </c:pt>
                <c:pt idx="6">
                  <c:v>0</c:v>
                </c:pt>
                <c:pt idx="7">
                  <c:v>0</c:v>
                </c:pt>
                <c:pt idx="8">
                  <c:v>0</c:v>
                </c:pt>
                <c:pt idx="9">
                  <c:v>0</c:v>
                </c:pt>
                <c:pt idx="10">
                  <c:v>0</c:v>
                </c:pt>
                <c:pt idx="11">
                  <c:v>0</c:v>
                </c:pt>
                <c:pt idx="12">
                  <c:v>0</c:v>
                </c:pt>
                <c:pt idx="13">
                  <c:v>0</c:v>
                </c:pt>
                <c:pt idx="14">
                  <c:v>0</c:v>
                </c:pt>
              </c:numCache>
            </c:numRef>
          </c:val>
          <c:extLst>
            <c:ext xmlns:c16="http://schemas.microsoft.com/office/drawing/2014/chart" uri="{C3380CC4-5D6E-409C-BE32-E72D297353CC}">
              <c16:uniqueId val="{00000000-0875-417D-9D79-DD5140270DC6}"/>
            </c:ext>
          </c:extLst>
        </c:ser>
        <c:ser>
          <c:idx val="1"/>
          <c:order val="1"/>
          <c:tx>
            <c:strRef>
              <c:f>'Sheet1 (2)'!$C$3:$C$4</c:f>
              <c:strCache>
                <c:ptCount val="1"/>
                <c:pt idx="0">
                  <c:v>NIVOLUMAB</c:v>
                </c:pt>
              </c:strCache>
            </c:strRef>
          </c:tx>
          <c:spPr>
            <a:solidFill>
              <a:schemeClr val="accent2"/>
            </a:solidFill>
            <a:ln>
              <a:noFill/>
            </a:ln>
            <a:effectLst/>
          </c:spPr>
          <c:invertIfNegative val="0"/>
          <c:cat>
            <c:strRef>
              <c:f>'Sheet1 (2)'!$A$5:$A$20</c:f>
              <c:strCache>
                <c:ptCount val="1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&gt;=15</c:v>
                </c:pt>
              </c:strCache>
            </c:strRef>
          </c:cat>
          <c:val>
            <c:numRef>
              <c:f>'Sheet1 (2)'!$C$5:$C$20</c:f>
              <c:numCache>
                <c:formatCode>0.00%</c:formatCode>
                <c:ptCount val="15"/>
                <c:pt idx="0">
                  <c:v>9.5394736842105268E-2</c:v>
                </c:pt>
                <c:pt idx="1">
                  <c:v>0.10361842105263158</c:v>
                </c:pt>
                <c:pt idx="2">
                  <c:v>0.16118421052631579</c:v>
                </c:pt>
                <c:pt idx="3">
                  <c:v>7.5657894736842105E-2</c:v>
                </c:pt>
                <c:pt idx="4">
                  <c:v>6.5789473684210523E-2</c:v>
                </c:pt>
                <c:pt idx="5">
                  <c:v>4.2763157894736843E-2</c:v>
                </c:pt>
                <c:pt idx="6">
                  <c:v>4.1118421052631582E-2</c:v>
                </c:pt>
                <c:pt idx="7">
                  <c:v>3.9473684210526314E-2</c:v>
                </c:pt>
                <c:pt idx="8">
                  <c:v>3.125E-2</c:v>
                </c:pt>
                <c:pt idx="9">
                  <c:v>4.6052631578947366E-2</c:v>
                </c:pt>
                <c:pt idx="10">
                  <c:v>5.921052631578947E-2</c:v>
                </c:pt>
                <c:pt idx="11">
                  <c:v>0.16776315789473684</c:v>
                </c:pt>
                <c:pt idx="12">
                  <c:v>4.9342105263157895E-2</c:v>
                </c:pt>
                <c:pt idx="13">
                  <c:v>1.1513157894736841E-2</c:v>
                </c:pt>
                <c:pt idx="14">
                  <c:v>9.8684210526315784E-3</c:v>
                </c:pt>
              </c:numCache>
            </c:numRef>
          </c:val>
          <c:extLst>
            <c:ext xmlns:c16="http://schemas.microsoft.com/office/drawing/2014/chart" uri="{C3380CC4-5D6E-409C-BE32-E72D297353CC}">
              <c16:uniqueId val="{00000001-0875-417D-9D79-DD5140270DC6}"/>
            </c:ext>
          </c:extLst>
        </c:ser>
        <c:dLbls>
          <c:showLegendKey val="0"/>
          <c:showVal val="0"/>
          <c:showCatName val="0"/>
          <c:showSerName val="0"/>
          <c:showPercent val="0"/>
          <c:showBubbleSize val="0"/>
        </c:dLbls>
        <c:gapWidth val="219"/>
        <c:overlap val="-27"/>
        <c:axId val="718736136"/>
        <c:axId val="718729904"/>
      </c:barChart>
      <c:catAx>
        <c:axId val="7187361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Length of</a:t>
                </a:r>
                <a:r>
                  <a:rPr lang="en-US" baseline="0"/>
                  <a:t> treatment (months)</a:t>
                </a:r>
                <a:endParaRPr lang="en-US"/>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8729904"/>
        <c:crosses val="autoZero"/>
        <c:auto val="1"/>
        <c:lblAlgn val="ctr"/>
        <c:lblOffset val="100"/>
        <c:noMultiLvlLbl val="0"/>
      </c:catAx>
      <c:valAx>
        <c:axId val="718729904"/>
        <c:scaling>
          <c:orientation val="minMax"/>
          <c:max val="0.60000000000000009"/>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Patients</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873613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91E7C6-9D0C-4B9D-9D1D-AC77297F3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8557</Words>
  <Characters>48775</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2022-03-08T01:48:00Z</dcterms:created>
  <dcterms:modified xsi:type="dcterms:W3CDTF">2022-03-08T02:00:00Z</dcterms:modified>
</cp:coreProperties>
</file>