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A3C130" w14:textId="222D1E6E" w:rsidR="00832324" w:rsidRDefault="00860627" w:rsidP="00F73113">
      <w:pPr>
        <w:pStyle w:val="Title"/>
      </w:pPr>
      <w:r>
        <w:t xml:space="preserve">Tolvaptan for </w:t>
      </w:r>
      <w:r w:rsidR="00BC3100">
        <w:t xml:space="preserve">autosomal dominant </w:t>
      </w:r>
      <w:r>
        <w:t xml:space="preserve">polycystic kidney disease: 24 </w:t>
      </w:r>
      <w:proofErr w:type="gramStart"/>
      <w:r>
        <w:t>month</w:t>
      </w:r>
      <w:proofErr w:type="gramEnd"/>
      <w:r>
        <w:t xml:space="preserve"> predicted versus actual analysis </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586555C1" w:rsidR="009053D3" w:rsidRPr="00F73113" w:rsidRDefault="00860627" w:rsidP="00F73113">
      <w:pPr>
        <w:pStyle w:val="Meetingdate"/>
      </w:pPr>
      <w:r>
        <w:t>October 2021</w:t>
      </w:r>
    </w:p>
    <w:p w14:paraId="1494B8AD" w14:textId="77777777" w:rsidR="005C6661" w:rsidRPr="00CF5E22" w:rsidRDefault="005C6661" w:rsidP="00CF5E22">
      <w:pPr>
        <w:pStyle w:val="Heading2"/>
      </w:pPr>
      <w:r w:rsidRPr="00CF5E22">
        <w:t>Abstract</w:t>
      </w:r>
    </w:p>
    <w:p w14:paraId="287D7939" w14:textId="4D183ECE" w:rsidR="005C6661" w:rsidRDefault="005C6661" w:rsidP="00CF5E22">
      <w:pPr>
        <w:pStyle w:val="Heading3"/>
      </w:pPr>
      <w:r w:rsidRPr="00CF5E22">
        <w:t>Purpose</w:t>
      </w:r>
    </w:p>
    <w:p w14:paraId="362E54B4" w14:textId="0FFB2B91" w:rsidR="005431F1" w:rsidRPr="005431F1" w:rsidRDefault="005431F1" w:rsidP="005431F1">
      <w:r>
        <w:t xml:space="preserve">To compare predicted and actual utilisation of tolvaptan for autosomal dominant polycystic kidney disease, as requested by DUSC at its June 2021 meeting. </w:t>
      </w:r>
    </w:p>
    <w:p w14:paraId="03538E7F" w14:textId="322BB850"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19C1093B" w14:textId="5A906E76" w:rsidR="003435E1" w:rsidRPr="003435E1" w:rsidRDefault="003435E1" w:rsidP="001815A3">
      <w:r>
        <w:t xml:space="preserve">Tolvaptan was PBS listed 1 January 2019. </w:t>
      </w:r>
    </w:p>
    <w:p w14:paraId="526743BB" w14:textId="237985EB" w:rsidR="005C6661" w:rsidRDefault="005C6661" w:rsidP="00CF5E22">
      <w:pPr>
        <w:pStyle w:val="Heading3"/>
      </w:pPr>
      <w:r>
        <w:t>Data Source / methodology</w:t>
      </w:r>
    </w:p>
    <w:p w14:paraId="08135CE5" w14:textId="2FC6E9B1" w:rsidR="00C11A65" w:rsidRPr="00C11A65" w:rsidRDefault="00C11A65" w:rsidP="00C11A65">
      <w:r>
        <w:t>Data extracted from the PBS database maintained by Department of Health, processed by Services Australia w</w:t>
      </w:r>
      <w:r w:rsidR="006603C5">
        <w:t>ere</w:t>
      </w:r>
      <w:r>
        <w:t xml:space="preserve"> used for analyses. </w:t>
      </w:r>
    </w:p>
    <w:p w14:paraId="3963E45B" w14:textId="4231287E" w:rsidR="00F255EE" w:rsidRDefault="005C6661" w:rsidP="00F255EE">
      <w:pPr>
        <w:pStyle w:val="Heading3"/>
      </w:pPr>
      <w:r>
        <w:t>Key Findings</w:t>
      </w:r>
    </w:p>
    <w:p w14:paraId="72EB2FAE" w14:textId="05DB066F" w:rsidR="00F255EE" w:rsidRDefault="00CD2BCE" w:rsidP="00CD2BCE">
      <w:pPr>
        <w:pStyle w:val="ListParagraph"/>
        <w:numPr>
          <w:ilvl w:val="0"/>
          <w:numId w:val="33"/>
        </w:numPr>
      </w:pPr>
      <w:r>
        <w:t xml:space="preserve">There were 362 and 500 </w:t>
      </w:r>
      <w:r w:rsidR="008D68EF">
        <w:t xml:space="preserve">patients </w:t>
      </w:r>
      <w:r>
        <w:t xml:space="preserve">treated with tolvaptan during the first and second year of listing respectively, which was lower than estimated.  </w:t>
      </w:r>
    </w:p>
    <w:p w14:paraId="5B65F2C6" w14:textId="4DA5A0FD" w:rsidR="00CD2BCE" w:rsidRDefault="00CD2BCE" w:rsidP="00CD2BCE">
      <w:pPr>
        <w:pStyle w:val="ListParagraph"/>
        <w:numPr>
          <w:ilvl w:val="0"/>
          <w:numId w:val="33"/>
        </w:numPr>
      </w:pPr>
      <w:r>
        <w:t>There were 2,323 and 4,421 tolvaptan prescriptions dispensed during the first and second year of listing respectively, which was lower than estimated.</w:t>
      </w:r>
    </w:p>
    <w:p w14:paraId="04DB6A8A" w14:textId="4BD27092" w:rsidR="00CD2BCE" w:rsidRDefault="00CD2BCE" w:rsidP="00CD2BCE">
      <w:pPr>
        <w:pStyle w:val="ListParagraph"/>
        <w:numPr>
          <w:ilvl w:val="0"/>
          <w:numId w:val="33"/>
        </w:numPr>
      </w:pPr>
      <w:r>
        <w:t xml:space="preserve">The most common age group </w:t>
      </w:r>
      <w:r w:rsidR="009B287F">
        <w:t>of</w:t>
      </w:r>
      <w:r>
        <w:t xml:space="preserve"> patients initiating tolvaptan treatment </w:t>
      </w:r>
      <w:r w:rsidR="009B287F">
        <w:t xml:space="preserve">was </w:t>
      </w:r>
      <w:r>
        <w:t>45-49 yea</w:t>
      </w:r>
      <w:r w:rsidR="009B287F">
        <w:t>r</w:t>
      </w:r>
      <w:r>
        <w:t>s</w:t>
      </w:r>
      <w:r w:rsidR="009B287F">
        <w:t xml:space="preserve"> old</w:t>
      </w:r>
      <w:r>
        <w:t xml:space="preserve"> (</w:t>
      </w:r>
      <w:r w:rsidR="00F8356C">
        <w:t>17.7</w:t>
      </w:r>
      <w:r w:rsidRPr="00F8356C">
        <w:t>%</w:t>
      </w:r>
      <w:r>
        <w:t xml:space="preserve"> of patients), and overall, there was a similar gender ratio of female and male initiating patients. </w:t>
      </w:r>
    </w:p>
    <w:p w14:paraId="2A98941A" w14:textId="598B0067" w:rsidR="00CD2BCE" w:rsidRDefault="00CD2BCE" w:rsidP="00CD2BCE">
      <w:pPr>
        <w:pStyle w:val="ListParagraph"/>
        <w:numPr>
          <w:ilvl w:val="0"/>
          <w:numId w:val="33"/>
        </w:numPr>
      </w:pPr>
      <w:r>
        <w:t xml:space="preserve">The data </w:t>
      </w:r>
      <w:r w:rsidR="009B287F">
        <w:t xml:space="preserve">were </w:t>
      </w:r>
      <w:r>
        <w:t xml:space="preserve">too immature to analyse the time on tolvaptan treatment, the median treatment duration was not reached by 30 June </w:t>
      </w:r>
      <w:r w:rsidR="009B287F">
        <w:t>2021</w:t>
      </w:r>
      <w:r>
        <w:t xml:space="preserve">. </w:t>
      </w:r>
    </w:p>
    <w:p w14:paraId="798C9905" w14:textId="5C44C49D" w:rsidR="009A27E2" w:rsidRPr="005847AD" w:rsidRDefault="00D62F2C" w:rsidP="00CD2BCE">
      <w:pPr>
        <w:pStyle w:val="ListParagraph"/>
        <w:numPr>
          <w:ilvl w:val="0"/>
          <w:numId w:val="33"/>
        </w:numPr>
      </w:pPr>
      <w:r>
        <w:t>The most common dosing regimen were p</w:t>
      </w:r>
      <w:r w:rsidR="00722BA9">
        <w:t xml:space="preserve">atients </w:t>
      </w:r>
      <w:r w:rsidR="005847AD">
        <w:t xml:space="preserve">only supplied </w:t>
      </w:r>
      <w:r w:rsidR="009A27E2" w:rsidRPr="005847AD">
        <w:t xml:space="preserve">the lowest </w:t>
      </w:r>
      <w:r w:rsidR="005847AD">
        <w:t>split dose</w:t>
      </w:r>
      <w:r w:rsidR="009A27E2" w:rsidRPr="005847AD">
        <w:t xml:space="preserve"> </w:t>
      </w:r>
      <w:r w:rsidR="00EB6E1D">
        <w:t xml:space="preserve">of </w:t>
      </w:r>
      <w:r w:rsidR="009A27E2" w:rsidRPr="005847AD">
        <w:t xml:space="preserve">45 mg </w:t>
      </w:r>
      <w:r w:rsidR="00722BA9">
        <w:t xml:space="preserve">+ 15 mg </w:t>
      </w:r>
      <w:r w:rsidR="009A27E2" w:rsidRPr="005847AD">
        <w:t>tablets</w:t>
      </w:r>
      <w:r w:rsidR="00EB6E1D">
        <w:t xml:space="preserve"> </w:t>
      </w:r>
      <w:r w:rsidR="00722BA9">
        <w:t>(43.8%)</w:t>
      </w:r>
      <w:r w:rsidR="009A27E2" w:rsidRPr="005847AD">
        <w:t xml:space="preserve">. </w:t>
      </w:r>
    </w:p>
    <w:p w14:paraId="415B4136" w14:textId="77777777" w:rsidR="00CD2BCE" w:rsidRPr="00F255EE" w:rsidRDefault="00CD2BCE" w:rsidP="00CD2BCE"/>
    <w:p w14:paraId="38B57ECC" w14:textId="77777777" w:rsidR="00BB0D1A" w:rsidRPr="00F255EE" w:rsidRDefault="00BB0D1A" w:rsidP="00F255EE">
      <w:pPr>
        <w:pStyle w:val="ListParagraph"/>
        <w:numPr>
          <w:ilvl w:val="0"/>
          <w:numId w:val="32"/>
        </w:numPr>
        <w:spacing w:line="276" w:lineRule="auto"/>
        <w:rPr>
          <w:rFonts w:eastAsiaTheme="majorEastAsia" w:cstheme="majorBidi"/>
          <w:b/>
          <w:bCs/>
          <w:sz w:val="32"/>
          <w:szCs w:val="26"/>
        </w:rPr>
      </w:pPr>
      <w:r>
        <w:br w:type="page"/>
      </w:r>
    </w:p>
    <w:p w14:paraId="5B262047" w14:textId="525241DC" w:rsidR="00E677DD" w:rsidRPr="00CF5E22" w:rsidRDefault="00E677DD" w:rsidP="00CF5E22">
      <w:pPr>
        <w:pStyle w:val="Heading1"/>
      </w:pPr>
      <w:r w:rsidRPr="00CF5E22">
        <w:lastRenderedPageBreak/>
        <w:t xml:space="preserve">Purpose of </w:t>
      </w:r>
      <w:r w:rsidR="00D151EB" w:rsidRPr="00CF5E22">
        <w:t>analysis</w:t>
      </w:r>
    </w:p>
    <w:p w14:paraId="3D41DAFF" w14:textId="26912DBA" w:rsidR="005431F1" w:rsidRDefault="005431F1" w:rsidP="005431F1">
      <w:pPr>
        <w:pStyle w:val="NoSpacing"/>
      </w:pPr>
      <w:r>
        <w:t xml:space="preserve">To compare predicted and actual utilisation of tolvaptan for autosomal </w:t>
      </w:r>
      <w:r w:rsidR="003A2E6F">
        <w:t xml:space="preserve">dominant </w:t>
      </w:r>
      <w:r>
        <w:t xml:space="preserve">polycystic kidney disease, as requested by DUSC at its June 2021 meeting. </w:t>
      </w:r>
    </w:p>
    <w:p w14:paraId="0A7F0B57" w14:textId="034D22D5" w:rsidR="006537D9" w:rsidRPr="005E22C2" w:rsidRDefault="00736041" w:rsidP="00CF5E22">
      <w:pPr>
        <w:pStyle w:val="Heading1"/>
      </w:pPr>
      <w:r w:rsidRPr="005E22C2">
        <w:t>Background</w:t>
      </w:r>
    </w:p>
    <w:p w14:paraId="2C748275" w14:textId="77777777" w:rsidR="00EE2BBB" w:rsidRPr="007247B9" w:rsidRDefault="00EE2BBB" w:rsidP="00EE2BBB">
      <w:pPr>
        <w:pStyle w:val="Heading2"/>
      </w:pPr>
      <w:r w:rsidRPr="007247B9">
        <w:t>Clinical situation</w:t>
      </w:r>
    </w:p>
    <w:p w14:paraId="35F580E3" w14:textId="51112F7B" w:rsidR="00DE18D2" w:rsidRDefault="00B563B9" w:rsidP="001D3416">
      <w:r w:rsidRPr="001F7FD0">
        <w:t xml:space="preserve">Polycystic kidney disease (PKD) occurs when thousands of </w:t>
      </w:r>
      <w:r w:rsidR="001F7FD0">
        <w:t xml:space="preserve">cysts (fluid filled sacs) </w:t>
      </w:r>
      <w:r w:rsidR="0037385A">
        <w:t xml:space="preserve">in the kidneys </w:t>
      </w:r>
      <w:r w:rsidR="001F7FD0">
        <w:t>grow</w:t>
      </w:r>
      <w:r w:rsidR="0037385A">
        <w:t xml:space="preserve"> larger in size</w:t>
      </w:r>
      <w:r w:rsidRPr="001F7FD0">
        <w:t>.</w:t>
      </w:r>
      <w:r w:rsidR="0037385A">
        <w:t xml:space="preserve"> This leads to the kidneys becoming larger than normal</w:t>
      </w:r>
      <w:r w:rsidR="00C839E7">
        <w:t>,</w:t>
      </w:r>
      <w:r w:rsidR="0037385A">
        <w:t xml:space="preserve"> </w:t>
      </w:r>
      <w:r w:rsidR="00E606B4">
        <w:t xml:space="preserve">compressing </w:t>
      </w:r>
      <w:r w:rsidR="0037385A">
        <w:t xml:space="preserve">blood vessels and </w:t>
      </w:r>
      <w:r w:rsidR="00C839E7">
        <w:t xml:space="preserve">the </w:t>
      </w:r>
      <w:r w:rsidR="0037385A">
        <w:t>urinary collecting system.</w:t>
      </w:r>
      <w:r w:rsidR="005D7727">
        <w:rPr>
          <w:rStyle w:val="FootnoteReference"/>
        </w:rPr>
        <w:footnoteReference w:id="1"/>
      </w:r>
    </w:p>
    <w:p w14:paraId="5F66AC3C" w14:textId="127818EE" w:rsidR="00DE18D2" w:rsidRDefault="00DE18D2" w:rsidP="001D3416">
      <w:r>
        <w:t>PKD is</w:t>
      </w:r>
      <w:r w:rsidR="00177D2D">
        <w:t xml:space="preserve"> a genetic condition</w:t>
      </w:r>
      <w:r>
        <w:t xml:space="preserve"> </w:t>
      </w:r>
      <w:r w:rsidR="00E606B4">
        <w:t>caused by</w:t>
      </w:r>
      <w:r>
        <w:t xml:space="preserve"> a mutation in the PKD1 or PKD2 genes. A mutation in the PKD1 gene leads to severe </w:t>
      </w:r>
      <w:r w:rsidR="00C839E7">
        <w:t>and early onset of symptoms</w:t>
      </w:r>
      <w:r w:rsidR="00EA2C12">
        <w:t>,</w:t>
      </w:r>
      <w:r>
        <w:t xml:space="preserve"> whereas a mutation in the PKD2 gene leads to less s</w:t>
      </w:r>
      <w:r w:rsidR="00E606B4">
        <w:t xml:space="preserve">evere </w:t>
      </w:r>
      <w:r w:rsidR="00C839E7">
        <w:t xml:space="preserve">and </w:t>
      </w:r>
      <w:r>
        <w:t>later onset</w:t>
      </w:r>
      <w:r w:rsidR="00C839E7" w:rsidRPr="00C839E7">
        <w:t xml:space="preserve"> </w:t>
      </w:r>
      <w:r w:rsidR="00C839E7">
        <w:t>of symptoms</w:t>
      </w:r>
      <w:r>
        <w:t xml:space="preserve">. The PKD1 and PKD2 genes code for the </w:t>
      </w:r>
      <w:proofErr w:type="spellStart"/>
      <w:r>
        <w:t>Polycystin</w:t>
      </w:r>
      <w:proofErr w:type="spellEnd"/>
      <w:r>
        <w:t xml:space="preserve"> 1 and </w:t>
      </w:r>
      <w:proofErr w:type="spellStart"/>
      <w:r>
        <w:t>Polycystin</w:t>
      </w:r>
      <w:proofErr w:type="spellEnd"/>
      <w:r>
        <w:t xml:space="preserve"> 2 proteins</w:t>
      </w:r>
      <w:r w:rsidR="00E606B4">
        <w:t>,</w:t>
      </w:r>
      <w:r>
        <w:t xml:space="preserve"> respectively. Th</w:t>
      </w:r>
      <w:r w:rsidR="00177D2D">
        <w:t xml:space="preserve">e </w:t>
      </w:r>
      <w:proofErr w:type="spellStart"/>
      <w:r w:rsidR="00177D2D">
        <w:t>Polycystin</w:t>
      </w:r>
      <w:proofErr w:type="spellEnd"/>
      <w:r w:rsidR="00177D2D">
        <w:t xml:space="preserve"> 1 and</w:t>
      </w:r>
      <w:r>
        <w:t xml:space="preserve"> 2 proteins are components of the primary cilium</w:t>
      </w:r>
      <w:r w:rsidR="00E606B4">
        <w:t>, which are responsible for receiving sensory information regarding urine flow</w:t>
      </w:r>
      <w:r>
        <w:t>. As urinary filtrate pass</w:t>
      </w:r>
      <w:r w:rsidR="00177D2D">
        <w:t xml:space="preserve">es through the primary cilium, </w:t>
      </w:r>
      <w:proofErr w:type="spellStart"/>
      <w:r w:rsidR="00177D2D">
        <w:t>P</w:t>
      </w:r>
      <w:r>
        <w:t>olycystin</w:t>
      </w:r>
      <w:proofErr w:type="spellEnd"/>
      <w:r>
        <w:t xml:space="preserve"> 1 and 2 </w:t>
      </w:r>
      <w:r w:rsidR="009F79D2">
        <w:t xml:space="preserve">proteins </w:t>
      </w:r>
      <w:r>
        <w:t>respond by allowing an influx of calcium</w:t>
      </w:r>
      <w:r w:rsidR="00177D2D">
        <w:t>,</w:t>
      </w:r>
      <w:r>
        <w:t xml:space="preserve"> inhibiting cell </w:t>
      </w:r>
      <w:r w:rsidR="00177D2D">
        <w:t>proliferation</w:t>
      </w:r>
      <w:r>
        <w:t xml:space="preserve">. If </w:t>
      </w:r>
      <w:r w:rsidR="009F79D2">
        <w:t xml:space="preserve">either </w:t>
      </w:r>
      <w:proofErr w:type="spellStart"/>
      <w:r w:rsidR="00177D2D">
        <w:t>P</w:t>
      </w:r>
      <w:r>
        <w:t>olycystin</w:t>
      </w:r>
      <w:proofErr w:type="spellEnd"/>
      <w:r>
        <w:t xml:space="preserve"> 1 or 2 is missing, the signal to inhibit growth is not received, resulting in abnormal cell </w:t>
      </w:r>
      <w:r w:rsidR="00177D2D">
        <w:t>proliferation</w:t>
      </w:r>
      <w:r>
        <w:t xml:space="preserve"> and expression of proteins causing water to be transported into the lumen</w:t>
      </w:r>
      <w:r w:rsidR="00177D2D">
        <w:t xml:space="preserve"> of the cyst making them larger, </w:t>
      </w:r>
      <w:r>
        <w:t>compressing surrounding tissue.</w:t>
      </w:r>
      <w:r w:rsidR="005D7727">
        <w:rPr>
          <w:rStyle w:val="FootnoteReference"/>
        </w:rPr>
        <w:footnoteReference w:id="2"/>
      </w:r>
      <w:r w:rsidR="005D7727">
        <w:rPr>
          <w:vertAlign w:val="superscript"/>
        </w:rPr>
        <w:t>,</w:t>
      </w:r>
      <w:r w:rsidR="005D7727">
        <w:rPr>
          <w:rStyle w:val="FootnoteReference"/>
        </w:rPr>
        <w:footnoteReference w:id="3"/>
      </w:r>
      <w:r>
        <w:t xml:space="preserve"> </w:t>
      </w:r>
    </w:p>
    <w:p w14:paraId="220BA86C" w14:textId="12BC86E4" w:rsidR="00E606B4" w:rsidRDefault="0036641B" w:rsidP="00E606B4">
      <w:r>
        <w:t>The</w:t>
      </w:r>
      <w:r w:rsidR="00313C3F">
        <w:t>re are two types of</w:t>
      </w:r>
      <w:r w:rsidR="00151F13">
        <w:t xml:space="preserve"> PKD: </w:t>
      </w:r>
      <w:r w:rsidR="00B563B9" w:rsidRPr="001F7FD0">
        <w:t xml:space="preserve">autosomal dominant PKD </w:t>
      </w:r>
      <w:r w:rsidR="001F7FD0">
        <w:t xml:space="preserve">(ADPKD) </w:t>
      </w:r>
      <w:r w:rsidR="00B563B9" w:rsidRPr="001F7FD0">
        <w:t>and autosomal recessive PKD</w:t>
      </w:r>
      <w:r w:rsidR="001F7FD0">
        <w:t xml:space="preserve"> (ARPKD)</w:t>
      </w:r>
      <w:r w:rsidR="00C839E7">
        <w:t>.</w:t>
      </w:r>
      <w:r w:rsidR="00313C3F">
        <w:rPr>
          <w:rStyle w:val="FootnoteReference"/>
        </w:rPr>
        <w:footnoteReference w:id="4"/>
      </w:r>
      <w:r w:rsidR="00C839E7">
        <w:t xml:space="preserve"> </w:t>
      </w:r>
    </w:p>
    <w:p w14:paraId="1FAF53F7" w14:textId="06D60602" w:rsidR="00CD00DC" w:rsidRPr="001815A3" w:rsidRDefault="00066788" w:rsidP="001815A3">
      <w:r>
        <w:t>Autosomal dominant</w:t>
      </w:r>
      <w:r w:rsidR="00F86F41">
        <w:t xml:space="preserve"> polycystic</w:t>
      </w:r>
      <w:r>
        <w:t xml:space="preserve"> kidney disease </w:t>
      </w:r>
      <w:r w:rsidR="00151F13">
        <w:t>is the most common form of PKD. It is</w:t>
      </w:r>
      <w:r w:rsidR="00C839E7">
        <w:t xml:space="preserve"> often referred to as a</w:t>
      </w:r>
      <w:r w:rsidR="0037385A">
        <w:t>dult polycystic kidney disease as symptoms manifest in adulthood at approximately 30 to 40 years of age.</w:t>
      </w:r>
      <w:r w:rsidR="00151F13">
        <w:t xml:space="preserve"> </w:t>
      </w:r>
      <w:r w:rsidR="009F79D2">
        <w:t xml:space="preserve">ADPKD accounts for approximately 5% to 10% of end stage renal disease (ESRD) cases, </w:t>
      </w:r>
      <w:r w:rsidR="00121CBC">
        <w:t>requiring</w:t>
      </w:r>
      <w:r w:rsidR="009F79D2">
        <w:t xml:space="preserve"> </w:t>
      </w:r>
      <w:r w:rsidR="00FF6AB5">
        <w:t xml:space="preserve">Renal Replacement Therapy (RRT) </w:t>
      </w:r>
      <w:r w:rsidR="00151F13">
        <w:t xml:space="preserve">including </w:t>
      </w:r>
      <w:r w:rsidR="00E12D35">
        <w:t>dialysis</w:t>
      </w:r>
      <w:r w:rsidR="009F79D2">
        <w:t xml:space="preserve"> or kidney transplant.</w:t>
      </w:r>
      <w:r w:rsidR="009F79D2">
        <w:rPr>
          <w:rStyle w:val="FootnoteReference"/>
        </w:rPr>
        <w:footnoteReference w:id="5"/>
      </w:r>
      <w:r w:rsidR="009F79D2">
        <w:rPr>
          <w:vertAlign w:val="superscript"/>
        </w:rPr>
        <w:t>,</w:t>
      </w:r>
      <w:r w:rsidR="009F79D2">
        <w:rPr>
          <w:rStyle w:val="FootnoteReference"/>
        </w:rPr>
        <w:footnoteReference w:id="6"/>
      </w:r>
      <w:r w:rsidR="009F79D2">
        <w:t xml:space="preserve">  </w:t>
      </w:r>
      <w:r w:rsidR="00332397">
        <w:t xml:space="preserve">Autosomal recessive polycystic kidney disease is </w:t>
      </w:r>
      <w:r w:rsidR="004B0336">
        <w:t xml:space="preserve">rare form </w:t>
      </w:r>
      <w:r w:rsidR="004B0336">
        <w:lastRenderedPageBreak/>
        <w:t xml:space="preserve">of PKD. It is </w:t>
      </w:r>
      <w:r w:rsidR="00332397">
        <w:t xml:space="preserve">often referred to infantile polycystic kidney disease as symptoms manifest during infancy. </w:t>
      </w:r>
    </w:p>
    <w:p w14:paraId="0183A567" w14:textId="1A67EB01" w:rsidR="007247B9" w:rsidRDefault="007247B9" w:rsidP="00CF5E22">
      <w:pPr>
        <w:pStyle w:val="Heading2"/>
      </w:pPr>
      <w:r>
        <w:t>Pharmacology</w:t>
      </w:r>
    </w:p>
    <w:p w14:paraId="7DED71E0" w14:textId="6BF5908E" w:rsidR="00250047" w:rsidRPr="001815A3" w:rsidRDefault="00BD02A4" w:rsidP="001815A3">
      <w:r>
        <w:t>Tolvaptan is a vasopressin antagonist. It prevents the vasopressin hormone from binding to receptors in the kidneys, slowing the development of kidney cysts</w:t>
      </w:r>
      <w:r w:rsidR="00C34BD8">
        <w:t xml:space="preserve"> in patients with ADPKD, reducing</w:t>
      </w:r>
      <w:r>
        <w:t xml:space="preserve"> symptoms of the disease </w:t>
      </w:r>
      <w:r w:rsidR="00C24752">
        <w:t>and increas</w:t>
      </w:r>
      <w:r w:rsidR="00C34BD8">
        <w:t>ing</w:t>
      </w:r>
      <w:r w:rsidR="00C24752">
        <w:t xml:space="preserve"> urine production</w:t>
      </w:r>
      <w:r w:rsidR="00C24752" w:rsidRPr="00C24752">
        <w:t>.</w:t>
      </w:r>
      <w:bookmarkStart w:id="0" w:name="_Ref75964356"/>
      <w:r w:rsidR="00C24752" w:rsidRPr="00C24752">
        <w:rPr>
          <w:rStyle w:val="FootnoteReference"/>
        </w:rPr>
        <w:footnoteReference w:id="7"/>
      </w:r>
      <w:bookmarkEnd w:id="0"/>
    </w:p>
    <w:p w14:paraId="6AC18C88" w14:textId="2D49A937"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2E7F6A5F" w14:textId="51AE054D" w:rsidR="005923B5" w:rsidRDefault="00BD02A4" w:rsidP="00C24752">
      <w:r>
        <w:t xml:space="preserve">Tolvaptan is </w:t>
      </w:r>
      <w:r w:rsidR="004B0336">
        <w:t xml:space="preserve">only </w:t>
      </w:r>
      <w:r w:rsidR="00355266">
        <w:t>indicated</w:t>
      </w:r>
      <w:r>
        <w:t xml:space="preserve"> to slow the progression of cyst development and renal </w:t>
      </w:r>
      <w:r w:rsidR="00355266">
        <w:t>insufficiency</w:t>
      </w:r>
      <w:r>
        <w:t xml:space="preserve"> of ADPKD in adults with chronic kidney disease (CKD) stage 1 to 3 at initiation of treatment with evidence of rapidly progressing disease. </w:t>
      </w:r>
    </w:p>
    <w:p w14:paraId="3390869A" w14:textId="63AE53B0" w:rsidR="004B0336" w:rsidRDefault="00B549B6" w:rsidP="001815A3">
      <w:r>
        <w:t>The Product Information contains a boxed warning referring to the need for regular liver function monitoring</w:t>
      </w:r>
      <w:r w:rsidR="004B0336">
        <w:t>.</w:t>
      </w:r>
      <w:r w:rsidR="0053636E" w:rsidRPr="0053636E">
        <w:rPr>
          <w:vertAlign w:val="superscript"/>
        </w:rPr>
        <w:fldChar w:fldCharType="begin"/>
      </w:r>
      <w:r w:rsidR="0053636E" w:rsidRPr="0053636E">
        <w:rPr>
          <w:vertAlign w:val="superscript"/>
        </w:rPr>
        <w:instrText xml:space="preserve"> NOTEREF _Ref75964356 \h </w:instrText>
      </w:r>
      <w:r w:rsidR="0053636E">
        <w:rPr>
          <w:vertAlign w:val="superscript"/>
        </w:rPr>
        <w:instrText xml:space="preserve"> \* MERGEFORMAT </w:instrText>
      </w:r>
      <w:r w:rsidR="0053636E" w:rsidRPr="0053636E">
        <w:rPr>
          <w:vertAlign w:val="superscript"/>
        </w:rPr>
      </w:r>
      <w:r w:rsidR="0053636E" w:rsidRPr="0053636E">
        <w:rPr>
          <w:vertAlign w:val="superscript"/>
        </w:rPr>
        <w:fldChar w:fldCharType="separate"/>
      </w:r>
      <w:r w:rsidR="004740D3">
        <w:rPr>
          <w:vertAlign w:val="superscript"/>
        </w:rPr>
        <w:t>7</w:t>
      </w:r>
      <w:r w:rsidR="0053636E" w:rsidRPr="0053636E">
        <w:rPr>
          <w:vertAlign w:val="superscript"/>
        </w:rPr>
        <w:fldChar w:fldCharType="end"/>
      </w:r>
      <w:r w:rsidR="004B0336" w:rsidRPr="004B0336">
        <w:rPr>
          <w:rStyle w:val="FootnoteReference"/>
        </w:rPr>
        <w:t xml:space="preserve"> </w:t>
      </w:r>
    </w:p>
    <w:tbl>
      <w:tblPr>
        <w:tblStyle w:val="TableGrid"/>
        <w:tblW w:w="0" w:type="auto"/>
        <w:tblLook w:val="04A0" w:firstRow="1" w:lastRow="0" w:firstColumn="1" w:lastColumn="0" w:noHBand="0" w:noVBand="1"/>
        <w:tblCaption w:val="Product Information Boxed Warning"/>
        <w:tblDescription w:val="Tolvaptan has been associated with idiosyncratic elevations of blood alanine and aspartate aminotransferases (ALT and AST), rarely associated with concomitant elevations in bilirubin-total (BT). To help mitigate the risk of liver injury, blood testing for hepatic transaminases is required prior to initiation of JINARC, then continually monthly for 18 months, then every 3 months thereafter during treatment with JINARC. Prescriber education and certification on the risk of liver injury and the importance of regular liver function monitoring is mandatory. These are available through the IMADJIN® Program, which is run and maintained by, or for, the sponsor of JINARC."/>
      </w:tblPr>
      <w:tblGrid>
        <w:gridCol w:w="8947"/>
      </w:tblGrid>
      <w:tr w:rsidR="004B0336" w14:paraId="59EC08C3" w14:textId="77777777" w:rsidTr="00FE44C4">
        <w:trPr>
          <w:tblHeader/>
        </w:trPr>
        <w:tc>
          <w:tcPr>
            <w:tcW w:w="8947" w:type="dxa"/>
          </w:tcPr>
          <w:p w14:paraId="5A8275BF" w14:textId="74947AA2" w:rsidR="003C7365" w:rsidRDefault="004B0336" w:rsidP="004B0336">
            <w:r w:rsidRPr="007E0AC0">
              <w:t>Tolvaptan has been associated with idiosyncratic elevations of blood alanine and aspartate aminotransferases (ALT and AST), rarely associated with concomitant elevations in bilirubin-total (BT). To help mitigate the risk of liver injury, blood testing for hepatic transaminases is required prior to initiation of JINARC, then continually monthly for 18 months, then every 3 months thereafter during treatment with JINARC. Prescriber education and certification on the risk of liver injury and the importance of regular liver function monitoring is mandatory. These are available through the IMADJIN® Program, which is run and maintained by,</w:t>
            </w:r>
            <w:r>
              <w:t xml:space="preserve"> or for, the sponsor of JINARC.</w:t>
            </w:r>
          </w:p>
        </w:tc>
      </w:tr>
    </w:tbl>
    <w:p w14:paraId="15E919C1" w14:textId="4AEBA1CF" w:rsidR="006B709B" w:rsidRDefault="006B709B" w:rsidP="00CF5E22">
      <w:pPr>
        <w:pStyle w:val="Heading2"/>
      </w:pPr>
      <w:r>
        <w:t>Dosage and administration</w:t>
      </w:r>
    </w:p>
    <w:p w14:paraId="33295091" w14:textId="497FE819" w:rsidR="00A973BB" w:rsidRDefault="00A973BB" w:rsidP="00A35800">
      <w:r>
        <w:t xml:space="preserve">Treatment must be initiated and monitored under the supervision of physicians with expertise in managing ADPKD and full understanding of the risks of tolvaptan therapy including </w:t>
      </w:r>
      <w:r w:rsidR="007E0AC0">
        <w:t>hepatic</w:t>
      </w:r>
      <w:r>
        <w:t xml:space="preserve"> toxicity and monitoring requirements. </w:t>
      </w:r>
    </w:p>
    <w:p w14:paraId="6D8A9633" w14:textId="32138197" w:rsidR="00BF0584" w:rsidRDefault="00BF0584" w:rsidP="00BF0584">
      <w:r>
        <w:t>Tolvaptan is administered orally. Tablets must be swallowed without chewing and with a glass of water.</w:t>
      </w:r>
    </w:p>
    <w:p w14:paraId="40228722" w14:textId="2966EAE3" w:rsidR="00E614B4" w:rsidRDefault="00A973BB" w:rsidP="00F17D4B">
      <w:r>
        <w:t>Tolvaptan is to be ad</w:t>
      </w:r>
      <w:r w:rsidR="007847EC">
        <w:t>ministered twice daily in split-</w:t>
      </w:r>
      <w:r>
        <w:t>dose regimens of 45 mg + 15 mg, 60 mg + 30 mg or 90 mg + 30 mg. The morning dose is to be taken at least 30 minutes before the morning meal. The second daily dose can be taken with or without food. According to th</w:t>
      </w:r>
      <w:r w:rsidR="00C839E7">
        <w:t>e</w:t>
      </w:r>
      <w:r w:rsidR="007847EC">
        <w:t xml:space="preserve"> split-</w:t>
      </w:r>
      <w:r>
        <w:t>dose regimens the total daily doses are 60</w:t>
      </w:r>
      <w:r w:rsidR="00C839E7">
        <w:t xml:space="preserve"> mg</w:t>
      </w:r>
      <w:r>
        <w:t>, 90</w:t>
      </w:r>
      <w:r w:rsidR="00C839E7">
        <w:t xml:space="preserve"> mg</w:t>
      </w:r>
      <w:r>
        <w:t xml:space="preserve">, or 120 mg. </w:t>
      </w:r>
    </w:p>
    <w:p w14:paraId="4C90E410" w14:textId="347005A1" w:rsidR="00E614B4" w:rsidRDefault="00E614B4" w:rsidP="00F17D4B">
      <w:r>
        <w:t xml:space="preserve">The initial dose is 60 </w:t>
      </w:r>
      <w:r w:rsidR="007847EC">
        <w:t>mg tolvaptan per day as a split-</w:t>
      </w:r>
      <w:r>
        <w:t xml:space="preserve">dose regimen of 45 mg + 15 mg (45 mg taken prior to the morning meal and 15 mg taken 8 hours later). The initial dose is </w:t>
      </w:r>
      <w:r w:rsidR="007E0AC0">
        <w:t>up-</w:t>
      </w:r>
      <w:r>
        <w:t>titrated to a split-dose regimen of 90 mg (60 mg + 30 mg) per day, then if to</w:t>
      </w:r>
      <w:r w:rsidR="007847EC">
        <w:t>lerated, up-titrated to a split-</w:t>
      </w:r>
      <w:r>
        <w:t xml:space="preserve">dose-regimen of 120 mg (90 mg + 30 mg) per day. </w:t>
      </w:r>
      <w:r w:rsidR="00C839E7">
        <w:t xml:space="preserve">Up-titration steps must </w:t>
      </w:r>
      <w:r w:rsidR="00C839E7">
        <w:lastRenderedPageBreak/>
        <w:t xml:space="preserve">be separated by at least 1 week. </w:t>
      </w:r>
      <w:r>
        <w:t xml:space="preserve">Dose titration </w:t>
      </w:r>
      <w:proofErr w:type="gramStart"/>
      <w:r>
        <w:t>has to</w:t>
      </w:r>
      <w:proofErr w:type="gramEnd"/>
      <w:r>
        <w:t xml:space="preserve"> be performed cautiously to ensure high doses are not poorly tolerated through overly rapid up-titration. Patients may down-titrate to lower doses based on tolerability. Patients </w:t>
      </w:r>
      <w:proofErr w:type="gramStart"/>
      <w:r>
        <w:t>have to</w:t>
      </w:r>
      <w:proofErr w:type="gramEnd"/>
      <w:r>
        <w:t xml:space="preserve"> be maintained on the </w:t>
      </w:r>
      <w:r w:rsidR="00BF0584">
        <w:t>h</w:t>
      </w:r>
      <w:r w:rsidR="0053636E">
        <w:t>ighest tolerable tolvaptan dose.</w:t>
      </w:r>
      <w:r w:rsidR="0053636E" w:rsidRPr="0053636E">
        <w:rPr>
          <w:vertAlign w:val="superscript"/>
        </w:rPr>
        <w:fldChar w:fldCharType="begin"/>
      </w:r>
      <w:r w:rsidR="0053636E" w:rsidRPr="0053636E">
        <w:rPr>
          <w:vertAlign w:val="superscript"/>
        </w:rPr>
        <w:instrText xml:space="preserve"> NOTEREF _Ref75964356 \h </w:instrText>
      </w:r>
      <w:r w:rsidR="0053636E">
        <w:rPr>
          <w:vertAlign w:val="superscript"/>
        </w:rPr>
        <w:instrText xml:space="preserve"> \* MERGEFORMAT </w:instrText>
      </w:r>
      <w:r w:rsidR="0053636E" w:rsidRPr="0053636E">
        <w:rPr>
          <w:vertAlign w:val="superscript"/>
        </w:rPr>
      </w:r>
      <w:r w:rsidR="0053636E" w:rsidRPr="0053636E">
        <w:rPr>
          <w:vertAlign w:val="superscript"/>
        </w:rPr>
        <w:fldChar w:fldCharType="separate"/>
      </w:r>
      <w:r w:rsidR="004740D3">
        <w:rPr>
          <w:vertAlign w:val="superscript"/>
        </w:rPr>
        <w:t>7</w:t>
      </w:r>
      <w:r w:rsidR="0053636E" w:rsidRPr="0053636E">
        <w:rPr>
          <w:vertAlign w:val="superscript"/>
        </w:rPr>
        <w:fldChar w:fldCharType="end"/>
      </w:r>
      <w:r w:rsidR="0053636E">
        <w:t xml:space="preserve"> </w:t>
      </w:r>
    </w:p>
    <w:p w14:paraId="298E291D" w14:textId="1B5EF18E" w:rsidR="005E4F5D" w:rsidRDefault="00F17D4B" w:rsidP="00250047">
      <w:r w:rsidRPr="002F61CA">
        <w:t xml:space="preserve">The current Product Information (PI) and Consumer Medicine Information (CMI) are available from </w:t>
      </w:r>
      <w:hyperlink r:id="rId8" w:history="1">
        <w:r>
          <w:rPr>
            <w:rStyle w:val="Hyperlink"/>
          </w:rPr>
          <w:t>the TGA (Product Information)</w:t>
        </w:r>
      </w:hyperlink>
      <w:r>
        <w:t xml:space="preserve"> and </w:t>
      </w:r>
      <w:hyperlink r:id="rId9" w:history="1">
        <w:r>
          <w:rPr>
            <w:rStyle w:val="Hyperlink"/>
          </w:rPr>
          <w:t>the TGA (Consumer Medicines Information)</w:t>
        </w:r>
      </w:hyperlink>
      <w:r>
        <w:t>.</w:t>
      </w:r>
    </w:p>
    <w:p w14:paraId="2465A30A" w14:textId="77777777" w:rsidR="00250047" w:rsidRPr="00250047" w:rsidRDefault="00250047" w:rsidP="00250047"/>
    <w:p w14:paraId="46E2BB42" w14:textId="3CD3B699" w:rsidR="00DF0B13" w:rsidRPr="007247B9" w:rsidDel="00EE2BBB" w:rsidRDefault="00DF0B13" w:rsidP="00CF5E22">
      <w:pPr>
        <w:pStyle w:val="Heading2"/>
      </w:pPr>
      <w:r w:rsidRPr="007247B9" w:rsidDel="00EE2BBB">
        <w:t>PBS listing details</w:t>
      </w:r>
      <w:r w:rsidR="002D0FF7">
        <w:t xml:space="preserve"> (as </w:t>
      </w:r>
      <w:proofErr w:type="gramStart"/>
      <w:r w:rsidR="002D0FF7">
        <w:t>at</w:t>
      </w:r>
      <w:proofErr w:type="gramEnd"/>
      <w:r w:rsidR="002D0FF7">
        <w:t xml:space="preserve"> </w:t>
      </w:r>
      <w:r w:rsidR="00633A4B">
        <w:t>August</w:t>
      </w:r>
      <w:r w:rsidR="00276160">
        <w:t xml:space="preserve"> 2021</w:t>
      </w:r>
      <w:r w:rsidR="00D151EB" w:rsidDel="00EE2BBB">
        <w:t>)</w:t>
      </w:r>
    </w:p>
    <w:p w14:paraId="4B6B9B02" w14:textId="5CF63345" w:rsidR="00CE6425" w:rsidRPr="001420B3" w:rsidDel="00EE2BBB" w:rsidRDefault="00275B6C" w:rsidP="00CE6425">
      <w:pPr>
        <w:pStyle w:val="Tabletitle"/>
      </w:pPr>
      <w:r>
        <w:t>Table 1</w:t>
      </w:r>
      <w:r w:rsidR="00CE6425" w:rsidRPr="001420B3" w:rsidDel="00EE2BBB">
        <w:t xml:space="preserve">: </w:t>
      </w:r>
      <w:r w:rsidR="00CE6425" w:rsidDel="00EE2BBB">
        <w:t>PBS listing of</w:t>
      </w:r>
      <w:r w:rsidR="00CE6425">
        <w:t xml:space="preserve"> tolvaptan </w:t>
      </w:r>
    </w:p>
    <w:tbl>
      <w:tblPr>
        <w:tblStyle w:val="TableGrid"/>
        <w:tblW w:w="9064" w:type="dxa"/>
        <w:tblLayout w:type="fixed"/>
        <w:tblLook w:val="04A0" w:firstRow="1" w:lastRow="0" w:firstColumn="1" w:lastColumn="0" w:noHBand="0" w:noVBand="1"/>
        <w:tblCaption w:val="PBS listing of tolvaptan as at August 2021"/>
      </w:tblPr>
      <w:tblGrid>
        <w:gridCol w:w="969"/>
        <w:gridCol w:w="3421"/>
        <w:gridCol w:w="1275"/>
        <w:gridCol w:w="709"/>
        <w:gridCol w:w="992"/>
        <w:gridCol w:w="1698"/>
      </w:tblGrid>
      <w:tr w:rsidR="00CE6425" w:rsidRPr="00CE6425" w:rsidDel="00EE2BBB" w14:paraId="68A697B8" w14:textId="77777777" w:rsidTr="00355266">
        <w:trPr>
          <w:trHeight w:val="416"/>
          <w:tblHeader/>
        </w:trPr>
        <w:tc>
          <w:tcPr>
            <w:tcW w:w="969" w:type="dxa"/>
            <w:shd w:val="clear" w:color="auto" w:fill="BFBFBF" w:themeFill="background1" w:themeFillShade="BF"/>
          </w:tcPr>
          <w:p w14:paraId="7A268B5E" w14:textId="77777777" w:rsidR="00CE6425" w:rsidRPr="00CE6425" w:rsidDel="00EE2BBB" w:rsidRDefault="00CE6425" w:rsidP="003841B1">
            <w:pPr>
              <w:pStyle w:val="Tableheading"/>
              <w:rPr>
                <w:rFonts w:cstheme="minorHAnsi"/>
                <w:sz w:val="20"/>
                <w:szCs w:val="20"/>
              </w:rPr>
            </w:pPr>
            <w:r w:rsidRPr="00CE6425" w:rsidDel="00EE2BBB">
              <w:rPr>
                <w:rFonts w:cstheme="minorHAnsi"/>
                <w:sz w:val="20"/>
                <w:szCs w:val="20"/>
              </w:rPr>
              <w:t>Item</w:t>
            </w:r>
          </w:p>
        </w:tc>
        <w:tc>
          <w:tcPr>
            <w:tcW w:w="3421" w:type="dxa"/>
            <w:shd w:val="clear" w:color="auto" w:fill="BFBFBF" w:themeFill="background1" w:themeFillShade="BF"/>
          </w:tcPr>
          <w:p w14:paraId="33BD87B7" w14:textId="77777777" w:rsidR="00CE6425" w:rsidRPr="00CE6425" w:rsidDel="00EE2BBB" w:rsidRDefault="00CE6425" w:rsidP="003841B1">
            <w:pPr>
              <w:pStyle w:val="Tableheading"/>
              <w:rPr>
                <w:rFonts w:cstheme="minorHAnsi"/>
                <w:sz w:val="20"/>
                <w:szCs w:val="20"/>
              </w:rPr>
            </w:pPr>
            <w:r w:rsidRPr="00CE6425" w:rsidDel="00EE2BBB">
              <w:rPr>
                <w:rFonts w:cstheme="minorHAnsi"/>
                <w:sz w:val="20"/>
                <w:szCs w:val="20"/>
              </w:rPr>
              <w:t>Name, form &amp; strength, pack size</w:t>
            </w:r>
          </w:p>
        </w:tc>
        <w:tc>
          <w:tcPr>
            <w:tcW w:w="1275" w:type="dxa"/>
            <w:shd w:val="clear" w:color="auto" w:fill="BFBFBF" w:themeFill="background1" w:themeFillShade="BF"/>
          </w:tcPr>
          <w:p w14:paraId="090C46FC" w14:textId="77777777" w:rsidR="00CE6425" w:rsidRPr="00CE6425" w:rsidDel="00EE2BBB" w:rsidRDefault="00CE6425" w:rsidP="003841B1">
            <w:pPr>
              <w:pStyle w:val="Tableheading"/>
              <w:rPr>
                <w:rFonts w:cstheme="minorHAnsi"/>
                <w:sz w:val="20"/>
                <w:szCs w:val="20"/>
              </w:rPr>
            </w:pPr>
            <w:r w:rsidRPr="00CE6425" w:rsidDel="00EE2BBB">
              <w:rPr>
                <w:rFonts w:cstheme="minorHAnsi"/>
                <w:sz w:val="20"/>
                <w:szCs w:val="20"/>
              </w:rPr>
              <w:t xml:space="preserve">Max. </w:t>
            </w:r>
            <w:r w:rsidRPr="00CE6425">
              <w:rPr>
                <w:rFonts w:cstheme="minorHAnsi"/>
                <w:sz w:val="20"/>
                <w:szCs w:val="20"/>
              </w:rPr>
              <w:t>quant units</w:t>
            </w:r>
            <w:r w:rsidRPr="00CE6425" w:rsidDel="00EE2BBB">
              <w:rPr>
                <w:rFonts w:cstheme="minorHAnsi"/>
                <w:sz w:val="20"/>
                <w:szCs w:val="20"/>
              </w:rPr>
              <w:t xml:space="preserve"> </w:t>
            </w:r>
          </w:p>
        </w:tc>
        <w:tc>
          <w:tcPr>
            <w:tcW w:w="709" w:type="dxa"/>
            <w:shd w:val="clear" w:color="auto" w:fill="BFBFBF" w:themeFill="background1" w:themeFillShade="BF"/>
          </w:tcPr>
          <w:p w14:paraId="370BDA4F" w14:textId="77777777" w:rsidR="00CE6425" w:rsidRPr="00CE6425" w:rsidDel="00EE2BBB" w:rsidRDefault="00CE6425" w:rsidP="003841B1">
            <w:pPr>
              <w:pStyle w:val="Tableheading"/>
              <w:rPr>
                <w:rFonts w:cstheme="minorHAnsi"/>
                <w:sz w:val="20"/>
                <w:szCs w:val="20"/>
              </w:rPr>
            </w:pPr>
            <w:proofErr w:type="spellStart"/>
            <w:r w:rsidRPr="00CE6425" w:rsidDel="00EE2BBB">
              <w:rPr>
                <w:rFonts w:cstheme="minorHAnsi"/>
                <w:sz w:val="20"/>
                <w:szCs w:val="20"/>
              </w:rPr>
              <w:t>Rpts</w:t>
            </w:r>
            <w:proofErr w:type="spellEnd"/>
            <w:r w:rsidRPr="00CE6425" w:rsidDel="00EE2BBB">
              <w:rPr>
                <w:rFonts w:cstheme="minorHAnsi"/>
                <w:sz w:val="20"/>
                <w:szCs w:val="20"/>
              </w:rPr>
              <w:t xml:space="preserve"> </w:t>
            </w:r>
          </w:p>
        </w:tc>
        <w:tc>
          <w:tcPr>
            <w:tcW w:w="992" w:type="dxa"/>
            <w:shd w:val="clear" w:color="auto" w:fill="BFBFBF" w:themeFill="background1" w:themeFillShade="BF"/>
          </w:tcPr>
          <w:p w14:paraId="5CC2DB58" w14:textId="77777777" w:rsidR="00CE6425" w:rsidRPr="00CE6425" w:rsidDel="00EE2BBB" w:rsidRDefault="00CE6425" w:rsidP="003841B1">
            <w:pPr>
              <w:pStyle w:val="Tableheading"/>
              <w:rPr>
                <w:rFonts w:cstheme="minorHAnsi"/>
                <w:sz w:val="20"/>
                <w:szCs w:val="20"/>
              </w:rPr>
            </w:pPr>
            <w:r w:rsidRPr="00CE6425" w:rsidDel="00EE2BBB">
              <w:rPr>
                <w:rFonts w:cstheme="minorHAnsi"/>
                <w:sz w:val="20"/>
                <w:szCs w:val="20"/>
              </w:rPr>
              <w:t>DPMQ</w:t>
            </w:r>
          </w:p>
        </w:tc>
        <w:tc>
          <w:tcPr>
            <w:tcW w:w="1698" w:type="dxa"/>
            <w:shd w:val="clear" w:color="auto" w:fill="BFBFBF" w:themeFill="background1" w:themeFillShade="BF"/>
          </w:tcPr>
          <w:p w14:paraId="3A65A638" w14:textId="77777777" w:rsidR="00CE6425" w:rsidRPr="00CE6425" w:rsidDel="00EE2BBB" w:rsidRDefault="00CE6425" w:rsidP="003841B1">
            <w:pPr>
              <w:pStyle w:val="Tableheading"/>
              <w:rPr>
                <w:rFonts w:cstheme="minorHAnsi"/>
                <w:sz w:val="20"/>
                <w:szCs w:val="20"/>
              </w:rPr>
            </w:pPr>
            <w:r w:rsidRPr="00CE6425" w:rsidDel="00EE2BBB">
              <w:rPr>
                <w:rFonts w:cstheme="minorHAnsi"/>
                <w:sz w:val="20"/>
                <w:szCs w:val="20"/>
              </w:rPr>
              <w:t>Brand name and manufacturer</w:t>
            </w:r>
          </w:p>
        </w:tc>
      </w:tr>
      <w:tr w:rsidR="00CE6425" w:rsidRPr="00CE6425" w:rsidDel="00EE2BBB" w14:paraId="669E6E77" w14:textId="77777777" w:rsidTr="00355266">
        <w:trPr>
          <w:trHeight w:val="546"/>
          <w:tblHeader/>
        </w:trPr>
        <w:tc>
          <w:tcPr>
            <w:tcW w:w="969" w:type="dxa"/>
            <w:shd w:val="clear" w:color="auto" w:fill="auto"/>
          </w:tcPr>
          <w:p w14:paraId="311CFB97" w14:textId="77777777" w:rsidR="00960ADF" w:rsidRDefault="00276160" w:rsidP="00276160">
            <w:pPr>
              <w:pStyle w:val="Tablewriting"/>
              <w:rPr>
                <w:rFonts w:cstheme="minorHAnsi"/>
              </w:rPr>
            </w:pPr>
            <w:r w:rsidRPr="00CE6425">
              <w:rPr>
                <w:rFonts w:cstheme="minorHAnsi"/>
              </w:rPr>
              <w:t>11602P</w:t>
            </w:r>
          </w:p>
          <w:p w14:paraId="08855020" w14:textId="0F16FC34" w:rsidR="00CE6425" w:rsidRPr="00C10F2C" w:rsidRDefault="00CE6425" w:rsidP="00276160">
            <w:pPr>
              <w:pStyle w:val="Tablewriting"/>
              <w:rPr>
                <w:rFonts w:cstheme="minorHAnsi"/>
              </w:rPr>
            </w:pPr>
            <w:r w:rsidRPr="00CE6425">
              <w:rPr>
                <w:rFonts w:cstheme="minorHAnsi"/>
              </w:rPr>
              <w:t>11600M</w:t>
            </w:r>
          </w:p>
        </w:tc>
        <w:tc>
          <w:tcPr>
            <w:tcW w:w="3421" w:type="dxa"/>
            <w:shd w:val="clear" w:color="auto" w:fill="auto"/>
          </w:tcPr>
          <w:p w14:paraId="7D5F8A4D" w14:textId="77777777" w:rsidR="00CE6425" w:rsidRPr="00CE6425" w:rsidRDefault="00CE6425" w:rsidP="003841B1">
            <w:pPr>
              <w:pStyle w:val="Tablewriting"/>
              <w:rPr>
                <w:rFonts w:cstheme="minorHAnsi"/>
                <w:color w:val="222222"/>
                <w:shd w:val="clear" w:color="auto" w:fill="FFFFFF"/>
              </w:rPr>
            </w:pPr>
            <w:r w:rsidRPr="00CE6425">
              <w:rPr>
                <w:rFonts w:cstheme="minorHAnsi"/>
                <w:color w:val="222222"/>
                <w:shd w:val="clear" w:color="auto" w:fill="FFFFFF"/>
              </w:rPr>
              <w:t>tolvaptan 15 mg tablet [28] (&amp;) tolvaptan 45 mg tablet [28], 56</w:t>
            </w:r>
          </w:p>
        </w:tc>
        <w:tc>
          <w:tcPr>
            <w:tcW w:w="1275" w:type="dxa"/>
            <w:shd w:val="clear" w:color="auto" w:fill="auto"/>
          </w:tcPr>
          <w:p w14:paraId="5549B265" w14:textId="77777777" w:rsidR="00CE6425" w:rsidRPr="00CE6425" w:rsidRDefault="00CE6425" w:rsidP="00C11A65">
            <w:pPr>
              <w:pStyle w:val="Tablewriting"/>
              <w:jc w:val="center"/>
              <w:rPr>
                <w:rFonts w:cstheme="minorHAnsi"/>
              </w:rPr>
            </w:pPr>
            <w:r w:rsidRPr="00CE6425">
              <w:rPr>
                <w:rFonts w:cstheme="minorHAnsi"/>
              </w:rPr>
              <w:t>1</w:t>
            </w:r>
          </w:p>
        </w:tc>
        <w:tc>
          <w:tcPr>
            <w:tcW w:w="709" w:type="dxa"/>
            <w:shd w:val="clear" w:color="auto" w:fill="auto"/>
          </w:tcPr>
          <w:p w14:paraId="074DA170" w14:textId="77777777" w:rsidR="00CE6425" w:rsidRPr="00CE6425" w:rsidRDefault="00CE6425" w:rsidP="00C11A65">
            <w:pPr>
              <w:pStyle w:val="Tablewriting"/>
              <w:jc w:val="center"/>
              <w:rPr>
                <w:rFonts w:cstheme="minorHAnsi"/>
              </w:rPr>
            </w:pPr>
            <w:r w:rsidRPr="00CE6425">
              <w:rPr>
                <w:rFonts w:cstheme="minorHAnsi"/>
              </w:rPr>
              <w:t>5</w:t>
            </w:r>
          </w:p>
        </w:tc>
        <w:tc>
          <w:tcPr>
            <w:tcW w:w="992" w:type="dxa"/>
            <w:shd w:val="clear" w:color="auto" w:fill="auto"/>
          </w:tcPr>
          <w:p w14:paraId="483709DF" w14:textId="21D92A6D" w:rsidR="00CE6425" w:rsidRPr="00CE6425" w:rsidRDefault="002D0FF7" w:rsidP="003841B1">
            <w:pPr>
              <w:pStyle w:val="Tablewriting"/>
              <w:rPr>
                <w:rFonts w:cstheme="minorHAnsi"/>
              </w:rPr>
            </w:pPr>
            <w:r>
              <w:rPr>
                <w:rFonts w:cstheme="minorHAnsi"/>
              </w:rPr>
              <w:t>$1827.93</w:t>
            </w:r>
          </w:p>
        </w:tc>
        <w:tc>
          <w:tcPr>
            <w:tcW w:w="1698" w:type="dxa"/>
            <w:vMerge w:val="restart"/>
            <w:shd w:val="clear" w:color="auto" w:fill="auto"/>
          </w:tcPr>
          <w:p w14:paraId="104C07D2" w14:textId="47B9D754" w:rsidR="00CE6425" w:rsidRPr="00CE6425" w:rsidRDefault="00CE6425" w:rsidP="00CE6425">
            <w:pPr>
              <w:pStyle w:val="Tablewriting"/>
              <w:rPr>
                <w:rFonts w:cstheme="minorHAnsi"/>
              </w:rPr>
            </w:pPr>
            <w:proofErr w:type="spellStart"/>
            <w:r w:rsidRPr="00CE6425">
              <w:rPr>
                <w:rFonts w:cstheme="minorHAnsi"/>
              </w:rPr>
              <w:t>Jinarc</w:t>
            </w:r>
            <w:proofErr w:type="spellEnd"/>
            <w:r w:rsidRPr="00CE6425">
              <w:rPr>
                <w:rFonts w:cstheme="minorHAnsi"/>
              </w:rPr>
              <w:t xml:space="preserve"> </w:t>
            </w:r>
          </w:p>
          <w:p w14:paraId="636D6888" w14:textId="77777777" w:rsidR="00CE6425" w:rsidRPr="00CE6425" w:rsidDel="00EE2BBB" w:rsidRDefault="00CE6425" w:rsidP="00CE6425">
            <w:pPr>
              <w:pStyle w:val="Tablewriting"/>
              <w:rPr>
                <w:rFonts w:cstheme="minorHAnsi"/>
              </w:rPr>
            </w:pPr>
            <w:r w:rsidRPr="00CE6425">
              <w:rPr>
                <w:rFonts w:cstheme="minorHAnsi"/>
              </w:rPr>
              <w:t>Otsuka Australia Pharmaceutical Pty Ltd</w:t>
            </w:r>
          </w:p>
          <w:p w14:paraId="02829518" w14:textId="77500378" w:rsidR="00CE6425" w:rsidRPr="00CE6425" w:rsidDel="00EE2BBB" w:rsidRDefault="00CE6425" w:rsidP="00CE6425">
            <w:pPr>
              <w:pStyle w:val="Tablewriting"/>
              <w:ind w:firstLine="720"/>
              <w:rPr>
                <w:rFonts w:cstheme="minorHAnsi"/>
              </w:rPr>
            </w:pPr>
            <w:r w:rsidRPr="00CE6425">
              <w:rPr>
                <w:rFonts w:cstheme="minorHAnsi"/>
              </w:rPr>
              <w:t xml:space="preserve"> </w:t>
            </w:r>
          </w:p>
        </w:tc>
      </w:tr>
      <w:tr w:rsidR="00CE6425" w:rsidRPr="00CE6425" w:rsidDel="00EE2BBB" w14:paraId="0A39B1D4" w14:textId="77777777" w:rsidTr="00355266">
        <w:trPr>
          <w:trHeight w:val="546"/>
          <w:tblHeader/>
        </w:trPr>
        <w:tc>
          <w:tcPr>
            <w:tcW w:w="969" w:type="dxa"/>
            <w:shd w:val="clear" w:color="auto" w:fill="auto"/>
          </w:tcPr>
          <w:p w14:paraId="072372C5" w14:textId="77777777" w:rsidR="00960ADF" w:rsidRDefault="00276160" w:rsidP="00CE6425">
            <w:pPr>
              <w:pStyle w:val="Tablewriting"/>
              <w:rPr>
                <w:rFonts w:cstheme="minorHAnsi"/>
                <w:vertAlign w:val="superscript"/>
              </w:rPr>
            </w:pPr>
            <w:r w:rsidRPr="00CE6425">
              <w:rPr>
                <w:rFonts w:cstheme="minorHAnsi"/>
              </w:rPr>
              <w:t>11597J</w:t>
            </w:r>
          </w:p>
          <w:p w14:paraId="5E51AD2D" w14:textId="3FCE950A" w:rsidR="00CE6425" w:rsidRPr="00C10F2C" w:rsidRDefault="00CE6425" w:rsidP="00CE6425">
            <w:pPr>
              <w:pStyle w:val="Tablewriting"/>
              <w:rPr>
                <w:rFonts w:cstheme="minorHAnsi"/>
                <w:vertAlign w:val="superscript"/>
              </w:rPr>
            </w:pPr>
            <w:r w:rsidRPr="00CE6425">
              <w:rPr>
                <w:rFonts w:cstheme="minorHAnsi"/>
              </w:rPr>
              <w:t>11593E</w:t>
            </w:r>
          </w:p>
        </w:tc>
        <w:tc>
          <w:tcPr>
            <w:tcW w:w="3421" w:type="dxa"/>
            <w:shd w:val="clear" w:color="auto" w:fill="auto"/>
          </w:tcPr>
          <w:p w14:paraId="7E6D8CE8" w14:textId="25BBCD67" w:rsidR="00CE6425" w:rsidRPr="00CE6425" w:rsidRDefault="00CE6425" w:rsidP="00CE6425">
            <w:pPr>
              <w:pStyle w:val="Tablewriting"/>
              <w:rPr>
                <w:rFonts w:cstheme="minorHAnsi"/>
                <w:color w:val="222222"/>
                <w:shd w:val="clear" w:color="auto" w:fill="FFFFFF"/>
              </w:rPr>
            </w:pPr>
            <w:r w:rsidRPr="00CE6425">
              <w:rPr>
                <w:rFonts w:cstheme="minorHAnsi"/>
                <w:color w:val="222222"/>
                <w:shd w:val="clear" w:color="auto" w:fill="FFFFFF"/>
              </w:rPr>
              <w:t>tolvaptan 3</w:t>
            </w:r>
            <w:r>
              <w:rPr>
                <w:rFonts w:cstheme="minorHAnsi"/>
                <w:color w:val="222222"/>
                <w:shd w:val="clear" w:color="auto" w:fill="FFFFFF"/>
              </w:rPr>
              <w:t>0 mg tablet [28] (&amp;) tolvaptan 6</w:t>
            </w:r>
            <w:r w:rsidRPr="00CE6425">
              <w:rPr>
                <w:rFonts w:cstheme="minorHAnsi"/>
                <w:color w:val="222222"/>
                <w:shd w:val="clear" w:color="auto" w:fill="FFFFFF"/>
              </w:rPr>
              <w:t>0 mg tablet [28], 56</w:t>
            </w:r>
          </w:p>
        </w:tc>
        <w:tc>
          <w:tcPr>
            <w:tcW w:w="1275" w:type="dxa"/>
            <w:shd w:val="clear" w:color="auto" w:fill="auto"/>
          </w:tcPr>
          <w:p w14:paraId="4BC3A042" w14:textId="30C3A9E8" w:rsidR="00CE6425" w:rsidRPr="00CE6425" w:rsidRDefault="00CE6425" w:rsidP="00C11A65">
            <w:pPr>
              <w:pStyle w:val="Tablewriting"/>
              <w:jc w:val="center"/>
              <w:rPr>
                <w:rFonts w:cstheme="minorHAnsi"/>
              </w:rPr>
            </w:pPr>
            <w:r w:rsidRPr="00CE6425">
              <w:rPr>
                <w:rFonts w:cstheme="minorHAnsi"/>
              </w:rPr>
              <w:t>1</w:t>
            </w:r>
          </w:p>
        </w:tc>
        <w:tc>
          <w:tcPr>
            <w:tcW w:w="709" w:type="dxa"/>
            <w:shd w:val="clear" w:color="auto" w:fill="auto"/>
          </w:tcPr>
          <w:p w14:paraId="2AE7E71C" w14:textId="5D59F9AE" w:rsidR="00CE6425" w:rsidRPr="00CE6425" w:rsidRDefault="00CE6425" w:rsidP="00C11A65">
            <w:pPr>
              <w:pStyle w:val="Tablewriting"/>
              <w:jc w:val="center"/>
              <w:rPr>
                <w:rFonts w:cstheme="minorHAnsi"/>
              </w:rPr>
            </w:pPr>
            <w:r w:rsidRPr="00CE6425">
              <w:rPr>
                <w:rFonts w:cstheme="minorHAnsi"/>
              </w:rPr>
              <w:t>5</w:t>
            </w:r>
          </w:p>
        </w:tc>
        <w:tc>
          <w:tcPr>
            <w:tcW w:w="992" w:type="dxa"/>
            <w:shd w:val="clear" w:color="auto" w:fill="auto"/>
          </w:tcPr>
          <w:p w14:paraId="1D99DC90" w14:textId="62EEA63E" w:rsidR="00CE6425" w:rsidRPr="00CE6425" w:rsidRDefault="002D0FF7" w:rsidP="00CE6425">
            <w:pPr>
              <w:pStyle w:val="Tablewriting"/>
              <w:rPr>
                <w:rFonts w:cstheme="minorHAnsi"/>
              </w:rPr>
            </w:pPr>
            <w:r>
              <w:rPr>
                <w:rFonts w:cstheme="minorHAnsi"/>
              </w:rPr>
              <w:t>$1827.93</w:t>
            </w:r>
          </w:p>
        </w:tc>
        <w:tc>
          <w:tcPr>
            <w:tcW w:w="1698" w:type="dxa"/>
            <w:vMerge/>
            <w:shd w:val="clear" w:color="auto" w:fill="auto"/>
          </w:tcPr>
          <w:p w14:paraId="32AF4D6A" w14:textId="4E81C4F2" w:rsidR="00CE6425" w:rsidRPr="00CE6425" w:rsidDel="00EE2BBB" w:rsidRDefault="00CE6425" w:rsidP="00CE6425">
            <w:pPr>
              <w:pStyle w:val="Tablewriting"/>
              <w:ind w:firstLine="720"/>
              <w:rPr>
                <w:rFonts w:cstheme="minorHAnsi"/>
              </w:rPr>
            </w:pPr>
          </w:p>
        </w:tc>
      </w:tr>
      <w:tr w:rsidR="00CE6425" w:rsidRPr="00CE6425" w:rsidDel="00EE2BBB" w14:paraId="2A9E71FF" w14:textId="77777777" w:rsidTr="00355266">
        <w:trPr>
          <w:trHeight w:val="546"/>
          <w:tblHeader/>
        </w:trPr>
        <w:tc>
          <w:tcPr>
            <w:tcW w:w="969" w:type="dxa"/>
            <w:shd w:val="clear" w:color="auto" w:fill="auto"/>
          </w:tcPr>
          <w:p w14:paraId="2223B29B" w14:textId="2F259F1D" w:rsidR="00CE6425" w:rsidRPr="00C10F2C" w:rsidRDefault="00CE6425" w:rsidP="00CE6425">
            <w:pPr>
              <w:pStyle w:val="Tablewriting"/>
              <w:rPr>
                <w:rFonts w:cstheme="minorHAnsi"/>
                <w:vertAlign w:val="superscript"/>
              </w:rPr>
            </w:pPr>
            <w:r w:rsidRPr="00CE6425">
              <w:rPr>
                <w:rFonts w:cstheme="minorHAnsi"/>
              </w:rPr>
              <w:t>11588X</w:t>
            </w:r>
          </w:p>
          <w:p w14:paraId="15D6EFAB" w14:textId="3C5AE2EF" w:rsidR="00CE6425" w:rsidRPr="00C10F2C" w:rsidRDefault="00CE6425" w:rsidP="00CE6425">
            <w:pPr>
              <w:pStyle w:val="Tablewriting"/>
              <w:rPr>
                <w:rFonts w:cstheme="minorHAnsi"/>
                <w:vertAlign w:val="superscript"/>
              </w:rPr>
            </w:pPr>
            <w:r w:rsidRPr="00CE6425">
              <w:rPr>
                <w:rFonts w:cstheme="minorHAnsi"/>
              </w:rPr>
              <w:t>11596H</w:t>
            </w:r>
          </w:p>
        </w:tc>
        <w:tc>
          <w:tcPr>
            <w:tcW w:w="3421" w:type="dxa"/>
            <w:shd w:val="clear" w:color="auto" w:fill="auto"/>
          </w:tcPr>
          <w:p w14:paraId="71B53F78" w14:textId="470CBB32" w:rsidR="00CE6425" w:rsidRPr="00CE6425" w:rsidRDefault="00CE6425" w:rsidP="00CE6425">
            <w:pPr>
              <w:pStyle w:val="Tablewriting"/>
              <w:rPr>
                <w:rFonts w:cstheme="minorHAnsi"/>
                <w:color w:val="222222"/>
                <w:shd w:val="clear" w:color="auto" w:fill="FFFFFF"/>
              </w:rPr>
            </w:pPr>
            <w:r w:rsidRPr="00CE6425">
              <w:rPr>
                <w:rFonts w:cstheme="minorHAnsi"/>
                <w:color w:val="222222"/>
                <w:shd w:val="clear" w:color="auto" w:fill="FFFFFF"/>
              </w:rPr>
              <w:t>tolvaptan 30 mg tablet [28] (&amp;) tolvaptan 90 mg tablet [28], 56</w:t>
            </w:r>
          </w:p>
        </w:tc>
        <w:tc>
          <w:tcPr>
            <w:tcW w:w="1275" w:type="dxa"/>
            <w:shd w:val="clear" w:color="auto" w:fill="auto"/>
          </w:tcPr>
          <w:p w14:paraId="5150E251" w14:textId="4E763BB0" w:rsidR="00CE6425" w:rsidRPr="00CE6425" w:rsidRDefault="00CE6425" w:rsidP="00C11A65">
            <w:pPr>
              <w:pStyle w:val="Tablewriting"/>
              <w:jc w:val="center"/>
              <w:rPr>
                <w:rFonts w:cstheme="minorHAnsi"/>
              </w:rPr>
            </w:pPr>
            <w:r w:rsidRPr="00CE6425">
              <w:rPr>
                <w:rFonts w:cstheme="minorHAnsi"/>
              </w:rPr>
              <w:t>1</w:t>
            </w:r>
          </w:p>
        </w:tc>
        <w:tc>
          <w:tcPr>
            <w:tcW w:w="709" w:type="dxa"/>
            <w:shd w:val="clear" w:color="auto" w:fill="auto"/>
          </w:tcPr>
          <w:p w14:paraId="270723DB" w14:textId="28DCB691" w:rsidR="00CE6425" w:rsidRPr="00CE6425" w:rsidRDefault="00CE6425" w:rsidP="00C11A65">
            <w:pPr>
              <w:pStyle w:val="Tablewriting"/>
              <w:jc w:val="center"/>
              <w:rPr>
                <w:rFonts w:cstheme="minorHAnsi"/>
              </w:rPr>
            </w:pPr>
            <w:r w:rsidRPr="00CE6425">
              <w:rPr>
                <w:rFonts w:cstheme="minorHAnsi"/>
              </w:rPr>
              <w:t>5</w:t>
            </w:r>
          </w:p>
        </w:tc>
        <w:tc>
          <w:tcPr>
            <w:tcW w:w="992" w:type="dxa"/>
            <w:shd w:val="clear" w:color="auto" w:fill="auto"/>
          </w:tcPr>
          <w:p w14:paraId="57F747A6" w14:textId="32336E4F" w:rsidR="00CE6425" w:rsidRPr="00CE6425" w:rsidRDefault="002D0FF7" w:rsidP="00CE6425">
            <w:pPr>
              <w:pStyle w:val="Tablewriting"/>
              <w:rPr>
                <w:rFonts w:cstheme="minorHAnsi"/>
              </w:rPr>
            </w:pPr>
            <w:r>
              <w:rPr>
                <w:rFonts w:cstheme="minorHAnsi"/>
              </w:rPr>
              <w:t>$1827.93</w:t>
            </w:r>
          </w:p>
        </w:tc>
        <w:tc>
          <w:tcPr>
            <w:tcW w:w="1698" w:type="dxa"/>
            <w:vMerge/>
            <w:shd w:val="clear" w:color="auto" w:fill="auto"/>
          </w:tcPr>
          <w:p w14:paraId="448482E5" w14:textId="03EEAEA5" w:rsidR="00CE6425" w:rsidRPr="00CE6425" w:rsidDel="00EE2BBB" w:rsidRDefault="00CE6425" w:rsidP="00CE6425">
            <w:pPr>
              <w:pStyle w:val="Tablewriting"/>
              <w:ind w:firstLine="720"/>
              <w:rPr>
                <w:rFonts w:cstheme="minorHAnsi"/>
              </w:rPr>
            </w:pPr>
          </w:p>
        </w:tc>
      </w:tr>
      <w:tr w:rsidR="00CE6425" w:rsidRPr="00CE6425" w:rsidDel="00EE2BBB" w14:paraId="7A42F85E" w14:textId="77777777" w:rsidTr="00355266">
        <w:trPr>
          <w:trHeight w:val="546"/>
          <w:tblHeader/>
        </w:trPr>
        <w:tc>
          <w:tcPr>
            <w:tcW w:w="969" w:type="dxa"/>
            <w:shd w:val="clear" w:color="auto" w:fill="auto"/>
          </w:tcPr>
          <w:p w14:paraId="79BFAA2B" w14:textId="77777777" w:rsidR="00960ADF" w:rsidRDefault="00CE6425" w:rsidP="00CE6425">
            <w:pPr>
              <w:pStyle w:val="Tablewriting"/>
              <w:rPr>
                <w:rFonts w:cstheme="minorHAnsi"/>
              </w:rPr>
            </w:pPr>
            <w:r w:rsidRPr="00CE6425">
              <w:rPr>
                <w:rFonts w:cstheme="minorHAnsi"/>
              </w:rPr>
              <w:t>12460T</w:t>
            </w:r>
          </w:p>
          <w:p w14:paraId="603F52D9" w14:textId="201AAF93" w:rsidR="00CE6425" w:rsidRPr="00276160" w:rsidRDefault="00276160" w:rsidP="00CE6425">
            <w:pPr>
              <w:pStyle w:val="Tablewriting"/>
              <w:rPr>
                <w:rFonts w:cstheme="minorHAnsi"/>
                <w:vertAlign w:val="superscript"/>
              </w:rPr>
            </w:pPr>
            <w:r w:rsidRPr="00CE6425">
              <w:rPr>
                <w:rFonts w:cstheme="minorHAnsi"/>
              </w:rPr>
              <w:t>12457P</w:t>
            </w:r>
          </w:p>
        </w:tc>
        <w:tc>
          <w:tcPr>
            <w:tcW w:w="3421" w:type="dxa"/>
            <w:shd w:val="clear" w:color="auto" w:fill="auto"/>
          </w:tcPr>
          <w:p w14:paraId="785A4990" w14:textId="77777777" w:rsidR="00CE6425" w:rsidRPr="00CE6425" w:rsidRDefault="00CE6425" w:rsidP="00CE6425">
            <w:pPr>
              <w:pStyle w:val="Tablewriting"/>
              <w:rPr>
                <w:rFonts w:cstheme="minorHAnsi"/>
                <w:color w:val="222222"/>
                <w:shd w:val="clear" w:color="auto" w:fill="FFFFFF"/>
              </w:rPr>
            </w:pPr>
            <w:r w:rsidRPr="00CE6425">
              <w:rPr>
                <w:rFonts w:cstheme="minorHAnsi"/>
                <w:color w:val="222222"/>
                <w:shd w:val="clear" w:color="auto" w:fill="FFFFFF"/>
              </w:rPr>
              <w:t>tolvaptan 15 mg tablet, 28</w:t>
            </w:r>
          </w:p>
        </w:tc>
        <w:tc>
          <w:tcPr>
            <w:tcW w:w="1275" w:type="dxa"/>
            <w:shd w:val="clear" w:color="auto" w:fill="auto"/>
          </w:tcPr>
          <w:p w14:paraId="3AC50762" w14:textId="77777777" w:rsidR="00CE6425" w:rsidRPr="00CE6425" w:rsidRDefault="00CE6425" w:rsidP="00C11A65">
            <w:pPr>
              <w:pStyle w:val="Tablewriting"/>
              <w:jc w:val="center"/>
              <w:rPr>
                <w:rFonts w:cstheme="minorHAnsi"/>
              </w:rPr>
            </w:pPr>
            <w:r w:rsidRPr="00CE6425">
              <w:rPr>
                <w:rFonts w:cstheme="minorHAnsi"/>
              </w:rPr>
              <w:t>28</w:t>
            </w:r>
          </w:p>
        </w:tc>
        <w:tc>
          <w:tcPr>
            <w:tcW w:w="709" w:type="dxa"/>
            <w:shd w:val="clear" w:color="auto" w:fill="auto"/>
          </w:tcPr>
          <w:p w14:paraId="33B90DFF" w14:textId="77777777" w:rsidR="00CE6425" w:rsidRPr="00CE6425" w:rsidRDefault="00CE6425" w:rsidP="00C11A65">
            <w:pPr>
              <w:pStyle w:val="Tablewriting"/>
              <w:jc w:val="center"/>
              <w:rPr>
                <w:rFonts w:cstheme="minorHAnsi"/>
              </w:rPr>
            </w:pPr>
            <w:r w:rsidRPr="00CE6425">
              <w:rPr>
                <w:rFonts w:cstheme="minorHAnsi"/>
              </w:rPr>
              <w:t>5</w:t>
            </w:r>
          </w:p>
        </w:tc>
        <w:tc>
          <w:tcPr>
            <w:tcW w:w="992" w:type="dxa"/>
            <w:shd w:val="clear" w:color="auto" w:fill="auto"/>
          </w:tcPr>
          <w:p w14:paraId="5D5ACFD8" w14:textId="2DA70AFC" w:rsidR="00CE6425" w:rsidRPr="00CE6425" w:rsidRDefault="00D92A6E" w:rsidP="00CE6425">
            <w:pPr>
              <w:pStyle w:val="Tablewriting"/>
              <w:rPr>
                <w:rFonts w:cstheme="minorHAnsi"/>
                <w:color w:val="222222"/>
                <w:shd w:val="clear" w:color="auto" w:fill="FFFFFF"/>
              </w:rPr>
            </w:pPr>
            <w:r>
              <w:rPr>
                <w:rFonts w:cstheme="minorHAnsi"/>
                <w:color w:val="222222"/>
                <w:shd w:val="clear" w:color="auto" w:fill="FFFFFF"/>
              </w:rPr>
              <w:t>$945.93</w:t>
            </w:r>
          </w:p>
        </w:tc>
        <w:tc>
          <w:tcPr>
            <w:tcW w:w="1698" w:type="dxa"/>
            <w:vMerge/>
            <w:shd w:val="clear" w:color="auto" w:fill="auto"/>
          </w:tcPr>
          <w:p w14:paraId="7FE473FF" w14:textId="77777777" w:rsidR="00CE6425" w:rsidRPr="00CE6425" w:rsidDel="00EE2BBB" w:rsidRDefault="00CE6425" w:rsidP="00CE6425">
            <w:pPr>
              <w:pStyle w:val="Tablewriting"/>
              <w:ind w:firstLine="720"/>
              <w:rPr>
                <w:rFonts w:cstheme="minorHAnsi"/>
              </w:rPr>
            </w:pPr>
          </w:p>
        </w:tc>
      </w:tr>
      <w:tr w:rsidR="00CE6425" w:rsidRPr="00CE6425" w:rsidDel="00EE2BBB" w14:paraId="4BDBECFB" w14:textId="77777777" w:rsidTr="00355266">
        <w:trPr>
          <w:trHeight w:val="546"/>
          <w:tblHeader/>
        </w:trPr>
        <w:tc>
          <w:tcPr>
            <w:tcW w:w="969" w:type="dxa"/>
            <w:shd w:val="clear" w:color="auto" w:fill="auto"/>
          </w:tcPr>
          <w:p w14:paraId="0ED67DAD" w14:textId="74BB4CA2" w:rsidR="00CE6425" w:rsidRPr="00276160" w:rsidRDefault="00CE6425" w:rsidP="00CE6425">
            <w:pPr>
              <w:pStyle w:val="Tablewriting"/>
              <w:rPr>
                <w:rFonts w:cstheme="minorHAnsi"/>
                <w:vertAlign w:val="superscript"/>
              </w:rPr>
            </w:pPr>
            <w:r w:rsidRPr="00CE6425">
              <w:rPr>
                <w:rFonts w:cstheme="minorHAnsi"/>
              </w:rPr>
              <w:t>12461W12462X</w:t>
            </w:r>
          </w:p>
        </w:tc>
        <w:tc>
          <w:tcPr>
            <w:tcW w:w="3421" w:type="dxa"/>
            <w:shd w:val="clear" w:color="auto" w:fill="auto"/>
          </w:tcPr>
          <w:p w14:paraId="55A01B88" w14:textId="77777777" w:rsidR="00CE6425" w:rsidRPr="00CE6425" w:rsidRDefault="00CE6425" w:rsidP="00CE6425">
            <w:pPr>
              <w:pStyle w:val="Tablewriting"/>
              <w:rPr>
                <w:rFonts w:cstheme="minorHAnsi"/>
                <w:color w:val="222222"/>
                <w:shd w:val="clear" w:color="auto" w:fill="EEEEEE"/>
              </w:rPr>
            </w:pPr>
            <w:r w:rsidRPr="00CE6425">
              <w:rPr>
                <w:rFonts w:cstheme="minorHAnsi"/>
                <w:color w:val="222222"/>
                <w:shd w:val="clear" w:color="auto" w:fill="FFFFFF"/>
              </w:rPr>
              <w:t>tolvaptan 30 mg tablet, 28</w:t>
            </w:r>
          </w:p>
        </w:tc>
        <w:tc>
          <w:tcPr>
            <w:tcW w:w="1275" w:type="dxa"/>
            <w:shd w:val="clear" w:color="auto" w:fill="auto"/>
          </w:tcPr>
          <w:p w14:paraId="7A4D0765" w14:textId="77777777" w:rsidR="00CE6425" w:rsidRPr="00CE6425" w:rsidRDefault="00CE6425" w:rsidP="00C11A65">
            <w:pPr>
              <w:pStyle w:val="Tablewriting"/>
              <w:jc w:val="center"/>
              <w:rPr>
                <w:rFonts w:cstheme="minorHAnsi"/>
              </w:rPr>
            </w:pPr>
            <w:r w:rsidRPr="00CE6425">
              <w:rPr>
                <w:rFonts w:cstheme="minorHAnsi"/>
              </w:rPr>
              <w:t>28</w:t>
            </w:r>
          </w:p>
        </w:tc>
        <w:tc>
          <w:tcPr>
            <w:tcW w:w="709" w:type="dxa"/>
            <w:shd w:val="clear" w:color="auto" w:fill="auto"/>
          </w:tcPr>
          <w:p w14:paraId="7821A978" w14:textId="77777777" w:rsidR="00CE6425" w:rsidRPr="00CE6425" w:rsidRDefault="00CE6425" w:rsidP="00C11A65">
            <w:pPr>
              <w:pStyle w:val="Tablewriting"/>
              <w:jc w:val="center"/>
              <w:rPr>
                <w:rFonts w:cstheme="minorHAnsi"/>
              </w:rPr>
            </w:pPr>
            <w:r w:rsidRPr="00CE6425">
              <w:rPr>
                <w:rFonts w:cstheme="minorHAnsi"/>
              </w:rPr>
              <w:t>5</w:t>
            </w:r>
          </w:p>
        </w:tc>
        <w:tc>
          <w:tcPr>
            <w:tcW w:w="992" w:type="dxa"/>
            <w:shd w:val="clear" w:color="auto" w:fill="auto"/>
          </w:tcPr>
          <w:p w14:paraId="3E6F637E" w14:textId="66A9E878" w:rsidR="00CE6425" w:rsidRPr="00CE6425" w:rsidRDefault="00D92A6E" w:rsidP="00CE6425">
            <w:pPr>
              <w:pStyle w:val="Tablewriting"/>
              <w:rPr>
                <w:rFonts w:cstheme="minorHAnsi"/>
                <w:color w:val="222222"/>
                <w:shd w:val="clear" w:color="auto" w:fill="FFFFFF"/>
              </w:rPr>
            </w:pPr>
            <w:r>
              <w:rPr>
                <w:rFonts w:cstheme="minorHAnsi"/>
                <w:color w:val="222222"/>
                <w:shd w:val="clear" w:color="auto" w:fill="FFFFFF"/>
              </w:rPr>
              <w:t>$945.93</w:t>
            </w:r>
          </w:p>
        </w:tc>
        <w:tc>
          <w:tcPr>
            <w:tcW w:w="1698" w:type="dxa"/>
            <w:vMerge/>
            <w:shd w:val="clear" w:color="auto" w:fill="auto"/>
          </w:tcPr>
          <w:p w14:paraId="5248BF33" w14:textId="77777777" w:rsidR="00CE6425" w:rsidRPr="00CE6425" w:rsidDel="00EE2BBB" w:rsidRDefault="00CE6425" w:rsidP="00CE6425">
            <w:pPr>
              <w:pStyle w:val="Tablewriting"/>
              <w:ind w:firstLine="720"/>
              <w:rPr>
                <w:rFonts w:cstheme="minorHAnsi"/>
              </w:rPr>
            </w:pPr>
          </w:p>
        </w:tc>
      </w:tr>
    </w:tbl>
    <w:p w14:paraId="24FA0B12" w14:textId="1E0715DC" w:rsidR="00766913" w:rsidRDefault="00960ADF" w:rsidP="00766913">
      <w:pPr>
        <w:pStyle w:val="Notes"/>
        <w:spacing w:after="0"/>
      </w:pPr>
      <w:r>
        <w:t xml:space="preserve">Note: </w:t>
      </w:r>
      <w:r w:rsidR="00766913">
        <w:t>Special Pricing Arrangement</w:t>
      </w:r>
      <w:r w:rsidR="00900C01">
        <w:t>s apply.</w:t>
      </w:r>
    </w:p>
    <w:p w14:paraId="7335594C" w14:textId="11B668C9" w:rsidR="00276160" w:rsidRDefault="00276160" w:rsidP="00276160">
      <w:pPr>
        <w:pStyle w:val="Notes"/>
        <w:spacing w:after="0"/>
      </w:pPr>
      <w:r>
        <w:t xml:space="preserve">Caution: Tolvaptan has been associated with idiosyncratic hepatic toxicity. Liver function monitoring is required. </w:t>
      </w:r>
    </w:p>
    <w:p w14:paraId="065690B0" w14:textId="5A56C331" w:rsidR="00CE6425" w:rsidRPr="00A35800" w:rsidDel="00EE2BBB" w:rsidRDefault="005E4F5D" w:rsidP="00CE700D">
      <w:pPr>
        <w:pStyle w:val="Notes"/>
        <w:spacing w:after="0"/>
      </w:pPr>
      <w:r w:rsidRPr="00A35800" w:rsidDel="00EE2BBB">
        <w:t xml:space="preserve">Source: </w:t>
      </w:r>
      <w:r w:rsidDel="00EE2BBB">
        <w:t xml:space="preserve">the </w:t>
      </w:r>
      <w:hyperlink r:id="rId10" w:history="1">
        <w:r w:rsidRPr="001624D7" w:rsidDel="00EE2BBB">
          <w:rPr>
            <w:rStyle w:val="Hyperlink"/>
          </w:rPr>
          <w:t>PBS website</w:t>
        </w:r>
      </w:hyperlink>
      <w:r w:rsidDel="00EE2BBB">
        <w:t xml:space="preserve">.  </w:t>
      </w:r>
    </w:p>
    <w:p w14:paraId="3E2C1EF6" w14:textId="77777777" w:rsidR="001815A3" w:rsidRDefault="001815A3">
      <w:pPr>
        <w:spacing w:line="276" w:lineRule="auto"/>
        <w:rPr>
          <w:b/>
          <w:i/>
          <w:szCs w:val="28"/>
        </w:rPr>
      </w:pPr>
      <w:r>
        <w:br w:type="page"/>
      </w:r>
    </w:p>
    <w:p w14:paraId="632F98DF" w14:textId="50B4ABB5" w:rsidR="00276160" w:rsidRPr="00276160" w:rsidDel="00EE2BBB" w:rsidRDefault="004C3186" w:rsidP="0039640D">
      <w:pPr>
        <w:pStyle w:val="Heading3"/>
      </w:pPr>
      <w:r w:rsidDel="00EE2BBB">
        <w:lastRenderedPageBreak/>
        <w:t>Restriction</w:t>
      </w:r>
    </w:p>
    <w:p w14:paraId="6B3F83A1" w14:textId="2E5FC934" w:rsidR="00275B6C" w:rsidRPr="00355266" w:rsidRDefault="00355266" w:rsidP="00C24752">
      <w:r>
        <w:rPr>
          <w:b/>
        </w:rPr>
        <w:t xml:space="preserve">Treatment </w:t>
      </w:r>
      <w:r w:rsidRPr="00355266">
        <w:rPr>
          <w:b/>
        </w:rPr>
        <w:t>phase:</w:t>
      </w:r>
      <w:r>
        <w:t xml:space="preserve"> </w:t>
      </w:r>
      <w:r w:rsidR="00275B6C" w:rsidRPr="00275B6C">
        <w:rPr>
          <w:szCs w:val="22"/>
        </w:rPr>
        <w:t>Initial treatment</w:t>
      </w:r>
    </w:p>
    <w:p w14:paraId="6BC3EF18" w14:textId="5F90D474" w:rsidR="00275B6C" w:rsidRPr="00355266" w:rsidRDefault="00355266" w:rsidP="00C24752">
      <w:pPr>
        <w:rPr>
          <w:b/>
          <w:szCs w:val="22"/>
        </w:rPr>
      </w:pPr>
      <w:r>
        <w:rPr>
          <w:b/>
          <w:szCs w:val="22"/>
        </w:rPr>
        <w:t xml:space="preserve">Treatment criteria: </w:t>
      </w:r>
      <w:r w:rsidR="00275B6C" w:rsidRPr="00355266">
        <w:rPr>
          <w:szCs w:val="22"/>
        </w:rPr>
        <w:t xml:space="preserve">Must be treated by a nephrologist.  </w:t>
      </w:r>
    </w:p>
    <w:p w14:paraId="56B851FF" w14:textId="780129B2" w:rsidR="00275B6C" w:rsidRPr="00D72F46" w:rsidRDefault="00275B6C" w:rsidP="00C24752">
      <w:pPr>
        <w:rPr>
          <w:szCs w:val="22"/>
        </w:rPr>
      </w:pPr>
      <w:r w:rsidRPr="00D72F46">
        <w:rPr>
          <w:b/>
          <w:szCs w:val="22"/>
        </w:rPr>
        <w:t>Clinical criteria</w:t>
      </w:r>
      <w:r w:rsidR="00355266">
        <w:rPr>
          <w:b/>
          <w:szCs w:val="22"/>
        </w:rPr>
        <w:t>:</w:t>
      </w:r>
      <w:r w:rsidRPr="00D72F46">
        <w:rPr>
          <w:szCs w:val="22"/>
        </w:rPr>
        <w:t xml:space="preserve"> </w:t>
      </w:r>
    </w:p>
    <w:p w14:paraId="782E7B3A" w14:textId="77777777" w:rsidR="00275B6C" w:rsidRPr="00275B6C" w:rsidRDefault="00275B6C" w:rsidP="00C24752">
      <w:pPr>
        <w:pStyle w:val="ListParagraph"/>
        <w:numPr>
          <w:ilvl w:val="0"/>
          <w:numId w:val="12"/>
        </w:numPr>
        <w:rPr>
          <w:szCs w:val="22"/>
        </w:rPr>
      </w:pPr>
      <w:r w:rsidRPr="00275B6C">
        <w:rPr>
          <w:szCs w:val="22"/>
        </w:rPr>
        <w:t>Patient must have an estimated glomerular filtration rate (eGFR) between 30 and 89 mL/min 1.73m</w:t>
      </w:r>
      <w:r w:rsidRPr="00275B6C">
        <w:rPr>
          <w:szCs w:val="22"/>
          <w:vertAlign w:val="superscript"/>
        </w:rPr>
        <w:t>2</w:t>
      </w:r>
      <w:r w:rsidRPr="00275B6C">
        <w:rPr>
          <w:szCs w:val="22"/>
        </w:rPr>
        <w:t xml:space="preserve"> at the initiation of treatment with this drug for this condition,</w:t>
      </w:r>
    </w:p>
    <w:p w14:paraId="2A3A46E0" w14:textId="54A9E505" w:rsidR="00275B6C" w:rsidRPr="00D72F46" w:rsidRDefault="00275B6C" w:rsidP="002D0FF7">
      <w:pPr>
        <w:rPr>
          <w:szCs w:val="22"/>
        </w:rPr>
      </w:pPr>
      <w:r w:rsidRPr="00D72F46">
        <w:rPr>
          <w:szCs w:val="22"/>
        </w:rPr>
        <w:t>AND</w:t>
      </w:r>
    </w:p>
    <w:p w14:paraId="0B082B49" w14:textId="79306E66" w:rsidR="00275B6C" w:rsidRDefault="00275B6C" w:rsidP="00C24752">
      <w:pPr>
        <w:pStyle w:val="ListParagraph"/>
        <w:numPr>
          <w:ilvl w:val="0"/>
          <w:numId w:val="12"/>
        </w:numPr>
        <w:rPr>
          <w:szCs w:val="22"/>
        </w:rPr>
      </w:pPr>
      <w:r w:rsidRPr="00275B6C">
        <w:rPr>
          <w:szCs w:val="22"/>
        </w:rPr>
        <w:t xml:space="preserve">Patient must have or have had rapidly progressing disease at the time of initiation of this drug for this condition. </w:t>
      </w:r>
    </w:p>
    <w:p w14:paraId="5208452D" w14:textId="77777777" w:rsidR="00275B6C" w:rsidRPr="00275B6C" w:rsidRDefault="00275B6C" w:rsidP="00C24752">
      <w:pPr>
        <w:pStyle w:val="ListParagraph"/>
        <w:rPr>
          <w:szCs w:val="22"/>
        </w:rPr>
      </w:pPr>
    </w:p>
    <w:p w14:paraId="41B998E6" w14:textId="77777777" w:rsidR="00275B6C" w:rsidRPr="00D72F46" w:rsidRDefault="00275B6C" w:rsidP="00C24752">
      <w:pPr>
        <w:rPr>
          <w:szCs w:val="22"/>
        </w:rPr>
      </w:pPr>
      <w:r w:rsidRPr="00D72F46">
        <w:rPr>
          <w:szCs w:val="22"/>
        </w:rPr>
        <w:t xml:space="preserve">Rapidly progressing disease is defined as either of the following: </w:t>
      </w:r>
    </w:p>
    <w:p w14:paraId="082B983C" w14:textId="77777777" w:rsidR="00275B6C" w:rsidRPr="00D72F46" w:rsidRDefault="00275B6C" w:rsidP="00C24752">
      <w:pPr>
        <w:rPr>
          <w:szCs w:val="22"/>
        </w:rPr>
      </w:pPr>
      <w:r w:rsidRPr="00D72F46">
        <w:rPr>
          <w:szCs w:val="22"/>
        </w:rPr>
        <w:t xml:space="preserve">A </w:t>
      </w:r>
      <w:r>
        <w:rPr>
          <w:szCs w:val="22"/>
        </w:rPr>
        <w:t>decline in eGFR of</w:t>
      </w:r>
      <w:r w:rsidRPr="00D72F46">
        <w:rPr>
          <w:szCs w:val="22"/>
        </w:rPr>
        <w:t xml:space="preserve"> greater than or equal to 5 mL/min/1.73</w:t>
      </w:r>
      <w:r>
        <w:rPr>
          <w:szCs w:val="22"/>
        </w:rPr>
        <w:t>m</w:t>
      </w:r>
      <w:r w:rsidRPr="00CE700D">
        <w:rPr>
          <w:szCs w:val="22"/>
          <w:vertAlign w:val="superscript"/>
        </w:rPr>
        <w:t>2</w:t>
      </w:r>
      <w:r w:rsidRPr="00D72F46">
        <w:rPr>
          <w:szCs w:val="22"/>
        </w:rPr>
        <w:t xml:space="preserve"> within one </w:t>
      </w:r>
      <w:proofErr w:type="gramStart"/>
      <w:r w:rsidRPr="00D72F46">
        <w:rPr>
          <w:szCs w:val="22"/>
        </w:rPr>
        <w:t>year;</w:t>
      </w:r>
      <w:proofErr w:type="gramEnd"/>
      <w:r w:rsidRPr="00D72F46">
        <w:rPr>
          <w:szCs w:val="22"/>
        </w:rPr>
        <w:t xml:space="preserve"> </w:t>
      </w:r>
    </w:p>
    <w:p w14:paraId="0B7BDFC3" w14:textId="77777777" w:rsidR="00275B6C" w:rsidRPr="00D72F46" w:rsidRDefault="00275B6C" w:rsidP="00C24752">
      <w:pPr>
        <w:rPr>
          <w:szCs w:val="22"/>
        </w:rPr>
      </w:pPr>
      <w:r w:rsidRPr="00D72F46">
        <w:rPr>
          <w:szCs w:val="22"/>
        </w:rPr>
        <w:t>OR</w:t>
      </w:r>
    </w:p>
    <w:p w14:paraId="469D4672" w14:textId="058B91B4" w:rsidR="00275B6C" w:rsidRDefault="00275B6C" w:rsidP="00C24752">
      <w:pPr>
        <w:rPr>
          <w:szCs w:val="22"/>
        </w:rPr>
      </w:pPr>
      <w:r w:rsidRPr="00D72F46">
        <w:rPr>
          <w:szCs w:val="22"/>
        </w:rPr>
        <w:t xml:space="preserve">An average decline in </w:t>
      </w:r>
      <w:r>
        <w:rPr>
          <w:szCs w:val="22"/>
        </w:rPr>
        <w:t>eGFR</w:t>
      </w:r>
      <w:r w:rsidRPr="00D72F46">
        <w:rPr>
          <w:szCs w:val="22"/>
        </w:rPr>
        <w:t xml:space="preserve"> of greater than or equal to 2.5ml/min/1.73m</w:t>
      </w:r>
      <w:r w:rsidRPr="002950F6">
        <w:rPr>
          <w:szCs w:val="22"/>
          <w:vertAlign w:val="superscript"/>
        </w:rPr>
        <w:t>2</w:t>
      </w:r>
      <w:r w:rsidRPr="00D72F46">
        <w:rPr>
          <w:szCs w:val="22"/>
        </w:rPr>
        <w:t xml:space="preserve"> per year over a </w:t>
      </w:r>
      <w:proofErr w:type="gramStart"/>
      <w:r w:rsidRPr="00D72F46">
        <w:rPr>
          <w:szCs w:val="22"/>
        </w:rPr>
        <w:t>five year</w:t>
      </w:r>
      <w:proofErr w:type="gramEnd"/>
      <w:r w:rsidRPr="00D72F46">
        <w:rPr>
          <w:szCs w:val="22"/>
        </w:rPr>
        <w:t xml:space="preserve"> period.</w:t>
      </w:r>
    </w:p>
    <w:p w14:paraId="56615D76" w14:textId="77777777" w:rsidR="00C24752" w:rsidRPr="00C24752" w:rsidRDefault="00C24752" w:rsidP="00C24752">
      <w:pPr>
        <w:rPr>
          <w:rStyle w:val="Hyperlink"/>
          <w:color w:val="auto"/>
          <w:szCs w:val="22"/>
          <w:u w:val="none"/>
        </w:rPr>
      </w:pPr>
    </w:p>
    <w:p w14:paraId="26E19D21" w14:textId="64FCA9F8" w:rsidR="00275B6C" w:rsidRPr="00355266" w:rsidRDefault="00355266" w:rsidP="00C24752">
      <w:pPr>
        <w:rPr>
          <w:b/>
          <w:szCs w:val="22"/>
        </w:rPr>
      </w:pPr>
      <w:r>
        <w:rPr>
          <w:b/>
          <w:szCs w:val="22"/>
        </w:rPr>
        <w:t xml:space="preserve">Treatment phase: </w:t>
      </w:r>
      <w:r w:rsidR="00275B6C" w:rsidRPr="00D72F46">
        <w:rPr>
          <w:szCs w:val="22"/>
        </w:rPr>
        <w:t>Continuing treatment</w:t>
      </w:r>
    </w:p>
    <w:p w14:paraId="51CAB796" w14:textId="2F28681B" w:rsidR="00275B6C" w:rsidRPr="00355266" w:rsidRDefault="00275B6C" w:rsidP="00C24752">
      <w:pPr>
        <w:rPr>
          <w:b/>
          <w:szCs w:val="22"/>
        </w:rPr>
      </w:pPr>
      <w:r w:rsidRPr="00CE700D">
        <w:rPr>
          <w:b/>
          <w:szCs w:val="22"/>
        </w:rPr>
        <w:t xml:space="preserve">Treatment criteria: </w:t>
      </w:r>
      <w:r w:rsidRPr="00355266">
        <w:rPr>
          <w:szCs w:val="22"/>
        </w:rPr>
        <w:t xml:space="preserve">Must be treated by a nephrologist or in consultation with a nephrologist. </w:t>
      </w:r>
    </w:p>
    <w:p w14:paraId="68F1CCA2" w14:textId="77777777" w:rsidR="00275B6C" w:rsidRPr="00CE700D" w:rsidRDefault="00275B6C" w:rsidP="00C24752">
      <w:pPr>
        <w:rPr>
          <w:b/>
          <w:szCs w:val="22"/>
        </w:rPr>
      </w:pPr>
      <w:r w:rsidRPr="00CE700D">
        <w:rPr>
          <w:b/>
          <w:szCs w:val="22"/>
        </w:rPr>
        <w:t xml:space="preserve">Clinical criteria: </w:t>
      </w:r>
    </w:p>
    <w:p w14:paraId="1F444635" w14:textId="77777777" w:rsidR="00275B6C" w:rsidRPr="00275B6C" w:rsidRDefault="00275B6C" w:rsidP="00C24752">
      <w:pPr>
        <w:pStyle w:val="ListParagraph"/>
        <w:numPr>
          <w:ilvl w:val="0"/>
          <w:numId w:val="12"/>
        </w:numPr>
        <w:rPr>
          <w:szCs w:val="22"/>
        </w:rPr>
      </w:pPr>
      <w:r w:rsidRPr="00275B6C">
        <w:rPr>
          <w:szCs w:val="22"/>
        </w:rPr>
        <w:t xml:space="preserve">Patient must have previously received PBS-subsidised treatment with this drug for this condition, </w:t>
      </w:r>
    </w:p>
    <w:p w14:paraId="1946338D" w14:textId="134B679A" w:rsidR="00275B6C" w:rsidRPr="00D72F46" w:rsidRDefault="00275B6C" w:rsidP="002D0FF7">
      <w:pPr>
        <w:rPr>
          <w:szCs w:val="22"/>
        </w:rPr>
      </w:pPr>
      <w:r w:rsidRPr="00D72F46">
        <w:rPr>
          <w:szCs w:val="22"/>
        </w:rPr>
        <w:t>AND</w:t>
      </w:r>
    </w:p>
    <w:p w14:paraId="353468F6" w14:textId="77777777" w:rsidR="00275B6C" w:rsidRPr="00275B6C" w:rsidRDefault="00275B6C" w:rsidP="00C24752">
      <w:pPr>
        <w:pStyle w:val="ListParagraph"/>
        <w:numPr>
          <w:ilvl w:val="0"/>
          <w:numId w:val="12"/>
        </w:numPr>
        <w:rPr>
          <w:szCs w:val="22"/>
        </w:rPr>
      </w:pPr>
      <w:r w:rsidRPr="00275B6C">
        <w:rPr>
          <w:szCs w:val="22"/>
        </w:rPr>
        <w:t>Patient must not have end-stage renal disease defined as an estimated glomerular filtration rate (eGFR) of less than 15 mL/min/1.73m</w:t>
      </w:r>
      <w:r w:rsidRPr="00275B6C">
        <w:rPr>
          <w:szCs w:val="22"/>
          <w:vertAlign w:val="superscript"/>
        </w:rPr>
        <w:t>2</w:t>
      </w:r>
      <w:r w:rsidRPr="00275B6C">
        <w:rPr>
          <w:szCs w:val="22"/>
        </w:rPr>
        <w:t xml:space="preserve">, </w:t>
      </w:r>
    </w:p>
    <w:p w14:paraId="36AB7CCF" w14:textId="0CB89189" w:rsidR="00275B6C" w:rsidRPr="00D72F46" w:rsidRDefault="00275B6C" w:rsidP="002D0FF7">
      <w:pPr>
        <w:rPr>
          <w:szCs w:val="22"/>
        </w:rPr>
      </w:pPr>
      <w:r w:rsidRPr="00D72F46">
        <w:rPr>
          <w:szCs w:val="22"/>
        </w:rPr>
        <w:t>AND</w:t>
      </w:r>
    </w:p>
    <w:p w14:paraId="4F0F6555" w14:textId="0C38E4A1" w:rsidR="00275B6C" w:rsidRPr="00355266" w:rsidRDefault="00275B6C" w:rsidP="00C24752">
      <w:pPr>
        <w:pStyle w:val="ListParagraph"/>
        <w:numPr>
          <w:ilvl w:val="0"/>
          <w:numId w:val="12"/>
        </w:numPr>
        <w:rPr>
          <w:rStyle w:val="Hyperlink"/>
          <w:color w:val="auto"/>
          <w:szCs w:val="22"/>
          <w:u w:val="none"/>
        </w:rPr>
      </w:pPr>
      <w:r w:rsidRPr="00275B6C">
        <w:rPr>
          <w:szCs w:val="22"/>
        </w:rPr>
        <w:t>Patient must not have had a kidney transplant.</w:t>
      </w:r>
    </w:p>
    <w:p w14:paraId="6B35A86E" w14:textId="232129A2" w:rsidR="0039640D" w:rsidRDefault="00CE700D" w:rsidP="00C24752">
      <w:pPr>
        <w:rPr>
          <w:rStyle w:val="Hyperlink"/>
        </w:rPr>
      </w:pPr>
      <w:r w:rsidRPr="006775F1" w:rsidDel="00EE2BBB">
        <w:t xml:space="preserve">For </w:t>
      </w:r>
      <w:r w:rsidDel="00EE2BBB">
        <w:t xml:space="preserve">details of the current PBS listing refer to the </w:t>
      </w:r>
      <w:hyperlink r:id="rId11" w:history="1">
        <w:r w:rsidRPr="00645D51" w:rsidDel="00EE2BBB">
          <w:rPr>
            <w:rStyle w:val="Hyperlink"/>
          </w:rPr>
          <w:t>PBS website</w:t>
        </w:r>
      </w:hyperlink>
      <w:r w:rsidDel="00EE2BBB">
        <w:rPr>
          <w:rStyle w:val="Hyperlink"/>
        </w:rPr>
        <w:t>.</w:t>
      </w:r>
    </w:p>
    <w:p w14:paraId="4A46DF54" w14:textId="77777777" w:rsidR="00250047" w:rsidRPr="00CE700D" w:rsidDel="00EE2BBB" w:rsidRDefault="00250047" w:rsidP="00C24752">
      <w:pPr>
        <w:rPr>
          <w:color w:val="0000FF" w:themeColor="hyperlink"/>
          <w:u w:val="single"/>
        </w:rPr>
      </w:pPr>
    </w:p>
    <w:p w14:paraId="1C71A392" w14:textId="77777777" w:rsidR="001815A3" w:rsidRDefault="001815A3">
      <w:pPr>
        <w:spacing w:line="276" w:lineRule="auto"/>
        <w:rPr>
          <w:b/>
          <w:i/>
          <w:szCs w:val="28"/>
        </w:rPr>
      </w:pPr>
      <w:r>
        <w:br w:type="page"/>
      </w:r>
    </w:p>
    <w:p w14:paraId="509ADFEB" w14:textId="7751E957" w:rsidR="009C35F2" w:rsidRDefault="009C35F2" w:rsidP="00CF5E22">
      <w:pPr>
        <w:pStyle w:val="Heading3"/>
      </w:pPr>
      <w:r w:rsidRPr="00675BB1" w:rsidDel="00EE2BBB">
        <w:lastRenderedPageBreak/>
        <w:t>Date of listing on PBS</w:t>
      </w:r>
    </w:p>
    <w:p w14:paraId="31EA00AB" w14:textId="1933A2BB" w:rsidR="00250047" w:rsidRPr="00AB199C" w:rsidDel="00EE2BBB" w:rsidRDefault="00275B6C" w:rsidP="00C02CED">
      <w:r>
        <w:t>Tolvaptan was PBS listed</w:t>
      </w:r>
      <w:r w:rsidR="00355266">
        <w:t xml:space="preserve"> 1 January 2019</w:t>
      </w:r>
      <w:r>
        <w:t xml:space="preserve">. </w:t>
      </w:r>
    </w:p>
    <w:p w14:paraId="39EF75ED" w14:textId="73256AB5" w:rsidR="00675BB1" w:rsidRPr="00675BB1" w:rsidDel="00EE2BBB" w:rsidRDefault="00675BB1" w:rsidP="00CF5E22">
      <w:pPr>
        <w:pStyle w:val="Heading3"/>
      </w:pPr>
      <w:r w:rsidRPr="00675BB1" w:rsidDel="00EE2BBB">
        <w:t>Changes to listing</w:t>
      </w:r>
    </w:p>
    <w:p w14:paraId="55E63B03" w14:textId="4DAC0C13" w:rsidR="003743E6" w:rsidRDefault="003743E6" w:rsidP="00A35800">
      <w:r w:rsidRPr="003743E6">
        <w:rPr>
          <w:b/>
          <w:i/>
        </w:rPr>
        <w:t>1 April 2020:</w:t>
      </w:r>
      <w:r>
        <w:t xml:space="preserve"> The initial treatment phase was changed from Authority Requ</w:t>
      </w:r>
      <w:r w:rsidR="00EB2F14">
        <w:t>ired (Written) to Authority Required (Telephone/E</w:t>
      </w:r>
      <w:r>
        <w:t xml:space="preserve">lectronic). The PBAC recommended this change at its November 2019 Meeting. </w:t>
      </w:r>
    </w:p>
    <w:p w14:paraId="306162B6" w14:textId="5CB2C056" w:rsidR="003743E6" w:rsidDel="00EE2BBB" w:rsidRDefault="003743E6" w:rsidP="00A35800">
      <w:r w:rsidRPr="003743E6">
        <w:rPr>
          <w:b/>
          <w:i/>
        </w:rPr>
        <w:t>1 June 2021:</w:t>
      </w:r>
      <w:r>
        <w:rPr>
          <w:b/>
        </w:rPr>
        <w:t xml:space="preserve"> </w:t>
      </w:r>
      <w:r w:rsidRPr="003743E6">
        <w:t>Listing was extended to include 15</w:t>
      </w:r>
      <w:r>
        <w:t xml:space="preserve"> mg and 30 mg tablets. The PBAC recommended the extension of listing at its November 2019 PBAC Meeting. </w:t>
      </w:r>
    </w:p>
    <w:p w14:paraId="64C94A85" w14:textId="0279637B" w:rsidR="00BF544D" w:rsidRPr="002F61CA" w:rsidDel="00EE2BBB" w:rsidRDefault="00BF544D" w:rsidP="00BF544D">
      <w:r w:rsidRPr="002F61CA" w:rsidDel="00EE2BBB">
        <w:t xml:space="preserve">Current PBS listing details are available from </w:t>
      </w:r>
      <w:r w:rsidDel="00EE2BBB">
        <w:t xml:space="preserve">the </w:t>
      </w:r>
      <w:hyperlink r:id="rId12" w:history="1">
        <w:r w:rsidRPr="00645D51" w:rsidDel="00EE2BBB">
          <w:rPr>
            <w:rStyle w:val="Hyperlink"/>
          </w:rPr>
          <w:t>PBS website</w:t>
        </w:r>
      </w:hyperlink>
      <w:r w:rsidDel="00EE2BBB">
        <w:t>.</w:t>
      </w:r>
    </w:p>
    <w:p w14:paraId="74B06FB9" w14:textId="77777777" w:rsidR="00250047" w:rsidRDefault="00250047">
      <w:pPr>
        <w:spacing w:line="276" w:lineRule="auto"/>
        <w:rPr>
          <w:b/>
          <w:sz w:val="28"/>
        </w:rPr>
      </w:pPr>
      <w:r>
        <w:br w:type="page"/>
      </w:r>
    </w:p>
    <w:p w14:paraId="6500A345" w14:textId="0FDEE2D3" w:rsidR="00B65492" w:rsidRDefault="00CE700D" w:rsidP="009B03E0">
      <w:pPr>
        <w:pStyle w:val="Heading2"/>
      </w:pPr>
      <w:r>
        <w:lastRenderedPageBreak/>
        <w:t>Approach taken to estimate utilisation</w:t>
      </w:r>
    </w:p>
    <w:p w14:paraId="393BFD4D" w14:textId="4D9DDE45" w:rsidR="00D27B64" w:rsidRPr="00D27B64" w:rsidRDefault="00D27B64" w:rsidP="00951867">
      <w:pPr>
        <w:rPr>
          <w:b/>
        </w:rPr>
      </w:pPr>
      <w:r>
        <w:rPr>
          <w:b/>
        </w:rPr>
        <w:t xml:space="preserve">March 2017 PBAC Meeting </w:t>
      </w:r>
    </w:p>
    <w:p w14:paraId="75226DF9" w14:textId="0D0108DA" w:rsidR="00AE7E9E" w:rsidRDefault="00AE7E9E" w:rsidP="00775CD0">
      <w:r>
        <w:t>The submission u</w:t>
      </w:r>
      <w:r w:rsidR="00C90FB1">
        <w:t>sed an epidemiological approach</w:t>
      </w:r>
      <w:r>
        <w:t xml:space="preserve"> </w:t>
      </w:r>
      <w:r w:rsidR="00C90FB1">
        <w:t>and assumed</w:t>
      </w:r>
      <w:r w:rsidR="00250047">
        <w:t xml:space="preserve"> the prevalence </w:t>
      </w:r>
      <w:r w:rsidR="00A8163E">
        <w:t xml:space="preserve">of ADPKD would </w:t>
      </w:r>
      <w:r w:rsidR="00250047">
        <w:t>remain</w:t>
      </w:r>
      <w:r>
        <w:t xml:space="preserve"> consta</w:t>
      </w:r>
      <w:r w:rsidR="00A8163E">
        <w:t xml:space="preserve">nt throughout Years 1 to </w:t>
      </w:r>
      <w:r>
        <w:t xml:space="preserve">5. </w:t>
      </w:r>
      <w:r w:rsidR="00F86FC7">
        <w:t xml:space="preserve">The </w:t>
      </w:r>
      <w:r w:rsidR="00A8163E">
        <w:t xml:space="preserve">submission </w:t>
      </w:r>
      <w:r w:rsidR="00F86FC7">
        <w:t xml:space="preserve">estimated </w:t>
      </w:r>
      <w:r w:rsidR="00A8163E">
        <w:t xml:space="preserve">a </w:t>
      </w:r>
      <w:r w:rsidR="00F86FC7">
        <w:t xml:space="preserve">prevalence of 330 to 390 per million </w:t>
      </w:r>
      <w:r w:rsidR="00733820">
        <w:t xml:space="preserve">population, based on an unpublished </w:t>
      </w:r>
      <w:r w:rsidR="00106A60">
        <w:t xml:space="preserve">European </w:t>
      </w:r>
      <w:r w:rsidR="00F86FC7">
        <w:t>systemat</w:t>
      </w:r>
      <w:r w:rsidR="00733820">
        <w:t>ic review by Willey et al</w:t>
      </w:r>
      <w:r w:rsidR="00F86FC7">
        <w:t>.</w:t>
      </w:r>
      <w:bookmarkStart w:id="1" w:name="_Ref79661984"/>
      <w:r w:rsidR="00BB26D0">
        <w:rPr>
          <w:rStyle w:val="FootnoteReference"/>
        </w:rPr>
        <w:footnoteReference w:id="8"/>
      </w:r>
      <w:bookmarkEnd w:id="1"/>
      <w:r w:rsidR="00F86FC7">
        <w:t xml:space="preserve"> </w:t>
      </w:r>
      <w:r>
        <w:t>Th</w:t>
      </w:r>
      <w:r w:rsidR="00A8163E">
        <w:t>e approach disregarded incident patients</w:t>
      </w:r>
      <w:r>
        <w:t xml:space="preserve"> and discontinuation due to death or progression to ESRD. The submission considered</w:t>
      </w:r>
      <w:r w:rsidR="00C90FB1">
        <w:t xml:space="preserve"> the approach to be appropriate</w:t>
      </w:r>
      <w:r>
        <w:t xml:space="preserve"> </w:t>
      </w:r>
      <w:r w:rsidR="00C90FB1">
        <w:t>du</w:t>
      </w:r>
      <w:r w:rsidR="00441053">
        <w:t>e to the small</w:t>
      </w:r>
      <w:r w:rsidR="004B0336">
        <w:t xml:space="preserve"> number of</w:t>
      </w:r>
      <w:r w:rsidR="00441053">
        <w:t xml:space="preserve"> </w:t>
      </w:r>
      <w:r w:rsidR="004B0336">
        <w:t>incident patients</w:t>
      </w:r>
      <w:r w:rsidR="00441053">
        <w:t xml:space="preserve"> </w:t>
      </w:r>
      <w:r w:rsidR="00C90FB1">
        <w:t xml:space="preserve">and </w:t>
      </w:r>
      <w:r w:rsidR="00250047">
        <w:t xml:space="preserve">the </w:t>
      </w:r>
      <w:r w:rsidR="00C90FB1">
        <w:t xml:space="preserve">chronic </w:t>
      </w:r>
      <w:r w:rsidR="00B65492">
        <w:t>and non-curative nature</w:t>
      </w:r>
      <w:r w:rsidR="00250047" w:rsidRPr="00250047">
        <w:t xml:space="preserve"> </w:t>
      </w:r>
      <w:r w:rsidR="00250047">
        <w:t>of the disease</w:t>
      </w:r>
      <w:r w:rsidR="00B65492">
        <w:t xml:space="preserve">. The submission </w:t>
      </w:r>
      <w:r w:rsidR="00C90FB1">
        <w:t xml:space="preserve">assumed </w:t>
      </w:r>
      <w:r w:rsidR="00B65492">
        <w:t xml:space="preserve">the number of </w:t>
      </w:r>
      <w:r>
        <w:t xml:space="preserve">newly diagnosed cases and death/progression to ESRD </w:t>
      </w:r>
      <w:r w:rsidR="00B65492">
        <w:t xml:space="preserve">would </w:t>
      </w:r>
      <w:r>
        <w:t>cancel each other</w:t>
      </w:r>
      <w:r w:rsidR="00B65492" w:rsidRPr="00B65492">
        <w:t xml:space="preserve"> </w:t>
      </w:r>
      <w:r w:rsidR="00B65492">
        <w:t>out</w:t>
      </w:r>
      <w:r>
        <w:t xml:space="preserve">.  </w:t>
      </w:r>
    </w:p>
    <w:p w14:paraId="38203B28" w14:textId="6D970400" w:rsidR="00F86FC7" w:rsidRDefault="00F86FC7" w:rsidP="0050168F">
      <w:r>
        <w:t xml:space="preserve">Proposed eligibility criteria included a confirmed diagnosis of ADPKD with CKD </w:t>
      </w:r>
      <w:r w:rsidR="002F3745">
        <w:t xml:space="preserve">stage 1 to 3 </w:t>
      </w:r>
      <w:r>
        <w:t xml:space="preserve">and the patient to have </w:t>
      </w:r>
      <w:r w:rsidR="00900C01">
        <w:t xml:space="preserve">had </w:t>
      </w:r>
      <w:r>
        <w:t>rapidly progressing disease as assessed on the</w:t>
      </w:r>
      <w:r w:rsidR="002F3745">
        <w:t xml:space="preserve"> rate of annual GFR changes or</w:t>
      </w:r>
      <w:r w:rsidR="00106A60">
        <w:t xml:space="preserve"> Mayo classification (1C to 1E</w:t>
      </w:r>
      <w:r>
        <w:t>).</w:t>
      </w:r>
      <w:r w:rsidR="00106A60">
        <w:rPr>
          <w:rStyle w:val="FootnoteReference"/>
        </w:rPr>
        <w:footnoteReference w:id="9"/>
      </w:r>
      <w:r>
        <w:t xml:space="preserve"> </w:t>
      </w:r>
    </w:p>
    <w:p w14:paraId="5EBBE959" w14:textId="16B9CEDA" w:rsidR="0053684E" w:rsidRDefault="00625FC5" w:rsidP="0050168F">
      <w:r>
        <w:t xml:space="preserve">The submission assumed </w:t>
      </w:r>
      <w:r w:rsidR="0003123F">
        <w:t xml:space="preserve">uptake rates to be </w:t>
      </w:r>
      <w:r w:rsidR="00B45F04" w:rsidRPr="005C0050">
        <w:rPr>
          <w:highlight w:val="black"/>
        </w:rPr>
        <w:t>xx</w:t>
      </w:r>
      <w:r w:rsidR="0003123F">
        <w:t xml:space="preserve">% in Year 1 and up to </w:t>
      </w:r>
      <w:r w:rsidR="00B45F04" w:rsidRPr="005C0050">
        <w:rPr>
          <w:highlight w:val="black"/>
        </w:rPr>
        <w:t>xx</w:t>
      </w:r>
      <w:r w:rsidR="0003123F">
        <w:t>% in Year 5.</w:t>
      </w:r>
      <w:r>
        <w:t xml:space="preserve"> </w:t>
      </w:r>
    </w:p>
    <w:p w14:paraId="4DE677D7" w14:textId="0B520261" w:rsidR="00625FC5" w:rsidRDefault="0053684E" w:rsidP="0050168F">
      <w:r>
        <w:t>To estimate the number of tolvaptan packs dispensed, the submission assumed all combination dose packs (15 mg + 45 mg,</w:t>
      </w:r>
      <w:r w:rsidR="00441053">
        <w:t xml:space="preserve"> 30 mg + 60 mg, 30 mg + 90 mg) were</w:t>
      </w:r>
      <w:r>
        <w:t xml:space="preserve"> sufficient for 28 days of therapy. A year of full therapy compliance would require 13.04 packs. </w:t>
      </w:r>
    </w:p>
    <w:p w14:paraId="12D161D4" w14:textId="77777777" w:rsidR="006771E1" w:rsidRDefault="0053684E" w:rsidP="00CE700D">
      <w:r>
        <w:t>Additionally, t</w:t>
      </w:r>
      <w:r w:rsidR="0003123F">
        <w:t xml:space="preserve">he submission presented three alternative estimates based </w:t>
      </w:r>
      <w:r w:rsidR="004B0336">
        <w:t xml:space="preserve">on more restricted populations: </w:t>
      </w:r>
    </w:p>
    <w:p w14:paraId="3CD6C21B" w14:textId="0CBCA1D6" w:rsidR="006771E1" w:rsidRDefault="0003123F" w:rsidP="006771E1">
      <w:pPr>
        <w:pStyle w:val="ListParagraph"/>
        <w:numPr>
          <w:ilvl w:val="0"/>
          <w:numId w:val="12"/>
        </w:numPr>
      </w:pPr>
      <w:r>
        <w:t>excluding patients with well-preserved renal function (CKD</w:t>
      </w:r>
      <w:r w:rsidRPr="002F3745">
        <w:t xml:space="preserve"> </w:t>
      </w:r>
      <w:r w:rsidR="006771E1">
        <w:t xml:space="preserve">Stage 1) </w:t>
      </w:r>
    </w:p>
    <w:p w14:paraId="4358D2E7" w14:textId="7074B89A" w:rsidR="006771E1" w:rsidRDefault="006771E1" w:rsidP="006771E1">
      <w:pPr>
        <w:pStyle w:val="ListParagraph"/>
        <w:numPr>
          <w:ilvl w:val="0"/>
          <w:numId w:val="12"/>
        </w:numPr>
      </w:pPr>
      <w:r>
        <w:t xml:space="preserve">excluding patients </w:t>
      </w:r>
      <w:r w:rsidR="00952737">
        <w:t xml:space="preserve">with </w:t>
      </w:r>
      <w:r>
        <w:t>l</w:t>
      </w:r>
      <w:r w:rsidR="0003123F">
        <w:t xml:space="preserve">ess rapidly progressing disease (Mayo class 1C), </w:t>
      </w:r>
    </w:p>
    <w:p w14:paraId="3292D1D7" w14:textId="564F3AD3" w:rsidR="0003123F" w:rsidRDefault="006771E1" w:rsidP="006771E1">
      <w:pPr>
        <w:pStyle w:val="ListParagraph"/>
        <w:numPr>
          <w:ilvl w:val="0"/>
          <w:numId w:val="12"/>
        </w:numPr>
      </w:pPr>
      <w:r>
        <w:t xml:space="preserve">excluding patients with </w:t>
      </w:r>
      <w:r w:rsidRPr="00952737">
        <w:t>both</w:t>
      </w:r>
      <w:r>
        <w:t xml:space="preserve"> well-preserved renal function (CKD Stage 1) and less rapidly progressing disease (Mayo class 1C) </w:t>
      </w:r>
    </w:p>
    <w:p w14:paraId="42C09003" w14:textId="5EF68680" w:rsidR="0092386B" w:rsidRDefault="0092386B" w:rsidP="00CE700D">
      <w:r>
        <w:t xml:space="preserve">The submission was considered by DUSC. DUSC considered the </w:t>
      </w:r>
      <w:r w:rsidR="00EC2ECE">
        <w:t>estimates presented</w:t>
      </w:r>
      <w:r w:rsidR="00D27B64">
        <w:t xml:space="preserve"> to be </w:t>
      </w:r>
      <w:r>
        <w:t xml:space="preserve">underestimated and identified the following issues: </w:t>
      </w:r>
    </w:p>
    <w:p w14:paraId="06AA907E" w14:textId="24369A54" w:rsidR="000F01FB" w:rsidRDefault="000F01FB" w:rsidP="0092386B">
      <w:pPr>
        <w:pStyle w:val="ListParagraph"/>
        <w:numPr>
          <w:ilvl w:val="0"/>
          <w:numId w:val="12"/>
        </w:numPr>
      </w:pPr>
      <w:r>
        <w:t xml:space="preserve">Given the uncertainty and potential variability in the prevalence of ADPKD, the prevalent population may be larger than estimated. </w:t>
      </w:r>
    </w:p>
    <w:p w14:paraId="46A1B1E8" w14:textId="66A5EE0F" w:rsidR="0092386B" w:rsidRDefault="0092386B" w:rsidP="0092386B">
      <w:pPr>
        <w:pStyle w:val="ListParagraph"/>
        <w:numPr>
          <w:ilvl w:val="0"/>
          <w:numId w:val="12"/>
        </w:numPr>
      </w:pPr>
      <w:r>
        <w:t xml:space="preserve">The Mayo classification system may not be appropriate and there may be difficulties effectively implementing it into practice to identify the eligible patient population in Australia. </w:t>
      </w:r>
    </w:p>
    <w:p w14:paraId="4E1DF36F" w14:textId="6F1B2A4F" w:rsidR="0092386B" w:rsidRDefault="0092386B" w:rsidP="0092386B">
      <w:pPr>
        <w:pStyle w:val="ListParagraph"/>
        <w:numPr>
          <w:ilvl w:val="0"/>
          <w:numId w:val="12"/>
        </w:numPr>
      </w:pPr>
      <w:r>
        <w:t xml:space="preserve">The expected initiation </w:t>
      </w:r>
      <w:r w:rsidR="000F01FB">
        <w:t>rates (</w:t>
      </w:r>
      <w:r w:rsidR="00B45F04" w:rsidRPr="005C0050">
        <w:rPr>
          <w:highlight w:val="black"/>
        </w:rPr>
        <w:t>xx</w:t>
      </w:r>
      <w:r w:rsidR="00B45F04" w:rsidDel="00B45F04">
        <w:t xml:space="preserve"> </w:t>
      </w:r>
      <w:r w:rsidR="000F01FB">
        <w:t xml:space="preserve">% in first year, </w:t>
      </w:r>
      <w:r w:rsidR="00B45F04" w:rsidRPr="005C0050">
        <w:rPr>
          <w:highlight w:val="black"/>
        </w:rPr>
        <w:t>xx</w:t>
      </w:r>
      <w:r w:rsidR="000F01FB">
        <w:t xml:space="preserve">% in later years) may be underestimated as tolvaptan is the first disease-modifying therapy for ADPKD. </w:t>
      </w:r>
    </w:p>
    <w:p w14:paraId="17BBCE5B" w14:textId="012B62B0" w:rsidR="000F01FB" w:rsidRDefault="000F01FB" w:rsidP="0092386B">
      <w:pPr>
        <w:pStyle w:val="ListParagraph"/>
        <w:numPr>
          <w:ilvl w:val="0"/>
          <w:numId w:val="12"/>
        </w:numPr>
      </w:pPr>
      <w:r>
        <w:t xml:space="preserve">The potential for use outside the requested restriction in patients with slow disease progression or </w:t>
      </w:r>
      <w:proofErr w:type="gramStart"/>
      <w:r>
        <w:t>early stage</w:t>
      </w:r>
      <w:proofErr w:type="gramEnd"/>
      <w:r>
        <w:t xml:space="preserve"> disease. </w:t>
      </w:r>
    </w:p>
    <w:p w14:paraId="7875AACA" w14:textId="554E7843" w:rsidR="000F01FB" w:rsidRDefault="000F01FB" w:rsidP="0092386B">
      <w:pPr>
        <w:pStyle w:val="ListParagraph"/>
        <w:numPr>
          <w:ilvl w:val="0"/>
          <w:numId w:val="12"/>
        </w:numPr>
      </w:pPr>
      <w:r>
        <w:lastRenderedPageBreak/>
        <w:t xml:space="preserve">There were no stopping criteria, and it was uncertain if patients would cease treatment if they progressed to CKD stage 4 or if the rate of disease progression decreased. </w:t>
      </w:r>
    </w:p>
    <w:p w14:paraId="5E7A5DBD" w14:textId="38279338" w:rsidR="003435E1" w:rsidRDefault="000F01FB" w:rsidP="00D27B64">
      <w:pPr>
        <w:pStyle w:val="ListParagraph"/>
        <w:numPr>
          <w:ilvl w:val="0"/>
          <w:numId w:val="12"/>
        </w:numPr>
      </w:pPr>
      <w:r>
        <w:t xml:space="preserve">There was no age restriction in the requested PBS restriction, while the financial estimates only included patients aged 18 to 60 years inclusive. </w:t>
      </w:r>
    </w:p>
    <w:p w14:paraId="106A0F75" w14:textId="77777777" w:rsidR="00A8163E" w:rsidRDefault="009D5C29" w:rsidP="00A8163E">
      <w:pPr>
        <w:pStyle w:val="ListParagraph"/>
        <w:numPr>
          <w:ilvl w:val="0"/>
          <w:numId w:val="12"/>
        </w:numPr>
      </w:pPr>
      <w:r>
        <w:t>There was no accounting for wastage.</w:t>
      </w:r>
    </w:p>
    <w:p w14:paraId="4418F1AC" w14:textId="21B9377A" w:rsidR="00A8163E" w:rsidRDefault="009D5C29" w:rsidP="00A8163E">
      <w:pPr>
        <w:pStyle w:val="ListParagraph"/>
        <w:numPr>
          <w:ilvl w:val="0"/>
          <w:numId w:val="12"/>
        </w:numPr>
      </w:pPr>
      <w:r w:rsidRPr="00C74F59">
        <w:t>The submission estimated a small additional cost to government due to increased liver function testing with tolvaptan treatment.</w:t>
      </w:r>
      <w:r w:rsidR="00711990">
        <w:t xml:space="preserve"> </w:t>
      </w:r>
      <w:r w:rsidRPr="00C74F59">
        <w:t xml:space="preserve">DUSC advised that the MBS costs would be higher than expected if the number of treated patients per year was higher than estimated. </w:t>
      </w:r>
    </w:p>
    <w:p w14:paraId="6E12AAAD" w14:textId="0A147245" w:rsidR="00250047" w:rsidRPr="00A8163E" w:rsidRDefault="009D5C29" w:rsidP="00F22231">
      <w:pPr>
        <w:pStyle w:val="ListParagraph"/>
        <w:numPr>
          <w:ilvl w:val="0"/>
          <w:numId w:val="12"/>
        </w:numPr>
      </w:pPr>
      <w:r w:rsidRPr="00A8163E">
        <w:rPr>
          <w:szCs w:val="22"/>
        </w:rPr>
        <w:t>The submission also presented the anticipated cost savings associated with avoiding or delaying dialysis and kidney transplant over the lifetime of patients who initiate tolvaptan treatment in the first five years of listing. DUSC agreed with the commentary that any cost saving to government from the avoidance of dialysis would not likely be realised within the five year forward estimates.</w:t>
      </w:r>
    </w:p>
    <w:p w14:paraId="3E34DC4C" w14:textId="77777777" w:rsidR="00A8163E" w:rsidRPr="00A8163E" w:rsidRDefault="00A8163E" w:rsidP="00A8163E">
      <w:pPr>
        <w:pStyle w:val="ListParagraph"/>
      </w:pPr>
    </w:p>
    <w:p w14:paraId="46325129" w14:textId="4BFD3692" w:rsidR="00711990" w:rsidRDefault="00711990" w:rsidP="00CE700D">
      <w:pPr>
        <w:rPr>
          <w:b/>
        </w:rPr>
      </w:pPr>
      <w:r>
        <w:rPr>
          <w:b/>
        </w:rPr>
        <w:t xml:space="preserve">March 2018 PBAC Meeting </w:t>
      </w:r>
    </w:p>
    <w:p w14:paraId="2306E16F" w14:textId="6A441966" w:rsidR="00C13E2D" w:rsidRDefault="00711990" w:rsidP="00C13E2D">
      <w:r w:rsidRPr="00711990">
        <w:t xml:space="preserve">The resubmission used an epidemiological approach, </w:t>
      </w:r>
      <w:proofErr w:type="gramStart"/>
      <w:r w:rsidRPr="00711990">
        <w:t>similar to</w:t>
      </w:r>
      <w:proofErr w:type="gramEnd"/>
      <w:r w:rsidRPr="00711990">
        <w:t xml:space="preserve"> that use</w:t>
      </w:r>
      <w:r w:rsidR="0079312A">
        <w:t xml:space="preserve">d in the March 2017 submission. </w:t>
      </w:r>
      <w:r w:rsidR="00BD364A">
        <w:t>The res</w:t>
      </w:r>
      <w:r w:rsidR="009F45AD">
        <w:t>ubmission retained the prevalence</w:t>
      </w:r>
      <w:r w:rsidR="00BD364A">
        <w:t xml:space="preserve"> of 356 per million </w:t>
      </w:r>
      <w:r w:rsidR="00D03602">
        <w:t>and the prevalence approach where prevalence remains constant over time</w:t>
      </w:r>
      <w:r w:rsidR="00881EA2">
        <w:t>, disregarding</w:t>
      </w:r>
      <w:r w:rsidR="00D03602">
        <w:t xml:space="preserve"> initiating patients and death or progression onto ESRD which were assumed to cancel each other out. </w:t>
      </w:r>
      <w:r w:rsidR="00BD364A">
        <w:t xml:space="preserve"> </w:t>
      </w:r>
    </w:p>
    <w:p w14:paraId="0AA68AEE" w14:textId="19771745" w:rsidR="007E31E0" w:rsidRDefault="0079312A" w:rsidP="008A2F03">
      <w:r>
        <w:t>The Mayo classification was removed from the proposed eligibility criteria</w:t>
      </w:r>
      <w:r w:rsidR="00304331">
        <w:t>. T</w:t>
      </w:r>
      <w:r w:rsidR="007E31E0">
        <w:t>he eligibility</w:t>
      </w:r>
      <w:r w:rsidR="00304331">
        <w:t xml:space="preserve"> </w:t>
      </w:r>
      <w:r w:rsidR="00CD7E24">
        <w:t xml:space="preserve">criteria </w:t>
      </w:r>
      <w:proofErr w:type="gramStart"/>
      <w:r w:rsidR="00304331">
        <w:t>was</w:t>
      </w:r>
      <w:proofErr w:type="gramEnd"/>
      <w:r w:rsidR="00304331">
        <w:t xml:space="preserve"> r</w:t>
      </w:r>
      <w:r w:rsidR="007E31E0">
        <w:t>evised</w:t>
      </w:r>
      <w:r w:rsidR="00CD7E24">
        <w:t xml:space="preserve"> to include</w:t>
      </w:r>
      <w:r>
        <w:t xml:space="preserve"> an absolute rate of eGFR change per year (loss of </w:t>
      </w:r>
      <w:r w:rsidR="007E31E0">
        <w:t xml:space="preserve">2.5 </w:t>
      </w:r>
      <w:r>
        <w:t>mL/min/1.73m</w:t>
      </w:r>
      <w:r w:rsidRPr="007E31E0">
        <w:rPr>
          <w:vertAlign w:val="superscript"/>
        </w:rPr>
        <w:t>2</w:t>
      </w:r>
      <w:r w:rsidR="007E31E0">
        <w:t xml:space="preserve"> or greater). </w:t>
      </w:r>
      <w:r w:rsidR="008A2F03">
        <w:t>The PBS restriction was amended</w:t>
      </w:r>
      <w:r w:rsidR="006D3BDC">
        <w:t xml:space="preserve"> and</w:t>
      </w:r>
      <w:r w:rsidR="008A2F03">
        <w:t xml:space="preserve"> restrict</w:t>
      </w:r>
      <w:r w:rsidR="006D3BDC">
        <w:t>ed</w:t>
      </w:r>
      <w:r w:rsidR="008A2F03">
        <w:t xml:space="preserve"> to patients aged 18 to 60 years inclusive. </w:t>
      </w:r>
      <w:r w:rsidR="007F2FC8">
        <w:t xml:space="preserve">The submission estimated 18.5% of ADPKD patients would meet the PBS eligibility criteria. </w:t>
      </w:r>
      <w:r w:rsidR="00881EA2">
        <w:t xml:space="preserve">The revised eligibility criteria </w:t>
      </w:r>
      <w:r w:rsidR="00663577">
        <w:t>were</w:t>
      </w:r>
      <w:r w:rsidR="00881EA2">
        <w:t xml:space="preserve">: </w:t>
      </w:r>
    </w:p>
    <w:p w14:paraId="5E0566F9" w14:textId="0176024A" w:rsidR="008A2F03" w:rsidRDefault="008A2F03" w:rsidP="008A2F03">
      <w:pPr>
        <w:pStyle w:val="ListParagraph"/>
        <w:numPr>
          <w:ilvl w:val="0"/>
          <w:numId w:val="25"/>
        </w:numPr>
      </w:pPr>
      <w:r>
        <w:t xml:space="preserve">For patients aged 18-50 years, patients must have: </w:t>
      </w:r>
    </w:p>
    <w:p w14:paraId="27428077" w14:textId="593E9648" w:rsidR="008A2F03" w:rsidRDefault="00FA4D56" w:rsidP="008A2F03">
      <w:pPr>
        <w:pStyle w:val="ListParagraph"/>
        <w:numPr>
          <w:ilvl w:val="0"/>
          <w:numId w:val="24"/>
        </w:numPr>
      </w:pPr>
      <w:r>
        <w:t>e</w:t>
      </w:r>
      <w:r w:rsidR="008A2F03">
        <w:t>GFR of 89 to 30 mL/min/1.73 m</w:t>
      </w:r>
      <w:r w:rsidR="008A2F03">
        <w:rPr>
          <w:vertAlign w:val="superscript"/>
        </w:rPr>
        <w:t>2</w:t>
      </w:r>
      <w:r w:rsidR="008A2F03">
        <w:t xml:space="preserve"> after initiation of tolvaptan therapy </w:t>
      </w:r>
    </w:p>
    <w:p w14:paraId="351A031D" w14:textId="58A09C2A" w:rsidR="008A2F03" w:rsidRDefault="00FA4D56" w:rsidP="008A2F03">
      <w:pPr>
        <w:pStyle w:val="ListParagraph"/>
        <w:numPr>
          <w:ilvl w:val="0"/>
          <w:numId w:val="24"/>
        </w:numPr>
      </w:pPr>
      <w:r>
        <w:t>Annualised</w:t>
      </w:r>
      <w:r w:rsidRPr="00FA4D56">
        <w:t xml:space="preserve"> </w:t>
      </w:r>
      <w:r>
        <w:t>eGFR loss of 2.5 mL/min/1.73m</w:t>
      </w:r>
      <w:r>
        <w:rPr>
          <w:vertAlign w:val="superscript"/>
        </w:rPr>
        <w:t>2</w:t>
      </w:r>
      <w:r>
        <w:t xml:space="preserve"> or greater. </w:t>
      </w:r>
    </w:p>
    <w:p w14:paraId="166E7E4A" w14:textId="39A4AE68" w:rsidR="00FA4D56" w:rsidRDefault="00FA4D56" w:rsidP="00FA4D56">
      <w:pPr>
        <w:pStyle w:val="ListParagraph"/>
        <w:numPr>
          <w:ilvl w:val="0"/>
          <w:numId w:val="25"/>
        </w:numPr>
      </w:pPr>
      <w:r>
        <w:t xml:space="preserve">For patients aged 51-55 years, patients must have: </w:t>
      </w:r>
    </w:p>
    <w:p w14:paraId="27EFA81D" w14:textId="284C66BE" w:rsidR="00FA4D56" w:rsidRDefault="00FA4D56" w:rsidP="00FA4D56">
      <w:pPr>
        <w:pStyle w:val="ListParagraph"/>
        <w:numPr>
          <w:ilvl w:val="0"/>
          <w:numId w:val="26"/>
        </w:numPr>
      </w:pPr>
      <w:r>
        <w:t>eGFR of 65 to 30 mL/min/1.73 m</w:t>
      </w:r>
      <w:r w:rsidRPr="00FA4D56">
        <w:rPr>
          <w:vertAlign w:val="superscript"/>
        </w:rPr>
        <w:t>2</w:t>
      </w:r>
      <w:r>
        <w:t xml:space="preserve"> after initiation of tolvaptan therapy </w:t>
      </w:r>
    </w:p>
    <w:p w14:paraId="30112219" w14:textId="77777777" w:rsidR="00FA4D56" w:rsidRDefault="00FA4D56" w:rsidP="00FA4D56">
      <w:pPr>
        <w:pStyle w:val="ListParagraph"/>
        <w:numPr>
          <w:ilvl w:val="0"/>
          <w:numId w:val="26"/>
        </w:numPr>
      </w:pPr>
      <w:r>
        <w:t>Annualised</w:t>
      </w:r>
      <w:r w:rsidRPr="00FA4D56">
        <w:t xml:space="preserve"> </w:t>
      </w:r>
      <w:r>
        <w:t>eGFR loss of 2.5 mL/min/1.73m</w:t>
      </w:r>
      <w:r>
        <w:rPr>
          <w:vertAlign w:val="superscript"/>
        </w:rPr>
        <w:t>2</w:t>
      </w:r>
      <w:r>
        <w:t xml:space="preserve"> or greater. </w:t>
      </w:r>
    </w:p>
    <w:p w14:paraId="1ACFCFE7" w14:textId="3338BA3A" w:rsidR="00FA4D56" w:rsidRDefault="00FA4D56" w:rsidP="00FA4D56">
      <w:pPr>
        <w:pStyle w:val="ListParagraph"/>
        <w:numPr>
          <w:ilvl w:val="0"/>
          <w:numId w:val="25"/>
        </w:numPr>
      </w:pPr>
      <w:r>
        <w:t xml:space="preserve">For patients aged 56-65 years, patients must have: </w:t>
      </w:r>
    </w:p>
    <w:p w14:paraId="31679853" w14:textId="0CB083C4" w:rsidR="00FA4D56" w:rsidRDefault="00FA4D56" w:rsidP="00FA4D56">
      <w:pPr>
        <w:pStyle w:val="ListParagraph"/>
        <w:numPr>
          <w:ilvl w:val="0"/>
          <w:numId w:val="27"/>
        </w:numPr>
      </w:pPr>
      <w:r>
        <w:t>eGFR of 44 to 30 mL/min/1.73 m</w:t>
      </w:r>
      <w:r w:rsidRPr="00FA4D56">
        <w:rPr>
          <w:vertAlign w:val="superscript"/>
        </w:rPr>
        <w:t>2</w:t>
      </w:r>
      <w:r>
        <w:t xml:space="preserve"> after initiation of tolvaptan therapy </w:t>
      </w:r>
    </w:p>
    <w:p w14:paraId="1A2E501A" w14:textId="4ED5A549" w:rsidR="00FA4D56" w:rsidRDefault="00FA4D56" w:rsidP="00FA4D56">
      <w:pPr>
        <w:pStyle w:val="ListParagraph"/>
        <w:numPr>
          <w:ilvl w:val="0"/>
          <w:numId w:val="27"/>
        </w:numPr>
      </w:pPr>
      <w:r>
        <w:t>Annualised</w:t>
      </w:r>
      <w:r w:rsidRPr="00FA4D56">
        <w:t xml:space="preserve"> </w:t>
      </w:r>
      <w:r>
        <w:t>eGFR loss of 2.5 mL/min/1.73m</w:t>
      </w:r>
      <w:r>
        <w:rPr>
          <w:vertAlign w:val="superscript"/>
        </w:rPr>
        <w:t>2</w:t>
      </w:r>
      <w:r>
        <w:t xml:space="preserve"> or greater. </w:t>
      </w:r>
    </w:p>
    <w:p w14:paraId="7B52DFA6" w14:textId="07B6919C" w:rsidR="006D3BDC" w:rsidRDefault="00C13E2D" w:rsidP="00E82009">
      <w:r>
        <w:t xml:space="preserve">Uptake rates increased from </w:t>
      </w:r>
      <w:r w:rsidR="00B45F04" w:rsidRPr="005C0050">
        <w:rPr>
          <w:highlight w:val="black"/>
        </w:rPr>
        <w:t>xx</w:t>
      </w:r>
      <w:r>
        <w:t xml:space="preserve">% in Year 1 to </w:t>
      </w:r>
      <w:r w:rsidR="00B45F04" w:rsidRPr="005C0050">
        <w:rPr>
          <w:highlight w:val="black"/>
        </w:rPr>
        <w:t>xx</w:t>
      </w:r>
      <w:r>
        <w:t xml:space="preserve">% in Year 5 to </w:t>
      </w:r>
      <w:r w:rsidR="00B45F04" w:rsidRPr="005C0050">
        <w:rPr>
          <w:highlight w:val="black"/>
        </w:rPr>
        <w:t>xx</w:t>
      </w:r>
      <w:r>
        <w:t xml:space="preserve">% in Year 1 and </w:t>
      </w:r>
      <w:r w:rsidR="00B45F04" w:rsidRPr="005C0050">
        <w:rPr>
          <w:highlight w:val="black"/>
        </w:rPr>
        <w:t>xx</w:t>
      </w:r>
      <w:r>
        <w:t xml:space="preserve">% in Year 5. </w:t>
      </w:r>
      <w:r w:rsidR="00980505">
        <w:t xml:space="preserve">Cost savings due to avoidance or delay of RRT were not considered in the estimates. </w:t>
      </w:r>
    </w:p>
    <w:p w14:paraId="3C459FAA" w14:textId="47CF6B44" w:rsidR="004D0011" w:rsidRPr="00E82009" w:rsidRDefault="00A8163E" w:rsidP="00E82009">
      <w:r w:rsidRPr="00711990">
        <w:t>The resubmission was not considered by DUSC.</w:t>
      </w:r>
    </w:p>
    <w:p w14:paraId="45369743" w14:textId="77777777" w:rsidR="00B27ABF" w:rsidRDefault="00B27ABF" w:rsidP="00CE700D">
      <w:pPr>
        <w:rPr>
          <w:b/>
        </w:rPr>
      </w:pPr>
    </w:p>
    <w:p w14:paraId="3DA5857C" w14:textId="1503934C" w:rsidR="003841B1" w:rsidRPr="003841B1" w:rsidRDefault="003841B1" w:rsidP="00CE700D">
      <w:pPr>
        <w:rPr>
          <w:b/>
        </w:rPr>
      </w:pPr>
      <w:r>
        <w:rPr>
          <w:b/>
        </w:rPr>
        <w:lastRenderedPageBreak/>
        <w:t>July</w:t>
      </w:r>
      <w:r w:rsidRPr="003841B1">
        <w:rPr>
          <w:b/>
        </w:rPr>
        <w:t xml:space="preserve"> 2018 PBAC Meeting </w:t>
      </w:r>
    </w:p>
    <w:p w14:paraId="700AD2A4" w14:textId="711D2830" w:rsidR="006F51B1" w:rsidRDefault="006F51B1" w:rsidP="006F51B1">
      <w:r>
        <w:t>The minor resubmission include</w:t>
      </w:r>
      <w:r w:rsidR="00227207">
        <w:t>d</w:t>
      </w:r>
      <w:r>
        <w:t xml:space="preserve"> a revised PBS restriction and revised price and financial terms. </w:t>
      </w:r>
    </w:p>
    <w:p w14:paraId="54EB1CD9" w14:textId="29CF749B" w:rsidR="00185E4D" w:rsidRDefault="00185E4D" w:rsidP="006F51B1">
      <w:r>
        <w:t xml:space="preserve">The </w:t>
      </w:r>
      <w:r w:rsidR="007F2FC8">
        <w:t xml:space="preserve">minor </w:t>
      </w:r>
      <w:r>
        <w:t xml:space="preserve">resubmission </w:t>
      </w:r>
      <w:r w:rsidR="0064128D">
        <w:t>revised the</w:t>
      </w:r>
      <w:r>
        <w:t xml:space="preserve"> eGFR change criteria </w:t>
      </w:r>
      <w:r w:rsidR="002F1E36">
        <w:t xml:space="preserve">in the restriction </w:t>
      </w:r>
      <w:r w:rsidR="0064128D">
        <w:t xml:space="preserve">to </w:t>
      </w:r>
      <w:r w:rsidR="002F1E36">
        <w:t>5</w:t>
      </w:r>
      <w:r w:rsidR="007A6947">
        <w:t> </w:t>
      </w:r>
      <w:r w:rsidR="002F1E36">
        <w:t>mL/min/1.73m</w:t>
      </w:r>
      <w:r w:rsidR="002F1E36">
        <w:rPr>
          <w:vertAlign w:val="superscript"/>
        </w:rPr>
        <w:t>2</w:t>
      </w:r>
      <w:r w:rsidR="002F1E36">
        <w:t xml:space="preserve"> in one year or </w:t>
      </w:r>
      <w:r>
        <w:t>2.5 mL/min/1.73m</w:t>
      </w:r>
      <w:r>
        <w:rPr>
          <w:vertAlign w:val="superscript"/>
        </w:rPr>
        <w:t>2</w:t>
      </w:r>
      <w:r w:rsidR="002F1E36">
        <w:t xml:space="preserve"> over 5 years or greater</w:t>
      </w:r>
      <w:r>
        <w:t xml:space="preserve">. </w:t>
      </w:r>
      <w:r w:rsidR="007F2FC8">
        <w:t xml:space="preserve">The proportion of ADPKD patients eligible for tolvaptan PBS treatment eligibility rate was revised from 18.5% to 15%. </w:t>
      </w:r>
    </w:p>
    <w:p w14:paraId="0891E286" w14:textId="77777777" w:rsidR="00B45F04" w:rsidRDefault="00B45F04" w:rsidP="00B45F04">
      <w:r w:rsidRPr="005C0050">
        <w:rPr>
          <w:highlight w:val="black"/>
        </w:rPr>
        <w:t>xxxxxxxxxxxxxxxxxxxxxxxxxxxxxxxxxxxxxxxxxxxxxxxxxxxxxxxxxxxxxxxxxxxxxxxxxxxxxxxxxxxxxxxxxxxxxxx</w:t>
      </w:r>
    </w:p>
    <w:p w14:paraId="5FABD916" w14:textId="77777777" w:rsidR="00B45F04" w:rsidRDefault="00B45F04" w:rsidP="00B45F04">
      <w:r w:rsidRPr="005C0050">
        <w:rPr>
          <w:highlight w:val="black"/>
        </w:rPr>
        <w:t xml:space="preserve">xxxxxxxxxxxxxxxxxxxxxxxxxxxxxxxxxxxxxxxxxxxxxxxxxxxxxxxxxxxxxxxxxxxxxxxxxxxxxxxxxxxxxx xxxxxxxxxxxxxxxxxxxxxxxxxxxxxxxxxxxxxxxxxxxxxxxxxxxxxxxxxxxxxxxxxxxxxxxxxxxxxxxxxxxxxx xxxxxxxxxxxxxxxxxxxxxxxxxxxxxxxxxxxxxxxxxxxxxxxxxxxxxxxxxxxxxxxxxxxxxxxxxxxxxxxxxxxxxx xxxxxxxxxxxxxxxxxxxxxxxxxxxxxxxxxxxxxxxxxxxxxxxxxxxxxxxxxxxxxxxxxxxxxxxxxxxxxxxxxxxxxx xxxxxxxxxxxxxxxxxxxxxxxxxxxxxxxxxxxxxxxxxxxxxxxxxxxxxxxxxxxxxxxxxxxxxxxxxxxxxxxxxxxxxx </w:t>
      </w:r>
      <w:proofErr w:type="spellStart"/>
      <w:r w:rsidRPr="005C0050">
        <w:rPr>
          <w:highlight w:val="black"/>
        </w:rPr>
        <w:t>xxxxxxxxxxxxxxxxxxxxxxxxxxxxxxxxxxxxxxxxxxxxxxxx</w:t>
      </w:r>
      <w:proofErr w:type="spellEnd"/>
    </w:p>
    <w:p w14:paraId="0BAB8D8D" w14:textId="6BCC8767" w:rsidR="00843220" w:rsidRDefault="004F057D" w:rsidP="004F057D">
      <w:pPr>
        <w:pStyle w:val="Tabletitle"/>
        <w:rPr>
          <w:sz w:val="20"/>
        </w:rPr>
      </w:pPr>
      <w:r w:rsidRPr="004F057D">
        <w:rPr>
          <w:sz w:val="20"/>
        </w:rPr>
        <w:t>T</w:t>
      </w:r>
      <w:r>
        <w:rPr>
          <w:sz w:val="20"/>
        </w:rPr>
        <w:t>able 2</w:t>
      </w:r>
      <w:r w:rsidRPr="004F057D">
        <w:rPr>
          <w:sz w:val="20"/>
        </w:rPr>
        <w:t xml:space="preserve">: Revised usage and financial estimates proposed in the July 2018 submission </w:t>
      </w:r>
    </w:p>
    <w:tbl>
      <w:tblPr>
        <w:tblStyle w:val="TableGrid"/>
        <w:tblW w:w="0" w:type="auto"/>
        <w:tblLook w:val="04A0" w:firstRow="1" w:lastRow="0" w:firstColumn="1" w:lastColumn="0" w:noHBand="0" w:noVBand="1"/>
      </w:tblPr>
      <w:tblGrid>
        <w:gridCol w:w="1615"/>
        <w:gridCol w:w="1157"/>
        <w:gridCol w:w="1126"/>
        <w:gridCol w:w="1126"/>
        <w:gridCol w:w="1152"/>
        <w:gridCol w:w="1126"/>
        <w:gridCol w:w="1264"/>
      </w:tblGrid>
      <w:tr w:rsidR="00B45F04" w:rsidRPr="00CD0309" w14:paraId="18F2F88C" w14:textId="77777777" w:rsidTr="000D442B">
        <w:trPr>
          <w:trHeight w:val="209"/>
        </w:trPr>
        <w:tc>
          <w:tcPr>
            <w:tcW w:w="1615" w:type="dxa"/>
          </w:tcPr>
          <w:p w14:paraId="07C6E7DD" w14:textId="77777777" w:rsidR="00B45F04" w:rsidRPr="006908AA" w:rsidRDefault="00B45F04" w:rsidP="00B45F04">
            <w:pPr>
              <w:rPr>
                <w:rFonts w:cstheme="minorHAnsi"/>
                <w:b/>
                <w:sz w:val="20"/>
                <w:szCs w:val="20"/>
              </w:rPr>
            </w:pPr>
          </w:p>
        </w:tc>
        <w:tc>
          <w:tcPr>
            <w:tcW w:w="1157" w:type="dxa"/>
          </w:tcPr>
          <w:p w14:paraId="74B9AE99" w14:textId="77777777" w:rsidR="00B45F04" w:rsidRPr="006908AA" w:rsidRDefault="00B45F04" w:rsidP="00B45F04">
            <w:pPr>
              <w:rPr>
                <w:rFonts w:cstheme="minorHAnsi"/>
                <w:b/>
                <w:sz w:val="20"/>
                <w:szCs w:val="20"/>
              </w:rPr>
            </w:pPr>
            <w:r w:rsidRPr="006908AA">
              <w:rPr>
                <w:rFonts w:cstheme="minorHAnsi"/>
                <w:b/>
                <w:sz w:val="20"/>
                <w:szCs w:val="20"/>
              </w:rPr>
              <w:t>Year 1</w:t>
            </w:r>
          </w:p>
        </w:tc>
        <w:tc>
          <w:tcPr>
            <w:tcW w:w="1126" w:type="dxa"/>
          </w:tcPr>
          <w:p w14:paraId="126C0EF5" w14:textId="77777777" w:rsidR="00B45F04" w:rsidRPr="006908AA" w:rsidRDefault="00B45F04" w:rsidP="00B45F04">
            <w:pPr>
              <w:rPr>
                <w:rFonts w:cstheme="minorHAnsi"/>
                <w:b/>
                <w:sz w:val="20"/>
                <w:szCs w:val="20"/>
              </w:rPr>
            </w:pPr>
            <w:r w:rsidRPr="006908AA">
              <w:rPr>
                <w:rFonts w:cstheme="minorHAnsi"/>
                <w:b/>
                <w:sz w:val="20"/>
                <w:szCs w:val="20"/>
              </w:rPr>
              <w:t xml:space="preserve">Year 2 </w:t>
            </w:r>
          </w:p>
        </w:tc>
        <w:tc>
          <w:tcPr>
            <w:tcW w:w="1126" w:type="dxa"/>
          </w:tcPr>
          <w:p w14:paraId="56868BB8" w14:textId="77777777" w:rsidR="00B45F04" w:rsidRPr="006908AA" w:rsidRDefault="00B45F04" w:rsidP="00B45F04">
            <w:pPr>
              <w:rPr>
                <w:rFonts w:cstheme="minorHAnsi"/>
                <w:b/>
                <w:sz w:val="20"/>
                <w:szCs w:val="20"/>
              </w:rPr>
            </w:pPr>
            <w:r w:rsidRPr="006908AA">
              <w:rPr>
                <w:rFonts w:cstheme="minorHAnsi"/>
                <w:b/>
                <w:sz w:val="20"/>
                <w:szCs w:val="20"/>
              </w:rPr>
              <w:t>Year 3</w:t>
            </w:r>
          </w:p>
        </w:tc>
        <w:tc>
          <w:tcPr>
            <w:tcW w:w="1152" w:type="dxa"/>
          </w:tcPr>
          <w:p w14:paraId="02AAECF6" w14:textId="77777777" w:rsidR="00B45F04" w:rsidRPr="006908AA" w:rsidRDefault="00B45F04" w:rsidP="00B45F04">
            <w:pPr>
              <w:rPr>
                <w:rFonts w:cstheme="minorHAnsi"/>
                <w:b/>
                <w:sz w:val="20"/>
                <w:szCs w:val="20"/>
              </w:rPr>
            </w:pPr>
            <w:r w:rsidRPr="006908AA">
              <w:rPr>
                <w:rFonts w:cstheme="minorHAnsi"/>
                <w:b/>
                <w:sz w:val="20"/>
                <w:szCs w:val="20"/>
              </w:rPr>
              <w:t xml:space="preserve">Year 4 </w:t>
            </w:r>
          </w:p>
        </w:tc>
        <w:tc>
          <w:tcPr>
            <w:tcW w:w="1126" w:type="dxa"/>
          </w:tcPr>
          <w:p w14:paraId="7251480B" w14:textId="77777777" w:rsidR="00B45F04" w:rsidRPr="006908AA" w:rsidRDefault="00B45F04" w:rsidP="00B45F04">
            <w:pPr>
              <w:rPr>
                <w:rFonts w:cstheme="minorHAnsi"/>
                <w:b/>
                <w:sz w:val="20"/>
                <w:szCs w:val="20"/>
              </w:rPr>
            </w:pPr>
            <w:r w:rsidRPr="006908AA">
              <w:rPr>
                <w:rFonts w:cstheme="minorHAnsi"/>
                <w:b/>
                <w:sz w:val="20"/>
                <w:szCs w:val="20"/>
              </w:rPr>
              <w:t xml:space="preserve">Year 5 </w:t>
            </w:r>
          </w:p>
        </w:tc>
        <w:tc>
          <w:tcPr>
            <w:tcW w:w="1260" w:type="dxa"/>
          </w:tcPr>
          <w:p w14:paraId="3345D46C" w14:textId="77777777" w:rsidR="00B45F04" w:rsidRPr="006908AA" w:rsidRDefault="00B45F04" w:rsidP="00B45F04">
            <w:pPr>
              <w:rPr>
                <w:rFonts w:cstheme="minorHAnsi"/>
                <w:b/>
                <w:sz w:val="20"/>
                <w:szCs w:val="20"/>
              </w:rPr>
            </w:pPr>
            <w:r w:rsidRPr="006908AA">
              <w:rPr>
                <w:rFonts w:cstheme="minorHAnsi"/>
                <w:b/>
                <w:sz w:val="20"/>
                <w:szCs w:val="20"/>
              </w:rPr>
              <w:t>Year 6</w:t>
            </w:r>
          </w:p>
        </w:tc>
      </w:tr>
      <w:tr w:rsidR="00B45F04" w:rsidRPr="00CD0309" w14:paraId="045CBF83" w14:textId="77777777" w:rsidTr="000D442B">
        <w:trPr>
          <w:trHeight w:val="848"/>
        </w:trPr>
        <w:tc>
          <w:tcPr>
            <w:tcW w:w="1615" w:type="dxa"/>
          </w:tcPr>
          <w:p w14:paraId="3C35C703" w14:textId="77777777" w:rsidR="00B45F04" w:rsidRPr="006908AA" w:rsidRDefault="00B45F04" w:rsidP="00B45F04">
            <w:pPr>
              <w:rPr>
                <w:rFonts w:cstheme="minorHAnsi"/>
                <w:sz w:val="20"/>
                <w:szCs w:val="20"/>
              </w:rPr>
            </w:pPr>
            <w:r w:rsidRPr="006908AA">
              <w:rPr>
                <w:rFonts w:cstheme="minorHAnsi"/>
                <w:sz w:val="20"/>
                <w:szCs w:val="20"/>
              </w:rPr>
              <w:t xml:space="preserve">Prevalent ADPKD population (356 per million) </w:t>
            </w:r>
          </w:p>
        </w:tc>
        <w:tc>
          <w:tcPr>
            <w:tcW w:w="1157" w:type="dxa"/>
          </w:tcPr>
          <w:p w14:paraId="762081BF"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126" w:type="dxa"/>
          </w:tcPr>
          <w:p w14:paraId="581E7D69"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126" w:type="dxa"/>
          </w:tcPr>
          <w:p w14:paraId="24BE1D42"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152" w:type="dxa"/>
          </w:tcPr>
          <w:p w14:paraId="2C7526F9"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126" w:type="dxa"/>
          </w:tcPr>
          <w:p w14:paraId="2564E890"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260" w:type="dxa"/>
          </w:tcPr>
          <w:p w14:paraId="2B3AA871"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r>
      <w:tr w:rsidR="00B45F04" w:rsidRPr="00CD0309" w14:paraId="5A6AEF84" w14:textId="77777777" w:rsidTr="000D442B">
        <w:trPr>
          <w:trHeight w:val="1268"/>
        </w:trPr>
        <w:tc>
          <w:tcPr>
            <w:tcW w:w="1615" w:type="dxa"/>
          </w:tcPr>
          <w:p w14:paraId="752BAA80" w14:textId="77777777" w:rsidR="00B45F04" w:rsidRPr="006908AA" w:rsidRDefault="00B45F04" w:rsidP="00B45F04">
            <w:pPr>
              <w:rPr>
                <w:rFonts w:cstheme="minorHAnsi"/>
                <w:sz w:val="20"/>
                <w:szCs w:val="20"/>
              </w:rPr>
            </w:pPr>
            <w:r w:rsidRPr="006908AA">
              <w:rPr>
                <w:rFonts w:cstheme="minorHAnsi"/>
                <w:sz w:val="20"/>
                <w:szCs w:val="20"/>
              </w:rPr>
              <w:t>ADPKD patients where a ‘hard cap’ is set to ensure cost-effectiveness (15%)</w:t>
            </w:r>
          </w:p>
        </w:tc>
        <w:tc>
          <w:tcPr>
            <w:tcW w:w="1157" w:type="dxa"/>
          </w:tcPr>
          <w:p w14:paraId="2738ED42"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126" w:type="dxa"/>
          </w:tcPr>
          <w:p w14:paraId="4DF2C116"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126" w:type="dxa"/>
          </w:tcPr>
          <w:p w14:paraId="74E64719"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152" w:type="dxa"/>
          </w:tcPr>
          <w:p w14:paraId="41428FAE"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126" w:type="dxa"/>
          </w:tcPr>
          <w:p w14:paraId="318EDAF5"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260" w:type="dxa"/>
          </w:tcPr>
          <w:p w14:paraId="5072AD30"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r>
      <w:tr w:rsidR="00B45F04" w:rsidRPr="00CD0309" w14:paraId="37FDE2C0" w14:textId="77777777" w:rsidTr="000D442B">
        <w:trPr>
          <w:trHeight w:val="629"/>
        </w:trPr>
        <w:tc>
          <w:tcPr>
            <w:tcW w:w="1615" w:type="dxa"/>
          </w:tcPr>
          <w:p w14:paraId="53737611" w14:textId="77777777" w:rsidR="00B45F04" w:rsidRPr="006908AA" w:rsidRDefault="00B45F04" w:rsidP="00B45F04">
            <w:pPr>
              <w:rPr>
                <w:rFonts w:cstheme="minorHAnsi"/>
                <w:sz w:val="20"/>
                <w:szCs w:val="20"/>
              </w:rPr>
            </w:pPr>
            <w:r w:rsidRPr="006908AA">
              <w:rPr>
                <w:rFonts w:cstheme="minorHAnsi"/>
                <w:sz w:val="20"/>
                <w:szCs w:val="20"/>
              </w:rPr>
              <w:t xml:space="preserve">Tolvaptan estimated initiation rates </w:t>
            </w:r>
          </w:p>
        </w:tc>
        <w:tc>
          <w:tcPr>
            <w:tcW w:w="1157" w:type="dxa"/>
          </w:tcPr>
          <w:p w14:paraId="0F853F39" w14:textId="77777777" w:rsidR="00B45F04" w:rsidRPr="00CB20A9" w:rsidRDefault="00B45F04" w:rsidP="00B45F04">
            <w:pPr>
              <w:rPr>
                <w:rFonts w:cstheme="minorHAnsi"/>
                <w:sz w:val="20"/>
                <w:szCs w:val="20"/>
                <w:highlight w:val="black"/>
              </w:rPr>
            </w:pPr>
            <w:proofErr w:type="spellStart"/>
            <w:r w:rsidRPr="00CB20A9">
              <w:rPr>
                <w:rFonts w:cstheme="minorHAnsi"/>
                <w:sz w:val="20"/>
                <w:szCs w:val="20"/>
                <w:highlight w:val="black"/>
              </w:rPr>
              <w:t>xxxx</w:t>
            </w:r>
            <w:proofErr w:type="spellEnd"/>
          </w:p>
        </w:tc>
        <w:tc>
          <w:tcPr>
            <w:tcW w:w="1126" w:type="dxa"/>
          </w:tcPr>
          <w:p w14:paraId="05D72768" w14:textId="77777777" w:rsidR="00B45F04" w:rsidRPr="00CB20A9" w:rsidRDefault="00B45F04" w:rsidP="00B45F04">
            <w:pPr>
              <w:rPr>
                <w:rFonts w:cstheme="minorHAnsi"/>
                <w:sz w:val="20"/>
                <w:szCs w:val="20"/>
                <w:highlight w:val="black"/>
              </w:rPr>
            </w:pPr>
            <w:r w:rsidRPr="00CB20A9">
              <w:rPr>
                <w:rFonts w:cstheme="minorHAnsi"/>
                <w:sz w:val="20"/>
                <w:szCs w:val="20"/>
                <w:highlight w:val="black"/>
              </w:rPr>
              <w:t>xxx</w:t>
            </w:r>
          </w:p>
        </w:tc>
        <w:tc>
          <w:tcPr>
            <w:tcW w:w="1126" w:type="dxa"/>
          </w:tcPr>
          <w:p w14:paraId="2A0F6F04" w14:textId="77777777" w:rsidR="00B45F04" w:rsidRPr="00CB20A9" w:rsidRDefault="00B45F04" w:rsidP="00B45F04">
            <w:pPr>
              <w:rPr>
                <w:rFonts w:cstheme="minorHAnsi"/>
                <w:sz w:val="20"/>
                <w:szCs w:val="20"/>
                <w:highlight w:val="black"/>
              </w:rPr>
            </w:pPr>
            <w:r w:rsidRPr="00CB20A9">
              <w:rPr>
                <w:rFonts w:cstheme="minorHAnsi"/>
                <w:sz w:val="20"/>
                <w:szCs w:val="20"/>
                <w:highlight w:val="black"/>
              </w:rPr>
              <w:t>xxx</w:t>
            </w:r>
          </w:p>
        </w:tc>
        <w:tc>
          <w:tcPr>
            <w:tcW w:w="1152" w:type="dxa"/>
          </w:tcPr>
          <w:p w14:paraId="2D22A2B4" w14:textId="77777777" w:rsidR="00B45F04" w:rsidRPr="00CB20A9" w:rsidRDefault="00B45F04" w:rsidP="00B45F04">
            <w:pPr>
              <w:rPr>
                <w:rFonts w:cstheme="minorHAnsi"/>
                <w:sz w:val="20"/>
                <w:szCs w:val="20"/>
                <w:highlight w:val="black"/>
              </w:rPr>
            </w:pPr>
            <w:r w:rsidRPr="00CB20A9">
              <w:rPr>
                <w:rFonts w:cstheme="minorHAnsi"/>
                <w:sz w:val="20"/>
                <w:szCs w:val="20"/>
                <w:highlight w:val="black"/>
              </w:rPr>
              <w:t>xxx</w:t>
            </w:r>
          </w:p>
        </w:tc>
        <w:tc>
          <w:tcPr>
            <w:tcW w:w="1126" w:type="dxa"/>
          </w:tcPr>
          <w:p w14:paraId="24C89A5A" w14:textId="77777777" w:rsidR="00B45F04" w:rsidRPr="00CB20A9" w:rsidRDefault="00B45F04" w:rsidP="00B45F04">
            <w:pPr>
              <w:rPr>
                <w:rFonts w:cstheme="minorHAnsi"/>
                <w:sz w:val="20"/>
                <w:szCs w:val="20"/>
                <w:highlight w:val="black"/>
              </w:rPr>
            </w:pPr>
            <w:r w:rsidRPr="00CB20A9">
              <w:rPr>
                <w:rFonts w:cstheme="minorHAnsi"/>
                <w:sz w:val="20"/>
                <w:szCs w:val="20"/>
                <w:highlight w:val="black"/>
              </w:rPr>
              <w:t>xxx</w:t>
            </w:r>
          </w:p>
        </w:tc>
        <w:tc>
          <w:tcPr>
            <w:tcW w:w="1260" w:type="dxa"/>
          </w:tcPr>
          <w:p w14:paraId="3ED622B2" w14:textId="77777777" w:rsidR="00B45F04" w:rsidRPr="00CB20A9" w:rsidRDefault="00B45F04" w:rsidP="00B45F04">
            <w:pPr>
              <w:rPr>
                <w:rFonts w:cstheme="minorHAnsi"/>
                <w:sz w:val="20"/>
                <w:szCs w:val="20"/>
                <w:highlight w:val="black"/>
              </w:rPr>
            </w:pPr>
            <w:r w:rsidRPr="00CB20A9">
              <w:rPr>
                <w:rFonts w:cstheme="minorHAnsi"/>
                <w:sz w:val="20"/>
                <w:szCs w:val="20"/>
                <w:highlight w:val="black"/>
              </w:rPr>
              <w:t>xxx</w:t>
            </w:r>
          </w:p>
        </w:tc>
      </w:tr>
      <w:tr w:rsidR="00B45F04" w:rsidRPr="00CD0309" w14:paraId="60E09B5B" w14:textId="77777777" w:rsidTr="000D442B">
        <w:trPr>
          <w:trHeight w:val="638"/>
        </w:trPr>
        <w:tc>
          <w:tcPr>
            <w:tcW w:w="1615" w:type="dxa"/>
          </w:tcPr>
          <w:p w14:paraId="21F0C2A8" w14:textId="77777777" w:rsidR="00B45F04" w:rsidRPr="006908AA" w:rsidRDefault="00B45F04" w:rsidP="00B45F04">
            <w:pPr>
              <w:rPr>
                <w:rFonts w:cstheme="minorHAnsi"/>
                <w:sz w:val="20"/>
                <w:szCs w:val="20"/>
              </w:rPr>
            </w:pPr>
            <w:r w:rsidRPr="006908AA">
              <w:rPr>
                <w:rFonts w:cstheme="minorHAnsi"/>
                <w:sz w:val="20"/>
                <w:szCs w:val="20"/>
              </w:rPr>
              <w:t xml:space="preserve">Patients initiating treatment </w:t>
            </w:r>
          </w:p>
        </w:tc>
        <w:tc>
          <w:tcPr>
            <w:tcW w:w="1157" w:type="dxa"/>
          </w:tcPr>
          <w:p w14:paraId="2C6877E1"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126" w:type="dxa"/>
          </w:tcPr>
          <w:p w14:paraId="3ECBCC34"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126" w:type="dxa"/>
          </w:tcPr>
          <w:p w14:paraId="2B65BC16"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152" w:type="dxa"/>
          </w:tcPr>
          <w:p w14:paraId="78ED5F9F"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126" w:type="dxa"/>
          </w:tcPr>
          <w:p w14:paraId="457A497A"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260" w:type="dxa"/>
          </w:tcPr>
          <w:p w14:paraId="7F61AAC1"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r>
      <w:tr w:rsidR="00B45F04" w:rsidRPr="00CD0309" w14:paraId="3857E815" w14:textId="77777777" w:rsidTr="000D442B">
        <w:trPr>
          <w:trHeight w:val="839"/>
        </w:trPr>
        <w:tc>
          <w:tcPr>
            <w:tcW w:w="1615" w:type="dxa"/>
          </w:tcPr>
          <w:p w14:paraId="23B4EBF8" w14:textId="77777777" w:rsidR="00B45F04" w:rsidRPr="006908AA" w:rsidRDefault="00B45F04" w:rsidP="00B45F04">
            <w:pPr>
              <w:rPr>
                <w:rFonts w:cstheme="minorHAnsi"/>
                <w:sz w:val="20"/>
                <w:szCs w:val="20"/>
              </w:rPr>
            </w:pPr>
            <w:r w:rsidRPr="006908AA">
              <w:rPr>
                <w:rFonts w:cstheme="minorHAnsi"/>
                <w:sz w:val="20"/>
                <w:szCs w:val="20"/>
              </w:rPr>
              <w:t xml:space="preserve">Treatment persistence for each year of therapy </w:t>
            </w:r>
          </w:p>
        </w:tc>
        <w:tc>
          <w:tcPr>
            <w:tcW w:w="1157" w:type="dxa"/>
          </w:tcPr>
          <w:p w14:paraId="6ECD50DF" w14:textId="77777777" w:rsidR="00B45F04" w:rsidRDefault="00B45F04" w:rsidP="00B45F04">
            <w:pPr>
              <w:rPr>
                <w:rFonts w:cstheme="minorHAnsi"/>
                <w:sz w:val="20"/>
                <w:szCs w:val="20"/>
              </w:rPr>
            </w:pPr>
            <w:r w:rsidRPr="006908AA">
              <w:rPr>
                <w:rFonts w:cstheme="minorHAnsi"/>
                <w:sz w:val="20"/>
                <w:szCs w:val="20"/>
              </w:rPr>
              <w:t>100%</w:t>
            </w:r>
          </w:p>
          <w:p w14:paraId="55A47BAA" w14:textId="77777777" w:rsidR="00B45F04" w:rsidRPr="006908AA" w:rsidRDefault="00B45F04" w:rsidP="00B45F04">
            <w:pPr>
              <w:rPr>
                <w:rFonts w:cstheme="minorHAnsi"/>
                <w:sz w:val="20"/>
                <w:szCs w:val="20"/>
              </w:rPr>
            </w:pPr>
          </w:p>
        </w:tc>
        <w:tc>
          <w:tcPr>
            <w:tcW w:w="1126" w:type="dxa"/>
          </w:tcPr>
          <w:p w14:paraId="2228FDF4" w14:textId="77777777" w:rsidR="00B45F04" w:rsidRDefault="00B45F04" w:rsidP="00B45F04">
            <w:pPr>
              <w:rPr>
                <w:rFonts w:cstheme="minorHAnsi"/>
                <w:sz w:val="20"/>
                <w:szCs w:val="20"/>
              </w:rPr>
            </w:pPr>
            <w:r w:rsidRPr="006908AA">
              <w:rPr>
                <w:rFonts w:cstheme="minorHAnsi"/>
                <w:sz w:val="20"/>
                <w:szCs w:val="20"/>
              </w:rPr>
              <w:t>84.7%</w:t>
            </w:r>
          </w:p>
          <w:p w14:paraId="19A34146" w14:textId="77777777" w:rsidR="00B45F04" w:rsidRPr="006908AA" w:rsidRDefault="00B45F04" w:rsidP="00B45F04">
            <w:pPr>
              <w:rPr>
                <w:rFonts w:cstheme="minorHAnsi"/>
                <w:sz w:val="20"/>
                <w:szCs w:val="20"/>
              </w:rPr>
            </w:pPr>
          </w:p>
        </w:tc>
        <w:tc>
          <w:tcPr>
            <w:tcW w:w="1126" w:type="dxa"/>
          </w:tcPr>
          <w:p w14:paraId="270BE6C9" w14:textId="77777777" w:rsidR="00B45F04" w:rsidRDefault="00B45F04" w:rsidP="00B45F04">
            <w:pPr>
              <w:rPr>
                <w:rFonts w:cstheme="minorHAnsi"/>
                <w:sz w:val="20"/>
                <w:szCs w:val="20"/>
              </w:rPr>
            </w:pPr>
            <w:r w:rsidRPr="006908AA">
              <w:rPr>
                <w:rFonts w:cstheme="minorHAnsi"/>
                <w:sz w:val="20"/>
                <w:szCs w:val="20"/>
              </w:rPr>
              <w:t>80.8%</w:t>
            </w:r>
          </w:p>
          <w:p w14:paraId="0EA16405" w14:textId="77777777" w:rsidR="00B45F04" w:rsidRPr="006908AA" w:rsidRDefault="00B45F04" w:rsidP="00B45F04">
            <w:pPr>
              <w:rPr>
                <w:rFonts w:cstheme="minorHAnsi"/>
                <w:sz w:val="20"/>
                <w:szCs w:val="20"/>
              </w:rPr>
            </w:pPr>
          </w:p>
        </w:tc>
        <w:tc>
          <w:tcPr>
            <w:tcW w:w="1152" w:type="dxa"/>
          </w:tcPr>
          <w:p w14:paraId="6086D3BB" w14:textId="77777777" w:rsidR="00B45F04" w:rsidRDefault="00B45F04" w:rsidP="00B45F04">
            <w:pPr>
              <w:rPr>
                <w:rFonts w:cstheme="minorHAnsi"/>
                <w:sz w:val="20"/>
                <w:szCs w:val="20"/>
              </w:rPr>
            </w:pPr>
            <w:r w:rsidRPr="006908AA">
              <w:rPr>
                <w:rFonts w:cstheme="minorHAnsi"/>
                <w:sz w:val="20"/>
                <w:szCs w:val="20"/>
              </w:rPr>
              <w:t>77.1%</w:t>
            </w:r>
          </w:p>
          <w:p w14:paraId="2F758474" w14:textId="77777777" w:rsidR="00B45F04" w:rsidRPr="006908AA" w:rsidRDefault="00B45F04" w:rsidP="00B45F04">
            <w:pPr>
              <w:rPr>
                <w:rFonts w:cstheme="minorHAnsi"/>
                <w:sz w:val="20"/>
                <w:szCs w:val="20"/>
              </w:rPr>
            </w:pPr>
          </w:p>
        </w:tc>
        <w:tc>
          <w:tcPr>
            <w:tcW w:w="1126" w:type="dxa"/>
          </w:tcPr>
          <w:p w14:paraId="4A670F9C" w14:textId="77777777" w:rsidR="00B45F04" w:rsidRDefault="00B45F04" w:rsidP="00B45F04">
            <w:pPr>
              <w:rPr>
                <w:rFonts w:cstheme="minorHAnsi"/>
                <w:sz w:val="20"/>
                <w:szCs w:val="20"/>
              </w:rPr>
            </w:pPr>
            <w:r w:rsidRPr="006908AA">
              <w:rPr>
                <w:rFonts w:cstheme="minorHAnsi"/>
                <w:sz w:val="20"/>
                <w:szCs w:val="20"/>
              </w:rPr>
              <w:t>73.5%</w:t>
            </w:r>
          </w:p>
          <w:p w14:paraId="6ECEB9B9" w14:textId="77777777" w:rsidR="00B45F04" w:rsidRPr="006908AA" w:rsidRDefault="00B45F04" w:rsidP="00B45F04">
            <w:pPr>
              <w:rPr>
                <w:rFonts w:cstheme="minorHAnsi"/>
                <w:sz w:val="20"/>
                <w:szCs w:val="20"/>
              </w:rPr>
            </w:pPr>
          </w:p>
        </w:tc>
        <w:tc>
          <w:tcPr>
            <w:tcW w:w="1260" w:type="dxa"/>
          </w:tcPr>
          <w:p w14:paraId="0BB7D72F" w14:textId="77777777" w:rsidR="00B45F04" w:rsidRDefault="00B45F04" w:rsidP="00B45F04">
            <w:pPr>
              <w:rPr>
                <w:rFonts w:cstheme="minorHAnsi"/>
                <w:sz w:val="20"/>
                <w:szCs w:val="20"/>
              </w:rPr>
            </w:pPr>
            <w:r w:rsidRPr="006908AA">
              <w:rPr>
                <w:rFonts w:cstheme="minorHAnsi"/>
                <w:sz w:val="20"/>
                <w:szCs w:val="20"/>
              </w:rPr>
              <w:t>70.2%</w:t>
            </w:r>
          </w:p>
          <w:p w14:paraId="26C6EBFC" w14:textId="77777777" w:rsidR="00B45F04" w:rsidRPr="006908AA" w:rsidRDefault="00B45F04" w:rsidP="00B45F04">
            <w:pPr>
              <w:rPr>
                <w:rFonts w:cstheme="minorHAnsi"/>
                <w:sz w:val="20"/>
                <w:szCs w:val="20"/>
              </w:rPr>
            </w:pPr>
          </w:p>
        </w:tc>
      </w:tr>
      <w:tr w:rsidR="00B45F04" w:rsidRPr="00CD0309" w14:paraId="0891B53D" w14:textId="77777777" w:rsidTr="000D442B">
        <w:trPr>
          <w:trHeight w:val="429"/>
        </w:trPr>
        <w:tc>
          <w:tcPr>
            <w:tcW w:w="8566" w:type="dxa"/>
            <w:gridSpan w:val="7"/>
          </w:tcPr>
          <w:p w14:paraId="1F6F36B0" w14:textId="77777777" w:rsidR="00B45F04" w:rsidRPr="006908AA" w:rsidRDefault="00B45F04" w:rsidP="00B45F04">
            <w:pPr>
              <w:rPr>
                <w:rFonts w:cstheme="minorHAnsi"/>
                <w:b/>
                <w:sz w:val="20"/>
                <w:szCs w:val="20"/>
              </w:rPr>
            </w:pPr>
            <w:r w:rsidRPr="006908AA">
              <w:rPr>
                <w:rFonts w:cstheme="minorHAnsi"/>
                <w:b/>
                <w:sz w:val="20"/>
                <w:szCs w:val="20"/>
              </w:rPr>
              <w:t xml:space="preserve">Number of patients remaining on tolvaptan at the beginning of each year among those initiated in: </w:t>
            </w:r>
          </w:p>
        </w:tc>
      </w:tr>
      <w:tr w:rsidR="00B45F04" w:rsidRPr="00CD0309" w14:paraId="1DB88FC8" w14:textId="77777777" w:rsidTr="000D442B">
        <w:trPr>
          <w:trHeight w:val="209"/>
        </w:trPr>
        <w:tc>
          <w:tcPr>
            <w:tcW w:w="1615" w:type="dxa"/>
          </w:tcPr>
          <w:p w14:paraId="58E29A95" w14:textId="77777777" w:rsidR="00B45F04" w:rsidRPr="006908AA" w:rsidRDefault="00B45F04" w:rsidP="00B45F04">
            <w:pPr>
              <w:rPr>
                <w:rFonts w:cstheme="minorHAnsi"/>
                <w:sz w:val="20"/>
                <w:szCs w:val="20"/>
              </w:rPr>
            </w:pPr>
            <w:r w:rsidRPr="006908AA">
              <w:rPr>
                <w:rFonts w:cstheme="minorHAnsi"/>
                <w:sz w:val="20"/>
                <w:szCs w:val="20"/>
              </w:rPr>
              <w:t>Year 1</w:t>
            </w:r>
          </w:p>
        </w:tc>
        <w:tc>
          <w:tcPr>
            <w:tcW w:w="1157" w:type="dxa"/>
          </w:tcPr>
          <w:p w14:paraId="08513387" w14:textId="77777777" w:rsidR="00B45F04" w:rsidRPr="006908AA" w:rsidRDefault="00B45F04" w:rsidP="00B45F04">
            <w:pPr>
              <w:rPr>
                <w:rFonts w:cstheme="minorHAnsi"/>
                <w:sz w:val="20"/>
                <w:szCs w:val="20"/>
              </w:rPr>
            </w:pPr>
            <w:r w:rsidRPr="006B1802">
              <w:rPr>
                <w:rFonts w:ascii="Arial Narrow" w:hAnsi="Arial Narrow"/>
                <w:sz w:val="20"/>
                <w:szCs w:val="20"/>
              </w:rPr>
              <w:t xml:space="preserve"> </w:t>
            </w:r>
            <w:r>
              <w:rPr>
                <w:rFonts w:ascii="Arial Narrow" w:hAnsi="Arial Narrow"/>
                <w:noProof/>
                <w:color w:val="000000"/>
                <w:sz w:val="20"/>
                <w:szCs w:val="20"/>
                <w:highlight w:val="black"/>
              </w:rPr>
              <w:t xml:space="preserve">''''''''' </w:t>
            </w:r>
          </w:p>
        </w:tc>
        <w:tc>
          <w:tcPr>
            <w:tcW w:w="1126" w:type="dxa"/>
          </w:tcPr>
          <w:p w14:paraId="2E327D03" w14:textId="77777777" w:rsidR="00B45F04" w:rsidRPr="006908AA" w:rsidRDefault="00B45F04" w:rsidP="00B45F04">
            <w:pPr>
              <w:rPr>
                <w:rFonts w:cstheme="minorHAnsi"/>
                <w:sz w:val="20"/>
                <w:szCs w:val="20"/>
              </w:rPr>
            </w:pPr>
            <w:r w:rsidRPr="006B1802">
              <w:rPr>
                <w:rFonts w:ascii="Arial Narrow" w:hAnsi="Arial Narrow"/>
                <w:sz w:val="20"/>
                <w:szCs w:val="20"/>
              </w:rPr>
              <w:t xml:space="preserve"> </w:t>
            </w:r>
            <w:r>
              <w:rPr>
                <w:rFonts w:ascii="Arial Narrow" w:hAnsi="Arial Narrow"/>
                <w:noProof/>
                <w:color w:val="000000"/>
                <w:sz w:val="20"/>
                <w:szCs w:val="20"/>
                <w:highlight w:val="black"/>
              </w:rPr>
              <w:t>''''''''</w:t>
            </w:r>
            <w:r w:rsidRPr="00B912EA">
              <w:rPr>
                <w:rFonts w:ascii="Arial Narrow" w:hAnsi="Arial Narrow"/>
                <w:sz w:val="20"/>
                <w:szCs w:val="20"/>
                <w:highlight w:val="black"/>
              </w:rPr>
              <w:t xml:space="preserve"> </w:t>
            </w:r>
          </w:p>
        </w:tc>
        <w:tc>
          <w:tcPr>
            <w:tcW w:w="1126" w:type="dxa"/>
          </w:tcPr>
          <w:p w14:paraId="61F2B40E" w14:textId="77777777" w:rsidR="00B45F04" w:rsidRPr="006908AA" w:rsidRDefault="00B45F04" w:rsidP="00B45F04">
            <w:pPr>
              <w:rPr>
                <w:rFonts w:cstheme="minorHAnsi"/>
                <w:sz w:val="20"/>
                <w:szCs w:val="20"/>
              </w:rPr>
            </w:pPr>
            <w:r w:rsidRPr="006B1802">
              <w:rPr>
                <w:rFonts w:ascii="Arial Narrow" w:hAnsi="Arial Narrow"/>
                <w:sz w:val="20"/>
                <w:szCs w:val="20"/>
              </w:rPr>
              <w:t xml:space="preserve"> </w:t>
            </w:r>
            <w:r>
              <w:rPr>
                <w:rFonts w:ascii="Arial Narrow" w:hAnsi="Arial Narrow"/>
                <w:noProof/>
                <w:color w:val="000000"/>
                <w:sz w:val="20"/>
                <w:szCs w:val="20"/>
                <w:highlight w:val="black"/>
              </w:rPr>
              <w:t xml:space="preserve">'''''''''' </w:t>
            </w:r>
          </w:p>
        </w:tc>
        <w:tc>
          <w:tcPr>
            <w:tcW w:w="1152" w:type="dxa"/>
          </w:tcPr>
          <w:p w14:paraId="36F2605E" w14:textId="77777777" w:rsidR="00B45F04" w:rsidRPr="006908AA" w:rsidRDefault="00B45F04" w:rsidP="00B45F04">
            <w:pPr>
              <w:rPr>
                <w:rFonts w:cstheme="minorHAnsi"/>
                <w:sz w:val="20"/>
                <w:szCs w:val="20"/>
              </w:rPr>
            </w:pPr>
            <w:r w:rsidRPr="006B1802">
              <w:rPr>
                <w:rFonts w:ascii="Arial Narrow" w:hAnsi="Arial Narrow"/>
                <w:sz w:val="20"/>
                <w:szCs w:val="20"/>
              </w:rPr>
              <w:t xml:space="preserve"> </w:t>
            </w:r>
            <w:r>
              <w:rPr>
                <w:rFonts w:ascii="Arial Narrow" w:hAnsi="Arial Narrow"/>
                <w:noProof/>
                <w:color w:val="000000"/>
                <w:sz w:val="20"/>
                <w:szCs w:val="20"/>
                <w:highlight w:val="black"/>
              </w:rPr>
              <w:t xml:space="preserve">'''''''''' </w:t>
            </w:r>
          </w:p>
        </w:tc>
        <w:tc>
          <w:tcPr>
            <w:tcW w:w="1126" w:type="dxa"/>
          </w:tcPr>
          <w:p w14:paraId="0B67C37A" w14:textId="77777777" w:rsidR="00B45F04" w:rsidRPr="006908AA" w:rsidRDefault="00B45F04" w:rsidP="00B45F04">
            <w:pPr>
              <w:rPr>
                <w:rFonts w:cstheme="minorHAnsi"/>
                <w:sz w:val="20"/>
                <w:szCs w:val="20"/>
              </w:rPr>
            </w:pPr>
            <w:r w:rsidRPr="006B1802">
              <w:rPr>
                <w:rFonts w:ascii="Arial Narrow" w:hAnsi="Arial Narrow"/>
                <w:sz w:val="20"/>
                <w:szCs w:val="20"/>
              </w:rPr>
              <w:t xml:space="preserve"> </w:t>
            </w:r>
            <w:r>
              <w:rPr>
                <w:rFonts w:ascii="Arial Narrow" w:hAnsi="Arial Narrow"/>
                <w:noProof/>
                <w:color w:val="000000"/>
                <w:sz w:val="20"/>
                <w:szCs w:val="20"/>
                <w:highlight w:val="black"/>
              </w:rPr>
              <w:t xml:space="preserve">''''''''' </w:t>
            </w:r>
          </w:p>
        </w:tc>
        <w:tc>
          <w:tcPr>
            <w:tcW w:w="1260" w:type="dxa"/>
          </w:tcPr>
          <w:p w14:paraId="26C2E42E" w14:textId="77777777" w:rsidR="00B45F04" w:rsidRPr="006908AA" w:rsidRDefault="00B45F04" w:rsidP="00B45F04">
            <w:pPr>
              <w:rPr>
                <w:rFonts w:cstheme="minorHAnsi"/>
                <w:sz w:val="20"/>
                <w:szCs w:val="20"/>
              </w:rPr>
            </w:pPr>
            <w:r w:rsidRPr="006B1802">
              <w:rPr>
                <w:rFonts w:ascii="Arial Narrow" w:hAnsi="Arial Narrow"/>
                <w:sz w:val="20"/>
                <w:szCs w:val="20"/>
              </w:rPr>
              <w:t xml:space="preserve"> </w:t>
            </w:r>
            <w:r>
              <w:rPr>
                <w:rFonts w:ascii="Arial Narrow" w:hAnsi="Arial Narrow"/>
                <w:noProof/>
                <w:color w:val="000000"/>
                <w:sz w:val="20"/>
                <w:szCs w:val="20"/>
                <w:highlight w:val="black"/>
              </w:rPr>
              <w:t xml:space="preserve">'''''''' </w:t>
            </w:r>
          </w:p>
        </w:tc>
      </w:tr>
      <w:tr w:rsidR="00B45F04" w:rsidRPr="00CD0309" w14:paraId="5ED028E0" w14:textId="77777777" w:rsidTr="000D442B">
        <w:trPr>
          <w:trHeight w:val="209"/>
        </w:trPr>
        <w:tc>
          <w:tcPr>
            <w:tcW w:w="1615" w:type="dxa"/>
          </w:tcPr>
          <w:p w14:paraId="4C70A1AE" w14:textId="77777777" w:rsidR="00B45F04" w:rsidRPr="006908AA" w:rsidRDefault="00B45F04" w:rsidP="00B45F04">
            <w:pPr>
              <w:rPr>
                <w:rFonts w:cstheme="minorHAnsi"/>
                <w:sz w:val="20"/>
                <w:szCs w:val="20"/>
              </w:rPr>
            </w:pPr>
            <w:r w:rsidRPr="006908AA">
              <w:rPr>
                <w:rFonts w:cstheme="minorHAnsi"/>
                <w:sz w:val="20"/>
                <w:szCs w:val="20"/>
              </w:rPr>
              <w:t>Year 2</w:t>
            </w:r>
          </w:p>
        </w:tc>
        <w:tc>
          <w:tcPr>
            <w:tcW w:w="1157" w:type="dxa"/>
          </w:tcPr>
          <w:p w14:paraId="17F768A1" w14:textId="77777777" w:rsidR="00B45F04" w:rsidRPr="006908AA" w:rsidRDefault="00B45F04" w:rsidP="00B45F04">
            <w:pPr>
              <w:rPr>
                <w:rFonts w:cstheme="minorHAnsi"/>
                <w:sz w:val="20"/>
                <w:szCs w:val="20"/>
              </w:rPr>
            </w:pPr>
            <w:r w:rsidRPr="006908AA">
              <w:rPr>
                <w:rFonts w:cstheme="minorHAnsi"/>
                <w:sz w:val="20"/>
                <w:szCs w:val="20"/>
              </w:rPr>
              <w:t>-</w:t>
            </w:r>
          </w:p>
        </w:tc>
        <w:tc>
          <w:tcPr>
            <w:tcW w:w="1126" w:type="dxa"/>
          </w:tcPr>
          <w:p w14:paraId="0975A8DB" w14:textId="77777777" w:rsidR="00B45F04" w:rsidRPr="006908AA" w:rsidRDefault="00B45F04" w:rsidP="00B45F04">
            <w:pPr>
              <w:rPr>
                <w:rFonts w:cstheme="minorHAnsi"/>
                <w:sz w:val="20"/>
                <w:szCs w:val="20"/>
              </w:rPr>
            </w:pPr>
            <w:r w:rsidRPr="006B1802">
              <w:rPr>
                <w:rFonts w:ascii="Arial Narrow" w:hAnsi="Arial Narrow"/>
                <w:sz w:val="20"/>
                <w:szCs w:val="20"/>
              </w:rPr>
              <w:t xml:space="preserve"> </w:t>
            </w:r>
            <w:r>
              <w:rPr>
                <w:rFonts w:ascii="Arial Narrow" w:hAnsi="Arial Narrow"/>
                <w:noProof/>
                <w:color w:val="000000"/>
                <w:sz w:val="20"/>
                <w:szCs w:val="20"/>
                <w:highlight w:val="black"/>
              </w:rPr>
              <w:t xml:space="preserve">''''''''' </w:t>
            </w:r>
          </w:p>
        </w:tc>
        <w:tc>
          <w:tcPr>
            <w:tcW w:w="1126" w:type="dxa"/>
          </w:tcPr>
          <w:p w14:paraId="01DB8E2A"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 xml:space="preserve"> '''''</w:t>
            </w:r>
            <w:r w:rsidRPr="00B912EA">
              <w:rPr>
                <w:rFonts w:ascii="Arial Narrow" w:hAnsi="Arial Narrow"/>
                <w:sz w:val="20"/>
                <w:szCs w:val="20"/>
                <w:highlight w:val="black"/>
              </w:rPr>
              <w:t xml:space="preserve"> </w:t>
            </w:r>
          </w:p>
        </w:tc>
        <w:tc>
          <w:tcPr>
            <w:tcW w:w="1152" w:type="dxa"/>
          </w:tcPr>
          <w:p w14:paraId="5EE98200"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 xml:space="preserve"> '''''''</w:t>
            </w:r>
            <w:r w:rsidRPr="00B912EA">
              <w:rPr>
                <w:rFonts w:ascii="Arial Narrow" w:hAnsi="Arial Narrow"/>
                <w:sz w:val="20"/>
                <w:szCs w:val="20"/>
                <w:highlight w:val="black"/>
              </w:rPr>
              <w:t xml:space="preserve"> </w:t>
            </w:r>
          </w:p>
        </w:tc>
        <w:tc>
          <w:tcPr>
            <w:tcW w:w="1126" w:type="dxa"/>
          </w:tcPr>
          <w:p w14:paraId="3F2D224E" w14:textId="77777777" w:rsidR="00B45F04" w:rsidRPr="006908AA" w:rsidRDefault="00B45F04" w:rsidP="00B45F04">
            <w:pPr>
              <w:rPr>
                <w:rFonts w:cstheme="minorHAnsi"/>
                <w:sz w:val="20"/>
                <w:szCs w:val="20"/>
              </w:rPr>
            </w:pPr>
            <w:r w:rsidRPr="006B1802">
              <w:rPr>
                <w:rFonts w:ascii="Arial Narrow" w:hAnsi="Arial Narrow"/>
                <w:sz w:val="20"/>
                <w:szCs w:val="20"/>
              </w:rPr>
              <w:t xml:space="preserve"> </w:t>
            </w:r>
            <w:r>
              <w:rPr>
                <w:rFonts w:ascii="Arial Narrow" w:hAnsi="Arial Narrow"/>
                <w:noProof/>
                <w:color w:val="000000"/>
                <w:sz w:val="20"/>
                <w:szCs w:val="20"/>
                <w:highlight w:val="black"/>
              </w:rPr>
              <w:t>''''''</w:t>
            </w:r>
            <w:r w:rsidRPr="00B912EA">
              <w:rPr>
                <w:rFonts w:ascii="Arial Narrow" w:hAnsi="Arial Narrow"/>
                <w:sz w:val="20"/>
                <w:szCs w:val="20"/>
                <w:highlight w:val="black"/>
              </w:rPr>
              <w:t xml:space="preserve"> </w:t>
            </w:r>
          </w:p>
        </w:tc>
        <w:tc>
          <w:tcPr>
            <w:tcW w:w="1260" w:type="dxa"/>
          </w:tcPr>
          <w:p w14:paraId="4189CED2"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 xml:space="preserve"> '''''</w:t>
            </w:r>
            <w:r w:rsidRPr="00B912EA">
              <w:rPr>
                <w:rFonts w:ascii="Arial Narrow" w:hAnsi="Arial Narrow"/>
                <w:sz w:val="20"/>
                <w:szCs w:val="20"/>
                <w:highlight w:val="black"/>
              </w:rPr>
              <w:t xml:space="preserve"> </w:t>
            </w:r>
          </w:p>
        </w:tc>
      </w:tr>
      <w:tr w:rsidR="00B45F04" w:rsidRPr="00CD0309" w14:paraId="5F501610" w14:textId="77777777" w:rsidTr="000D442B">
        <w:trPr>
          <w:trHeight w:val="209"/>
        </w:trPr>
        <w:tc>
          <w:tcPr>
            <w:tcW w:w="1615" w:type="dxa"/>
          </w:tcPr>
          <w:p w14:paraId="72BD0A5D" w14:textId="77777777" w:rsidR="00B45F04" w:rsidRPr="006908AA" w:rsidRDefault="00B45F04" w:rsidP="00B45F04">
            <w:pPr>
              <w:rPr>
                <w:rFonts w:cstheme="minorHAnsi"/>
                <w:sz w:val="20"/>
                <w:szCs w:val="20"/>
              </w:rPr>
            </w:pPr>
            <w:r w:rsidRPr="006908AA">
              <w:rPr>
                <w:rFonts w:cstheme="minorHAnsi"/>
                <w:sz w:val="20"/>
                <w:szCs w:val="20"/>
              </w:rPr>
              <w:t xml:space="preserve">Year 3 </w:t>
            </w:r>
          </w:p>
        </w:tc>
        <w:tc>
          <w:tcPr>
            <w:tcW w:w="1157" w:type="dxa"/>
          </w:tcPr>
          <w:p w14:paraId="59438EB0" w14:textId="77777777" w:rsidR="00B45F04" w:rsidRPr="006908AA" w:rsidRDefault="00B45F04" w:rsidP="00B45F04">
            <w:pPr>
              <w:rPr>
                <w:rFonts w:cstheme="minorHAnsi"/>
                <w:sz w:val="20"/>
                <w:szCs w:val="20"/>
              </w:rPr>
            </w:pPr>
            <w:r w:rsidRPr="006908AA">
              <w:rPr>
                <w:rFonts w:cstheme="minorHAnsi"/>
                <w:sz w:val="20"/>
                <w:szCs w:val="20"/>
              </w:rPr>
              <w:t>-</w:t>
            </w:r>
          </w:p>
        </w:tc>
        <w:tc>
          <w:tcPr>
            <w:tcW w:w="1126" w:type="dxa"/>
          </w:tcPr>
          <w:p w14:paraId="0FC5EE5A" w14:textId="77777777" w:rsidR="00B45F04" w:rsidRPr="006908AA" w:rsidRDefault="00B45F04" w:rsidP="00B45F04">
            <w:pPr>
              <w:rPr>
                <w:rFonts w:cstheme="minorHAnsi"/>
                <w:sz w:val="20"/>
                <w:szCs w:val="20"/>
              </w:rPr>
            </w:pPr>
            <w:r w:rsidRPr="006908AA">
              <w:rPr>
                <w:rFonts w:cstheme="minorHAnsi"/>
                <w:sz w:val="20"/>
                <w:szCs w:val="20"/>
              </w:rPr>
              <w:t>-</w:t>
            </w:r>
          </w:p>
        </w:tc>
        <w:tc>
          <w:tcPr>
            <w:tcW w:w="1126" w:type="dxa"/>
          </w:tcPr>
          <w:p w14:paraId="3755A233" w14:textId="77777777" w:rsidR="00B45F04" w:rsidRPr="006908AA" w:rsidRDefault="00B45F04" w:rsidP="00B45F04">
            <w:pPr>
              <w:rPr>
                <w:rFonts w:cstheme="minorHAnsi"/>
                <w:sz w:val="20"/>
                <w:szCs w:val="20"/>
              </w:rPr>
            </w:pPr>
            <w:r w:rsidRPr="006B1802">
              <w:rPr>
                <w:rFonts w:ascii="Arial Narrow" w:hAnsi="Arial Narrow"/>
                <w:sz w:val="20"/>
                <w:szCs w:val="20"/>
              </w:rPr>
              <w:t xml:space="preserve"> </w:t>
            </w:r>
            <w:r>
              <w:rPr>
                <w:rFonts w:ascii="Arial Narrow" w:hAnsi="Arial Narrow"/>
                <w:noProof/>
                <w:color w:val="000000"/>
                <w:sz w:val="20"/>
                <w:szCs w:val="20"/>
                <w:highlight w:val="black"/>
              </w:rPr>
              <w:t xml:space="preserve">'''''''''' </w:t>
            </w:r>
          </w:p>
        </w:tc>
        <w:tc>
          <w:tcPr>
            <w:tcW w:w="1152" w:type="dxa"/>
          </w:tcPr>
          <w:p w14:paraId="6B3C5E82"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 xml:space="preserve"> '''''</w:t>
            </w:r>
            <w:r w:rsidRPr="00B912EA">
              <w:rPr>
                <w:rFonts w:ascii="Arial Narrow" w:hAnsi="Arial Narrow"/>
                <w:sz w:val="20"/>
                <w:szCs w:val="20"/>
                <w:highlight w:val="black"/>
              </w:rPr>
              <w:t xml:space="preserve"> </w:t>
            </w:r>
          </w:p>
        </w:tc>
        <w:tc>
          <w:tcPr>
            <w:tcW w:w="1126" w:type="dxa"/>
          </w:tcPr>
          <w:p w14:paraId="06029538" w14:textId="77777777" w:rsidR="00B45F04" w:rsidRPr="006908AA" w:rsidRDefault="00B45F04" w:rsidP="00B45F04">
            <w:pPr>
              <w:rPr>
                <w:rFonts w:cstheme="minorHAnsi"/>
                <w:sz w:val="20"/>
                <w:szCs w:val="20"/>
              </w:rPr>
            </w:pPr>
            <w:r w:rsidRPr="006B1802">
              <w:rPr>
                <w:rFonts w:ascii="Arial Narrow" w:hAnsi="Arial Narrow"/>
                <w:sz w:val="20"/>
                <w:szCs w:val="20"/>
              </w:rPr>
              <w:t xml:space="preserve"> </w:t>
            </w:r>
            <w:r>
              <w:rPr>
                <w:rFonts w:ascii="Arial Narrow" w:hAnsi="Arial Narrow"/>
                <w:noProof/>
                <w:color w:val="000000"/>
                <w:sz w:val="20"/>
                <w:szCs w:val="20"/>
                <w:highlight w:val="black"/>
              </w:rPr>
              <w:t xml:space="preserve">'''''' </w:t>
            </w:r>
          </w:p>
        </w:tc>
        <w:tc>
          <w:tcPr>
            <w:tcW w:w="1260" w:type="dxa"/>
          </w:tcPr>
          <w:p w14:paraId="2C233FB7"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 xml:space="preserve"> '''''''</w:t>
            </w:r>
            <w:r w:rsidRPr="00B912EA">
              <w:rPr>
                <w:rFonts w:ascii="Arial Narrow" w:hAnsi="Arial Narrow"/>
                <w:sz w:val="20"/>
                <w:szCs w:val="20"/>
                <w:highlight w:val="black"/>
              </w:rPr>
              <w:t xml:space="preserve"> </w:t>
            </w:r>
          </w:p>
        </w:tc>
      </w:tr>
      <w:tr w:rsidR="00B45F04" w:rsidRPr="00CD0309" w14:paraId="58913EF4" w14:textId="77777777" w:rsidTr="000D442B">
        <w:trPr>
          <w:trHeight w:val="209"/>
        </w:trPr>
        <w:tc>
          <w:tcPr>
            <w:tcW w:w="1615" w:type="dxa"/>
          </w:tcPr>
          <w:p w14:paraId="1E6B41B3" w14:textId="77777777" w:rsidR="00B45F04" w:rsidRPr="006908AA" w:rsidRDefault="00B45F04" w:rsidP="00B45F04">
            <w:pPr>
              <w:rPr>
                <w:rFonts w:cstheme="minorHAnsi"/>
                <w:sz w:val="20"/>
                <w:szCs w:val="20"/>
              </w:rPr>
            </w:pPr>
            <w:r w:rsidRPr="006908AA">
              <w:rPr>
                <w:rFonts w:cstheme="minorHAnsi"/>
                <w:sz w:val="20"/>
                <w:szCs w:val="20"/>
              </w:rPr>
              <w:t xml:space="preserve">Year 4 </w:t>
            </w:r>
          </w:p>
        </w:tc>
        <w:tc>
          <w:tcPr>
            <w:tcW w:w="1157" w:type="dxa"/>
          </w:tcPr>
          <w:p w14:paraId="13C43A5C" w14:textId="77777777" w:rsidR="00B45F04" w:rsidRPr="006908AA" w:rsidRDefault="00B45F04" w:rsidP="00B45F04">
            <w:pPr>
              <w:rPr>
                <w:rFonts w:cstheme="minorHAnsi"/>
                <w:sz w:val="20"/>
                <w:szCs w:val="20"/>
              </w:rPr>
            </w:pPr>
            <w:r w:rsidRPr="006908AA">
              <w:rPr>
                <w:rFonts w:cstheme="minorHAnsi"/>
                <w:sz w:val="20"/>
                <w:szCs w:val="20"/>
              </w:rPr>
              <w:t>-</w:t>
            </w:r>
          </w:p>
        </w:tc>
        <w:tc>
          <w:tcPr>
            <w:tcW w:w="1126" w:type="dxa"/>
          </w:tcPr>
          <w:p w14:paraId="69FF9617" w14:textId="77777777" w:rsidR="00B45F04" w:rsidRPr="006908AA" w:rsidRDefault="00B45F04" w:rsidP="00B45F04">
            <w:pPr>
              <w:rPr>
                <w:rFonts w:cstheme="minorHAnsi"/>
                <w:sz w:val="20"/>
                <w:szCs w:val="20"/>
              </w:rPr>
            </w:pPr>
            <w:r w:rsidRPr="006908AA">
              <w:rPr>
                <w:rFonts w:cstheme="minorHAnsi"/>
                <w:sz w:val="20"/>
                <w:szCs w:val="20"/>
              </w:rPr>
              <w:t>-</w:t>
            </w:r>
          </w:p>
        </w:tc>
        <w:tc>
          <w:tcPr>
            <w:tcW w:w="1126" w:type="dxa"/>
          </w:tcPr>
          <w:p w14:paraId="0D2DD2D1" w14:textId="77777777" w:rsidR="00B45F04" w:rsidRPr="006908AA" w:rsidRDefault="00B45F04" w:rsidP="00B45F04">
            <w:pPr>
              <w:rPr>
                <w:rFonts w:cstheme="minorHAnsi"/>
                <w:sz w:val="20"/>
                <w:szCs w:val="20"/>
              </w:rPr>
            </w:pPr>
            <w:r w:rsidRPr="006908AA">
              <w:rPr>
                <w:rFonts w:cstheme="minorHAnsi"/>
                <w:sz w:val="20"/>
                <w:szCs w:val="20"/>
              </w:rPr>
              <w:t>-</w:t>
            </w:r>
          </w:p>
        </w:tc>
        <w:tc>
          <w:tcPr>
            <w:tcW w:w="1152" w:type="dxa"/>
          </w:tcPr>
          <w:p w14:paraId="31FD42F7" w14:textId="77777777" w:rsidR="00B45F04" w:rsidRPr="006908AA" w:rsidRDefault="00B45F04" w:rsidP="00B45F04">
            <w:pPr>
              <w:rPr>
                <w:rFonts w:cstheme="minorHAnsi"/>
                <w:sz w:val="20"/>
                <w:szCs w:val="20"/>
              </w:rPr>
            </w:pPr>
            <w:r w:rsidRPr="006B1802">
              <w:rPr>
                <w:rFonts w:ascii="Arial Narrow" w:hAnsi="Arial Narrow"/>
                <w:sz w:val="20"/>
                <w:szCs w:val="20"/>
              </w:rPr>
              <w:t xml:space="preserve"> </w:t>
            </w:r>
            <w:r>
              <w:rPr>
                <w:rFonts w:ascii="Arial Narrow" w:hAnsi="Arial Narrow"/>
                <w:noProof/>
                <w:color w:val="000000"/>
                <w:sz w:val="20"/>
                <w:szCs w:val="20"/>
                <w:highlight w:val="black"/>
              </w:rPr>
              <w:t xml:space="preserve">''''''''' </w:t>
            </w:r>
          </w:p>
        </w:tc>
        <w:tc>
          <w:tcPr>
            <w:tcW w:w="1126" w:type="dxa"/>
          </w:tcPr>
          <w:p w14:paraId="5BFEC98E"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 xml:space="preserve"> ''''''</w:t>
            </w:r>
            <w:r w:rsidRPr="00B912EA">
              <w:rPr>
                <w:rFonts w:ascii="Arial Narrow" w:hAnsi="Arial Narrow"/>
                <w:sz w:val="20"/>
                <w:szCs w:val="20"/>
                <w:highlight w:val="black"/>
              </w:rPr>
              <w:t xml:space="preserve"> </w:t>
            </w:r>
          </w:p>
        </w:tc>
        <w:tc>
          <w:tcPr>
            <w:tcW w:w="1260" w:type="dxa"/>
          </w:tcPr>
          <w:p w14:paraId="588745E5" w14:textId="77777777" w:rsidR="00B45F04" w:rsidRPr="006908AA" w:rsidRDefault="00B45F04" w:rsidP="00B45F04">
            <w:pPr>
              <w:rPr>
                <w:rFonts w:cstheme="minorHAnsi"/>
                <w:sz w:val="20"/>
                <w:szCs w:val="20"/>
              </w:rPr>
            </w:pPr>
            <w:r w:rsidRPr="006B1802">
              <w:rPr>
                <w:rFonts w:ascii="Arial Narrow" w:hAnsi="Arial Narrow"/>
                <w:sz w:val="20"/>
                <w:szCs w:val="20"/>
              </w:rPr>
              <w:t xml:space="preserve"> </w:t>
            </w:r>
            <w:r>
              <w:rPr>
                <w:rFonts w:ascii="Arial Narrow" w:hAnsi="Arial Narrow"/>
                <w:noProof/>
                <w:color w:val="000000"/>
                <w:sz w:val="20"/>
                <w:szCs w:val="20"/>
                <w:highlight w:val="black"/>
              </w:rPr>
              <w:t>''''''</w:t>
            </w:r>
            <w:r w:rsidRPr="00B912EA">
              <w:rPr>
                <w:rFonts w:ascii="Arial Narrow" w:hAnsi="Arial Narrow"/>
                <w:sz w:val="20"/>
                <w:szCs w:val="20"/>
                <w:highlight w:val="black"/>
              </w:rPr>
              <w:t xml:space="preserve"> </w:t>
            </w:r>
          </w:p>
        </w:tc>
      </w:tr>
      <w:tr w:rsidR="00B45F04" w:rsidRPr="00CD0309" w14:paraId="38F74792" w14:textId="77777777" w:rsidTr="000D442B">
        <w:trPr>
          <w:trHeight w:val="209"/>
        </w:trPr>
        <w:tc>
          <w:tcPr>
            <w:tcW w:w="1615" w:type="dxa"/>
          </w:tcPr>
          <w:p w14:paraId="5728EB89" w14:textId="77777777" w:rsidR="00B45F04" w:rsidRPr="006908AA" w:rsidRDefault="00B45F04" w:rsidP="00B45F04">
            <w:pPr>
              <w:rPr>
                <w:rFonts w:cstheme="minorHAnsi"/>
                <w:sz w:val="20"/>
                <w:szCs w:val="20"/>
              </w:rPr>
            </w:pPr>
            <w:r w:rsidRPr="006908AA">
              <w:rPr>
                <w:rFonts w:cstheme="minorHAnsi"/>
                <w:sz w:val="20"/>
                <w:szCs w:val="20"/>
              </w:rPr>
              <w:t xml:space="preserve">Year 5 </w:t>
            </w:r>
          </w:p>
        </w:tc>
        <w:tc>
          <w:tcPr>
            <w:tcW w:w="1157" w:type="dxa"/>
          </w:tcPr>
          <w:p w14:paraId="57E0B8E4" w14:textId="77777777" w:rsidR="00B45F04" w:rsidRPr="006908AA" w:rsidRDefault="00B45F04" w:rsidP="00B45F04">
            <w:pPr>
              <w:rPr>
                <w:rFonts w:cstheme="minorHAnsi"/>
                <w:sz w:val="20"/>
                <w:szCs w:val="20"/>
              </w:rPr>
            </w:pPr>
            <w:r w:rsidRPr="006908AA">
              <w:rPr>
                <w:rFonts w:cstheme="minorHAnsi"/>
                <w:sz w:val="20"/>
                <w:szCs w:val="20"/>
              </w:rPr>
              <w:t>-</w:t>
            </w:r>
          </w:p>
        </w:tc>
        <w:tc>
          <w:tcPr>
            <w:tcW w:w="1126" w:type="dxa"/>
          </w:tcPr>
          <w:p w14:paraId="6321DFAA" w14:textId="77777777" w:rsidR="00B45F04" w:rsidRPr="006908AA" w:rsidRDefault="00B45F04" w:rsidP="00B45F04">
            <w:pPr>
              <w:rPr>
                <w:rFonts w:cstheme="minorHAnsi"/>
                <w:sz w:val="20"/>
                <w:szCs w:val="20"/>
              </w:rPr>
            </w:pPr>
            <w:r w:rsidRPr="006908AA">
              <w:rPr>
                <w:rFonts w:cstheme="minorHAnsi"/>
                <w:sz w:val="20"/>
                <w:szCs w:val="20"/>
              </w:rPr>
              <w:t>-</w:t>
            </w:r>
          </w:p>
        </w:tc>
        <w:tc>
          <w:tcPr>
            <w:tcW w:w="1126" w:type="dxa"/>
          </w:tcPr>
          <w:p w14:paraId="258E589F" w14:textId="77777777" w:rsidR="00B45F04" w:rsidRPr="006908AA" w:rsidRDefault="00B45F04" w:rsidP="00B45F04">
            <w:pPr>
              <w:rPr>
                <w:rFonts w:cstheme="minorHAnsi"/>
                <w:sz w:val="20"/>
                <w:szCs w:val="20"/>
              </w:rPr>
            </w:pPr>
            <w:r w:rsidRPr="006908AA">
              <w:rPr>
                <w:rFonts w:cstheme="minorHAnsi"/>
                <w:sz w:val="20"/>
                <w:szCs w:val="20"/>
              </w:rPr>
              <w:t>-</w:t>
            </w:r>
          </w:p>
        </w:tc>
        <w:tc>
          <w:tcPr>
            <w:tcW w:w="1152" w:type="dxa"/>
          </w:tcPr>
          <w:p w14:paraId="60EA99C3" w14:textId="77777777" w:rsidR="00B45F04" w:rsidRPr="006908AA" w:rsidRDefault="00B45F04" w:rsidP="00B45F04">
            <w:pPr>
              <w:rPr>
                <w:rFonts w:cstheme="minorHAnsi"/>
                <w:sz w:val="20"/>
                <w:szCs w:val="20"/>
              </w:rPr>
            </w:pPr>
            <w:r w:rsidRPr="006908AA">
              <w:rPr>
                <w:rFonts w:cstheme="minorHAnsi"/>
                <w:sz w:val="20"/>
                <w:szCs w:val="20"/>
              </w:rPr>
              <w:t>-</w:t>
            </w:r>
          </w:p>
        </w:tc>
        <w:tc>
          <w:tcPr>
            <w:tcW w:w="1126" w:type="dxa"/>
          </w:tcPr>
          <w:p w14:paraId="2319AB0D" w14:textId="77777777" w:rsidR="00B45F04" w:rsidRPr="006908AA" w:rsidRDefault="00B45F04" w:rsidP="00B45F04">
            <w:pPr>
              <w:rPr>
                <w:rFonts w:cstheme="minorHAnsi"/>
                <w:sz w:val="20"/>
                <w:szCs w:val="20"/>
              </w:rPr>
            </w:pPr>
            <w:r w:rsidRPr="006B1802">
              <w:rPr>
                <w:rFonts w:ascii="Arial Narrow" w:hAnsi="Arial Narrow"/>
                <w:sz w:val="20"/>
                <w:szCs w:val="20"/>
              </w:rPr>
              <w:t xml:space="preserve"> </w:t>
            </w:r>
            <w:r>
              <w:rPr>
                <w:rFonts w:ascii="Arial Narrow" w:hAnsi="Arial Narrow"/>
                <w:noProof/>
                <w:color w:val="000000"/>
                <w:sz w:val="20"/>
                <w:szCs w:val="20"/>
                <w:highlight w:val="black"/>
              </w:rPr>
              <w:t xml:space="preserve">'''''''''' </w:t>
            </w:r>
          </w:p>
        </w:tc>
        <w:tc>
          <w:tcPr>
            <w:tcW w:w="1260" w:type="dxa"/>
          </w:tcPr>
          <w:p w14:paraId="2AC3EA11" w14:textId="77777777" w:rsidR="00B45F04" w:rsidRPr="006908AA" w:rsidRDefault="00B45F04" w:rsidP="00B45F04">
            <w:pPr>
              <w:rPr>
                <w:rFonts w:cstheme="minorHAnsi"/>
                <w:sz w:val="20"/>
                <w:szCs w:val="20"/>
              </w:rPr>
            </w:pPr>
            <w:r w:rsidRPr="006B1802">
              <w:rPr>
                <w:rFonts w:ascii="Arial Narrow" w:hAnsi="Arial Narrow"/>
                <w:sz w:val="20"/>
                <w:szCs w:val="20"/>
              </w:rPr>
              <w:t xml:space="preserve"> </w:t>
            </w:r>
            <w:r>
              <w:rPr>
                <w:rFonts w:ascii="Arial Narrow" w:hAnsi="Arial Narrow"/>
                <w:noProof/>
                <w:color w:val="000000"/>
                <w:sz w:val="20"/>
                <w:szCs w:val="20"/>
                <w:highlight w:val="black"/>
              </w:rPr>
              <w:t xml:space="preserve">''''''' </w:t>
            </w:r>
          </w:p>
        </w:tc>
      </w:tr>
      <w:tr w:rsidR="00B45F04" w:rsidRPr="00CD0309" w14:paraId="67CA97EF" w14:textId="77777777" w:rsidTr="000D442B">
        <w:trPr>
          <w:trHeight w:val="209"/>
        </w:trPr>
        <w:tc>
          <w:tcPr>
            <w:tcW w:w="1615" w:type="dxa"/>
          </w:tcPr>
          <w:p w14:paraId="01818B21" w14:textId="77777777" w:rsidR="00B45F04" w:rsidRPr="006908AA" w:rsidRDefault="00B45F04" w:rsidP="00B45F04">
            <w:pPr>
              <w:rPr>
                <w:rFonts w:cstheme="minorHAnsi"/>
                <w:sz w:val="20"/>
                <w:szCs w:val="20"/>
              </w:rPr>
            </w:pPr>
            <w:r w:rsidRPr="006908AA">
              <w:rPr>
                <w:rFonts w:cstheme="minorHAnsi"/>
                <w:sz w:val="20"/>
                <w:szCs w:val="20"/>
              </w:rPr>
              <w:t xml:space="preserve">Year 6 </w:t>
            </w:r>
          </w:p>
        </w:tc>
        <w:tc>
          <w:tcPr>
            <w:tcW w:w="1157" w:type="dxa"/>
          </w:tcPr>
          <w:p w14:paraId="61C3115B" w14:textId="77777777" w:rsidR="00B45F04" w:rsidRPr="006908AA" w:rsidRDefault="00B45F04" w:rsidP="00B45F04">
            <w:pPr>
              <w:rPr>
                <w:rFonts w:cstheme="minorHAnsi"/>
                <w:sz w:val="20"/>
                <w:szCs w:val="20"/>
              </w:rPr>
            </w:pPr>
            <w:r w:rsidRPr="006908AA">
              <w:rPr>
                <w:rFonts w:cstheme="minorHAnsi"/>
                <w:sz w:val="20"/>
                <w:szCs w:val="20"/>
              </w:rPr>
              <w:t>-</w:t>
            </w:r>
          </w:p>
        </w:tc>
        <w:tc>
          <w:tcPr>
            <w:tcW w:w="1126" w:type="dxa"/>
          </w:tcPr>
          <w:p w14:paraId="137DBBE2" w14:textId="77777777" w:rsidR="00B45F04" w:rsidRPr="006908AA" w:rsidRDefault="00B45F04" w:rsidP="00B45F04">
            <w:pPr>
              <w:rPr>
                <w:rFonts w:cstheme="minorHAnsi"/>
                <w:sz w:val="20"/>
                <w:szCs w:val="20"/>
              </w:rPr>
            </w:pPr>
            <w:r w:rsidRPr="006908AA">
              <w:rPr>
                <w:rFonts w:cstheme="minorHAnsi"/>
                <w:sz w:val="20"/>
                <w:szCs w:val="20"/>
              </w:rPr>
              <w:t>-</w:t>
            </w:r>
          </w:p>
        </w:tc>
        <w:tc>
          <w:tcPr>
            <w:tcW w:w="1126" w:type="dxa"/>
          </w:tcPr>
          <w:p w14:paraId="599D9AA7" w14:textId="77777777" w:rsidR="00B45F04" w:rsidRPr="006908AA" w:rsidRDefault="00B45F04" w:rsidP="00B45F04">
            <w:pPr>
              <w:rPr>
                <w:rFonts w:cstheme="minorHAnsi"/>
                <w:sz w:val="20"/>
                <w:szCs w:val="20"/>
              </w:rPr>
            </w:pPr>
            <w:r w:rsidRPr="006908AA">
              <w:rPr>
                <w:rFonts w:cstheme="minorHAnsi"/>
                <w:sz w:val="20"/>
                <w:szCs w:val="20"/>
              </w:rPr>
              <w:t>-</w:t>
            </w:r>
          </w:p>
        </w:tc>
        <w:tc>
          <w:tcPr>
            <w:tcW w:w="1152" w:type="dxa"/>
          </w:tcPr>
          <w:p w14:paraId="0E42D26F" w14:textId="77777777" w:rsidR="00B45F04" w:rsidRPr="006908AA" w:rsidRDefault="00B45F04" w:rsidP="00B45F04">
            <w:pPr>
              <w:rPr>
                <w:rFonts w:cstheme="minorHAnsi"/>
                <w:sz w:val="20"/>
                <w:szCs w:val="20"/>
              </w:rPr>
            </w:pPr>
            <w:r w:rsidRPr="006908AA">
              <w:rPr>
                <w:rFonts w:cstheme="minorHAnsi"/>
                <w:sz w:val="20"/>
                <w:szCs w:val="20"/>
              </w:rPr>
              <w:t>-</w:t>
            </w:r>
          </w:p>
        </w:tc>
        <w:tc>
          <w:tcPr>
            <w:tcW w:w="1126" w:type="dxa"/>
          </w:tcPr>
          <w:p w14:paraId="348FB707" w14:textId="77777777" w:rsidR="00B45F04" w:rsidRPr="006908AA" w:rsidRDefault="00B45F04" w:rsidP="00B45F04">
            <w:pPr>
              <w:rPr>
                <w:rFonts w:cstheme="minorHAnsi"/>
                <w:sz w:val="20"/>
                <w:szCs w:val="20"/>
              </w:rPr>
            </w:pPr>
            <w:r w:rsidRPr="006908AA">
              <w:rPr>
                <w:rFonts w:cstheme="minorHAnsi"/>
                <w:sz w:val="20"/>
                <w:szCs w:val="20"/>
              </w:rPr>
              <w:t>-</w:t>
            </w:r>
          </w:p>
        </w:tc>
        <w:tc>
          <w:tcPr>
            <w:tcW w:w="1260" w:type="dxa"/>
          </w:tcPr>
          <w:p w14:paraId="086D650F"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r>
      <w:tr w:rsidR="00B45F04" w:rsidRPr="00CD0309" w14:paraId="01AE089C" w14:textId="77777777" w:rsidTr="000D442B">
        <w:trPr>
          <w:trHeight w:val="419"/>
        </w:trPr>
        <w:tc>
          <w:tcPr>
            <w:tcW w:w="1615" w:type="dxa"/>
          </w:tcPr>
          <w:p w14:paraId="6233A176" w14:textId="77777777" w:rsidR="00B45F04" w:rsidRPr="006908AA" w:rsidRDefault="00B45F04" w:rsidP="00B45F04">
            <w:pPr>
              <w:rPr>
                <w:rFonts w:cstheme="minorHAnsi"/>
                <w:sz w:val="20"/>
                <w:szCs w:val="20"/>
              </w:rPr>
            </w:pPr>
            <w:r w:rsidRPr="006908AA">
              <w:rPr>
                <w:rFonts w:cstheme="minorHAnsi"/>
                <w:sz w:val="20"/>
                <w:szCs w:val="20"/>
              </w:rPr>
              <w:t xml:space="preserve">Total patients on therapy </w:t>
            </w:r>
          </w:p>
        </w:tc>
        <w:tc>
          <w:tcPr>
            <w:tcW w:w="1157" w:type="dxa"/>
          </w:tcPr>
          <w:p w14:paraId="71C60C72" w14:textId="77777777" w:rsidR="00B45F04" w:rsidRPr="006908AA" w:rsidRDefault="00B45F04" w:rsidP="00B45F04">
            <w:pPr>
              <w:rPr>
                <w:rFonts w:cstheme="minorHAnsi"/>
                <w:sz w:val="20"/>
                <w:szCs w:val="20"/>
              </w:rPr>
            </w:pPr>
            <w:r w:rsidRPr="006B1802">
              <w:rPr>
                <w:rFonts w:ascii="Arial Narrow" w:hAnsi="Arial Narrow"/>
                <w:sz w:val="20"/>
                <w:szCs w:val="20"/>
              </w:rPr>
              <w:t xml:space="preserve"> </w:t>
            </w:r>
            <w:r>
              <w:rPr>
                <w:rFonts w:ascii="Arial Narrow" w:hAnsi="Arial Narrow"/>
                <w:noProof/>
                <w:color w:val="000000"/>
                <w:sz w:val="20"/>
                <w:szCs w:val="20"/>
                <w:highlight w:val="black"/>
              </w:rPr>
              <w:t xml:space="preserve">''''''''' </w:t>
            </w:r>
          </w:p>
        </w:tc>
        <w:tc>
          <w:tcPr>
            <w:tcW w:w="1126" w:type="dxa"/>
          </w:tcPr>
          <w:p w14:paraId="55D876C9" w14:textId="77777777" w:rsidR="00B45F04" w:rsidRPr="006908AA" w:rsidRDefault="00B45F04" w:rsidP="00B45F04">
            <w:pPr>
              <w:rPr>
                <w:rFonts w:cstheme="minorHAnsi"/>
                <w:sz w:val="20"/>
                <w:szCs w:val="20"/>
              </w:rPr>
            </w:pPr>
            <w:r w:rsidRPr="006B1802">
              <w:rPr>
                <w:rFonts w:ascii="Arial Narrow" w:hAnsi="Arial Narrow"/>
                <w:sz w:val="20"/>
                <w:szCs w:val="20"/>
              </w:rPr>
              <w:t xml:space="preserve"> </w:t>
            </w:r>
            <w:r>
              <w:rPr>
                <w:rFonts w:ascii="Arial Narrow" w:hAnsi="Arial Narrow"/>
                <w:noProof/>
                <w:color w:val="000000"/>
                <w:sz w:val="20"/>
                <w:szCs w:val="20"/>
                <w:highlight w:val="black"/>
              </w:rPr>
              <w:t xml:space="preserve">'''''''''' </w:t>
            </w:r>
          </w:p>
        </w:tc>
        <w:tc>
          <w:tcPr>
            <w:tcW w:w="1126" w:type="dxa"/>
          </w:tcPr>
          <w:p w14:paraId="6C51E325" w14:textId="77777777" w:rsidR="00B45F04" w:rsidRPr="006908AA" w:rsidRDefault="00B45F04" w:rsidP="00B45F04">
            <w:pPr>
              <w:rPr>
                <w:rFonts w:cstheme="minorHAnsi"/>
                <w:sz w:val="20"/>
                <w:szCs w:val="20"/>
              </w:rPr>
            </w:pPr>
            <w:r w:rsidRPr="006B1802">
              <w:rPr>
                <w:rFonts w:ascii="Arial Narrow" w:hAnsi="Arial Narrow"/>
                <w:sz w:val="20"/>
                <w:szCs w:val="20"/>
              </w:rPr>
              <w:t xml:space="preserve"> </w:t>
            </w:r>
            <w:r>
              <w:rPr>
                <w:rFonts w:ascii="Arial Narrow" w:hAnsi="Arial Narrow"/>
                <w:noProof/>
                <w:color w:val="000000"/>
                <w:sz w:val="20"/>
                <w:szCs w:val="20"/>
                <w:highlight w:val="black"/>
              </w:rPr>
              <w:t>''''''''''</w:t>
            </w:r>
            <w:r w:rsidRPr="00B912EA">
              <w:rPr>
                <w:rFonts w:ascii="Arial Narrow" w:hAnsi="Arial Narrow"/>
                <w:sz w:val="20"/>
                <w:szCs w:val="20"/>
                <w:highlight w:val="black"/>
              </w:rPr>
              <w:t xml:space="preserve"> </w:t>
            </w:r>
          </w:p>
        </w:tc>
        <w:tc>
          <w:tcPr>
            <w:tcW w:w="1152" w:type="dxa"/>
          </w:tcPr>
          <w:p w14:paraId="1C83F263" w14:textId="77777777" w:rsidR="00B45F04" w:rsidRPr="006908AA" w:rsidRDefault="00B45F04" w:rsidP="00B45F04">
            <w:pPr>
              <w:rPr>
                <w:rFonts w:cstheme="minorHAnsi"/>
                <w:sz w:val="20"/>
                <w:szCs w:val="20"/>
              </w:rPr>
            </w:pPr>
            <w:r w:rsidRPr="006B1802">
              <w:rPr>
                <w:rFonts w:ascii="Arial Narrow" w:hAnsi="Arial Narrow"/>
                <w:sz w:val="20"/>
                <w:szCs w:val="20"/>
              </w:rPr>
              <w:t xml:space="preserve"> </w:t>
            </w:r>
            <w:r>
              <w:rPr>
                <w:rFonts w:ascii="Arial Narrow" w:hAnsi="Arial Narrow"/>
                <w:noProof/>
                <w:color w:val="000000"/>
                <w:sz w:val="20"/>
                <w:szCs w:val="20"/>
                <w:highlight w:val="black"/>
              </w:rPr>
              <w:t xml:space="preserve">''''''''' </w:t>
            </w:r>
          </w:p>
        </w:tc>
        <w:tc>
          <w:tcPr>
            <w:tcW w:w="1126" w:type="dxa"/>
          </w:tcPr>
          <w:p w14:paraId="0CF681D5" w14:textId="77777777" w:rsidR="00B45F04" w:rsidRPr="006908AA" w:rsidRDefault="00B45F04" w:rsidP="00B45F04">
            <w:pPr>
              <w:rPr>
                <w:rFonts w:cstheme="minorHAnsi"/>
                <w:sz w:val="20"/>
                <w:szCs w:val="20"/>
              </w:rPr>
            </w:pPr>
            <w:r w:rsidRPr="006B1802">
              <w:rPr>
                <w:rFonts w:ascii="Arial Narrow" w:hAnsi="Arial Narrow"/>
                <w:sz w:val="20"/>
                <w:szCs w:val="20"/>
              </w:rPr>
              <w:t xml:space="preserve"> </w:t>
            </w:r>
            <w:r>
              <w:rPr>
                <w:rFonts w:ascii="Arial Narrow" w:hAnsi="Arial Narrow"/>
                <w:noProof/>
                <w:color w:val="000000"/>
                <w:sz w:val="20"/>
                <w:szCs w:val="20"/>
                <w:highlight w:val="black"/>
              </w:rPr>
              <w:t xml:space="preserve">'''''''''' </w:t>
            </w:r>
          </w:p>
        </w:tc>
        <w:tc>
          <w:tcPr>
            <w:tcW w:w="1260" w:type="dxa"/>
          </w:tcPr>
          <w:p w14:paraId="67DF6EE4" w14:textId="77777777" w:rsidR="00B45F04" w:rsidRPr="006908AA" w:rsidRDefault="00B45F04" w:rsidP="00B45F04">
            <w:pPr>
              <w:rPr>
                <w:rFonts w:cstheme="minorHAnsi"/>
                <w:sz w:val="20"/>
                <w:szCs w:val="20"/>
              </w:rPr>
            </w:pPr>
            <w:r w:rsidRPr="006B1802">
              <w:rPr>
                <w:rFonts w:ascii="Arial Narrow" w:hAnsi="Arial Narrow"/>
                <w:sz w:val="20"/>
                <w:szCs w:val="20"/>
              </w:rPr>
              <w:t xml:space="preserve"> </w:t>
            </w:r>
            <w:r>
              <w:rPr>
                <w:rFonts w:ascii="Arial Narrow" w:hAnsi="Arial Narrow"/>
                <w:noProof/>
                <w:color w:val="000000"/>
                <w:sz w:val="20"/>
                <w:szCs w:val="20"/>
                <w:highlight w:val="black"/>
              </w:rPr>
              <w:t xml:space="preserve">'''''''''' </w:t>
            </w:r>
          </w:p>
        </w:tc>
      </w:tr>
      <w:tr w:rsidR="00B45F04" w:rsidRPr="00CD0309" w14:paraId="21F75F4D" w14:textId="77777777" w:rsidTr="000D442B">
        <w:trPr>
          <w:trHeight w:val="848"/>
        </w:trPr>
        <w:tc>
          <w:tcPr>
            <w:tcW w:w="1615" w:type="dxa"/>
          </w:tcPr>
          <w:p w14:paraId="0C8CEBBE" w14:textId="77777777" w:rsidR="00B45F04" w:rsidRPr="006908AA" w:rsidRDefault="00B45F04" w:rsidP="00B45F04">
            <w:pPr>
              <w:rPr>
                <w:rFonts w:cstheme="minorHAnsi"/>
                <w:sz w:val="20"/>
                <w:szCs w:val="20"/>
              </w:rPr>
            </w:pPr>
            <w:r w:rsidRPr="006908AA">
              <w:rPr>
                <w:rFonts w:cstheme="minorHAnsi"/>
                <w:sz w:val="20"/>
                <w:szCs w:val="20"/>
              </w:rPr>
              <w:lastRenderedPageBreak/>
              <w:t>Total patient years on therapy (half-cycle corrected)</w:t>
            </w:r>
          </w:p>
        </w:tc>
        <w:tc>
          <w:tcPr>
            <w:tcW w:w="1157" w:type="dxa"/>
          </w:tcPr>
          <w:p w14:paraId="153C8BCE"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 xml:space="preserve"> ''''''''''</w:t>
            </w:r>
            <w:r w:rsidRPr="00B912EA">
              <w:rPr>
                <w:rFonts w:ascii="Arial Narrow" w:hAnsi="Arial Narrow"/>
                <w:sz w:val="20"/>
                <w:szCs w:val="20"/>
                <w:highlight w:val="black"/>
              </w:rPr>
              <w:t xml:space="preserve"> </w:t>
            </w:r>
          </w:p>
        </w:tc>
        <w:tc>
          <w:tcPr>
            <w:tcW w:w="1126" w:type="dxa"/>
          </w:tcPr>
          <w:p w14:paraId="4ECC15A6"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 xml:space="preserve"> ''''''''''</w:t>
            </w:r>
            <w:r w:rsidRPr="00B912EA">
              <w:rPr>
                <w:rFonts w:ascii="Arial Narrow" w:hAnsi="Arial Narrow"/>
                <w:sz w:val="20"/>
                <w:szCs w:val="20"/>
                <w:highlight w:val="black"/>
              </w:rPr>
              <w:t xml:space="preserve"> </w:t>
            </w:r>
          </w:p>
        </w:tc>
        <w:tc>
          <w:tcPr>
            <w:tcW w:w="1126" w:type="dxa"/>
          </w:tcPr>
          <w:p w14:paraId="06675843"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 xml:space="preserve"> ''''''''''</w:t>
            </w:r>
            <w:r w:rsidRPr="00B912EA">
              <w:rPr>
                <w:rFonts w:ascii="Arial Narrow" w:hAnsi="Arial Narrow"/>
                <w:sz w:val="20"/>
                <w:szCs w:val="20"/>
                <w:highlight w:val="black"/>
              </w:rPr>
              <w:t xml:space="preserve"> </w:t>
            </w:r>
          </w:p>
        </w:tc>
        <w:tc>
          <w:tcPr>
            <w:tcW w:w="1152" w:type="dxa"/>
          </w:tcPr>
          <w:p w14:paraId="45B1C121"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 xml:space="preserve"> ''''''''''</w:t>
            </w:r>
            <w:r w:rsidRPr="00B912EA">
              <w:rPr>
                <w:rFonts w:ascii="Arial Narrow" w:hAnsi="Arial Narrow"/>
                <w:sz w:val="20"/>
                <w:szCs w:val="20"/>
                <w:highlight w:val="black"/>
              </w:rPr>
              <w:t xml:space="preserve"> </w:t>
            </w:r>
          </w:p>
        </w:tc>
        <w:tc>
          <w:tcPr>
            <w:tcW w:w="1126" w:type="dxa"/>
          </w:tcPr>
          <w:p w14:paraId="4F4AF112"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 xml:space="preserve"> ''''''''''</w:t>
            </w:r>
            <w:r w:rsidRPr="00B912EA">
              <w:rPr>
                <w:rFonts w:ascii="Arial Narrow" w:hAnsi="Arial Narrow"/>
                <w:sz w:val="20"/>
                <w:szCs w:val="20"/>
                <w:highlight w:val="black"/>
              </w:rPr>
              <w:t xml:space="preserve"> </w:t>
            </w:r>
          </w:p>
        </w:tc>
        <w:tc>
          <w:tcPr>
            <w:tcW w:w="1260" w:type="dxa"/>
          </w:tcPr>
          <w:p w14:paraId="090F1077"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 xml:space="preserve"> ''''''''''''''</w:t>
            </w:r>
            <w:r w:rsidRPr="00B912EA">
              <w:rPr>
                <w:rFonts w:ascii="Arial Narrow" w:hAnsi="Arial Narrow"/>
                <w:sz w:val="20"/>
                <w:szCs w:val="20"/>
                <w:highlight w:val="black"/>
              </w:rPr>
              <w:t xml:space="preserve"> </w:t>
            </w:r>
          </w:p>
        </w:tc>
      </w:tr>
      <w:tr w:rsidR="00B45F04" w:rsidRPr="00CD0309" w14:paraId="229A94AC" w14:textId="77777777" w:rsidTr="000D442B">
        <w:trPr>
          <w:trHeight w:val="629"/>
        </w:trPr>
        <w:tc>
          <w:tcPr>
            <w:tcW w:w="1615" w:type="dxa"/>
          </w:tcPr>
          <w:p w14:paraId="2A0FDE0C" w14:textId="77777777" w:rsidR="00B45F04" w:rsidRPr="006908AA" w:rsidRDefault="00B45F04" w:rsidP="00B45F04">
            <w:pPr>
              <w:rPr>
                <w:rFonts w:cstheme="minorHAnsi"/>
                <w:sz w:val="20"/>
                <w:szCs w:val="20"/>
              </w:rPr>
            </w:pPr>
            <w:r w:rsidRPr="006908AA">
              <w:rPr>
                <w:rFonts w:cstheme="minorHAnsi"/>
                <w:sz w:val="20"/>
                <w:szCs w:val="20"/>
              </w:rPr>
              <w:t>Total tolvaptan packs dispensed (13.04/patient)</w:t>
            </w:r>
          </w:p>
        </w:tc>
        <w:tc>
          <w:tcPr>
            <w:tcW w:w="1157" w:type="dxa"/>
          </w:tcPr>
          <w:p w14:paraId="3DC63A5E"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126" w:type="dxa"/>
          </w:tcPr>
          <w:p w14:paraId="78B9F0FA"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126" w:type="dxa"/>
          </w:tcPr>
          <w:p w14:paraId="105E95F1"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152" w:type="dxa"/>
          </w:tcPr>
          <w:p w14:paraId="17AB006A"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126" w:type="dxa"/>
          </w:tcPr>
          <w:p w14:paraId="163BAF63"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260" w:type="dxa"/>
          </w:tcPr>
          <w:p w14:paraId="0AC42A61"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r>
      <w:tr w:rsidR="00B45F04" w:rsidRPr="00CD0309" w14:paraId="69B2FD54" w14:textId="77777777" w:rsidTr="000D442B">
        <w:trPr>
          <w:trHeight w:val="1058"/>
        </w:trPr>
        <w:tc>
          <w:tcPr>
            <w:tcW w:w="1615" w:type="dxa"/>
          </w:tcPr>
          <w:p w14:paraId="1F463E43" w14:textId="77777777" w:rsidR="00B45F04" w:rsidRPr="006908AA" w:rsidRDefault="00B45F04" w:rsidP="00B45F04">
            <w:pPr>
              <w:pStyle w:val="ListParagraph"/>
              <w:numPr>
                <w:ilvl w:val="0"/>
                <w:numId w:val="19"/>
              </w:numPr>
              <w:rPr>
                <w:rFonts w:cstheme="minorHAnsi"/>
                <w:sz w:val="20"/>
                <w:szCs w:val="20"/>
              </w:rPr>
            </w:pPr>
            <w:r w:rsidRPr="006908AA">
              <w:rPr>
                <w:rFonts w:cstheme="minorHAnsi"/>
                <w:sz w:val="20"/>
                <w:szCs w:val="20"/>
              </w:rPr>
              <w:t xml:space="preserve">15 mg + 45 mg dose pack </w:t>
            </w:r>
          </w:p>
        </w:tc>
        <w:tc>
          <w:tcPr>
            <w:tcW w:w="1157" w:type="dxa"/>
          </w:tcPr>
          <w:p w14:paraId="64CF5785"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126" w:type="dxa"/>
          </w:tcPr>
          <w:p w14:paraId="015D7897"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126" w:type="dxa"/>
          </w:tcPr>
          <w:p w14:paraId="79E7E236"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152" w:type="dxa"/>
          </w:tcPr>
          <w:p w14:paraId="4FDE3C03"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126" w:type="dxa"/>
          </w:tcPr>
          <w:p w14:paraId="1BB110FD"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260" w:type="dxa"/>
          </w:tcPr>
          <w:p w14:paraId="72E581D7"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r>
      <w:tr w:rsidR="00B45F04" w:rsidRPr="00CD0309" w14:paraId="4053AAC4" w14:textId="77777777" w:rsidTr="000D442B">
        <w:trPr>
          <w:trHeight w:val="1058"/>
        </w:trPr>
        <w:tc>
          <w:tcPr>
            <w:tcW w:w="1615" w:type="dxa"/>
          </w:tcPr>
          <w:p w14:paraId="12AD72D5" w14:textId="77777777" w:rsidR="00B45F04" w:rsidRPr="006908AA" w:rsidRDefault="00B45F04" w:rsidP="00B45F04">
            <w:pPr>
              <w:pStyle w:val="ListParagraph"/>
              <w:numPr>
                <w:ilvl w:val="0"/>
                <w:numId w:val="19"/>
              </w:numPr>
              <w:rPr>
                <w:rFonts w:cstheme="minorHAnsi"/>
                <w:sz w:val="20"/>
                <w:szCs w:val="20"/>
              </w:rPr>
            </w:pPr>
            <w:r w:rsidRPr="006908AA">
              <w:rPr>
                <w:rFonts w:cstheme="minorHAnsi"/>
                <w:sz w:val="20"/>
                <w:szCs w:val="20"/>
              </w:rPr>
              <w:t xml:space="preserve">30 mg + 60 mg dose pack </w:t>
            </w:r>
          </w:p>
        </w:tc>
        <w:tc>
          <w:tcPr>
            <w:tcW w:w="1157" w:type="dxa"/>
          </w:tcPr>
          <w:p w14:paraId="231B1DC3"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126" w:type="dxa"/>
          </w:tcPr>
          <w:p w14:paraId="62518726"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126" w:type="dxa"/>
          </w:tcPr>
          <w:p w14:paraId="6CBA9751"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152" w:type="dxa"/>
          </w:tcPr>
          <w:p w14:paraId="4D4BE873"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126" w:type="dxa"/>
          </w:tcPr>
          <w:p w14:paraId="74215E83"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260" w:type="dxa"/>
          </w:tcPr>
          <w:p w14:paraId="3F33C685"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r>
      <w:tr w:rsidR="00B45F04" w:rsidRPr="00CD0309" w14:paraId="15AE7618" w14:textId="77777777" w:rsidTr="000D442B">
        <w:trPr>
          <w:trHeight w:val="1058"/>
        </w:trPr>
        <w:tc>
          <w:tcPr>
            <w:tcW w:w="1615" w:type="dxa"/>
          </w:tcPr>
          <w:p w14:paraId="64CB01DC" w14:textId="77777777" w:rsidR="00B45F04" w:rsidRPr="006908AA" w:rsidRDefault="00B45F04" w:rsidP="00B45F04">
            <w:pPr>
              <w:pStyle w:val="ListParagraph"/>
              <w:numPr>
                <w:ilvl w:val="0"/>
                <w:numId w:val="19"/>
              </w:numPr>
              <w:rPr>
                <w:rFonts w:cstheme="minorHAnsi"/>
                <w:sz w:val="20"/>
                <w:szCs w:val="20"/>
              </w:rPr>
            </w:pPr>
            <w:r w:rsidRPr="006908AA">
              <w:rPr>
                <w:rFonts w:cstheme="minorHAnsi"/>
                <w:sz w:val="20"/>
                <w:szCs w:val="20"/>
              </w:rPr>
              <w:t xml:space="preserve">30 mg + 90 mg dose pack </w:t>
            </w:r>
          </w:p>
        </w:tc>
        <w:tc>
          <w:tcPr>
            <w:tcW w:w="1157" w:type="dxa"/>
          </w:tcPr>
          <w:p w14:paraId="5B133AE6"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126" w:type="dxa"/>
          </w:tcPr>
          <w:p w14:paraId="0BC76B90"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126" w:type="dxa"/>
          </w:tcPr>
          <w:p w14:paraId="7C763D43"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152" w:type="dxa"/>
          </w:tcPr>
          <w:p w14:paraId="5F193E41"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126" w:type="dxa"/>
          </w:tcPr>
          <w:p w14:paraId="66763AD2"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c>
          <w:tcPr>
            <w:tcW w:w="1260" w:type="dxa"/>
          </w:tcPr>
          <w:p w14:paraId="60BB8A1D" w14:textId="77777777" w:rsidR="00B45F04" w:rsidRPr="006908AA" w:rsidRDefault="00B45F04" w:rsidP="00B45F04">
            <w:pPr>
              <w:rPr>
                <w:rFonts w:cstheme="minorHAnsi"/>
                <w:sz w:val="20"/>
                <w:szCs w:val="20"/>
              </w:rPr>
            </w:pPr>
            <w:r>
              <w:rPr>
                <w:rFonts w:ascii="Arial Narrow" w:hAnsi="Arial Narrow"/>
                <w:noProof/>
                <w:color w:val="000000"/>
                <w:sz w:val="20"/>
                <w:szCs w:val="20"/>
                <w:highlight w:val="black"/>
              </w:rPr>
              <w:t>''''''''''''''</w:t>
            </w:r>
          </w:p>
        </w:tc>
      </w:tr>
      <w:tr w:rsidR="00B45F04" w:rsidRPr="00CD0309" w14:paraId="708DA5B1" w14:textId="77777777" w:rsidTr="000D442B">
        <w:trPr>
          <w:trHeight w:val="629"/>
        </w:trPr>
        <w:tc>
          <w:tcPr>
            <w:tcW w:w="1615" w:type="dxa"/>
          </w:tcPr>
          <w:p w14:paraId="60F53E59" w14:textId="77777777" w:rsidR="00B45F04" w:rsidRPr="006908AA" w:rsidRDefault="00B45F04" w:rsidP="00B45F04">
            <w:pPr>
              <w:rPr>
                <w:rFonts w:cstheme="minorHAnsi"/>
                <w:sz w:val="20"/>
                <w:szCs w:val="20"/>
              </w:rPr>
            </w:pPr>
            <w:r w:rsidRPr="00CB20A9">
              <w:rPr>
                <w:rFonts w:cstheme="minorHAnsi"/>
                <w:sz w:val="20"/>
                <w:szCs w:val="20"/>
              </w:rPr>
              <w:t>Cost with effective DPMQ ($</w:t>
            </w:r>
            <w:r>
              <w:rPr>
                <w:rFonts w:ascii="Arial Narrow" w:hAnsi="Arial Narrow"/>
                <w:noProof/>
                <w:color w:val="000000"/>
                <w:sz w:val="20"/>
                <w:szCs w:val="20"/>
                <w:highlight w:val="black"/>
              </w:rPr>
              <w:t>'''''''''''''''</w:t>
            </w:r>
            <w:r w:rsidRPr="006B1802">
              <w:rPr>
                <w:rFonts w:ascii="Arial Narrow" w:hAnsi="Arial Narrow"/>
                <w:sz w:val="20"/>
                <w:szCs w:val="20"/>
              </w:rPr>
              <w:t>)</w:t>
            </w:r>
          </w:p>
        </w:tc>
        <w:tc>
          <w:tcPr>
            <w:tcW w:w="1157" w:type="dxa"/>
          </w:tcPr>
          <w:p w14:paraId="3B65CF0C" w14:textId="77777777" w:rsidR="00B45F04" w:rsidRPr="006908AA" w:rsidRDefault="00B45F04" w:rsidP="00B45F04">
            <w:pPr>
              <w:rPr>
                <w:rFonts w:cstheme="minorHAnsi"/>
                <w:sz w:val="20"/>
                <w:szCs w:val="20"/>
              </w:rPr>
            </w:pPr>
          </w:p>
        </w:tc>
        <w:tc>
          <w:tcPr>
            <w:tcW w:w="1126" w:type="dxa"/>
          </w:tcPr>
          <w:p w14:paraId="4BC4DCB8" w14:textId="77777777" w:rsidR="00B45F04" w:rsidRPr="006908AA" w:rsidRDefault="00B45F04" w:rsidP="00B45F04">
            <w:pPr>
              <w:rPr>
                <w:rFonts w:cstheme="minorHAnsi"/>
                <w:sz w:val="20"/>
                <w:szCs w:val="20"/>
              </w:rPr>
            </w:pPr>
          </w:p>
        </w:tc>
        <w:tc>
          <w:tcPr>
            <w:tcW w:w="1126" w:type="dxa"/>
          </w:tcPr>
          <w:p w14:paraId="5A54651F" w14:textId="77777777" w:rsidR="00B45F04" w:rsidRPr="006908AA" w:rsidRDefault="00B45F04" w:rsidP="00B45F04">
            <w:pPr>
              <w:rPr>
                <w:rFonts w:cstheme="minorHAnsi"/>
                <w:sz w:val="20"/>
                <w:szCs w:val="20"/>
              </w:rPr>
            </w:pPr>
          </w:p>
        </w:tc>
        <w:tc>
          <w:tcPr>
            <w:tcW w:w="1152" w:type="dxa"/>
          </w:tcPr>
          <w:p w14:paraId="72B82DC6" w14:textId="77777777" w:rsidR="00B45F04" w:rsidRPr="006908AA" w:rsidRDefault="00B45F04" w:rsidP="00B45F04">
            <w:pPr>
              <w:rPr>
                <w:rFonts w:cstheme="minorHAnsi"/>
                <w:sz w:val="20"/>
                <w:szCs w:val="20"/>
              </w:rPr>
            </w:pPr>
          </w:p>
        </w:tc>
        <w:tc>
          <w:tcPr>
            <w:tcW w:w="1126" w:type="dxa"/>
          </w:tcPr>
          <w:p w14:paraId="1EC10B21" w14:textId="77777777" w:rsidR="00B45F04" w:rsidRPr="006908AA" w:rsidRDefault="00B45F04" w:rsidP="00B45F04">
            <w:pPr>
              <w:rPr>
                <w:rFonts w:cstheme="minorHAnsi"/>
                <w:sz w:val="20"/>
                <w:szCs w:val="20"/>
              </w:rPr>
            </w:pPr>
          </w:p>
        </w:tc>
        <w:tc>
          <w:tcPr>
            <w:tcW w:w="1260" w:type="dxa"/>
          </w:tcPr>
          <w:p w14:paraId="6ED4B0C0" w14:textId="77777777" w:rsidR="00B45F04" w:rsidRPr="006908AA" w:rsidRDefault="00B45F04" w:rsidP="00B45F04">
            <w:pPr>
              <w:rPr>
                <w:rFonts w:cstheme="minorHAnsi"/>
                <w:sz w:val="20"/>
                <w:szCs w:val="20"/>
              </w:rPr>
            </w:pPr>
          </w:p>
        </w:tc>
      </w:tr>
      <w:tr w:rsidR="00B45F04" w:rsidRPr="00CD0309" w14:paraId="00FC42A0" w14:textId="77777777" w:rsidTr="000D442B">
        <w:trPr>
          <w:trHeight w:val="419"/>
        </w:trPr>
        <w:tc>
          <w:tcPr>
            <w:tcW w:w="1615" w:type="dxa"/>
          </w:tcPr>
          <w:p w14:paraId="051A5F88" w14:textId="77777777" w:rsidR="00B45F04" w:rsidRPr="006908AA" w:rsidRDefault="00B45F04" w:rsidP="00B45F04">
            <w:pPr>
              <w:rPr>
                <w:rFonts w:cstheme="minorHAnsi"/>
                <w:sz w:val="20"/>
                <w:szCs w:val="20"/>
              </w:rPr>
            </w:pPr>
            <w:r w:rsidRPr="006908AA">
              <w:rPr>
                <w:rFonts w:cstheme="minorHAnsi"/>
                <w:sz w:val="20"/>
                <w:szCs w:val="20"/>
              </w:rPr>
              <w:t xml:space="preserve">Cost of tolvaptan </w:t>
            </w:r>
          </w:p>
        </w:tc>
        <w:tc>
          <w:tcPr>
            <w:tcW w:w="1157" w:type="dxa"/>
          </w:tcPr>
          <w:p w14:paraId="5FCF8AFE" w14:textId="77777777" w:rsidR="00B45F04" w:rsidRPr="00C67FD3" w:rsidRDefault="00B45F04" w:rsidP="00B45F04">
            <w:pPr>
              <w:rPr>
                <w:rFonts w:cstheme="minorHAnsi"/>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c>
          <w:tcPr>
            <w:tcW w:w="1126" w:type="dxa"/>
          </w:tcPr>
          <w:p w14:paraId="38142105" w14:textId="77777777" w:rsidR="00B45F04" w:rsidRPr="00C67FD3" w:rsidRDefault="00B45F04" w:rsidP="00B45F04">
            <w:pPr>
              <w:rPr>
                <w:rFonts w:cstheme="minorHAnsi"/>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c>
          <w:tcPr>
            <w:tcW w:w="1126" w:type="dxa"/>
          </w:tcPr>
          <w:p w14:paraId="7743821F" w14:textId="77777777" w:rsidR="00B45F04" w:rsidRPr="00C67FD3" w:rsidRDefault="00B45F04" w:rsidP="00B45F04">
            <w:pPr>
              <w:rPr>
                <w:rFonts w:cstheme="minorHAnsi"/>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c>
          <w:tcPr>
            <w:tcW w:w="1152" w:type="dxa"/>
          </w:tcPr>
          <w:p w14:paraId="73E3E023" w14:textId="77777777" w:rsidR="00B45F04" w:rsidRPr="00C67FD3" w:rsidRDefault="00B45F04" w:rsidP="00B45F04">
            <w:pPr>
              <w:rPr>
                <w:rFonts w:cstheme="minorHAnsi"/>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c>
          <w:tcPr>
            <w:tcW w:w="1126" w:type="dxa"/>
          </w:tcPr>
          <w:p w14:paraId="081A88BE" w14:textId="77777777" w:rsidR="00B45F04" w:rsidRPr="00C67FD3" w:rsidRDefault="00B45F04" w:rsidP="00B45F04">
            <w:pPr>
              <w:rPr>
                <w:rFonts w:cstheme="minorHAnsi"/>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c>
          <w:tcPr>
            <w:tcW w:w="1260" w:type="dxa"/>
          </w:tcPr>
          <w:p w14:paraId="7CFC9565" w14:textId="77777777" w:rsidR="00B45F04" w:rsidRPr="00C67FD3" w:rsidRDefault="00B45F04" w:rsidP="00B45F04">
            <w:pPr>
              <w:rPr>
                <w:rFonts w:cstheme="minorHAnsi"/>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r>
      <w:tr w:rsidR="00B45F04" w:rsidRPr="00CD0309" w14:paraId="78ACA348" w14:textId="77777777" w:rsidTr="000D442B">
        <w:trPr>
          <w:trHeight w:val="429"/>
        </w:trPr>
        <w:tc>
          <w:tcPr>
            <w:tcW w:w="1615" w:type="dxa"/>
          </w:tcPr>
          <w:p w14:paraId="68949C36" w14:textId="77777777" w:rsidR="00B45F04" w:rsidRPr="006908AA" w:rsidRDefault="00B45F04" w:rsidP="00B45F04">
            <w:pPr>
              <w:rPr>
                <w:rFonts w:cstheme="minorHAnsi"/>
                <w:sz w:val="20"/>
                <w:szCs w:val="20"/>
              </w:rPr>
            </w:pPr>
            <w:r w:rsidRPr="006908AA">
              <w:rPr>
                <w:rFonts w:cstheme="minorHAnsi"/>
                <w:sz w:val="20"/>
                <w:szCs w:val="20"/>
              </w:rPr>
              <w:t xml:space="preserve">Patient </w:t>
            </w:r>
            <w:proofErr w:type="spellStart"/>
            <w:r w:rsidRPr="006908AA">
              <w:rPr>
                <w:rFonts w:cstheme="minorHAnsi"/>
                <w:sz w:val="20"/>
                <w:szCs w:val="20"/>
              </w:rPr>
              <w:t>copay</w:t>
            </w:r>
            <w:proofErr w:type="spellEnd"/>
            <w:r w:rsidRPr="006908AA">
              <w:rPr>
                <w:rFonts w:cstheme="minorHAnsi"/>
                <w:sz w:val="20"/>
                <w:szCs w:val="20"/>
              </w:rPr>
              <w:t xml:space="preserve"> (mean $25.06)</w:t>
            </w:r>
          </w:p>
        </w:tc>
        <w:tc>
          <w:tcPr>
            <w:tcW w:w="1157" w:type="dxa"/>
          </w:tcPr>
          <w:p w14:paraId="2839A447" w14:textId="77777777" w:rsidR="00B45F04" w:rsidRPr="00C67FD3" w:rsidRDefault="00B45F04" w:rsidP="00B45F04">
            <w:pPr>
              <w:rPr>
                <w:rFonts w:cstheme="minorHAnsi"/>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c>
          <w:tcPr>
            <w:tcW w:w="1126" w:type="dxa"/>
          </w:tcPr>
          <w:p w14:paraId="466002DF" w14:textId="77777777" w:rsidR="00B45F04" w:rsidRPr="00C67FD3" w:rsidRDefault="00B45F04" w:rsidP="00B45F04">
            <w:pPr>
              <w:rPr>
                <w:rFonts w:cstheme="minorHAnsi"/>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c>
          <w:tcPr>
            <w:tcW w:w="1126" w:type="dxa"/>
          </w:tcPr>
          <w:p w14:paraId="6C5AFF00" w14:textId="77777777" w:rsidR="00B45F04" w:rsidRPr="00C67FD3" w:rsidRDefault="00B45F04" w:rsidP="00B45F04">
            <w:pPr>
              <w:rPr>
                <w:rFonts w:cstheme="minorHAnsi"/>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c>
          <w:tcPr>
            <w:tcW w:w="1152" w:type="dxa"/>
          </w:tcPr>
          <w:p w14:paraId="79F5829B" w14:textId="77777777" w:rsidR="00B45F04" w:rsidRPr="00C67FD3" w:rsidRDefault="00B45F04" w:rsidP="00B45F04">
            <w:pPr>
              <w:rPr>
                <w:rFonts w:cstheme="minorHAnsi"/>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c>
          <w:tcPr>
            <w:tcW w:w="1126" w:type="dxa"/>
          </w:tcPr>
          <w:p w14:paraId="5AA06BD1" w14:textId="77777777" w:rsidR="00B45F04" w:rsidRPr="00C67FD3" w:rsidRDefault="00B45F04" w:rsidP="00B45F04">
            <w:pPr>
              <w:rPr>
                <w:rFonts w:cstheme="minorHAnsi"/>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c>
          <w:tcPr>
            <w:tcW w:w="1260" w:type="dxa"/>
          </w:tcPr>
          <w:p w14:paraId="57552656" w14:textId="77777777" w:rsidR="00B45F04" w:rsidRPr="00C67FD3" w:rsidRDefault="00B45F04" w:rsidP="00B45F04">
            <w:pPr>
              <w:rPr>
                <w:rFonts w:cstheme="minorHAnsi"/>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r>
      <w:tr w:rsidR="00B45F04" w:rsidRPr="00CD0309" w14:paraId="057FA57D" w14:textId="77777777" w:rsidTr="000D442B">
        <w:trPr>
          <w:trHeight w:val="419"/>
        </w:trPr>
        <w:tc>
          <w:tcPr>
            <w:tcW w:w="1615" w:type="dxa"/>
          </w:tcPr>
          <w:p w14:paraId="1200EC88" w14:textId="77777777" w:rsidR="00B45F04" w:rsidRPr="006908AA" w:rsidRDefault="00B45F04" w:rsidP="00B45F04">
            <w:pPr>
              <w:rPr>
                <w:rFonts w:cstheme="minorHAnsi"/>
                <w:sz w:val="20"/>
                <w:szCs w:val="20"/>
              </w:rPr>
            </w:pPr>
            <w:r w:rsidRPr="006908AA">
              <w:rPr>
                <w:rFonts w:cstheme="minorHAnsi"/>
                <w:sz w:val="20"/>
                <w:szCs w:val="20"/>
              </w:rPr>
              <w:t>Net cost to the PBS/RPBS</w:t>
            </w:r>
          </w:p>
        </w:tc>
        <w:tc>
          <w:tcPr>
            <w:tcW w:w="1157" w:type="dxa"/>
          </w:tcPr>
          <w:p w14:paraId="487EDC1F" w14:textId="77777777" w:rsidR="00B45F04" w:rsidRPr="00C67FD3" w:rsidRDefault="00B45F04" w:rsidP="00B45F04">
            <w:pPr>
              <w:rPr>
                <w:rFonts w:cstheme="minorHAnsi"/>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c>
          <w:tcPr>
            <w:tcW w:w="1126" w:type="dxa"/>
          </w:tcPr>
          <w:p w14:paraId="45CF6C60" w14:textId="77777777" w:rsidR="00B45F04" w:rsidRPr="00C67FD3" w:rsidRDefault="00B45F04" w:rsidP="00B45F04">
            <w:pPr>
              <w:rPr>
                <w:rFonts w:cstheme="minorHAnsi"/>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c>
          <w:tcPr>
            <w:tcW w:w="1126" w:type="dxa"/>
          </w:tcPr>
          <w:p w14:paraId="417D73EB" w14:textId="77777777" w:rsidR="00B45F04" w:rsidRPr="00C67FD3" w:rsidRDefault="00B45F04" w:rsidP="00B45F04">
            <w:pPr>
              <w:rPr>
                <w:rFonts w:cstheme="minorHAnsi"/>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c>
          <w:tcPr>
            <w:tcW w:w="1152" w:type="dxa"/>
          </w:tcPr>
          <w:p w14:paraId="04D4DE6F" w14:textId="77777777" w:rsidR="00B45F04" w:rsidRPr="00C67FD3" w:rsidRDefault="00B45F04" w:rsidP="00B45F04">
            <w:pPr>
              <w:rPr>
                <w:rFonts w:cstheme="minorHAnsi"/>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c>
          <w:tcPr>
            <w:tcW w:w="1126" w:type="dxa"/>
          </w:tcPr>
          <w:p w14:paraId="7565F68D" w14:textId="77777777" w:rsidR="00B45F04" w:rsidRPr="00C67FD3" w:rsidRDefault="00B45F04" w:rsidP="00B45F04">
            <w:pPr>
              <w:rPr>
                <w:rFonts w:cstheme="minorHAnsi"/>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c>
          <w:tcPr>
            <w:tcW w:w="1260" w:type="dxa"/>
          </w:tcPr>
          <w:p w14:paraId="63B08232" w14:textId="77777777" w:rsidR="00B45F04" w:rsidRPr="00C67FD3" w:rsidRDefault="00B45F04" w:rsidP="00B45F04">
            <w:pPr>
              <w:rPr>
                <w:rFonts w:cstheme="minorHAnsi"/>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r>
      <w:tr w:rsidR="00B45F04" w:rsidRPr="00CD0309" w14:paraId="2628D27E" w14:textId="77777777" w:rsidTr="000D442B">
        <w:trPr>
          <w:trHeight w:val="839"/>
        </w:trPr>
        <w:tc>
          <w:tcPr>
            <w:tcW w:w="1615" w:type="dxa"/>
          </w:tcPr>
          <w:p w14:paraId="0CFC606A" w14:textId="77777777" w:rsidR="00B45F04" w:rsidRPr="006908AA" w:rsidRDefault="00B45F04" w:rsidP="00B45F04">
            <w:pPr>
              <w:rPr>
                <w:rFonts w:cstheme="minorHAnsi"/>
                <w:sz w:val="20"/>
                <w:szCs w:val="20"/>
              </w:rPr>
            </w:pPr>
            <w:r w:rsidRPr="006908AA">
              <w:rPr>
                <w:rFonts w:cstheme="minorHAnsi"/>
                <w:sz w:val="20"/>
                <w:szCs w:val="20"/>
              </w:rPr>
              <w:t>LFT cost to MBS (12 tests per year, $11.65 per test)</w:t>
            </w:r>
          </w:p>
        </w:tc>
        <w:tc>
          <w:tcPr>
            <w:tcW w:w="1157" w:type="dxa"/>
          </w:tcPr>
          <w:p w14:paraId="490B783B" w14:textId="77777777" w:rsidR="00B45F04" w:rsidRPr="00C67FD3" w:rsidRDefault="00B45F04" w:rsidP="00B45F04">
            <w:pPr>
              <w:rPr>
                <w:rFonts w:cstheme="minorHAnsi"/>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c>
          <w:tcPr>
            <w:tcW w:w="1126" w:type="dxa"/>
          </w:tcPr>
          <w:p w14:paraId="58105256" w14:textId="77777777" w:rsidR="00B45F04" w:rsidRPr="00C67FD3" w:rsidRDefault="00B45F04" w:rsidP="00B45F04">
            <w:pPr>
              <w:rPr>
                <w:rFonts w:cstheme="minorHAnsi"/>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c>
          <w:tcPr>
            <w:tcW w:w="1126" w:type="dxa"/>
          </w:tcPr>
          <w:p w14:paraId="0533A475" w14:textId="77777777" w:rsidR="00B45F04" w:rsidRPr="00C67FD3" w:rsidRDefault="00B45F04" w:rsidP="00B45F04">
            <w:pPr>
              <w:rPr>
                <w:rFonts w:cstheme="minorHAnsi"/>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c>
          <w:tcPr>
            <w:tcW w:w="1152" w:type="dxa"/>
          </w:tcPr>
          <w:p w14:paraId="2938CF9B" w14:textId="77777777" w:rsidR="00B45F04" w:rsidRPr="00C67FD3" w:rsidRDefault="00B45F04" w:rsidP="00B45F04">
            <w:pPr>
              <w:rPr>
                <w:rFonts w:cstheme="minorHAnsi"/>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c>
          <w:tcPr>
            <w:tcW w:w="1126" w:type="dxa"/>
          </w:tcPr>
          <w:p w14:paraId="03814282" w14:textId="77777777" w:rsidR="00B45F04" w:rsidRPr="00C67FD3" w:rsidRDefault="00B45F04" w:rsidP="00B45F04">
            <w:pPr>
              <w:rPr>
                <w:rFonts w:cstheme="minorHAnsi"/>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c>
          <w:tcPr>
            <w:tcW w:w="1260" w:type="dxa"/>
          </w:tcPr>
          <w:p w14:paraId="10E1167F" w14:textId="77777777" w:rsidR="00B45F04" w:rsidRPr="00C67FD3" w:rsidRDefault="00B45F04" w:rsidP="00B45F04">
            <w:pPr>
              <w:rPr>
                <w:rFonts w:cstheme="minorHAnsi"/>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r>
      <w:tr w:rsidR="00B45F04" w:rsidRPr="00CD0309" w14:paraId="49DFD0D3" w14:textId="77777777" w:rsidTr="000D442B">
        <w:trPr>
          <w:trHeight w:val="429"/>
        </w:trPr>
        <w:tc>
          <w:tcPr>
            <w:tcW w:w="1615" w:type="dxa"/>
          </w:tcPr>
          <w:p w14:paraId="071FE2C6" w14:textId="77777777" w:rsidR="00B45F04" w:rsidRPr="006908AA" w:rsidRDefault="00B45F04" w:rsidP="00B45F04">
            <w:pPr>
              <w:rPr>
                <w:rFonts w:cstheme="minorHAnsi"/>
                <w:b/>
                <w:sz w:val="20"/>
                <w:szCs w:val="20"/>
              </w:rPr>
            </w:pPr>
            <w:r w:rsidRPr="006908AA">
              <w:rPr>
                <w:rFonts w:cstheme="minorHAnsi"/>
                <w:b/>
                <w:sz w:val="20"/>
                <w:szCs w:val="20"/>
              </w:rPr>
              <w:t xml:space="preserve">Net cost to government </w:t>
            </w:r>
          </w:p>
        </w:tc>
        <w:tc>
          <w:tcPr>
            <w:tcW w:w="1157" w:type="dxa"/>
          </w:tcPr>
          <w:p w14:paraId="6D4B85D7" w14:textId="77777777" w:rsidR="00B45F04" w:rsidRPr="00C67FD3" w:rsidRDefault="00B45F04" w:rsidP="00B45F04">
            <w:pPr>
              <w:rPr>
                <w:rFonts w:cstheme="minorHAnsi"/>
                <w:b/>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c>
          <w:tcPr>
            <w:tcW w:w="1126" w:type="dxa"/>
          </w:tcPr>
          <w:p w14:paraId="055A86FD" w14:textId="77777777" w:rsidR="00B45F04" w:rsidRPr="00C67FD3" w:rsidRDefault="00B45F04" w:rsidP="00B45F04">
            <w:pPr>
              <w:rPr>
                <w:rFonts w:cstheme="minorHAnsi"/>
                <w:b/>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c>
          <w:tcPr>
            <w:tcW w:w="1126" w:type="dxa"/>
          </w:tcPr>
          <w:p w14:paraId="7CF95160" w14:textId="77777777" w:rsidR="00B45F04" w:rsidRPr="00C67FD3" w:rsidRDefault="00B45F04" w:rsidP="00B45F04">
            <w:pPr>
              <w:rPr>
                <w:rFonts w:cstheme="minorHAnsi"/>
                <w:b/>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c>
          <w:tcPr>
            <w:tcW w:w="1152" w:type="dxa"/>
          </w:tcPr>
          <w:p w14:paraId="03B3DC4B" w14:textId="77777777" w:rsidR="00B45F04" w:rsidRPr="00C67FD3" w:rsidRDefault="00B45F04" w:rsidP="00B45F04">
            <w:pPr>
              <w:rPr>
                <w:rFonts w:cstheme="minorHAnsi"/>
                <w:b/>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c>
          <w:tcPr>
            <w:tcW w:w="1126" w:type="dxa"/>
          </w:tcPr>
          <w:p w14:paraId="2616EC02" w14:textId="77777777" w:rsidR="00B45F04" w:rsidRPr="00C67FD3" w:rsidRDefault="00B45F04" w:rsidP="00B45F04">
            <w:pPr>
              <w:rPr>
                <w:rFonts w:cstheme="minorHAnsi"/>
                <w:b/>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c>
          <w:tcPr>
            <w:tcW w:w="1260" w:type="dxa"/>
          </w:tcPr>
          <w:p w14:paraId="5868DC7F" w14:textId="77777777" w:rsidR="00B45F04" w:rsidRPr="00C67FD3" w:rsidRDefault="00B45F04" w:rsidP="00B45F04">
            <w:pPr>
              <w:rPr>
                <w:rFonts w:cstheme="minorHAnsi"/>
                <w:b/>
                <w:sz w:val="20"/>
                <w:szCs w:val="20"/>
                <w:highlight w:val="lightGray"/>
              </w:rPr>
            </w:pPr>
            <w:r w:rsidRPr="006B1802">
              <w:rPr>
                <w:rFonts w:ascii="Arial Narrow" w:hAnsi="Arial Narrow"/>
                <w:sz w:val="20"/>
                <w:szCs w:val="20"/>
              </w:rPr>
              <w:t>$</w:t>
            </w:r>
            <w:r>
              <w:rPr>
                <w:rFonts w:ascii="Arial Narrow" w:hAnsi="Arial Narrow"/>
                <w:noProof/>
                <w:color w:val="000000"/>
                <w:sz w:val="20"/>
                <w:szCs w:val="20"/>
                <w:highlight w:val="black"/>
              </w:rPr>
              <w:t>''''''''''''''''''''''''</w:t>
            </w:r>
          </w:p>
        </w:tc>
      </w:tr>
    </w:tbl>
    <w:p w14:paraId="3E9B7F93" w14:textId="2F214F81" w:rsidR="003841B1" w:rsidRPr="006908AA" w:rsidRDefault="003841B1" w:rsidP="003841B1">
      <w:pPr>
        <w:spacing w:before="40" w:after="360"/>
        <w:contextualSpacing/>
        <w:rPr>
          <w:rFonts w:cstheme="minorHAnsi"/>
          <w:sz w:val="20"/>
          <w:szCs w:val="20"/>
          <w:lang w:eastAsia="en-US"/>
        </w:rPr>
      </w:pPr>
      <w:r w:rsidRPr="006908AA">
        <w:rPr>
          <w:rFonts w:cstheme="minorHAnsi"/>
          <w:sz w:val="20"/>
          <w:szCs w:val="20"/>
          <w:lang w:eastAsia="en-US"/>
        </w:rPr>
        <w:t xml:space="preserve">Abbreviations: ADPKD, autosomal dominant polycystic kidney disease; CKD, chronic kidney disease; DPMQ, dispensed price for maximum quantity; </w:t>
      </w:r>
      <w:proofErr w:type="spellStart"/>
      <w:r w:rsidRPr="006908AA">
        <w:rPr>
          <w:rFonts w:cstheme="minorHAnsi"/>
          <w:sz w:val="20"/>
          <w:szCs w:val="20"/>
          <w:lang w:eastAsia="en-US"/>
        </w:rPr>
        <w:t>ΔeGFR</w:t>
      </w:r>
      <w:proofErr w:type="spellEnd"/>
      <w:r w:rsidRPr="006908AA">
        <w:rPr>
          <w:rFonts w:cstheme="minorHAnsi"/>
          <w:sz w:val="20"/>
          <w:szCs w:val="20"/>
          <w:lang w:eastAsia="en-US"/>
        </w:rPr>
        <w:t xml:space="preserve">, change in estimated glomerular filtration rate; LFT, liver function test; PBS, Pharmaceutical Benefits Scheme; </w:t>
      </w:r>
      <w:proofErr w:type="spellStart"/>
      <w:r w:rsidRPr="006908AA">
        <w:rPr>
          <w:rFonts w:cstheme="minorHAnsi"/>
          <w:sz w:val="20"/>
          <w:szCs w:val="20"/>
          <w:lang w:eastAsia="en-US"/>
        </w:rPr>
        <w:t>pop’n</w:t>
      </w:r>
      <w:proofErr w:type="spellEnd"/>
      <w:r w:rsidRPr="006908AA">
        <w:rPr>
          <w:rFonts w:cstheme="minorHAnsi"/>
          <w:sz w:val="20"/>
          <w:szCs w:val="20"/>
          <w:lang w:eastAsia="en-US"/>
        </w:rPr>
        <w:t>, population; RPBS, Repatriation Pharmaceutical Benefits Scheme.</w:t>
      </w:r>
    </w:p>
    <w:p w14:paraId="45BC6EAE" w14:textId="3AC731D2" w:rsidR="004F057D" w:rsidRDefault="003841B1" w:rsidP="00843220">
      <w:pPr>
        <w:spacing w:before="40" w:after="360"/>
        <w:contextualSpacing/>
        <w:rPr>
          <w:rFonts w:cstheme="minorHAnsi"/>
          <w:sz w:val="20"/>
          <w:szCs w:val="20"/>
          <w:lang w:eastAsia="en-US"/>
        </w:rPr>
      </w:pPr>
      <w:r w:rsidRPr="006908AA">
        <w:rPr>
          <w:rFonts w:cstheme="minorHAnsi"/>
          <w:sz w:val="20"/>
          <w:szCs w:val="20"/>
          <w:lang w:eastAsia="en-US"/>
        </w:rPr>
        <w:t>Source: table 4</w:t>
      </w:r>
      <w:r w:rsidR="00843220" w:rsidRPr="006908AA">
        <w:rPr>
          <w:rFonts w:cstheme="minorHAnsi"/>
          <w:sz w:val="20"/>
          <w:szCs w:val="20"/>
          <w:lang w:eastAsia="en-US"/>
        </w:rPr>
        <w:t>.2, p20 of the minor submission</w:t>
      </w:r>
    </w:p>
    <w:p w14:paraId="40B4DFA1" w14:textId="78E977EA" w:rsidR="003841B1" w:rsidRDefault="004F057D" w:rsidP="004F057D">
      <w:pPr>
        <w:pStyle w:val="Tabletitle"/>
        <w:rPr>
          <w:sz w:val="20"/>
        </w:rPr>
      </w:pPr>
      <w:r w:rsidRPr="004F057D">
        <w:rPr>
          <w:sz w:val="20"/>
        </w:rPr>
        <w:t xml:space="preserve">Table 3: Stepped-wise presentation of the proposed revisions to the Section 4 estimates – net costs to the PBS/RPBS </w:t>
      </w:r>
      <w:bookmarkStart w:id="2" w:name="_Hlk511833634"/>
    </w:p>
    <w:tbl>
      <w:tblPr>
        <w:tblStyle w:val="TableGrid11"/>
        <w:tblW w:w="482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42"/>
        <w:gridCol w:w="1065"/>
        <w:gridCol w:w="1067"/>
        <w:gridCol w:w="1069"/>
        <w:gridCol w:w="1069"/>
        <w:gridCol w:w="1067"/>
        <w:gridCol w:w="1253"/>
      </w:tblGrid>
      <w:tr w:rsidR="000D442B" w:rsidRPr="00CD0309" w14:paraId="424F120A" w14:textId="77777777" w:rsidTr="000D442B">
        <w:trPr>
          <w:trHeight w:val="84"/>
          <w:tblHeader/>
        </w:trPr>
        <w:tc>
          <w:tcPr>
            <w:tcW w:w="1183"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F33034" w14:textId="77777777" w:rsidR="00B45F04" w:rsidRPr="006908AA" w:rsidRDefault="00B45F04" w:rsidP="00B45F04">
            <w:pPr>
              <w:keepNext/>
              <w:keepLines/>
              <w:rPr>
                <w:rFonts w:cstheme="minorHAnsi"/>
                <w:b/>
                <w:sz w:val="20"/>
                <w:szCs w:val="20"/>
              </w:rPr>
            </w:pPr>
          </w:p>
        </w:tc>
        <w:tc>
          <w:tcPr>
            <w:tcW w:w="61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8D3BD8" w14:textId="77777777" w:rsidR="00B45F04" w:rsidRPr="006908AA" w:rsidRDefault="00B45F04" w:rsidP="00B45F04">
            <w:pPr>
              <w:keepNext/>
              <w:keepLines/>
              <w:rPr>
                <w:rFonts w:cstheme="minorHAnsi"/>
                <w:b/>
                <w:sz w:val="20"/>
                <w:szCs w:val="20"/>
              </w:rPr>
            </w:pPr>
            <w:r w:rsidRPr="006908AA">
              <w:rPr>
                <w:rFonts w:cstheme="minorHAnsi"/>
                <w:b/>
                <w:sz w:val="20"/>
                <w:szCs w:val="20"/>
              </w:rPr>
              <w:t xml:space="preserve">Year 1 </w:t>
            </w:r>
          </w:p>
        </w:tc>
        <w:tc>
          <w:tcPr>
            <w:tcW w:w="61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3D982C" w14:textId="77777777" w:rsidR="00B45F04" w:rsidRPr="006908AA" w:rsidRDefault="00B45F04" w:rsidP="00B45F04">
            <w:pPr>
              <w:keepNext/>
              <w:keepLines/>
              <w:rPr>
                <w:rFonts w:cstheme="minorHAnsi"/>
                <w:b/>
                <w:sz w:val="20"/>
                <w:szCs w:val="20"/>
              </w:rPr>
            </w:pPr>
            <w:r w:rsidRPr="006908AA">
              <w:rPr>
                <w:rFonts w:cstheme="minorHAnsi"/>
                <w:b/>
                <w:sz w:val="20"/>
                <w:szCs w:val="20"/>
              </w:rPr>
              <w:t xml:space="preserve">Year 2 </w:t>
            </w:r>
          </w:p>
        </w:tc>
        <w:tc>
          <w:tcPr>
            <w:tcW w:w="61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03AD7E" w14:textId="77777777" w:rsidR="00B45F04" w:rsidRPr="006908AA" w:rsidRDefault="00B45F04" w:rsidP="00B45F04">
            <w:pPr>
              <w:keepNext/>
              <w:keepLines/>
              <w:rPr>
                <w:rFonts w:cstheme="minorHAnsi"/>
                <w:b/>
                <w:sz w:val="20"/>
                <w:szCs w:val="20"/>
              </w:rPr>
            </w:pPr>
            <w:r w:rsidRPr="006908AA">
              <w:rPr>
                <w:rFonts w:cstheme="minorHAnsi"/>
                <w:b/>
                <w:sz w:val="20"/>
                <w:szCs w:val="20"/>
              </w:rPr>
              <w:t xml:space="preserve">Year 3 </w:t>
            </w:r>
          </w:p>
        </w:tc>
        <w:tc>
          <w:tcPr>
            <w:tcW w:w="61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23AEFC" w14:textId="77777777" w:rsidR="00B45F04" w:rsidRPr="006908AA" w:rsidRDefault="00B45F04" w:rsidP="00B45F04">
            <w:pPr>
              <w:keepNext/>
              <w:keepLines/>
              <w:rPr>
                <w:rFonts w:cstheme="minorHAnsi"/>
                <w:b/>
                <w:sz w:val="20"/>
                <w:szCs w:val="20"/>
              </w:rPr>
            </w:pPr>
            <w:r w:rsidRPr="006908AA">
              <w:rPr>
                <w:rFonts w:cstheme="minorHAnsi"/>
                <w:b/>
                <w:sz w:val="20"/>
                <w:szCs w:val="20"/>
              </w:rPr>
              <w:t xml:space="preserve">Year 4 </w:t>
            </w:r>
          </w:p>
        </w:tc>
        <w:tc>
          <w:tcPr>
            <w:tcW w:w="61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FCEF2F" w14:textId="77777777" w:rsidR="00B45F04" w:rsidRPr="006908AA" w:rsidRDefault="00B45F04" w:rsidP="00B45F04">
            <w:pPr>
              <w:keepNext/>
              <w:keepLines/>
              <w:rPr>
                <w:rFonts w:cstheme="minorHAnsi"/>
                <w:b/>
                <w:sz w:val="20"/>
                <w:szCs w:val="20"/>
              </w:rPr>
            </w:pPr>
            <w:r w:rsidRPr="006908AA">
              <w:rPr>
                <w:rFonts w:cstheme="minorHAnsi"/>
                <w:b/>
                <w:sz w:val="20"/>
                <w:szCs w:val="20"/>
              </w:rPr>
              <w:t xml:space="preserve">Year 5 </w:t>
            </w:r>
          </w:p>
        </w:tc>
        <w:tc>
          <w:tcPr>
            <w:tcW w:w="72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70BEA9" w14:textId="77777777" w:rsidR="00B45F04" w:rsidRPr="006908AA" w:rsidRDefault="00B45F04" w:rsidP="00B45F04">
            <w:pPr>
              <w:keepNext/>
              <w:keepLines/>
              <w:rPr>
                <w:rFonts w:cstheme="minorHAnsi"/>
                <w:b/>
                <w:sz w:val="20"/>
                <w:szCs w:val="20"/>
              </w:rPr>
            </w:pPr>
            <w:r w:rsidRPr="006908AA">
              <w:rPr>
                <w:rFonts w:cstheme="minorHAnsi"/>
                <w:b/>
                <w:sz w:val="20"/>
                <w:szCs w:val="20"/>
              </w:rPr>
              <w:t>Year 6</w:t>
            </w:r>
          </w:p>
        </w:tc>
      </w:tr>
      <w:tr w:rsidR="000D442B" w:rsidRPr="00CD0309" w14:paraId="779C51E6" w14:textId="77777777" w:rsidTr="000D442B">
        <w:trPr>
          <w:trHeight w:val="214"/>
        </w:trPr>
        <w:tc>
          <w:tcPr>
            <w:tcW w:w="1183" w:type="pct"/>
            <w:tcBorders>
              <w:top w:val="single" w:sz="4" w:space="0" w:color="auto"/>
              <w:left w:val="single" w:sz="4" w:space="0" w:color="auto"/>
              <w:bottom w:val="single" w:sz="4" w:space="0" w:color="auto"/>
              <w:right w:val="single" w:sz="4" w:space="0" w:color="auto"/>
            </w:tcBorders>
            <w:vAlign w:val="center"/>
          </w:tcPr>
          <w:p w14:paraId="6E73EFC2" w14:textId="77777777" w:rsidR="00B45F04" w:rsidRPr="006908AA" w:rsidRDefault="00B45F04" w:rsidP="00B45F04">
            <w:pPr>
              <w:keepNext/>
              <w:keepLines/>
              <w:spacing w:before="60" w:after="60"/>
              <w:rPr>
                <w:rFonts w:cstheme="minorHAnsi"/>
                <w:sz w:val="20"/>
                <w:szCs w:val="20"/>
              </w:rPr>
            </w:pPr>
            <w:r w:rsidRPr="006908AA">
              <w:rPr>
                <w:rFonts w:cstheme="minorHAnsi"/>
                <w:sz w:val="20"/>
                <w:szCs w:val="20"/>
              </w:rPr>
              <w:t xml:space="preserve">March 2018 estimates </w:t>
            </w:r>
          </w:p>
        </w:tc>
        <w:tc>
          <w:tcPr>
            <w:tcW w:w="617" w:type="pct"/>
            <w:tcBorders>
              <w:top w:val="single" w:sz="4" w:space="0" w:color="auto"/>
              <w:left w:val="single" w:sz="4" w:space="0" w:color="auto"/>
              <w:bottom w:val="single" w:sz="4" w:space="0" w:color="auto"/>
              <w:right w:val="single" w:sz="4" w:space="0" w:color="auto"/>
            </w:tcBorders>
          </w:tcPr>
          <w:p w14:paraId="70C1D56B" w14:textId="77777777" w:rsidR="00B45F04" w:rsidRPr="00C67FD3" w:rsidRDefault="00B45F04" w:rsidP="00B45F04">
            <w:pPr>
              <w:keepNext/>
              <w:keepLines/>
              <w:spacing w:before="60" w:after="60"/>
              <w:rPr>
                <w:rFonts w:cstheme="minorHAnsi"/>
                <w:sz w:val="20"/>
                <w:szCs w:val="20"/>
                <w:highlight w:val="lightGray"/>
              </w:rPr>
            </w:pPr>
            <w:r w:rsidRPr="006B1802">
              <w:rPr>
                <w:rFonts w:ascii="Arial Narrow" w:hAnsi="Arial Narrow" w:cs="Arial"/>
                <w:sz w:val="20"/>
                <w:szCs w:val="20"/>
              </w:rPr>
              <w:t>$</w:t>
            </w:r>
            <w:r>
              <w:rPr>
                <w:rFonts w:ascii="Arial Narrow" w:hAnsi="Arial Narrow" w:cs="Arial"/>
                <w:noProof/>
                <w:color w:val="000000"/>
                <w:sz w:val="20"/>
                <w:szCs w:val="20"/>
                <w:highlight w:val="black"/>
              </w:rPr>
              <w:t>''''''''''''''''''''''''''</w:t>
            </w:r>
          </w:p>
        </w:tc>
        <w:tc>
          <w:tcPr>
            <w:tcW w:w="618" w:type="pct"/>
            <w:tcBorders>
              <w:top w:val="single" w:sz="4" w:space="0" w:color="auto"/>
              <w:left w:val="single" w:sz="4" w:space="0" w:color="auto"/>
              <w:bottom w:val="single" w:sz="4" w:space="0" w:color="auto"/>
              <w:right w:val="single" w:sz="4" w:space="0" w:color="auto"/>
            </w:tcBorders>
          </w:tcPr>
          <w:p w14:paraId="57255218" w14:textId="77777777" w:rsidR="00B45F04" w:rsidRPr="00C67FD3" w:rsidRDefault="00B45F04" w:rsidP="00B45F04">
            <w:pPr>
              <w:keepNext/>
              <w:keepLines/>
              <w:spacing w:before="60" w:after="60"/>
              <w:rPr>
                <w:rFonts w:cstheme="minorHAnsi"/>
                <w:sz w:val="20"/>
                <w:szCs w:val="20"/>
                <w:highlight w:val="lightGray"/>
              </w:rPr>
            </w:pPr>
            <w:r w:rsidRPr="006B1802">
              <w:rPr>
                <w:rFonts w:ascii="Arial Narrow" w:hAnsi="Arial Narrow" w:cs="Arial"/>
                <w:sz w:val="20"/>
                <w:szCs w:val="20"/>
              </w:rPr>
              <w:t>$</w:t>
            </w:r>
            <w:r>
              <w:rPr>
                <w:rFonts w:ascii="Arial Narrow" w:hAnsi="Arial Narrow" w:cs="Arial"/>
                <w:noProof/>
                <w:color w:val="000000"/>
                <w:sz w:val="20"/>
                <w:szCs w:val="20"/>
                <w:highlight w:val="black"/>
              </w:rPr>
              <w:t>'''''''''''''''''''''''''''</w:t>
            </w:r>
          </w:p>
        </w:tc>
        <w:tc>
          <w:tcPr>
            <w:tcW w:w="619" w:type="pct"/>
            <w:tcBorders>
              <w:top w:val="single" w:sz="4" w:space="0" w:color="auto"/>
              <w:left w:val="single" w:sz="4" w:space="0" w:color="auto"/>
              <w:bottom w:val="single" w:sz="4" w:space="0" w:color="auto"/>
              <w:right w:val="single" w:sz="4" w:space="0" w:color="auto"/>
            </w:tcBorders>
          </w:tcPr>
          <w:p w14:paraId="4DCB5608" w14:textId="77777777" w:rsidR="00B45F04" w:rsidRPr="00C67FD3" w:rsidRDefault="00B45F04" w:rsidP="00B45F04">
            <w:pPr>
              <w:keepNext/>
              <w:keepLines/>
              <w:spacing w:before="60" w:after="60"/>
              <w:rPr>
                <w:rFonts w:cstheme="minorHAnsi"/>
                <w:sz w:val="20"/>
                <w:szCs w:val="20"/>
                <w:highlight w:val="lightGray"/>
              </w:rPr>
            </w:pPr>
            <w:r w:rsidRPr="006B1802">
              <w:rPr>
                <w:rFonts w:ascii="Arial Narrow" w:hAnsi="Arial Narrow" w:cs="Arial"/>
                <w:sz w:val="20"/>
                <w:szCs w:val="20"/>
              </w:rPr>
              <w:t>$</w:t>
            </w:r>
            <w:r>
              <w:rPr>
                <w:rFonts w:ascii="Arial Narrow" w:hAnsi="Arial Narrow" w:cs="Arial"/>
                <w:noProof/>
                <w:color w:val="000000"/>
                <w:sz w:val="20"/>
                <w:szCs w:val="20"/>
                <w:highlight w:val="black"/>
              </w:rPr>
              <w:t>'''''''''''''''''''''''''</w:t>
            </w:r>
          </w:p>
        </w:tc>
        <w:tc>
          <w:tcPr>
            <w:tcW w:w="619" w:type="pct"/>
            <w:tcBorders>
              <w:top w:val="single" w:sz="4" w:space="0" w:color="auto"/>
              <w:left w:val="single" w:sz="4" w:space="0" w:color="auto"/>
              <w:bottom w:val="single" w:sz="4" w:space="0" w:color="auto"/>
              <w:right w:val="single" w:sz="4" w:space="0" w:color="auto"/>
            </w:tcBorders>
          </w:tcPr>
          <w:p w14:paraId="0CB05FA7" w14:textId="77777777" w:rsidR="00B45F04" w:rsidRPr="00C67FD3" w:rsidRDefault="00B45F04" w:rsidP="00B45F04">
            <w:pPr>
              <w:keepNext/>
              <w:keepLines/>
              <w:spacing w:before="60" w:after="60"/>
              <w:rPr>
                <w:rFonts w:cstheme="minorHAnsi"/>
                <w:sz w:val="20"/>
                <w:szCs w:val="20"/>
                <w:highlight w:val="lightGray"/>
              </w:rPr>
            </w:pPr>
            <w:r w:rsidRPr="006B1802">
              <w:rPr>
                <w:rFonts w:ascii="Arial Narrow" w:hAnsi="Arial Narrow" w:cs="Arial"/>
                <w:sz w:val="20"/>
                <w:szCs w:val="20"/>
              </w:rPr>
              <w:t>$</w:t>
            </w:r>
            <w:r>
              <w:rPr>
                <w:rFonts w:ascii="Arial Narrow" w:hAnsi="Arial Narrow" w:cs="Arial"/>
                <w:noProof/>
                <w:color w:val="000000"/>
                <w:sz w:val="20"/>
                <w:szCs w:val="20"/>
                <w:highlight w:val="black"/>
              </w:rPr>
              <w:t>''''''''''''''''''''''''''</w:t>
            </w:r>
          </w:p>
        </w:tc>
        <w:tc>
          <w:tcPr>
            <w:tcW w:w="618" w:type="pct"/>
            <w:tcBorders>
              <w:top w:val="single" w:sz="4" w:space="0" w:color="auto"/>
              <w:left w:val="single" w:sz="4" w:space="0" w:color="auto"/>
              <w:bottom w:val="single" w:sz="4" w:space="0" w:color="auto"/>
              <w:right w:val="single" w:sz="4" w:space="0" w:color="auto"/>
            </w:tcBorders>
          </w:tcPr>
          <w:p w14:paraId="65524EFA" w14:textId="77777777" w:rsidR="00B45F04" w:rsidRPr="00C67FD3" w:rsidRDefault="00B45F04" w:rsidP="00B45F04">
            <w:pPr>
              <w:keepNext/>
              <w:keepLines/>
              <w:spacing w:before="60" w:after="60"/>
              <w:rPr>
                <w:rFonts w:cstheme="minorHAnsi"/>
                <w:sz w:val="20"/>
                <w:szCs w:val="20"/>
                <w:highlight w:val="lightGray"/>
              </w:rPr>
            </w:pPr>
            <w:r w:rsidRPr="006B1802">
              <w:rPr>
                <w:rFonts w:ascii="Arial Narrow" w:hAnsi="Arial Narrow" w:cs="Arial"/>
                <w:sz w:val="20"/>
                <w:szCs w:val="20"/>
              </w:rPr>
              <w:t>$</w:t>
            </w:r>
            <w:r>
              <w:rPr>
                <w:rFonts w:ascii="Arial Narrow" w:hAnsi="Arial Narrow" w:cs="Arial"/>
                <w:noProof/>
                <w:color w:val="000000"/>
                <w:sz w:val="20"/>
                <w:szCs w:val="20"/>
                <w:highlight w:val="black"/>
              </w:rPr>
              <w:t>'''''''''''''''''''''''''''</w:t>
            </w:r>
          </w:p>
        </w:tc>
        <w:tc>
          <w:tcPr>
            <w:tcW w:w="726" w:type="pct"/>
            <w:tcBorders>
              <w:top w:val="single" w:sz="4" w:space="0" w:color="auto"/>
              <w:left w:val="single" w:sz="4" w:space="0" w:color="auto"/>
              <w:bottom w:val="single" w:sz="4" w:space="0" w:color="auto"/>
              <w:right w:val="single" w:sz="4" w:space="0" w:color="auto"/>
            </w:tcBorders>
          </w:tcPr>
          <w:p w14:paraId="21ACA756" w14:textId="77777777" w:rsidR="00B45F04" w:rsidRPr="00C67FD3" w:rsidRDefault="00B45F04" w:rsidP="00B45F04">
            <w:pPr>
              <w:keepNext/>
              <w:keepLines/>
              <w:spacing w:before="60" w:after="60"/>
              <w:rPr>
                <w:rFonts w:cstheme="minorHAnsi"/>
                <w:sz w:val="20"/>
                <w:szCs w:val="20"/>
                <w:highlight w:val="lightGray"/>
              </w:rPr>
            </w:pPr>
            <w:r w:rsidRPr="006B1802">
              <w:rPr>
                <w:rFonts w:ascii="Arial Narrow" w:hAnsi="Arial Narrow" w:cs="Arial"/>
                <w:sz w:val="20"/>
                <w:szCs w:val="20"/>
              </w:rPr>
              <w:t>$</w:t>
            </w:r>
            <w:r>
              <w:rPr>
                <w:rFonts w:ascii="Arial Narrow" w:hAnsi="Arial Narrow" w:cs="Arial"/>
                <w:noProof/>
                <w:color w:val="000000"/>
                <w:sz w:val="20"/>
                <w:szCs w:val="20"/>
                <w:highlight w:val="black"/>
              </w:rPr>
              <w:t>'''''''''''''''''''''''''''''</w:t>
            </w:r>
          </w:p>
        </w:tc>
      </w:tr>
      <w:tr w:rsidR="000D442B" w:rsidRPr="00CD0309" w14:paraId="2446BDEF" w14:textId="77777777" w:rsidTr="000D442B">
        <w:trPr>
          <w:trHeight w:val="210"/>
        </w:trPr>
        <w:tc>
          <w:tcPr>
            <w:tcW w:w="1183" w:type="pct"/>
            <w:tcBorders>
              <w:top w:val="single" w:sz="4" w:space="0" w:color="auto"/>
              <w:left w:val="single" w:sz="4" w:space="0" w:color="auto"/>
              <w:bottom w:val="single" w:sz="4" w:space="0" w:color="auto"/>
              <w:right w:val="single" w:sz="4" w:space="0" w:color="auto"/>
            </w:tcBorders>
            <w:vAlign w:val="center"/>
          </w:tcPr>
          <w:p w14:paraId="42FEE595" w14:textId="77777777" w:rsidR="00B45F04" w:rsidRPr="006908AA" w:rsidRDefault="00B45F04" w:rsidP="00B45F04">
            <w:pPr>
              <w:keepNext/>
              <w:keepLines/>
              <w:spacing w:before="60" w:after="60"/>
              <w:rPr>
                <w:rFonts w:cstheme="minorHAnsi"/>
                <w:sz w:val="20"/>
                <w:szCs w:val="20"/>
              </w:rPr>
            </w:pPr>
            <w:r w:rsidRPr="006908AA">
              <w:rPr>
                <w:rFonts w:cstheme="minorHAnsi"/>
                <w:sz w:val="20"/>
                <w:szCs w:val="20"/>
              </w:rPr>
              <w:t>Price reduction (</w:t>
            </w:r>
            <w:r>
              <w:rPr>
                <w:rFonts w:ascii="Arial Narrow" w:hAnsi="Arial Narrow" w:cs="Arial"/>
                <w:noProof/>
                <w:color w:val="000000"/>
                <w:sz w:val="20"/>
                <w:szCs w:val="20"/>
                <w:highlight w:val="black"/>
              </w:rPr>
              <w:t>'''''''''''''''</w:t>
            </w:r>
            <w:r w:rsidRPr="006908AA">
              <w:rPr>
                <w:rFonts w:cstheme="minorHAnsi"/>
                <w:sz w:val="20"/>
                <w:szCs w:val="20"/>
              </w:rPr>
              <w:t>)</w:t>
            </w:r>
          </w:p>
        </w:tc>
        <w:tc>
          <w:tcPr>
            <w:tcW w:w="617" w:type="pct"/>
            <w:tcBorders>
              <w:top w:val="single" w:sz="4" w:space="0" w:color="auto"/>
              <w:left w:val="single" w:sz="4" w:space="0" w:color="auto"/>
              <w:bottom w:val="single" w:sz="4" w:space="0" w:color="auto"/>
              <w:right w:val="single" w:sz="4" w:space="0" w:color="auto"/>
            </w:tcBorders>
          </w:tcPr>
          <w:p w14:paraId="47BA56E0" w14:textId="77777777" w:rsidR="00B45F04" w:rsidRPr="00C67FD3" w:rsidRDefault="00B45F04" w:rsidP="00B45F04">
            <w:pPr>
              <w:keepNext/>
              <w:keepLines/>
              <w:spacing w:before="60" w:after="60"/>
              <w:rPr>
                <w:rFonts w:cstheme="minorHAnsi"/>
                <w:sz w:val="20"/>
                <w:szCs w:val="20"/>
                <w:highlight w:val="lightGray"/>
              </w:rPr>
            </w:pPr>
            <w:r w:rsidRPr="006B1802">
              <w:rPr>
                <w:rFonts w:ascii="Arial Narrow" w:hAnsi="Arial Narrow" w:cs="Arial"/>
                <w:sz w:val="20"/>
                <w:szCs w:val="20"/>
              </w:rPr>
              <w:t>$</w:t>
            </w:r>
            <w:r>
              <w:rPr>
                <w:rFonts w:ascii="Arial Narrow" w:hAnsi="Arial Narrow" w:cs="Arial"/>
                <w:noProof/>
                <w:color w:val="000000"/>
                <w:sz w:val="20"/>
                <w:szCs w:val="20"/>
                <w:highlight w:val="black"/>
              </w:rPr>
              <w:t>'''''''''''''''''''''''</w:t>
            </w:r>
          </w:p>
        </w:tc>
        <w:tc>
          <w:tcPr>
            <w:tcW w:w="618" w:type="pct"/>
            <w:tcBorders>
              <w:top w:val="single" w:sz="4" w:space="0" w:color="auto"/>
              <w:left w:val="single" w:sz="4" w:space="0" w:color="auto"/>
              <w:bottom w:val="single" w:sz="4" w:space="0" w:color="auto"/>
              <w:right w:val="single" w:sz="4" w:space="0" w:color="auto"/>
            </w:tcBorders>
          </w:tcPr>
          <w:p w14:paraId="52A3AFBB" w14:textId="77777777" w:rsidR="00B45F04" w:rsidRPr="00C67FD3" w:rsidRDefault="00B45F04" w:rsidP="00B45F04">
            <w:pPr>
              <w:keepNext/>
              <w:keepLines/>
              <w:spacing w:before="60" w:after="60"/>
              <w:rPr>
                <w:rFonts w:cstheme="minorHAnsi"/>
                <w:sz w:val="20"/>
                <w:szCs w:val="20"/>
                <w:highlight w:val="lightGray"/>
              </w:rPr>
            </w:pPr>
            <w:r w:rsidRPr="006B1802">
              <w:rPr>
                <w:rFonts w:ascii="Arial Narrow" w:hAnsi="Arial Narrow" w:cs="Arial"/>
                <w:sz w:val="20"/>
                <w:szCs w:val="20"/>
              </w:rPr>
              <w:t>$</w:t>
            </w:r>
            <w:r>
              <w:rPr>
                <w:rFonts w:ascii="Arial Narrow" w:hAnsi="Arial Narrow" w:cs="Arial"/>
                <w:noProof/>
                <w:color w:val="000000"/>
                <w:sz w:val="20"/>
                <w:szCs w:val="20"/>
                <w:highlight w:val="black"/>
              </w:rPr>
              <w:t>''''''''''''''''''''''''</w:t>
            </w:r>
          </w:p>
        </w:tc>
        <w:tc>
          <w:tcPr>
            <w:tcW w:w="619" w:type="pct"/>
            <w:tcBorders>
              <w:top w:val="single" w:sz="4" w:space="0" w:color="auto"/>
              <w:left w:val="single" w:sz="4" w:space="0" w:color="auto"/>
              <w:bottom w:val="single" w:sz="4" w:space="0" w:color="auto"/>
              <w:right w:val="single" w:sz="4" w:space="0" w:color="auto"/>
            </w:tcBorders>
          </w:tcPr>
          <w:p w14:paraId="6C998966" w14:textId="77777777" w:rsidR="00B45F04" w:rsidRPr="00C67FD3" w:rsidRDefault="00B45F04" w:rsidP="00B45F04">
            <w:pPr>
              <w:keepNext/>
              <w:keepLines/>
              <w:spacing w:before="60" w:after="60"/>
              <w:rPr>
                <w:rFonts w:cstheme="minorHAnsi"/>
                <w:sz w:val="20"/>
                <w:szCs w:val="20"/>
                <w:highlight w:val="lightGray"/>
              </w:rPr>
            </w:pPr>
            <w:r w:rsidRPr="006B1802">
              <w:rPr>
                <w:rFonts w:ascii="Arial Narrow" w:hAnsi="Arial Narrow" w:cs="Arial"/>
                <w:sz w:val="20"/>
                <w:szCs w:val="20"/>
              </w:rPr>
              <w:t>$</w:t>
            </w:r>
            <w:r>
              <w:rPr>
                <w:rFonts w:ascii="Arial Narrow" w:hAnsi="Arial Narrow" w:cs="Arial"/>
                <w:noProof/>
                <w:color w:val="000000"/>
                <w:sz w:val="20"/>
                <w:szCs w:val="20"/>
                <w:highlight w:val="black"/>
              </w:rPr>
              <w:t>''''''''''''''''''''''''''</w:t>
            </w:r>
          </w:p>
        </w:tc>
        <w:tc>
          <w:tcPr>
            <w:tcW w:w="619" w:type="pct"/>
            <w:tcBorders>
              <w:top w:val="single" w:sz="4" w:space="0" w:color="auto"/>
              <w:left w:val="single" w:sz="4" w:space="0" w:color="auto"/>
              <w:bottom w:val="single" w:sz="4" w:space="0" w:color="auto"/>
              <w:right w:val="single" w:sz="4" w:space="0" w:color="auto"/>
            </w:tcBorders>
          </w:tcPr>
          <w:p w14:paraId="5939008B" w14:textId="77777777" w:rsidR="00B45F04" w:rsidRPr="00C67FD3" w:rsidRDefault="00B45F04" w:rsidP="00B45F04">
            <w:pPr>
              <w:keepNext/>
              <w:keepLines/>
              <w:spacing w:before="60" w:after="60"/>
              <w:rPr>
                <w:rFonts w:cstheme="minorHAnsi"/>
                <w:sz w:val="20"/>
                <w:szCs w:val="20"/>
                <w:highlight w:val="lightGray"/>
              </w:rPr>
            </w:pPr>
            <w:r w:rsidRPr="006B1802">
              <w:rPr>
                <w:rFonts w:ascii="Arial Narrow" w:hAnsi="Arial Narrow" w:cs="Arial"/>
                <w:sz w:val="20"/>
                <w:szCs w:val="20"/>
              </w:rPr>
              <w:t>$</w:t>
            </w:r>
            <w:r>
              <w:rPr>
                <w:rFonts w:ascii="Arial Narrow" w:hAnsi="Arial Narrow" w:cs="Arial"/>
                <w:noProof/>
                <w:color w:val="000000"/>
                <w:sz w:val="20"/>
                <w:szCs w:val="20"/>
                <w:highlight w:val="black"/>
              </w:rPr>
              <w:t>'''''''''''''''''''''''''''</w:t>
            </w:r>
          </w:p>
        </w:tc>
        <w:tc>
          <w:tcPr>
            <w:tcW w:w="618" w:type="pct"/>
            <w:tcBorders>
              <w:top w:val="single" w:sz="4" w:space="0" w:color="auto"/>
              <w:left w:val="single" w:sz="4" w:space="0" w:color="auto"/>
              <w:bottom w:val="single" w:sz="4" w:space="0" w:color="auto"/>
              <w:right w:val="single" w:sz="4" w:space="0" w:color="auto"/>
            </w:tcBorders>
          </w:tcPr>
          <w:p w14:paraId="7AD6C350" w14:textId="77777777" w:rsidR="00B45F04" w:rsidRPr="00C67FD3" w:rsidRDefault="00B45F04" w:rsidP="00B45F04">
            <w:pPr>
              <w:keepNext/>
              <w:keepLines/>
              <w:spacing w:before="60" w:after="60"/>
              <w:rPr>
                <w:rFonts w:cstheme="minorHAnsi"/>
                <w:sz w:val="20"/>
                <w:szCs w:val="20"/>
                <w:highlight w:val="lightGray"/>
              </w:rPr>
            </w:pPr>
            <w:r w:rsidRPr="006B1802">
              <w:rPr>
                <w:rFonts w:ascii="Arial Narrow" w:hAnsi="Arial Narrow" w:cs="Arial"/>
                <w:sz w:val="20"/>
                <w:szCs w:val="20"/>
              </w:rPr>
              <w:t>$</w:t>
            </w:r>
            <w:r>
              <w:rPr>
                <w:rFonts w:ascii="Arial Narrow" w:hAnsi="Arial Narrow" w:cs="Arial"/>
                <w:noProof/>
                <w:color w:val="000000"/>
                <w:sz w:val="20"/>
                <w:szCs w:val="20"/>
                <w:highlight w:val="black"/>
              </w:rPr>
              <w:t>'''''''''''''''''''''''</w:t>
            </w:r>
          </w:p>
        </w:tc>
        <w:tc>
          <w:tcPr>
            <w:tcW w:w="726" w:type="pct"/>
            <w:tcBorders>
              <w:top w:val="single" w:sz="4" w:space="0" w:color="auto"/>
              <w:left w:val="single" w:sz="4" w:space="0" w:color="auto"/>
              <w:bottom w:val="single" w:sz="4" w:space="0" w:color="auto"/>
              <w:right w:val="single" w:sz="4" w:space="0" w:color="auto"/>
            </w:tcBorders>
          </w:tcPr>
          <w:p w14:paraId="1C0FC6B5" w14:textId="77777777" w:rsidR="00B45F04" w:rsidRPr="00C67FD3" w:rsidRDefault="00B45F04" w:rsidP="00B45F04">
            <w:pPr>
              <w:keepNext/>
              <w:keepLines/>
              <w:spacing w:before="60" w:after="60"/>
              <w:rPr>
                <w:rFonts w:cstheme="minorHAnsi"/>
                <w:sz w:val="20"/>
                <w:szCs w:val="20"/>
                <w:highlight w:val="lightGray"/>
              </w:rPr>
            </w:pPr>
            <w:r w:rsidRPr="006B1802">
              <w:rPr>
                <w:rFonts w:ascii="Arial Narrow" w:hAnsi="Arial Narrow" w:cs="Arial"/>
                <w:sz w:val="20"/>
                <w:szCs w:val="20"/>
              </w:rPr>
              <w:t>$</w:t>
            </w:r>
            <w:r>
              <w:rPr>
                <w:rFonts w:ascii="Arial Narrow" w:hAnsi="Arial Narrow" w:cs="Arial"/>
                <w:noProof/>
                <w:color w:val="000000"/>
                <w:sz w:val="20"/>
                <w:szCs w:val="20"/>
                <w:highlight w:val="black"/>
              </w:rPr>
              <w:t>''''''''''''''''''''''''''''</w:t>
            </w:r>
          </w:p>
        </w:tc>
      </w:tr>
      <w:tr w:rsidR="000D442B" w:rsidRPr="00CD0309" w14:paraId="141F936E" w14:textId="77777777" w:rsidTr="000D442B">
        <w:trPr>
          <w:trHeight w:val="475"/>
        </w:trPr>
        <w:tc>
          <w:tcPr>
            <w:tcW w:w="1183" w:type="pct"/>
            <w:tcBorders>
              <w:top w:val="single" w:sz="4" w:space="0" w:color="auto"/>
              <w:left w:val="single" w:sz="4" w:space="0" w:color="auto"/>
              <w:bottom w:val="single" w:sz="4" w:space="0" w:color="auto"/>
              <w:right w:val="single" w:sz="4" w:space="0" w:color="auto"/>
            </w:tcBorders>
            <w:vAlign w:val="center"/>
          </w:tcPr>
          <w:p w14:paraId="48F14BCC" w14:textId="77777777" w:rsidR="00B45F04" w:rsidRPr="006908AA" w:rsidRDefault="00B45F04" w:rsidP="00B45F04">
            <w:pPr>
              <w:keepNext/>
              <w:keepLines/>
              <w:spacing w:before="60" w:after="60"/>
              <w:rPr>
                <w:rFonts w:cstheme="minorHAnsi"/>
                <w:sz w:val="20"/>
                <w:szCs w:val="20"/>
              </w:rPr>
            </w:pPr>
            <w:r w:rsidRPr="006908AA">
              <w:rPr>
                <w:rFonts w:cstheme="minorHAnsi"/>
                <w:sz w:val="20"/>
                <w:szCs w:val="20"/>
              </w:rPr>
              <w:t>Revised eligible population size – base case estimates for the current minor submission</w:t>
            </w:r>
          </w:p>
        </w:tc>
        <w:tc>
          <w:tcPr>
            <w:tcW w:w="617" w:type="pct"/>
            <w:tcBorders>
              <w:top w:val="single" w:sz="4" w:space="0" w:color="auto"/>
              <w:left w:val="single" w:sz="4" w:space="0" w:color="auto"/>
              <w:bottom w:val="single" w:sz="4" w:space="0" w:color="auto"/>
              <w:right w:val="single" w:sz="4" w:space="0" w:color="auto"/>
            </w:tcBorders>
          </w:tcPr>
          <w:p w14:paraId="6BF5A002" w14:textId="77777777" w:rsidR="00B45F04" w:rsidRPr="00C67FD3" w:rsidRDefault="00B45F04" w:rsidP="00B45F04">
            <w:pPr>
              <w:keepNext/>
              <w:keepLines/>
              <w:spacing w:before="60" w:after="60"/>
              <w:rPr>
                <w:rFonts w:cstheme="minorHAnsi"/>
                <w:sz w:val="20"/>
                <w:szCs w:val="20"/>
                <w:highlight w:val="lightGray"/>
              </w:rPr>
            </w:pPr>
            <w:r w:rsidRPr="006B1802">
              <w:rPr>
                <w:rFonts w:ascii="Arial Narrow" w:hAnsi="Arial Narrow" w:cs="Arial"/>
                <w:sz w:val="20"/>
                <w:szCs w:val="20"/>
              </w:rPr>
              <w:t>$</w:t>
            </w:r>
            <w:r>
              <w:rPr>
                <w:rFonts w:ascii="Arial Narrow" w:hAnsi="Arial Narrow" w:cs="Arial"/>
                <w:noProof/>
                <w:color w:val="000000"/>
                <w:sz w:val="20"/>
                <w:szCs w:val="20"/>
                <w:highlight w:val="black"/>
              </w:rPr>
              <w:t>''''''''''''''''''''''</w:t>
            </w:r>
          </w:p>
        </w:tc>
        <w:tc>
          <w:tcPr>
            <w:tcW w:w="618" w:type="pct"/>
            <w:tcBorders>
              <w:top w:val="single" w:sz="4" w:space="0" w:color="auto"/>
              <w:left w:val="single" w:sz="4" w:space="0" w:color="auto"/>
              <w:bottom w:val="single" w:sz="4" w:space="0" w:color="auto"/>
              <w:right w:val="single" w:sz="4" w:space="0" w:color="auto"/>
            </w:tcBorders>
          </w:tcPr>
          <w:p w14:paraId="490850D5" w14:textId="77777777" w:rsidR="00B45F04" w:rsidRPr="00C67FD3" w:rsidRDefault="00B45F04" w:rsidP="00B45F04">
            <w:pPr>
              <w:keepNext/>
              <w:keepLines/>
              <w:spacing w:before="60" w:after="60"/>
              <w:rPr>
                <w:rFonts w:cstheme="minorHAnsi"/>
                <w:sz w:val="20"/>
                <w:szCs w:val="20"/>
                <w:highlight w:val="lightGray"/>
              </w:rPr>
            </w:pPr>
            <w:r w:rsidRPr="006B1802">
              <w:rPr>
                <w:rFonts w:ascii="Arial Narrow" w:hAnsi="Arial Narrow" w:cs="Arial"/>
                <w:sz w:val="20"/>
                <w:szCs w:val="20"/>
              </w:rPr>
              <w:t>$</w:t>
            </w:r>
            <w:r>
              <w:rPr>
                <w:rFonts w:ascii="Arial Narrow" w:hAnsi="Arial Narrow" w:cs="Arial"/>
                <w:noProof/>
                <w:color w:val="000000"/>
                <w:sz w:val="20"/>
                <w:szCs w:val="20"/>
                <w:highlight w:val="black"/>
              </w:rPr>
              <w:t>'''''''''''''''''''''''</w:t>
            </w:r>
          </w:p>
        </w:tc>
        <w:tc>
          <w:tcPr>
            <w:tcW w:w="619" w:type="pct"/>
            <w:tcBorders>
              <w:top w:val="single" w:sz="4" w:space="0" w:color="auto"/>
              <w:left w:val="single" w:sz="4" w:space="0" w:color="auto"/>
              <w:bottom w:val="single" w:sz="4" w:space="0" w:color="auto"/>
              <w:right w:val="single" w:sz="4" w:space="0" w:color="auto"/>
            </w:tcBorders>
          </w:tcPr>
          <w:p w14:paraId="5F11C8A1" w14:textId="77777777" w:rsidR="00B45F04" w:rsidRPr="00C67FD3" w:rsidRDefault="00B45F04" w:rsidP="00B45F04">
            <w:pPr>
              <w:keepNext/>
              <w:keepLines/>
              <w:spacing w:before="60" w:after="60"/>
              <w:rPr>
                <w:rFonts w:cstheme="minorHAnsi"/>
                <w:sz w:val="20"/>
                <w:szCs w:val="20"/>
                <w:highlight w:val="lightGray"/>
              </w:rPr>
            </w:pPr>
            <w:r w:rsidRPr="006B1802">
              <w:rPr>
                <w:rFonts w:ascii="Arial Narrow" w:hAnsi="Arial Narrow" w:cs="Arial"/>
                <w:sz w:val="20"/>
                <w:szCs w:val="20"/>
              </w:rPr>
              <w:t>$</w:t>
            </w:r>
            <w:r>
              <w:rPr>
                <w:rFonts w:ascii="Arial Narrow" w:hAnsi="Arial Narrow" w:cs="Arial"/>
                <w:noProof/>
                <w:color w:val="000000"/>
                <w:sz w:val="20"/>
                <w:szCs w:val="20"/>
                <w:highlight w:val="black"/>
              </w:rPr>
              <w:t>''''''''''''''''''''''</w:t>
            </w:r>
          </w:p>
        </w:tc>
        <w:tc>
          <w:tcPr>
            <w:tcW w:w="619" w:type="pct"/>
            <w:tcBorders>
              <w:top w:val="single" w:sz="4" w:space="0" w:color="auto"/>
              <w:left w:val="single" w:sz="4" w:space="0" w:color="auto"/>
              <w:bottom w:val="single" w:sz="4" w:space="0" w:color="auto"/>
              <w:right w:val="single" w:sz="4" w:space="0" w:color="auto"/>
            </w:tcBorders>
          </w:tcPr>
          <w:p w14:paraId="484AACBE" w14:textId="77777777" w:rsidR="00B45F04" w:rsidRPr="00C67FD3" w:rsidRDefault="00B45F04" w:rsidP="00B45F04">
            <w:pPr>
              <w:keepNext/>
              <w:keepLines/>
              <w:spacing w:before="60" w:after="60"/>
              <w:rPr>
                <w:rFonts w:cstheme="minorHAnsi"/>
                <w:sz w:val="20"/>
                <w:szCs w:val="20"/>
                <w:highlight w:val="lightGray"/>
              </w:rPr>
            </w:pPr>
            <w:r w:rsidRPr="006B1802">
              <w:rPr>
                <w:rFonts w:ascii="Arial Narrow" w:hAnsi="Arial Narrow" w:cs="Arial"/>
                <w:sz w:val="20"/>
                <w:szCs w:val="20"/>
              </w:rPr>
              <w:t>$</w:t>
            </w:r>
            <w:r>
              <w:rPr>
                <w:rFonts w:ascii="Arial Narrow" w:hAnsi="Arial Narrow" w:cs="Arial"/>
                <w:noProof/>
                <w:color w:val="000000"/>
                <w:sz w:val="20"/>
                <w:szCs w:val="20"/>
                <w:highlight w:val="black"/>
              </w:rPr>
              <w:t>'''''''''''''''''''''''</w:t>
            </w:r>
          </w:p>
        </w:tc>
        <w:tc>
          <w:tcPr>
            <w:tcW w:w="618" w:type="pct"/>
            <w:tcBorders>
              <w:top w:val="single" w:sz="4" w:space="0" w:color="auto"/>
              <w:left w:val="single" w:sz="4" w:space="0" w:color="auto"/>
              <w:bottom w:val="single" w:sz="4" w:space="0" w:color="auto"/>
              <w:right w:val="single" w:sz="4" w:space="0" w:color="auto"/>
            </w:tcBorders>
          </w:tcPr>
          <w:p w14:paraId="73D1D035" w14:textId="77777777" w:rsidR="00B45F04" w:rsidRPr="00C67FD3" w:rsidRDefault="00B45F04" w:rsidP="00B45F04">
            <w:pPr>
              <w:keepNext/>
              <w:keepLines/>
              <w:spacing w:before="60" w:after="60"/>
              <w:rPr>
                <w:rFonts w:cstheme="minorHAnsi"/>
                <w:sz w:val="20"/>
                <w:szCs w:val="20"/>
                <w:highlight w:val="lightGray"/>
              </w:rPr>
            </w:pPr>
            <w:r w:rsidRPr="006B1802">
              <w:rPr>
                <w:rFonts w:ascii="Arial Narrow" w:hAnsi="Arial Narrow" w:cs="Arial"/>
                <w:sz w:val="20"/>
                <w:szCs w:val="20"/>
              </w:rPr>
              <w:t>$</w:t>
            </w:r>
            <w:r>
              <w:rPr>
                <w:rFonts w:ascii="Arial Narrow" w:hAnsi="Arial Narrow" w:cs="Arial"/>
                <w:noProof/>
                <w:color w:val="000000"/>
                <w:sz w:val="20"/>
                <w:szCs w:val="20"/>
                <w:highlight w:val="black"/>
              </w:rPr>
              <w:t>'''''''''''''''''''''</w:t>
            </w:r>
          </w:p>
        </w:tc>
        <w:tc>
          <w:tcPr>
            <w:tcW w:w="726" w:type="pct"/>
            <w:tcBorders>
              <w:top w:val="single" w:sz="4" w:space="0" w:color="auto"/>
              <w:left w:val="single" w:sz="4" w:space="0" w:color="auto"/>
              <w:bottom w:val="single" w:sz="4" w:space="0" w:color="auto"/>
              <w:right w:val="single" w:sz="4" w:space="0" w:color="auto"/>
            </w:tcBorders>
          </w:tcPr>
          <w:p w14:paraId="532D83A1" w14:textId="77777777" w:rsidR="00B45F04" w:rsidRPr="00C67FD3" w:rsidRDefault="00B45F04" w:rsidP="00B45F04">
            <w:pPr>
              <w:keepNext/>
              <w:keepLines/>
              <w:spacing w:before="60" w:after="60"/>
              <w:rPr>
                <w:rFonts w:cstheme="minorHAnsi"/>
                <w:sz w:val="20"/>
                <w:szCs w:val="20"/>
                <w:highlight w:val="lightGray"/>
              </w:rPr>
            </w:pPr>
            <w:r w:rsidRPr="006B1802">
              <w:rPr>
                <w:rFonts w:ascii="Arial Narrow" w:hAnsi="Arial Narrow" w:cs="Arial"/>
                <w:sz w:val="20"/>
                <w:szCs w:val="20"/>
              </w:rPr>
              <w:t>$</w:t>
            </w:r>
            <w:r>
              <w:rPr>
                <w:rFonts w:ascii="Arial Narrow" w:hAnsi="Arial Narrow" w:cs="Arial"/>
                <w:noProof/>
                <w:color w:val="000000"/>
                <w:sz w:val="20"/>
                <w:szCs w:val="20"/>
                <w:highlight w:val="black"/>
              </w:rPr>
              <w:t>'''''''''''''''''''''''</w:t>
            </w:r>
          </w:p>
        </w:tc>
      </w:tr>
    </w:tbl>
    <w:p w14:paraId="48E3FC56" w14:textId="56312A57" w:rsidR="006D3BDC" w:rsidRPr="000D442B" w:rsidRDefault="003841B1" w:rsidP="000D442B">
      <w:pPr>
        <w:spacing w:before="40" w:after="360"/>
        <w:contextualSpacing/>
        <w:rPr>
          <w:rFonts w:cstheme="minorHAnsi"/>
          <w:sz w:val="20"/>
          <w:szCs w:val="20"/>
          <w:lang w:eastAsia="en-US"/>
        </w:rPr>
      </w:pPr>
      <w:r w:rsidRPr="006908AA">
        <w:rPr>
          <w:rFonts w:cstheme="minorHAnsi"/>
          <w:sz w:val="20"/>
          <w:szCs w:val="20"/>
          <w:lang w:eastAsia="en-US"/>
        </w:rPr>
        <w:t xml:space="preserve">Source: table 4-3, p21 minor submission. </w:t>
      </w:r>
      <w:bookmarkEnd w:id="2"/>
      <w:r w:rsidR="006D3BDC">
        <w:br w:type="page"/>
      </w:r>
    </w:p>
    <w:p w14:paraId="383E312E" w14:textId="32502D3B" w:rsidR="00736041" w:rsidRPr="005E22C2" w:rsidRDefault="00394AEE" w:rsidP="00CF5E22">
      <w:pPr>
        <w:pStyle w:val="Heading2"/>
      </w:pPr>
      <w:r>
        <w:lastRenderedPageBreak/>
        <w:t>Relevant aspects of</w:t>
      </w:r>
      <w:r w:rsidR="00736041" w:rsidRPr="005E22C2">
        <w:t xml:space="preserve"> consideration</w:t>
      </w:r>
      <w:r>
        <w:t xml:space="preserve"> by the Pharmaceutical Benefits Advisory Committee (PBAC)</w:t>
      </w:r>
    </w:p>
    <w:p w14:paraId="585B921B" w14:textId="75EC8E74" w:rsidR="00CE700D" w:rsidRPr="00CE700D" w:rsidRDefault="00CE700D" w:rsidP="00A35800">
      <w:pPr>
        <w:rPr>
          <w:b/>
        </w:rPr>
      </w:pPr>
      <w:r w:rsidRPr="00CE700D">
        <w:rPr>
          <w:b/>
        </w:rPr>
        <w:t xml:space="preserve">November 2016 PBAC Meeting </w:t>
      </w:r>
    </w:p>
    <w:p w14:paraId="0F21FCD8" w14:textId="5A2627A4" w:rsidR="00CE700D" w:rsidRDefault="00CE700D" w:rsidP="00A35800">
      <w:r>
        <w:t xml:space="preserve">The PBAC deferred consideration of the submission from the November 2016 PBAC agenda (item 5.15) </w:t>
      </w:r>
      <w:r w:rsidR="006D3BDC">
        <w:t>to the March 2017 PBAC agenda (i</w:t>
      </w:r>
      <w:r>
        <w:t xml:space="preserve">tem 4.01). Accordingly, the submission did not proceed to the Economics or Drug Utilisation Sub-committee (DUSC) meetings in the November 2016 cycle, but was considered by ESC and DUSC in the March 2017 cycle.  </w:t>
      </w:r>
    </w:p>
    <w:p w14:paraId="1D27DB6B" w14:textId="625B6616" w:rsidR="00CE700D" w:rsidRPr="00FA3449" w:rsidRDefault="00CE700D" w:rsidP="00A35800">
      <w:pPr>
        <w:rPr>
          <w:b/>
        </w:rPr>
      </w:pPr>
      <w:r w:rsidRPr="00FA3449">
        <w:rPr>
          <w:b/>
        </w:rPr>
        <w:t>March 2017 PBAC Meeting</w:t>
      </w:r>
    </w:p>
    <w:p w14:paraId="67683A20" w14:textId="761875F4" w:rsidR="00CE700D" w:rsidRDefault="00CE700D" w:rsidP="00A35800">
      <w:r>
        <w:t xml:space="preserve">The submission requested a Section </w:t>
      </w:r>
      <w:r w:rsidR="00FA3449">
        <w:t>85 Authority</w:t>
      </w:r>
      <w:r w:rsidR="006A08EE">
        <w:t xml:space="preserve"> Required (W</w:t>
      </w:r>
      <w:r>
        <w:t xml:space="preserve">ritten) PBS listing for tolvaptan for the treatment of </w:t>
      </w:r>
      <w:r w:rsidR="000C74DC">
        <w:t>ADPKD</w:t>
      </w:r>
      <w:r>
        <w:t xml:space="preserve">.  </w:t>
      </w:r>
    </w:p>
    <w:p w14:paraId="245FF12B" w14:textId="6B4DE606" w:rsidR="00FA3449" w:rsidRDefault="00FA3449" w:rsidP="00A35800">
      <w:r>
        <w:t xml:space="preserve">The PBAC did not recommend the listing of tolvaptan for the treatment of ADPKD, on the basis that it was uncertain about the long-term clinical benefit of tolvaptan in the treatment of ADPKD and that it was concerned about the potential for substantial liver toxicity associated with the use of this drug. </w:t>
      </w:r>
    </w:p>
    <w:p w14:paraId="094975F7" w14:textId="2C760F44" w:rsidR="00F22231" w:rsidRDefault="00F22231" w:rsidP="00A35800">
      <w:r>
        <w:t xml:space="preserve">The PBAC’s concern with the proposed restriction was in line with DUSC’s advice regarding the utilisation and financial estimates, where the use of the Mayo classification may not be practical for identifying the eligible patient population in Australia and the uptake of tolvaptan may be broader than intended. The PBAC agreed with DUSC that the uptake would be higher as tolvaptan is the first disease modifying therapy for ADPKD and may be used in patients with slower disease progression or </w:t>
      </w:r>
      <w:proofErr w:type="gramStart"/>
      <w:r>
        <w:t>early stage</w:t>
      </w:r>
      <w:proofErr w:type="gramEnd"/>
      <w:r>
        <w:t xml:space="preserve"> disease in an attempt to preserve maximum kidney function.  </w:t>
      </w:r>
    </w:p>
    <w:p w14:paraId="16EA89B5" w14:textId="14478EF9" w:rsidR="00CE700D" w:rsidRDefault="00CE700D" w:rsidP="00A35800">
      <w:r>
        <w:t xml:space="preserve">For further details refer to </w:t>
      </w:r>
      <w:r w:rsidRPr="00F65F0D">
        <w:t xml:space="preserve">the </w:t>
      </w:r>
      <w:hyperlink r:id="rId13" w:history="1">
        <w:r w:rsidR="00342686" w:rsidRPr="00342686">
          <w:rPr>
            <w:rStyle w:val="Hyperlink"/>
          </w:rPr>
          <w:t>Public Summary Document</w:t>
        </w:r>
      </w:hyperlink>
      <w:r w:rsidR="00342686">
        <w:t xml:space="preserve"> </w:t>
      </w:r>
      <w:r w:rsidRPr="00F65F0D">
        <w:t xml:space="preserve">from the </w:t>
      </w:r>
      <w:r>
        <w:t xml:space="preserve">March 2017 PBAC meeting. </w:t>
      </w:r>
    </w:p>
    <w:p w14:paraId="116052BC" w14:textId="642AD01B" w:rsidR="00CE700D" w:rsidRPr="00342686" w:rsidRDefault="00CE700D" w:rsidP="00A35800">
      <w:pPr>
        <w:rPr>
          <w:b/>
        </w:rPr>
      </w:pPr>
      <w:r w:rsidRPr="00342686">
        <w:rPr>
          <w:b/>
        </w:rPr>
        <w:t>March 2018 PBAC Meeting</w:t>
      </w:r>
    </w:p>
    <w:p w14:paraId="30B27AF6" w14:textId="5E3ADB55" w:rsidR="00CE700D" w:rsidRDefault="003841B1" w:rsidP="00A35800">
      <w:r>
        <w:t xml:space="preserve">The PBAC deferred </w:t>
      </w:r>
      <w:proofErr w:type="gramStart"/>
      <w:r>
        <w:t>making a decision</w:t>
      </w:r>
      <w:proofErr w:type="gramEnd"/>
      <w:r>
        <w:t xml:space="preserve"> regarding the </w:t>
      </w:r>
      <w:r w:rsidR="00630DA2">
        <w:t>listing</w:t>
      </w:r>
      <w:r>
        <w:t xml:space="preserve"> of tolvaptan for ADPKD. </w:t>
      </w:r>
      <w:r w:rsidR="00117567">
        <w:t xml:space="preserve">The PBAC accepted the high clinical need for effective therapy to treat ADPKD, </w:t>
      </w:r>
      <w:r w:rsidR="00630DA2">
        <w:t>however</w:t>
      </w:r>
      <w:r w:rsidR="00117567">
        <w:t xml:space="preserve"> it was considered the </w:t>
      </w:r>
      <w:r w:rsidR="000C74DC">
        <w:t>clinical</w:t>
      </w:r>
      <w:r w:rsidR="00117567">
        <w:t xml:space="preserve"> benefit of tolvaptan treatment was uncertain and at best very small. No new trial data is anticipated to resolve this issue. Treatment </w:t>
      </w:r>
      <w:r w:rsidR="00900C01">
        <w:t>wa</w:t>
      </w:r>
      <w:r w:rsidR="006A08EE">
        <w:t>s also expected to be long-term,</w:t>
      </w:r>
      <w:r w:rsidR="00117567">
        <w:t xml:space="preserve"> over 40-50 years. </w:t>
      </w:r>
    </w:p>
    <w:p w14:paraId="1A37DA6A" w14:textId="133180A1" w:rsidR="00630DA2" w:rsidRDefault="00630DA2" w:rsidP="00A35800">
      <w:r>
        <w:t xml:space="preserve">The PBAC considered the estimated eligible population to be highly uncertain and the utilisation and financial implications presented in the submission were most </w:t>
      </w:r>
      <w:r w:rsidR="000C74DC">
        <w:t>likely</w:t>
      </w:r>
      <w:r>
        <w:t xml:space="preserve"> underestimated. The PBAC advised the uncertainty around utilisation was unlikely to be mitigated by the proposed RSA in the resubmission. There was residual </w:t>
      </w:r>
      <w:r w:rsidR="000C74DC">
        <w:t>uncertainty</w:t>
      </w:r>
      <w:r>
        <w:t xml:space="preserve"> about the treatment effect and the most likely population to respond to therapy will require a more targeted population estimated with 100% rebate over an agreed estimated utilisation. </w:t>
      </w:r>
    </w:p>
    <w:p w14:paraId="6F45AA26" w14:textId="4AA074A1" w:rsidR="007C7574" w:rsidRPr="00711990" w:rsidRDefault="006A08EE" w:rsidP="007C7574">
      <w:r>
        <w:t>D</w:t>
      </w:r>
      <w:r w:rsidR="007C7574" w:rsidRPr="00711990">
        <w:t xml:space="preserve">ifferences between the </w:t>
      </w:r>
      <w:r w:rsidR="006D3BDC">
        <w:t xml:space="preserve">March 2017 submission </w:t>
      </w:r>
      <w:r w:rsidR="004A2928">
        <w:t xml:space="preserve">and resubmission’s </w:t>
      </w:r>
      <w:r w:rsidR="007C7574" w:rsidRPr="00711990">
        <w:t xml:space="preserve">estimates include proposed price reduction, narrower PBS population and higher uptake rates in the </w:t>
      </w:r>
      <w:r w:rsidR="007C7574" w:rsidRPr="00711990">
        <w:lastRenderedPageBreak/>
        <w:t>submission. The</w:t>
      </w:r>
      <w:r w:rsidR="007C7574">
        <w:t xml:space="preserve"> PBAC considered the</w:t>
      </w:r>
      <w:r w:rsidR="007C7574" w:rsidRPr="00711990">
        <w:t xml:space="preserve"> estimated utilisation and financial implications </w:t>
      </w:r>
      <w:r w:rsidR="007C7574">
        <w:t xml:space="preserve">were </w:t>
      </w:r>
      <w:r w:rsidR="007C7574" w:rsidRPr="00711990">
        <w:t>substantially underestimated in the resubmission.</w:t>
      </w:r>
    </w:p>
    <w:p w14:paraId="5E9D5B34" w14:textId="6B343E5E" w:rsidR="007C7574" w:rsidRDefault="007C7574" w:rsidP="006A08EE">
      <w:pPr>
        <w:pStyle w:val="ListParagraph"/>
        <w:numPr>
          <w:ilvl w:val="0"/>
          <w:numId w:val="18"/>
        </w:numPr>
      </w:pPr>
      <w:r w:rsidRPr="00F563B9">
        <w:t xml:space="preserve">The assumption that prevalence of ADPKD will remain constant due to the approximate equivalence of the incident and discontinuing populations was not adequately justified and </w:t>
      </w:r>
      <w:r w:rsidR="006D3BDC">
        <w:t>the prevalent ADPKD population wa</w:t>
      </w:r>
      <w:r w:rsidRPr="00F563B9">
        <w:t>s most likely underestimated.</w:t>
      </w:r>
    </w:p>
    <w:p w14:paraId="55C0CD34" w14:textId="7EBD6630" w:rsidR="007C7574" w:rsidRDefault="007C7574" w:rsidP="006A08EE">
      <w:pPr>
        <w:pStyle w:val="ListParagraph"/>
        <w:numPr>
          <w:ilvl w:val="0"/>
          <w:numId w:val="18"/>
        </w:numPr>
      </w:pPr>
      <w:r w:rsidRPr="00F563B9">
        <w:t>The resubmission acknowledged that the estimated utilisation of tolvaptan based on the UK THIN database was most likely underestimated. Given the lack of applicable epidemiological data, the proportion of Australian ADPKD patients who would be eligible for tolvaptan treatment under the req</w:t>
      </w:r>
      <w:r w:rsidR="006D3BDC">
        <w:t>uested listing wa</w:t>
      </w:r>
      <w:r w:rsidRPr="00F563B9">
        <w:t>s highly uncertain.</w:t>
      </w:r>
    </w:p>
    <w:p w14:paraId="608D32A2" w14:textId="240074C5" w:rsidR="007C7574" w:rsidRDefault="007C7574" w:rsidP="006A08EE">
      <w:pPr>
        <w:pStyle w:val="ListParagraph"/>
        <w:numPr>
          <w:ilvl w:val="0"/>
          <w:numId w:val="18"/>
        </w:numPr>
      </w:pPr>
      <w:r w:rsidRPr="00F563B9">
        <w:t>The increased uptake of tolvaptan compared with the previous submission may be reasonable, given tolvaptan is the first disease-modifying therapy for ADPKD. However</w:t>
      </w:r>
      <w:r>
        <w:t>, uptake rates remain</w:t>
      </w:r>
      <w:r w:rsidR="00B44D87">
        <w:t>ed</w:t>
      </w:r>
      <w:r>
        <w:t xml:space="preserve"> uncertain.</w:t>
      </w:r>
    </w:p>
    <w:p w14:paraId="23DC5C87" w14:textId="5547A40A" w:rsidR="007C7574" w:rsidRDefault="007C7574" w:rsidP="006A08EE">
      <w:pPr>
        <w:pStyle w:val="ListParagraph"/>
        <w:numPr>
          <w:ilvl w:val="0"/>
          <w:numId w:val="18"/>
        </w:numPr>
      </w:pPr>
      <w:r w:rsidRPr="007F03CB">
        <w:t>There remain</w:t>
      </w:r>
      <w:r w:rsidR="006D3BDC">
        <w:t>ed</w:t>
      </w:r>
      <w:r w:rsidRPr="007F03CB">
        <w:t xml:space="preserve"> potential for use outside the requested restriction to patients with slower disease progression or </w:t>
      </w:r>
      <w:proofErr w:type="gramStart"/>
      <w:r w:rsidRPr="007F03CB">
        <w:t>early stage</w:t>
      </w:r>
      <w:proofErr w:type="gramEnd"/>
      <w:r w:rsidRPr="007F03CB">
        <w:t xml:space="preserve"> disease.</w:t>
      </w:r>
    </w:p>
    <w:p w14:paraId="557550D3" w14:textId="6BBFC5C2" w:rsidR="007C7574" w:rsidRDefault="007C7574" w:rsidP="006A08EE">
      <w:pPr>
        <w:pStyle w:val="ListParagraph"/>
        <w:numPr>
          <w:ilvl w:val="0"/>
          <w:numId w:val="18"/>
        </w:numPr>
      </w:pPr>
      <w:r w:rsidRPr="00F563B9">
        <w:t xml:space="preserve">The assumption of no wastage during the </w:t>
      </w:r>
      <w:r w:rsidR="00B44D87">
        <w:t>initial titration of tolvaptan wa</w:t>
      </w:r>
      <w:r w:rsidRPr="00F563B9">
        <w:t>s unlikely to be realised in clinical practice and most likely underestimate</w:t>
      </w:r>
      <w:r w:rsidR="00B44D87">
        <w:t xml:space="preserve"> </w:t>
      </w:r>
      <w:r w:rsidRPr="00F563B9">
        <w:t>tolvaptan utilisation.</w:t>
      </w:r>
    </w:p>
    <w:p w14:paraId="409145D8" w14:textId="5171A1AA" w:rsidR="00CE700D" w:rsidRDefault="00CE700D" w:rsidP="00A35800">
      <w:r>
        <w:t xml:space="preserve">For further details refer to </w:t>
      </w:r>
      <w:r w:rsidRPr="00F65F0D">
        <w:t xml:space="preserve">the </w:t>
      </w:r>
      <w:hyperlink r:id="rId14" w:history="1">
        <w:r w:rsidRPr="00342686">
          <w:rPr>
            <w:rStyle w:val="Hyperlink"/>
          </w:rPr>
          <w:t>Public Summary Document</w:t>
        </w:r>
      </w:hyperlink>
      <w:r w:rsidR="00342686">
        <w:t xml:space="preserve"> </w:t>
      </w:r>
      <w:r w:rsidRPr="00F65F0D">
        <w:t xml:space="preserve">from the </w:t>
      </w:r>
      <w:r>
        <w:t>March 2018</w:t>
      </w:r>
      <w:r w:rsidR="007A4C78">
        <w:t xml:space="preserve"> </w:t>
      </w:r>
      <w:r>
        <w:t>PBAC meeting.</w:t>
      </w:r>
    </w:p>
    <w:p w14:paraId="1BB5779B" w14:textId="4DE9E444" w:rsidR="00CE700D" w:rsidRPr="00342686" w:rsidRDefault="00CE700D" w:rsidP="00A35800">
      <w:pPr>
        <w:rPr>
          <w:b/>
        </w:rPr>
      </w:pPr>
      <w:r w:rsidRPr="00342686">
        <w:rPr>
          <w:b/>
        </w:rPr>
        <w:t xml:space="preserve">July 2018 PBAC Meeting </w:t>
      </w:r>
    </w:p>
    <w:p w14:paraId="51FF0135" w14:textId="7B751A8B" w:rsidR="003841B1" w:rsidRDefault="00F85108" w:rsidP="00A35800">
      <w:r>
        <w:t xml:space="preserve">The PBAC recommended the PBS listing of tolvaptan as </w:t>
      </w:r>
      <w:r w:rsidR="000C74DC">
        <w:t>Section 85 Authority Required (W</w:t>
      </w:r>
      <w:r>
        <w:t>ritten) for initiat</w:t>
      </w:r>
      <w:r w:rsidR="000C74DC">
        <w:t>ion and an Authority Required (S</w:t>
      </w:r>
      <w:r>
        <w:t xml:space="preserve">treamlined) listing for continuing treatment of ADPKD. The PBAC was satisfied that for some patients, tolvaptan provides a </w:t>
      </w:r>
      <w:r w:rsidRPr="007A4C78">
        <w:t>small benefit</w:t>
      </w:r>
      <w:r>
        <w:t xml:space="preserve"> although its effect on end stage kidney disease (ESKD) is uncertain. </w:t>
      </w:r>
    </w:p>
    <w:p w14:paraId="01F7F3F8" w14:textId="0ADC02F1" w:rsidR="000C74DC" w:rsidRDefault="000C74DC" w:rsidP="00A35800">
      <w:r>
        <w:t>The PBAC advised that the PBS listing for tolvaptan should be</w:t>
      </w:r>
      <w:r w:rsidR="006A08EE">
        <w:t xml:space="preserve"> restricted to prescribing by n</w:t>
      </w:r>
      <w:r>
        <w:t>ephrologists for initiation and in consultation with a nephrologist for continuing treatment</w:t>
      </w:r>
      <w:r w:rsidR="006A08EE">
        <w:t>. The PBAC noted the tolvaptan Product I</w:t>
      </w:r>
      <w:r>
        <w:t>nformation provided a special warning and precaution for use regarding tolvaptan- associated liver injury and that continu</w:t>
      </w:r>
      <w:r w:rsidR="004A2928">
        <w:t xml:space="preserve">ed </w:t>
      </w:r>
      <w:r>
        <w:t xml:space="preserve">monitoring for hepatotoxicity during tolvaptan treatment was required. </w:t>
      </w:r>
    </w:p>
    <w:p w14:paraId="3A41FDE3" w14:textId="72D204C2" w:rsidR="000C74DC" w:rsidRDefault="000C74DC" w:rsidP="00A35800">
      <w:r>
        <w:t xml:space="preserve">The PBAC considered the hard cap set at </w:t>
      </w:r>
      <w:r w:rsidR="00B45F04" w:rsidRPr="000D442B">
        <w:rPr>
          <w:highlight w:val="black"/>
        </w:rPr>
        <w:t>xxx</w:t>
      </w:r>
      <w:r w:rsidR="00B45F04">
        <w:t xml:space="preserve"> </w:t>
      </w:r>
      <w:r>
        <w:t>of the prevalent population was acceptable, no</w:t>
      </w:r>
      <w:r w:rsidR="006A08EE">
        <w:t>t</w:t>
      </w:r>
      <w:r>
        <w:t xml:space="preserve">ing that assumed high persistence with treatment (between 100% - 73.5% over the first five years of listing) may be optimistic, but was internally consistent with modelled assumptions. </w:t>
      </w:r>
    </w:p>
    <w:p w14:paraId="7B5D2787" w14:textId="639F750B" w:rsidR="00CE700D" w:rsidRDefault="00CE700D" w:rsidP="00A35800">
      <w:r>
        <w:t xml:space="preserve">For further details refer to </w:t>
      </w:r>
      <w:r w:rsidRPr="00F65F0D">
        <w:t xml:space="preserve">the </w:t>
      </w:r>
      <w:hyperlink r:id="rId15" w:history="1">
        <w:r w:rsidRPr="00342686">
          <w:rPr>
            <w:rStyle w:val="Hyperlink"/>
          </w:rPr>
          <w:t>Public Summary Document</w:t>
        </w:r>
      </w:hyperlink>
      <w:r w:rsidR="00342686">
        <w:t xml:space="preserve"> </w:t>
      </w:r>
      <w:r w:rsidRPr="00F65F0D">
        <w:t xml:space="preserve">from the </w:t>
      </w:r>
      <w:r>
        <w:t>July 2018 PBAC meeting.</w:t>
      </w:r>
    </w:p>
    <w:p w14:paraId="2D3E2324" w14:textId="230970D4" w:rsidR="00CE700D" w:rsidRPr="00342686" w:rsidRDefault="00CE700D" w:rsidP="00A35800">
      <w:pPr>
        <w:rPr>
          <w:b/>
        </w:rPr>
      </w:pPr>
      <w:r w:rsidRPr="00342686">
        <w:rPr>
          <w:b/>
        </w:rPr>
        <w:t xml:space="preserve">November 2019 PBAC Meeting </w:t>
      </w:r>
    </w:p>
    <w:p w14:paraId="3BD731A6" w14:textId="71DEF284" w:rsidR="00342686" w:rsidRDefault="00946E09" w:rsidP="00342686">
      <w:r>
        <w:t>The PBAC recommended the listing of tolvaptan, in the form of tablet 15 mg and tablet 30</w:t>
      </w:r>
      <w:r w:rsidR="003743E6">
        <w:t xml:space="preserve"> mg</w:t>
      </w:r>
      <w:r>
        <w:t xml:space="preserve">, for the treatment of ADPKD, under the same conditions for which tolvaptan was </w:t>
      </w:r>
      <w:r>
        <w:lastRenderedPageBreak/>
        <w:t xml:space="preserve">currently listed. The PBAC considered single-dose packs will improve dose flexibility for patients who require dose modification. </w:t>
      </w:r>
    </w:p>
    <w:p w14:paraId="33A5D956" w14:textId="73E18409" w:rsidR="00946E09" w:rsidRPr="00B44D87" w:rsidRDefault="00946E09" w:rsidP="00342686">
      <w:r>
        <w:t xml:space="preserve">The </w:t>
      </w:r>
      <w:r w:rsidRPr="00B44D87">
        <w:t>PBAC also recommended the initial treatment phase for tolvaptan to be ch</w:t>
      </w:r>
      <w:r w:rsidR="00C11A65" w:rsidRPr="00B44D87">
        <w:t>anged from Authority Required (Written) to Authority Required (T</w:t>
      </w:r>
      <w:r w:rsidR="003D0213" w:rsidRPr="00B44D87">
        <w:t>elephone/E</w:t>
      </w:r>
      <w:r w:rsidRPr="00B44D87">
        <w:t xml:space="preserve">lectronic). The PBAC considered the information required to administer the restriction could be adequately met by a telephone/electronic authority and the risk of use outside the intended patient population was relatively low. </w:t>
      </w:r>
    </w:p>
    <w:p w14:paraId="70539E18" w14:textId="12C0C831" w:rsidR="00D94863" w:rsidRPr="00B44D87" w:rsidRDefault="00D94863" w:rsidP="00D94863">
      <w:r w:rsidRPr="00B44D87">
        <w:t xml:space="preserve">For further details refer to the </w:t>
      </w:r>
      <w:hyperlink r:id="rId16" w:history="1">
        <w:r w:rsidRPr="00B44D87">
          <w:rPr>
            <w:rStyle w:val="Hyperlink"/>
          </w:rPr>
          <w:t>Public Summary Document</w:t>
        </w:r>
      </w:hyperlink>
      <w:r w:rsidR="00342686" w:rsidRPr="00B44D87">
        <w:t xml:space="preserve"> </w:t>
      </w:r>
      <w:r w:rsidRPr="00B44D87">
        <w:t xml:space="preserve">from the </w:t>
      </w:r>
      <w:r w:rsidR="00CE700D" w:rsidRPr="00B44D87">
        <w:t xml:space="preserve">November 2019 </w:t>
      </w:r>
      <w:r w:rsidRPr="00B44D87">
        <w:t>PBAC meeting.</w:t>
      </w:r>
    </w:p>
    <w:p w14:paraId="7A4A923C" w14:textId="77777777" w:rsidR="00486C72" w:rsidRDefault="00486C72">
      <w:pPr>
        <w:spacing w:line="276" w:lineRule="auto"/>
        <w:rPr>
          <w:rFonts w:eastAsiaTheme="majorEastAsia" w:cstheme="majorBidi"/>
          <w:b/>
          <w:bCs/>
          <w:sz w:val="32"/>
          <w:szCs w:val="32"/>
        </w:rPr>
      </w:pPr>
      <w:r>
        <w:br w:type="page"/>
      </w:r>
    </w:p>
    <w:p w14:paraId="0312FFEC" w14:textId="0AF1D379" w:rsidR="00E677DD" w:rsidRPr="005E22C2" w:rsidRDefault="00E677DD" w:rsidP="00CF5E22">
      <w:pPr>
        <w:pStyle w:val="Heading1"/>
      </w:pPr>
      <w:r w:rsidRPr="005E22C2">
        <w:lastRenderedPageBreak/>
        <w:t>Method</w:t>
      </w:r>
      <w:r w:rsidR="001B5D37" w:rsidRPr="005E22C2">
        <w:t>s</w:t>
      </w:r>
    </w:p>
    <w:p w14:paraId="39C84685" w14:textId="75EF29FC" w:rsidR="00B34872" w:rsidRDefault="00C11A65" w:rsidP="00A35800">
      <w:r>
        <w:t xml:space="preserve">Data extracted from the PBS claims database maintained by the Department of Health and processed by Services Australia </w:t>
      </w:r>
      <w:r w:rsidR="00CD0309">
        <w:t xml:space="preserve">were </w:t>
      </w:r>
      <w:r>
        <w:t xml:space="preserve">used for the analyses. Prescription data </w:t>
      </w:r>
      <w:r w:rsidR="00CD0309">
        <w:t xml:space="preserve">were </w:t>
      </w:r>
      <w:r>
        <w:t xml:space="preserve">extracted from when tolvaptan was PBS listed 1 January 2019 up to and including 30 June 2021. Data </w:t>
      </w:r>
      <w:r w:rsidR="00CD0309">
        <w:t xml:space="preserve">were </w:t>
      </w:r>
      <w:r w:rsidRPr="00805455">
        <w:t xml:space="preserve">extracted on </w:t>
      </w:r>
      <w:r w:rsidR="00805455" w:rsidRPr="00805455">
        <w:t>5</w:t>
      </w:r>
      <w:r w:rsidRPr="00805455">
        <w:t xml:space="preserve"> August 2021.</w:t>
      </w:r>
      <w:r>
        <w:t xml:space="preserve"> </w:t>
      </w:r>
    </w:p>
    <w:p w14:paraId="7E50DBE6" w14:textId="63496145" w:rsidR="00C11A65" w:rsidRDefault="00CD0309" w:rsidP="00A35800">
      <w:r>
        <w:t xml:space="preserve">These </w:t>
      </w:r>
      <w:r w:rsidR="00C11A65">
        <w:t xml:space="preserve">data </w:t>
      </w:r>
      <w:r w:rsidR="007A4C78">
        <w:t xml:space="preserve">were </w:t>
      </w:r>
      <w:r w:rsidR="00C11A65">
        <w:t>used to determine the number of incident and prevalent patients, number of prescriptions supplied</w:t>
      </w:r>
      <w:r w:rsidR="00530621">
        <w:t>, prescriber type</w:t>
      </w:r>
      <w:r w:rsidR="00C11A65">
        <w:t xml:space="preserve"> and to analyse patient demographics such as age and gender. Initiating and prevalent patients were counted by quarter of supply. An initiating patient was defined based on their first date of supply of tolvaptan. </w:t>
      </w:r>
    </w:p>
    <w:p w14:paraId="319AB70C" w14:textId="0D721B85" w:rsidR="00805455" w:rsidRDefault="00B34872" w:rsidP="00A35800">
      <w:r>
        <w:t xml:space="preserve">The Kaplan-Meier method was used to analyse treatment duration with tolvaptan, censoring patients that were </w:t>
      </w:r>
      <w:proofErr w:type="gramStart"/>
      <w:r>
        <w:t>still continuing</w:t>
      </w:r>
      <w:proofErr w:type="gramEnd"/>
      <w:r>
        <w:t xml:space="preserve"> treatment at the analysis end date. Patients were followed until 30 June 2021. The median standard treatment days was 29 days. Patients were censored if they received a supply within three sets of standard treatment days before the analysis end date. </w:t>
      </w:r>
    </w:p>
    <w:p w14:paraId="6D967164" w14:textId="1AC81BDB" w:rsidR="00B34872" w:rsidRDefault="00B34872" w:rsidP="00A35800">
      <w:r>
        <w:t>A dose a</w:t>
      </w:r>
      <w:r w:rsidR="001D45D0">
        <w:t xml:space="preserve">nd strength sequence analysis </w:t>
      </w:r>
      <w:proofErr w:type="gramStart"/>
      <w:r w:rsidR="001D45D0">
        <w:t>was</w:t>
      </w:r>
      <w:proofErr w:type="gramEnd"/>
      <w:r>
        <w:t xml:space="preserve"> conducted to examine the titration patterns in patients. </w:t>
      </w:r>
      <w:r w:rsidR="00B96BB6">
        <w:t xml:space="preserve">Patients were followed from PBS list date 1 January 2019 to 30 June </w:t>
      </w:r>
      <w:r w:rsidR="00B96BB6" w:rsidRPr="007A4C78">
        <w:t>202</w:t>
      </w:r>
      <w:r w:rsidR="00952737">
        <w:t>1</w:t>
      </w:r>
      <w:r w:rsidR="008D5196">
        <w:t>.</w:t>
      </w:r>
      <w:r w:rsidR="00B96BB6">
        <w:t xml:space="preserve"> The first prescribed dose was recorded and if patients were subsequently up-titrated or down-titrated, these were noted to form the patient’s chronological titration sequence. </w:t>
      </w:r>
    </w:p>
    <w:p w14:paraId="6F5AA051" w14:textId="1EFA1263" w:rsidR="000226B3" w:rsidRDefault="00E7594B" w:rsidP="00A35800">
      <w:r>
        <w:t xml:space="preserve">As this analysis uses date of supply </w:t>
      </w:r>
      <w:r w:rsidR="005E085C">
        <w:t xml:space="preserve">prescription </w:t>
      </w:r>
      <w:r>
        <w:t>data, there may be small differences compared with publicly available Department of Human Services (DHS) Medicare date of processing data.</w:t>
      </w:r>
      <w:r w:rsidR="00576B18">
        <w:rPr>
          <w:rStyle w:val="FootnoteReference"/>
        </w:rPr>
        <w:footnoteReference w:id="10"/>
      </w:r>
      <w:r w:rsidR="00576B18">
        <w:t xml:space="preserve">  </w:t>
      </w:r>
    </w:p>
    <w:p w14:paraId="22B3FCD1" w14:textId="0C94FCBA" w:rsidR="00380B7E" w:rsidRDefault="00AF6AA0">
      <w:pPr>
        <w:spacing w:line="276" w:lineRule="auto"/>
        <w:rPr>
          <w:rFonts w:eastAsiaTheme="majorEastAsia" w:cstheme="majorBidi"/>
          <w:b/>
          <w:bCs/>
          <w:sz w:val="32"/>
          <w:szCs w:val="32"/>
        </w:rPr>
      </w:pPr>
      <w:r>
        <w:t xml:space="preserve">Data manipulation was undertaken using SAS. </w:t>
      </w:r>
      <w:r w:rsidR="00380B7E">
        <w:br w:type="page"/>
      </w:r>
    </w:p>
    <w:p w14:paraId="4F91A98A" w14:textId="24711EB6" w:rsidR="00C714D0" w:rsidRPr="005E22C2" w:rsidRDefault="00C714D0" w:rsidP="00CF5E22">
      <w:pPr>
        <w:pStyle w:val="Heading1"/>
      </w:pPr>
      <w:r w:rsidRPr="005E22C2">
        <w:lastRenderedPageBreak/>
        <w:t>Results</w:t>
      </w:r>
    </w:p>
    <w:p w14:paraId="2221FF19" w14:textId="336CE8B2"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24D41791" w14:textId="05769442" w:rsidR="00235405" w:rsidRPr="001815A3" w:rsidRDefault="00736041" w:rsidP="001815A3">
      <w:pPr>
        <w:pStyle w:val="Heading3"/>
      </w:pPr>
      <w:r w:rsidRPr="005E22C2">
        <w:t>Overall utilisation</w:t>
      </w:r>
    </w:p>
    <w:p w14:paraId="5F0B3FA9" w14:textId="0A7EA545" w:rsidR="0077399F" w:rsidRDefault="005E057B" w:rsidP="005E057B">
      <w:pPr>
        <w:pStyle w:val="Figurecaption"/>
        <w:jc w:val="center"/>
        <w:rPr>
          <w:b/>
        </w:rPr>
      </w:pPr>
      <w:r>
        <w:rPr>
          <w:noProof/>
          <w:lang w:eastAsia="en-AU"/>
        </w:rPr>
        <w:drawing>
          <wp:inline distT="0" distB="0" distL="0" distR="0" wp14:anchorId="379710D3" wp14:editId="1A456732">
            <wp:extent cx="4818490" cy="3045350"/>
            <wp:effectExtent l="0" t="0" r="1270" b="3175"/>
            <wp:docPr id="1" name="Chart 1" title="Number of tolvaptan prescriptions supplied according to supply quar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DF9E433" w14:textId="19A9FA05" w:rsidR="0077399F" w:rsidRDefault="006D5C42" w:rsidP="0077399F">
      <w:pPr>
        <w:pStyle w:val="Tabletitle"/>
      </w:pPr>
      <w:r w:rsidRPr="00B76F3E">
        <w:t xml:space="preserve">Figure 1: Number of </w:t>
      </w:r>
      <w:r>
        <w:t>tolvaptan</w:t>
      </w:r>
      <w:r w:rsidRPr="00B76F3E">
        <w:t xml:space="preserve"> prescriptions supplied according to supply quarter</w:t>
      </w:r>
    </w:p>
    <w:p w14:paraId="12241E52" w14:textId="1092C389" w:rsidR="001815A3" w:rsidRDefault="001815A3" w:rsidP="001815A3">
      <w:pPr>
        <w:rPr>
          <w:sz w:val="20"/>
          <w:szCs w:val="20"/>
        </w:rPr>
      </w:pPr>
    </w:p>
    <w:p w14:paraId="5785E36D" w14:textId="0EB7AE08" w:rsidR="002E126B" w:rsidRDefault="00B27C4F" w:rsidP="001815A3">
      <w:r>
        <w:t xml:space="preserve">From Figure 1, the overall trend of tolvaptan </w:t>
      </w:r>
      <w:r w:rsidR="006603C5">
        <w:t>pre</w:t>
      </w:r>
      <w:r>
        <w:t>script</w:t>
      </w:r>
      <w:r w:rsidR="006603C5">
        <w:t>ion</w:t>
      </w:r>
      <w:r>
        <w:t>s supplied sin</w:t>
      </w:r>
      <w:r w:rsidR="00755E1B">
        <w:t>ce PBS listing is increasing, with an average of approximately 1,106 prescriptions</w:t>
      </w:r>
      <w:r w:rsidR="00384B91">
        <w:t xml:space="preserve"> per</w:t>
      </w:r>
      <w:r w:rsidR="007A6947">
        <w:t xml:space="preserve"> supply</w:t>
      </w:r>
      <w:r w:rsidR="00384B91">
        <w:t xml:space="preserve"> quarter</w:t>
      </w:r>
      <w:r w:rsidR="00755E1B">
        <w:t xml:space="preserve"> in 2020. </w:t>
      </w:r>
    </w:p>
    <w:p w14:paraId="064F9DCC" w14:textId="77777777" w:rsidR="0091000C" w:rsidRDefault="0091000C" w:rsidP="001815A3"/>
    <w:p w14:paraId="6D8D4ECE" w14:textId="77777777" w:rsidR="002E126B" w:rsidRPr="002E126B" w:rsidRDefault="002E126B" w:rsidP="001815A3"/>
    <w:p w14:paraId="3E7A8279" w14:textId="77777777" w:rsidR="001815A3" w:rsidRPr="001815A3" w:rsidRDefault="001815A3" w:rsidP="001815A3">
      <w:pPr>
        <w:rPr>
          <w:sz w:val="20"/>
          <w:szCs w:val="20"/>
        </w:rPr>
      </w:pPr>
    </w:p>
    <w:p w14:paraId="6D04AA24" w14:textId="1849C06E" w:rsidR="0077399F" w:rsidRDefault="0077399F" w:rsidP="0077399F">
      <w:pPr>
        <w:jc w:val="center"/>
      </w:pPr>
    </w:p>
    <w:p w14:paraId="457F6C77" w14:textId="28A0F571" w:rsidR="0091000C" w:rsidRDefault="0091000C" w:rsidP="0077399F">
      <w:pPr>
        <w:jc w:val="center"/>
      </w:pPr>
      <w:r>
        <w:rPr>
          <w:noProof/>
        </w:rPr>
        <w:lastRenderedPageBreak/>
        <w:drawing>
          <wp:inline distT="0" distB="0" distL="0" distR="0" wp14:anchorId="41F4BA15" wp14:editId="48E840B2">
            <wp:extent cx="5082363" cy="3232298"/>
            <wp:effectExtent l="0" t="0" r="4445" b="6350"/>
            <wp:docPr id="5" name="Chart 5" title="Number of incident and prevalent tolvaptan patients according to supply quar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94A1E45" w14:textId="5C361F72" w:rsidR="006D5C42" w:rsidRPr="0091000C" w:rsidRDefault="006D5C42" w:rsidP="0091000C">
      <w:pPr>
        <w:pStyle w:val="Tabletitle"/>
      </w:pPr>
      <w:r>
        <w:t xml:space="preserve">Figure 2: Number of incident and prevalent tolvaptan patients according to supply quarter </w:t>
      </w:r>
    </w:p>
    <w:p w14:paraId="61723896" w14:textId="77777777" w:rsidR="0091000C" w:rsidRDefault="0091000C" w:rsidP="00FE645A">
      <w:pPr>
        <w:pStyle w:val="Figurecaption"/>
        <w:rPr>
          <w:sz w:val="24"/>
          <w:szCs w:val="24"/>
        </w:rPr>
      </w:pPr>
    </w:p>
    <w:p w14:paraId="58D953F7" w14:textId="68CACFF7" w:rsidR="00805455" w:rsidRDefault="00B27C4F" w:rsidP="00FE645A">
      <w:pPr>
        <w:pStyle w:val="Figurecaption"/>
        <w:rPr>
          <w:sz w:val="24"/>
          <w:szCs w:val="24"/>
        </w:rPr>
      </w:pPr>
      <w:r>
        <w:rPr>
          <w:sz w:val="24"/>
          <w:szCs w:val="24"/>
        </w:rPr>
        <w:t>Figure 2</w:t>
      </w:r>
      <w:r w:rsidR="007A4C78">
        <w:rPr>
          <w:sz w:val="24"/>
          <w:szCs w:val="24"/>
        </w:rPr>
        <w:t xml:space="preserve"> shows that</w:t>
      </w:r>
      <w:r>
        <w:rPr>
          <w:sz w:val="24"/>
          <w:szCs w:val="24"/>
        </w:rPr>
        <w:t xml:space="preserve"> the number of patients initiating tolvaptan treatment remained stable, with </w:t>
      </w:r>
      <w:r w:rsidR="00B44D87">
        <w:rPr>
          <w:sz w:val="24"/>
          <w:szCs w:val="24"/>
        </w:rPr>
        <w:t xml:space="preserve">an average of approximately </w:t>
      </w:r>
      <w:r>
        <w:rPr>
          <w:sz w:val="24"/>
          <w:szCs w:val="24"/>
        </w:rPr>
        <w:t xml:space="preserve">68 patients initiating treatment per supply quarter. </w:t>
      </w:r>
      <w:r w:rsidR="00805455">
        <w:rPr>
          <w:sz w:val="24"/>
          <w:szCs w:val="24"/>
        </w:rPr>
        <w:t xml:space="preserve">There was an average of </w:t>
      </w:r>
      <w:r w:rsidR="00B44D87">
        <w:rPr>
          <w:sz w:val="24"/>
          <w:szCs w:val="24"/>
        </w:rPr>
        <w:t xml:space="preserve">approximately </w:t>
      </w:r>
      <w:r w:rsidR="00805455">
        <w:rPr>
          <w:sz w:val="24"/>
          <w:szCs w:val="24"/>
        </w:rPr>
        <w:t xml:space="preserve">338 patients treated with tolvaptan per supply quarter. </w:t>
      </w:r>
    </w:p>
    <w:p w14:paraId="33C59FF1" w14:textId="715FC258" w:rsidR="0077399F" w:rsidRPr="00805455" w:rsidRDefault="00805455" w:rsidP="00805455">
      <w:pPr>
        <w:spacing w:line="276" w:lineRule="auto"/>
        <w:rPr>
          <w:lang w:eastAsia="en-US"/>
        </w:rPr>
      </w:pPr>
      <w:r>
        <w:br w:type="page"/>
      </w:r>
    </w:p>
    <w:p w14:paraId="20087571" w14:textId="13045E2F" w:rsidR="0077399F" w:rsidRDefault="00EB6E1D" w:rsidP="00A54B1A">
      <w:pPr>
        <w:pStyle w:val="Figurecaption"/>
        <w:jc w:val="center"/>
        <w:rPr>
          <w:b/>
        </w:rPr>
      </w:pPr>
      <w:r>
        <w:rPr>
          <w:noProof/>
          <w:lang w:eastAsia="en-AU"/>
        </w:rPr>
        <w:lastRenderedPageBreak/>
        <w:drawing>
          <wp:inline distT="0" distB="0" distL="0" distR="0" wp14:anchorId="299DF051" wp14:editId="0B88802D">
            <wp:extent cx="5160396" cy="3395207"/>
            <wp:effectExtent l="0" t="0" r="2540" b="15240"/>
            <wp:docPr id="3" name="Chart 3" title="Number of prescriptions supplied according to strength and supply quarte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A47D216" w14:textId="65012218" w:rsidR="00A54B1A" w:rsidRDefault="0077399F" w:rsidP="0077399F">
      <w:pPr>
        <w:pStyle w:val="Tabletitle"/>
      </w:pPr>
      <w:r>
        <w:t xml:space="preserve">Figure 3: Number of </w:t>
      </w:r>
      <w:r w:rsidR="00380B7E">
        <w:t xml:space="preserve">prescriptions supplied </w:t>
      </w:r>
      <w:r>
        <w:t xml:space="preserve">according to </w:t>
      </w:r>
      <w:r w:rsidR="00633A4B">
        <w:t>strength and</w:t>
      </w:r>
      <w:r>
        <w:t xml:space="preserve"> supply quarter </w:t>
      </w:r>
    </w:p>
    <w:p w14:paraId="281D66F1" w14:textId="67DE5521" w:rsidR="000D5027" w:rsidRPr="00454798" w:rsidRDefault="00A54B1A" w:rsidP="000D5027">
      <w:pPr>
        <w:rPr>
          <w:sz w:val="20"/>
        </w:rPr>
      </w:pPr>
      <w:r w:rsidRPr="00A54B1A">
        <w:rPr>
          <w:sz w:val="20"/>
        </w:rPr>
        <w:t xml:space="preserve">Note: </w:t>
      </w:r>
      <w:r w:rsidR="00B27C4F">
        <w:rPr>
          <w:sz w:val="20"/>
        </w:rPr>
        <w:t>Where the prescription count is between 1 and 4 (inclusive), a figure data point is set to 5 to protect patient</w:t>
      </w:r>
      <w:r w:rsidR="00530621">
        <w:rPr>
          <w:sz w:val="20"/>
        </w:rPr>
        <w:t xml:space="preserve"> confidentiality</w:t>
      </w:r>
      <w:r w:rsidR="00B27C4F">
        <w:rPr>
          <w:sz w:val="20"/>
        </w:rPr>
        <w:t xml:space="preserve">. </w:t>
      </w:r>
    </w:p>
    <w:p w14:paraId="79F123DD" w14:textId="18BC34C2" w:rsidR="00805455" w:rsidRPr="00DA71E6" w:rsidRDefault="000D5027" w:rsidP="00DA71E6">
      <w:r>
        <w:t>From Figure 3, an increasing trend</w:t>
      </w:r>
      <w:r w:rsidR="00DA71E6">
        <w:t xml:space="preserve"> is observed</w:t>
      </w:r>
      <w:r>
        <w:t xml:space="preserve"> in all strengths of tolvaptan. The m</w:t>
      </w:r>
      <w:r w:rsidR="00552430">
        <w:t xml:space="preserve">ost common </w:t>
      </w:r>
      <w:r>
        <w:t>tolvaptan strength dispensed w</w:t>
      </w:r>
      <w:r w:rsidR="00DA71E6">
        <w:t xml:space="preserve">as the lowest strength </w:t>
      </w:r>
      <w:r w:rsidR="00D87D40">
        <w:t>split</w:t>
      </w:r>
      <w:r w:rsidR="007847EC">
        <w:t xml:space="preserve"> </w:t>
      </w:r>
      <w:r w:rsidR="00DA71E6">
        <w:t>dose</w:t>
      </w:r>
      <w:r>
        <w:t xml:space="preserve"> </w:t>
      </w:r>
      <w:r w:rsidR="00DA71E6">
        <w:t xml:space="preserve">tablet, </w:t>
      </w:r>
      <w:r>
        <w:t xml:space="preserve">15 mg </w:t>
      </w:r>
      <w:r w:rsidR="00563AB9">
        <w:t xml:space="preserve">+ </w:t>
      </w:r>
      <w:r>
        <w:t xml:space="preserve">45 mg. </w:t>
      </w:r>
      <w:r w:rsidR="00805455">
        <w:t xml:space="preserve">Tablet strengths 15 mg and 30 mg were PBS listed June 2021. </w:t>
      </w:r>
      <w:r>
        <w:t>A small number of 15</w:t>
      </w:r>
      <w:r w:rsidR="007A4C78">
        <w:t> </w:t>
      </w:r>
      <w:r>
        <w:t xml:space="preserve">mg tablets were </w:t>
      </w:r>
      <w:r w:rsidR="00DA71E6">
        <w:t>supplied</w:t>
      </w:r>
      <w:r>
        <w:t xml:space="preserve">. No 30 mg tablets were </w:t>
      </w:r>
      <w:r w:rsidR="00DA71E6">
        <w:t>supplied</w:t>
      </w:r>
      <w:r>
        <w:t xml:space="preserve"> by analysis end date. </w:t>
      </w:r>
      <w:r w:rsidR="00805455">
        <w:br w:type="page"/>
      </w:r>
    </w:p>
    <w:p w14:paraId="0F60C215" w14:textId="1363E266" w:rsidR="0077399F" w:rsidRDefault="00736041" w:rsidP="00515FA4">
      <w:pPr>
        <w:pStyle w:val="Heading3"/>
      </w:pPr>
      <w:r w:rsidRPr="005E22C2">
        <w:lastRenderedPageBreak/>
        <w:t>Utilisation by relevant sub-populations/regions</w:t>
      </w:r>
      <w:r w:rsidR="001B5D37" w:rsidRPr="005E22C2">
        <w:t xml:space="preserve"> or patient level analysis</w:t>
      </w:r>
    </w:p>
    <w:p w14:paraId="3DE58174" w14:textId="0ECC6686" w:rsidR="00AF6AA0" w:rsidRDefault="00AF6AA0" w:rsidP="00380B7E">
      <w:pPr>
        <w:jc w:val="center"/>
      </w:pPr>
      <w:r>
        <w:rPr>
          <w:noProof/>
        </w:rPr>
        <w:drawing>
          <wp:inline distT="0" distB="0" distL="0" distR="0" wp14:anchorId="5285E37E" wp14:editId="4AE9F89C">
            <wp:extent cx="5050465" cy="3402418"/>
            <wp:effectExtent l="0" t="0" r="17145" b="7620"/>
            <wp:docPr id="7" name="Chart 7" title="Age and gender distribution of initating tolvaptan patients "/>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2E1204D" w14:textId="5EF47D91" w:rsidR="006D5C42" w:rsidRPr="00B76F3E" w:rsidRDefault="0077399F" w:rsidP="006D5C42">
      <w:pPr>
        <w:pStyle w:val="Tabletitle"/>
      </w:pPr>
      <w:r>
        <w:t>Figure 4</w:t>
      </w:r>
      <w:r w:rsidR="006D5C42">
        <w:t xml:space="preserve">: Age and gender distribution of initiating tolvaptan patients  </w:t>
      </w:r>
    </w:p>
    <w:p w14:paraId="5DA90727" w14:textId="3650C5AA" w:rsidR="006D5C42" w:rsidRDefault="006D5C42" w:rsidP="00A35800"/>
    <w:p w14:paraId="70B3AC04" w14:textId="71C79931" w:rsidR="00633A4B" w:rsidRDefault="007A4C78" w:rsidP="00A35800">
      <w:r>
        <w:t xml:space="preserve">Figure 4 shows the age and gender distribution of patients at initiation of tolvaptan. </w:t>
      </w:r>
      <w:r w:rsidR="000D5027">
        <w:t xml:space="preserve">The most common age group initiating tolvaptan treatment are those aged between 45 to 49 years (17.7%) for both males and females. </w:t>
      </w:r>
    </w:p>
    <w:p w14:paraId="2EE1E1AA" w14:textId="395EBFAC" w:rsidR="000D5027" w:rsidRDefault="000D5027" w:rsidP="00A35800">
      <w:r>
        <w:t xml:space="preserve">The age of initiating tolvaptan patients ranged from 18 to 88 years, with a median age of 49 years. </w:t>
      </w:r>
    </w:p>
    <w:p w14:paraId="02EC0A12" w14:textId="13E307EE" w:rsidR="000D5027" w:rsidRDefault="000D5027" w:rsidP="00A35800">
      <w:r>
        <w:t xml:space="preserve">In those aged 44 years and less, males accounted for a higher proportion of initiating patients than females. In patients aged 55 years and over, females accounted for a greater proportion of initiating compared to males. </w:t>
      </w:r>
    </w:p>
    <w:p w14:paraId="07B40052" w14:textId="77777777" w:rsidR="000D5027" w:rsidRDefault="000D5027" w:rsidP="00A35800"/>
    <w:p w14:paraId="7AC23874" w14:textId="7448696A" w:rsidR="004228B2" w:rsidRPr="00D57909" w:rsidRDefault="000D5027" w:rsidP="00D57909">
      <w:pPr>
        <w:spacing w:line="276" w:lineRule="auto"/>
        <w:rPr>
          <w:b/>
          <w:lang w:eastAsia="en-US"/>
        </w:rPr>
      </w:pPr>
      <w:r>
        <w:rPr>
          <w:b/>
        </w:rPr>
        <w:br w:type="page"/>
      </w:r>
    </w:p>
    <w:p w14:paraId="78345D31" w14:textId="69F29B6C" w:rsidR="000D5027" w:rsidRDefault="005212E5" w:rsidP="005212E5">
      <w:pPr>
        <w:jc w:val="center"/>
      </w:pPr>
      <w:r>
        <w:rPr>
          <w:rFonts w:ascii="Arial" w:hAnsi="Arial" w:cs="Arial"/>
          <w:noProof/>
          <w:color w:val="000000"/>
          <w:sz w:val="20"/>
          <w:szCs w:val="20"/>
        </w:rPr>
        <w:lastRenderedPageBreak/>
        <w:drawing>
          <wp:inline distT="0" distB="0" distL="0" distR="0" wp14:anchorId="5E5757D4" wp14:editId="0FE0179B">
            <wp:extent cx="4295494" cy="3220278"/>
            <wp:effectExtent l="0" t="0" r="0" b="0"/>
            <wp:docPr id="9" name="Picture 9" descr="img0.png" title="Kaplan Meier curve of tolvaptan treatment duration (months) in patients who are followed to 30 June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33955" cy="3249112"/>
                    </a:xfrm>
                    <a:prstGeom prst="rect">
                      <a:avLst/>
                    </a:prstGeom>
                    <a:noFill/>
                    <a:ln>
                      <a:noFill/>
                    </a:ln>
                  </pic:spPr>
                </pic:pic>
              </a:graphicData>
            </a:graphic>
          </wp:inline>
        </w:drawing>
      </w:r>
    </w:p>
    <w:p w14:paraId="669CE7DF" w14:textId="1D97700B" w:rsidR="004F057D" w:rsidRPr="004F057D" w:rsidRDefault="004F057D" w:rsidP="004F057D">
      <w:pPr>
        <w:pStyle w:val="Tabletitle"/>
      </w:pPr>
      <w:r>
        <w:t xml:space="preserve">Figure </w:t>
      </w:r>
      <w:r w:rsidR="00E52426">
        <w:t>5</w:t>
      </w:r>
      <w:r w:rsidR="00B90E76">
        <w:t>: Kaplan Meier curve</w:t>
      </w:r>
      <w:r>
        <w:t xml:space="preserve"> of tolvaptan treatment duration (months) in patients who are followed to 30 June 2021  </w:t>
      </w:r>
    </w:p>
    <w:p w14:paraId="74A472FA" w14:textId="77777777" w:rsidR="00454798" w:rsidRDefault="00454798" w:rsidP="00651FE8"/>
    <w:p w14:paraId="685D7386" w14:textId="45E08375" w:rsidR="00CA7228" w:rsidRDefault="00CD2BCE" w:rsidP="00651FE8">
      <w:bookmarkStart w:id="3" w:name="_Hlk80282680"/>
      <w:r>
        <w:t xml:space="preserve">The data </w:t>
      </w:r>
      <w:r w:rsidR="00B17DDF">
        <w:t xml:space="preserve">were </w:t>
      </w:r>
      <w:r>
        <w:t xml:space="preserve">too immature to fully analyse the time on tolvaptan, with a median time on therapy not being reached within 30 months from first listing. Of the </w:t>
      </w:r>
      <w:r w:rsidR="00810AFB">
        <w:t>674</w:t>
      </w:r>
      <w:r>
        <w:t xml:space="preserve"> patients</w:t>
      </w:r>
      <w:r w:rsidR="00810AFB">
        <w:t xml:space="preserve"> who initiated</w:t>
      </w:r>
      <w:r>
        <w:t xml:space="preserve"> </w:t>
      </w:r>
      <w:r w:rsidR="00B90E76">
        <w:t>tolvaptan</w:t>
      </w:r>
      <w:r>
        <w:t xml:space="preserve"> </w:t>
      </w:r>
      <w:r w:rsidR="00810AFB">
        <w:t>between 1 January 2019 and 30</w:t>
      </w:r>
      <w:r>
        <w:t xml:space="preserve"> June 2021, 72.7% of patients were censored</w:t>
      </w:r>
      <w:r w:rsidR="00810AFB">
        <w:t xml:space="preserve"> at analysis end date</w:t>
      </w:r>
      <w:r>
        <w:t xml:space="preserve">. </w:t>
      </w:r>
    </w:p>
    <w:bookmarkEnd w:id="3"/>
    <w:p w14:paraId="19E07F31" w14:textId="77777777" w:rsidR="00D57909" w:rsidRDefault="00D57909" w:rsidP="00651FE8"/>
    <w:p w14:paraId="3697540B" w14:textId="26587743" w:rsidR="00D57909" w:rsidRDefault="00D57909" w:rsidP="00651FE8"/>
    <w:p w14:paraId="2AE405EE" w14:textId="77777777" w:rsidR="00D57909" w:rsidRDefault="00D57909" w:rsidP="00651FE8"/>
    <w:p w14:paraId="3FD77334" w14:textId="3911BFA4" w:rsidR="00651FE8" w:rsidRDefault="00651FE8" w:rsidP="000D73DF">
      <w:pPr>
        <w:jc w:val="center"/>
      </w:pPr>
      <w:r>
        <w:rPr>
          <w:noProof/>
        </w:rPr>
        <w:lastRenderedPageBreak/>
        <w:drawing>
          <wp:inline distT="0" distB="0" distL="0" distR="0" wp14:anchorId="78F1BB49" wp14:editId="1D94F7A0">
            <wp:extent cx="4929809" cy="3108960"/>
            <wp:effectExtent l="0" t="0" r="4445" b="15240"/>
            <wp:docPr id="2" name="Chart 2" title="Prescriptions by prescribe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019FF96" w14:textId="35780CBF" w:rsidR="004F057D" w:rsidRPr="00B76F3E" w:rsidRDefault="00E52426" w:rsidP="004F057D">
      <w:pPr>
        <w:pStyle w:val="Tabletitle"/>
      </w:pPr>
      <w:r>
        <w:t>Figure 6</w:t>
      </w:r>
      <w:r w:rsidR="004F057D">
        <w:t xml:space="preserve">: </w:t>
      </w:r>
      <w:r w:rsidR="007A4C78">
        <w:t xml:space="preserve">Prescriptions </w:t>
      </w:r>
      <w:r>
        <w:t xml:space="preserve">by prescriber </w:t>
      </w:r>
      <w:r w:rsidR="004F057D">
        <w:t xml:space="preserve">   </w:t>
      </w:r>
    </w:p>
    <w:p w14:paraId="75A94228" w14:textId="2B4D9730" w:rsidR="00CA7228" w:rsidRDefault="00E52426" w:rsidP="00E52426">
      <w:pPr>
        <w:spacing w:after="0"/>
        <w:rPr>
          <w:sz w:val="20"/>
          <w:szCs w:val="20"/>
        </w:rPr>
      </w:pPr>
      <w:r>
        <w:rPr>
          <w:sz w:val="20"/>
          <w:szCs w:val="20"/>
        </w:rPr>
        <w:t xml:space="preserve">Note: “Other specialist” defined as including </w:t>
      </w:r>
      <w:r w:rsidRPr="00CA7228">
        <w:rPr>
          <w:sz w:val="20"/>
          <w:szCs w:val="20"/>
        </w:rPr>
        <w:t>oncology, neurology, obstet</w:t>
      </w:r>
      <w:r w:rsidR="00384B91">
        <w:rPr>
          <w:sz w:val="20"/>
          <w:szCs w:val="20"/>
        </w:rPr>
        <w:t>r</w:t>
      </w:r>
      <w:r w:rsidRPr="00CA7228">
        <w:rPr>
          <w:sz w:val="20"/>
          <w:szCs w:val="20"/>
        </w:rPr>
        <w:t>ics and gynaecology, and surgery</w:t>
      </w:r>
    </w:p>
    <w:p w14:paraId="62CAEE12" w14:textId="7D3CA426" w:rsidR="00E52426" w:rsidRDefault="00E52426" w:rsidP="00E52426">
      <w:pPr>
        <w:spacing w:after="0"/>
        <w:rPr>
          <w:sz w:val="20"/>
          <w:szCs w:val="20"/>
        </w:rPr>
      </w:pPr>
      <w:r>
        <w:rPr>
          <w:sz w:val="20"/>
          <w:szCs w:val="20"/>
        </w:rPr>
        <w:t xml:space="preserve">Note: “GP” defined as including non-vocationally registered GP, vocationally registered GP, trainee GP and GP with unclassified registration status. </w:t>
      </w:r>
    </w:p>
    <w:p w14:paraId="1A724184" w14:textId="492795EE" w:rsidR="00E52426" w:rsidRPr="00E52426" w:rsidRDefault="00E52426" w:rsidP="00E52426">
      <w:pPr>
        <w:spacing w:after="0"/>
        <w:rPr>
          <w:sz w:val="20"/>
          <w:szCs w:val="20"/>
        </w:rPr>
      </w:pPr>
      <w:r>
        <w:rPr>
          <w:sz w:val="20"/>
          <w:szCs w:val="20"/>
        </w:rPr>
        <w:t>Note</w:t>
      </w:r>
      <w:r w:rsidRPr="00651FE8">
        <w:rPr>
          <w:sz w:val="20"/>
          <w:szCs w:val="20"/>
        </w:rPr>
        <w:t xml:space="preserve">: </w:t>
      </w:r>
      <w:r w:rsidR="00651FE8" w:rsidRPr="00651FE8">
        <w:rPr>
          <w:sz w:val="20"/>
          <w:szCs w:val="20"/>
        </w:rPr>
        <w:t>4.9</w:t>
      </w:r>
      <w:r w:rsidRPr="00651FE8">
        <w:rPr>
          <w:sz w:val="20"/>
          <w:szCs w:val="20"/>
        </w:rPr>
        <w:t>% of</w:t>
      </w:r>
      <w:r>
        <w:rPr>
          <w:sz w:val="20"/>
          <w:szCs w:val="20"/>
        </w:rPr>
        <w:t xml:space="preserve"> </w:t>
      </w:r>
      <w:r w:rsidR="00B17DDF">
        <w:rPr>
          <w:sz w:val="20"/>
          <w:szCs w:val="20"/>
        </w:rPr>
        <w:t xml:space="preserve">prescriptions </w:t>
      </w:r>
      <w:r>
        <w:rPr>
          <w:sz w:val="20"/>
          <w:szCs w:val="20"/>
        </w:rPr>
        <w:t xml:space="preserve">had an unknown prescriber. </w:t>
      </w:r>
    </w:p>
    <w:p w14:paraId="20E033EC" w14:textId="77777777" w:rsidR="00810AFB" w:rsidRDefault="00651FE8" w:rsidP="004228B2">
      <w:r>
        <w:t xml:space="preserve"> </w:t>
      </w:r>
    </w:p>
    <w:p w14:paraId="5D14F4F4" w14:textId="3EF18364" w:rsidR="00810AFB" w:rsidRDefault="00DE3BAD" w:rsidP="004228B2">
      <w:r>
        <w:t xml:space="preserve">From Figure 6, </w:t>
      </w:r>
      <w:r w:rsidR="00810AFB">
        <w:t xml:space="preserve">nephrologists accounted for </w:t>
      </w:r>
      <w:r>
        <w:t xml:space="preserve">the majority (78.5%) of tolvaptan </w:t>
      </w:r>
      <w:r w:rsidR="007A4C78">
        <w:t xml:space="preserve">prescriptions </w:t>
      </w:r>
      <w:r>
        <w:t xml:space="preserve">prescribed. </w:t>
      </w:r>
    </w:p>
    <w:p w14:paraId="767578F4" w14:textId="77777777" w:rsidR="00810AFB" w:rsidRDefault="00810AFB" w:rsidP="004228B2"/>
    <w:p w14:paraId="38D474A3" w14:textId="3E2DE6D4" w:rsidR="0093791E" w:rsidRDefault="00D57909" w:rsidP="00D57909">
      <w:pPr>
        <w:pStyle w:val="Tabletitle"/>
      </w:pPr>
      <w:r>
        <w:t xml:space="preserve">Table 4: Tolvaptan dose sequence analysis </w:t>
      </w:r>
    </w:p>
    <w:tbl>
      <w:tblPr>
        <w:tblStyle w:val="TableGrid"/>
        <w:tblW w:w="0" w:type="auto"/>
        <w:tblLook w:val="04A0" w:firstRow="1" w:lastRow="0" w:firstColumn="1" w:lastColumn="0" w:noHBand="0" w:noVBand="1"/>
        <w:tblCaption w:val="Tolvaptan dose sequence analysis"/>
      </w:tblPr>
      <w:tblGrid>
        <w:gridCol w:w="5665"/>
        <w:gridCol w:w="1843"/>
        <w:gridCol w:w="1439"/>
      </w:tblGrid>
      <w:tr w:rsidR="0093791E" w:rsidRPr="0093791E" w14:paraId="6906667F" w14:textId="77777777" w:rsidTr="00FE44C4">
        <w:trPr>
          <w:tblHeader/>
        </w:trPr>
        <w:tc>
          <w:tcPr>
            <w:tcW w:w="5665" w:type="dxa"/>
            <w:shd w:val="clear" w:color="auto" w:fill="BFBFBF" w:themeFill="background1" w:themeFillShade="BF"/>
          </w:tcPr>
          <w:p w14:paraId="099B51B2" w14:textId="5DCD31D8" w:rsidR="0093791E" w:rsidRPr="0093791E" w:rsidRDefault="0093791E" w:rsidP="0093791E">
            <w:pPr>
              <w:rPr>
                <w:b/>
                <w:sz w:val="20"/>
                <w:szCs w:val="20"/>
              </w:rPr>
            </w:pPr>
            <w:r w:rsidRPr="0093791E">
              <w:rPr>
                <w:b/>
                <w:sz w:val="20"/>
                <w:szCs w:val="20"/>
              </w:rPr>
              <w:t xml:space="preserve">Sequence </w:t>
            </w:r>
          </w:p>
        </w:tc>
        <w:tc>
          <w:tcPr>
            <w:tcW w:w="1843" w:type="dxa"/>
            <w:shd w:val="clear" w:color="auto" w:fill="BFBFBF" w:themeFill="background1" w:themeFillShade="BF"/>
          </w:tcPr>
          <w:p w14:paraId="2699CE44" w14:textId="42CE8EA1" w:rsidR="0093791E" w:rsidRPr="0093791E" w:rsidRDefault="0093791E" w:rsidP="00951C52">
            <w:pPr>
              <w:jc w:val="center"/>
              <w:rPr>
                <w:b/>
                <w:sz w:val="20"/>
                <w:szCs w:val="20"/>
              </w:rPr>
            </w:pPr>
            <w:r w:rsidRPr="0093791E">
              <w:rPr>
                <w:b/>
                <w:sz w:val="20"/>
                <w:szCs w:val="20"/>
              </w:rPr>
              <w:t>Number of patients</w:t>
            </w:r>
          </w:p>
        </w:tc>
        <w:tc>
          <w:tcPr>
            <w:tcW w:w="1439" w:type="dxa"/>
            <w:shd w:val="clear" w:color="auto" w:fill="BFBFBF" w:themeFill="background1" w:themeFillShade="BF"/>
          </w:tcPr>
          <w:p w14:paraId="758ACDCF" w14:textId="14F01B17" w:rsidR="0093791E" w:rsidRPr="0093791E" w:rsidRDefault="0093791E" w:rsidP="00951C52">
            <w:pPr>
              <w:jc w:val="center"/>
              <w:rPr>
                <w:b/>
                <w:sz w:val="20"/>
                <w:szCs w:val="20"/>
              </w:rPr>
            </w:pPr>
            <w:r w:rsidRPr="0093791E">
              <w:rPr>
                <w:b/>
                <w:sz w:val="20"/>
                <w:szCs w:val="20"/>
              </w:rPr>
              <w:t>Percentage</w:t>
            </w:r>
          </w:p>
        </w:tc>
      </w:tr>
      <w:tr w:rsidR="0093791E" w:rsidRPr="0093791E" w14:paraId="61709327" w14:textId="77777777" w:rsidTr="0093791E">
        <w:tc>
          <w:tcPr>
            <w:tcW w:w="5665" w:type="dxa"/>
          </w:tcPr>
          <w:p w14:paraId="35971059" w14:textId="7B83E9FD" w:rsidR="0093791E" w:rsidRPr="0093791E" w:rsidRDefault="006B245F" w:rsidP="0093791E">
            <w:pPr>
              <w:rPr>
                <w:sz w:val="20"/>
                <w:szCs w:val="20"/>
              </w:rPr>
            </w:pPr>
            <w:r>
              <w:rPr>
                <w:sz w:val="20"/>
                <w:szCs w:val="20"/>
              </w:rPr>
              <w:t xml:space="preserve">15 mg + </w:t>
            </w:r>
            <w:r w:rsidR="0093791E" w:rsidRPr="0093791E">
              <w:rPr>
                <w:sz w:val="20"/>
                <w:szCs w:val="20"/>
              </w:rPr>
              <w:t>45 mg</w:t>
            </w:r>
          </w:p>
        </w:tc>
        <w:tc>
          <w:tcPr>
            <w:tcW w:w="1843" w:type="dxa"/>
          </w:tcPr>
          <w:p w14:paraId="7F5AE39F" w14:textId="0E2DCE46" w:rsidR="0093791E" w:rsidRPr="0093791E" w:rsidRDefault="0093791E" w:rsidP="0093791E">
            <w:pPr>
              <w:jc w:val="center"/>
              <w:rPr>
                <w:sz w:val="20"/>
                <w:szCs w:val="20"/>
              </w:rPr>
            </w:pPr>
            <w:r w:rsidRPr="0093791E">
              <w:rPr>
                <w:sz w:val="20"/>
                <w:szCs w:val="20"/>
              </w:rPr>
              <w:t>295</w:t>
            </w:r>
          </w:p>
        </w:tc>
        <w:tc>
          <w:tcPr>
            <w:tcW w:w="1439" w:type="dxa"/>
          </w:tcPr>
          <w:p w14:paraId="5CDB3AEE" w14:textId="375BDCBB" w:rsidR="0093791E" w:rsidRPr="0093791E" w:rsidRDefault="0093791E" w:rsidP="0093791E">
            <w:pPr>
              <w:jc w:val="center"/>
              <w:rPr>
                <w:sz w:val="20"/>
                <w:szCs w:val="20"/>
              </w:rPr>
            </w:pPr>
            <w:r>
              <w:rPr>
                <w:sz w:val="20"/>
                <w:szCs w:val="20"/>
              </w:rPr>
              <w:t>43.8</w:t>
            </w:r>
            <w:r w:rsidRPr="0093791E">
              <w:rPr>
                <w:sz w:val="20"/>
                <w:szCs w:val="20"/>
              </w:rPr>
              <w:t>%</w:t>
            </w:r>
          </w:p>
        </w:tc>
      </w:tr>
      <w:tr w:rsidR="0093791E" w:rsidRPr="0093791E" w14:paraId="0B74A912" w14:textId="77777777" w:rsidTr="0093791E">
        <w:tc>
          <w:tcPr>
            <w:tcW w:w="5665" w:type="dxa"/>
          </w:tcPr>
          <w:p w14:paraId="36CA1F14" w14:textId="6C7FCB5C" w:rsidR="0093791E" w:rsidRPr="0093791E" w:rsidRDefault="006B245F" w:rsidP="0093791E">
            <w:pPr>
              <w:rPr>
                <w:sz w:val="20"/>
                <w:szCs w:val="20"/>
              </w:rPr>
            </w:pPr>
            <w:r>
              <w:rPr>
                <w:sz w:val="20"/>
                <w:szCs w:val="20"/>
              </w:rPr>
              <w:t>15 mg + 45 mg&gt;30 mg +</w:t>
            </w:r>
            <w:r w:rsidR="0093791E" w:rsidRPr="0093791E">
              <w:rPr>
                <w:sz w:val="20"/>
                <w:szCs w:val="20"/>
              </w:rPr>
              <w:t xml:space="preserve"> 60 mg</w:t>
            </w:r>
          </w:p>
        </w:tc>
        <w:tc>
          <w:tcPr>
            <w:tcW w:w="1843" w:type="dxa"/>
          </w:tcPr>
          <w:p w14:paraId="031708ED" w14:textId="5899DAED" w:rsidR="0093791E" w:rsidRPr="0093791E" w:rsidRDefault="0093791E" w:rsidP="0093791E">
            <w:pPr>
              <w:jc w:val="center"/>
              <w:rPr>
                <w:sz w:val="20"/>
                <w:szCs w:val="20"/>
              </w:rPr>
            </w:pPr>
            <w:r w:rsidRPr="0093791E">
              <w:rPr>
                <w:sz w:val="20"/>
                <w:szCs w:val="20"/>
              </w:rPr>
              <w:t>136</w:t>
            </w:r>
          </w:p>
        </w:tc>
        <w:tc>
          <w:tcPr>
            <w:tcW w:w="1439" w:type="dxa"/>
          </w:tcPr>
          <w:p w14:paraId="25BE2A97" w14:textId="0297A719" w:rsidR="0093791E" w:rsidRPr="0093791E" w:rsidRDefault="0093791E" w:rsidP="0093791E">
            <w:pPr>
              <w:jc w:val="center"/>
              <w:rPr>
                <w:sz w:val="20"/>
                <w:szCs w:val="20"/>
              </w:rPr>
            </w:pPr>
            <w:r>
              <w:rPr>
                <w:sz w:val="20"/>
                <w:szCs w:val="20"/>
              </w:rPr>
              <w:t>20.2</w:t>
            </w:r>
            <w:r w:rsidRPr="0093791E">
              <w:rPr>
                <w:sz w:val="20"/>
                <w:szCs w:val="20"/>
              </w:rPr>
              <w:t>%</w:t>
            </w:r>
          </w:p>
        </w:tc>
      </w:tr>
      <w:tr w:rsidR="0093791E" w:rsidRPr="0093791E" w14:paraId="3DB5BDAA" w14:textId="77777777" w:rsidTr="0093791E">
        <w:tc>
          <w:tcPr>
            <w:tcW w:w="5665" w:type="dxa"/>
          </w:tcPr>
          <w:p w14:paraId="1586C33A" w14:textId="25560E48" w:rsidR="0093791E" w:rsidRPr="0093791E" w:rsidRDefault="006B245F" w:rsidP="0093791E">
            <w:pPr>
              <w:rPr>
                <w:sz w:val="20"/>
                <w:szCs w:val="20"/>
              </w:rPr>
            </w:pPr>
            <w:r>
              <w:rPr>
                <w:sz w:val="20"/>
                <w:szCs w:val="20"/>
              </w:rPr>
              <w:t>15 mg + 45 mg&gt;30 mg + 60 mg&gt;30 mg +</w:t>
            </w:r>
            <w:r w:rsidR="0093791E" w:rsidRPr="0093791E">
              <w:rPr>
                <w:sz w:val="20"/>
                <w:szCs w:val="20"/>
              </w:rPr>
              <w:t xml:space="preserve"> 90 mg</w:t>
            </w:r>
          </w:p>
        </w:tc>
        <w:tc>
          <w:tcPr>
            <w:tcW w:w="1843" w:type="dxa"/>
          </w:tcPr>
          <w:p w14:paraId="6DFC3793" w14:textId="12FF0164" w:rsidR="0093791E" w:rsidRPr="0093791E" w:rsidRDefault="0093791E" w:rsidP="0093791E">
            <w:pPr>
              <w:jc w:val="center"/>
              <w:rPr>
                <w:sz w:val="20"/>
                <w:szCs w:val="20"/>
              </w:rPr>
            </w:pPr>
            <w:r w:rsidRPr="0093791E">
              <w:rPr>
                <w:sz w:val="20"/>
                <w:szCs w:val="20"/>
              </w:rPr>
              <w:t>115</w:t>
            </w:r>
          </w:p>
        </w:tc>
        <w:tc>
          <w:tcPr>
            <w:tcW w:w="1439" w:type="dxa"/>
          </w:tcPr>
          <w:p w14:paraId="7FECE262" w14:textId="16AA56E0" w:rsidR="0093791E" w:rsidRPr="0093791E" w:rsidRDefault="0093791E" w:rsidP="0093791E">
            <w:pPr>
              <w:jc w:val="center"/>
              <w:rPr>
                <w:sz w:val="20"/>
                <w:szCs w:val="20"/>
              </w:rPr>
            </w:pPr>
            <w:r>
              <w:rPr>
                <w:sz w:val="20"/>
                <w:szCs w:val="20"/>
              </w:rPr>
              <w:t>17.1</w:t>
            </w:r>
            <w:r w:rsidRPr="0093791E">
              <w:rPr>
                <w:sz w:val="20"/>
                <w:szCs w:val="20"/>
              </w:rPr>
              <w:t>%</w:t>
            </w:r>
          </w:p>
        </w:tc>
      </w:tr>
      <w:tr w:rsidR="0093791E" w:rsidRPr="0093791E" w14:paraId="683406B0" w14:textId="77777777" w:rsidTr="0093791E">
        <w:tc>
          <w:tcPr>
            <w:tcW w:w="5665" w:type="dxa"/>
          </w:tcPr>
          <w:p w14:paraId="003A0A8A" w14:textId="5E14DCEB" w:rsidR="0093791E" w:rsidRPr="0093791E" w:rsidRDefault="006B245F" w:rsidP="0093791E">
            <w:pPr>
              <w:rPr>
                <w:sz w:val="20"/>
                <w:szCs w:val="20"/>
              </w:rPr>
            </w:pPr>
            <w:r>
              <w:rPr>
                <w:sz w:val="20"/>
                <w:szCs w:val="20"/>
              </w:rPr>
              <w:t xml:space="preserve">30 mg + </w:t>
            </w:r>
            <w:r w:rsidR="0093791E" w:rsidRPr="0093791E">
              <w:rPr>
                <w:sz w:val="20"/>
                <w:szCs w:val="20"/>
              </w:rPr>
              <w:t>90 mg</w:t>
            </w:r>
          </w:p>
        </w:tc>
        <w:tc>
          <w:tcPr>
            <w:tcW w:w="1843" w:type="dxa"/>
          </w:tcPr>
          <w:p w14:paraId="4DB2F333" w14:textId="25CFBC7C" w:rsidR="0093791E" w:rsidRPr="0093791E" w:rsidRDefault="0093791E" w:rsidP="0093791E">
            <w:pPr>
              <w:jc w:val="center"/>
              <w:rPr>
                <w:sz w:val="20"/>
                <w:szCs w:val="20"/>
              </w:rPr>
            </w:pPr>
            <w:r w:rsidRPr="0093791E">
              <w:rPr>
                <w:sz w:val="20"/>
                <w:szCs w:val="20"/>
              </w:rPr>
              <w:t>38</w:t>
            </w:r>
          </w:p>
        </w:tc>
        <w:tc>
          <w:tcPr>
            <w:tcW w:w="1439" w:type="dxa"/>
          </w:tcPr>
          <w:p w14:paraId="6528C5AA" w14:textId="039B046F" w:rsidR="0093791E" w:rsidRPr="0093791E" w:rsidRDefault="0093791E" w:rsidP="0093791E">
            <w:pPr>
              <w:jc w:val="center"/>
              <w:rPr>
                <w:sz w:val="20"/>
                <w:szCs w:val="20"/>
              </w:rPr>
            </w:pPr>
            <w:r>
              <w:rPr>
                <w:sz w:val="20"/>
                <w:szCs w:val="20"/>
              </w:rPr>
              <w:t>5.6</w:t>
            </w:r>
            <w:r w:rsidRPr="0093791E">
              <w:rPr>
                <w:sz w:val="20"/>
                <w:szCs w:val="20"/>
              </w:rPr>
              <w:t>%</w:t>
            </w:r>
          </w:p>
        </w:tc>
      </w:tr>
      <w:tr w:rsidR="0093791E" w:rsidRPr="0093791E" w14:paraId="132A4781" w14:textId="77777777" w:rsidTr="0093791E">
        <w:tc>
          <w:tcPr>
            <w:tcW w:w="5665" w:type="dxa"/>
          </w:tcPr>
          <w:p w14:paraId="2EF17869" w14:textId="5A53B5AA" w:rsidR="0093791E" w:rsidRPr="0093791E" w:rsidRDefault="006B245F" w:rsidP="0093791E">
            <w:pPr>
              <w:rPr>
                <w:sz w:val="20"/>
                <w:szCs w:val="20"/>
              </w:rPr>
            </w:pPr>
            <w:r>
              <w:rPr>
                <w:sz w:val="20"/>
                <w:szCs w:val="20"/>
              </w:rPr>
              <w:t>15 mg + 45 mg&gt;30 mg + 60 mg&gt; 15 mg +</w:t>
            </w:r>
            <w:r w:rsidR="0093791E" w:rsidRPr="0093791E">
              <w:rPr>
                <w:sz w:val="20"/>
                <w:szCs w:val="20"/>
              </w:rPr>
              <w:t xml:space="preserve"> 45 mg</w:t>
            </w:r>
          </w:p>
        </w:tc>
        <w:tc>
          <w:tcPr>
            <w:tcW w:w="1843" w:type="dxa"/>
          </w:tcPr>
          <w:p w14:paraId="00A53242" w14:textId="381EEDE5" w:rsidR="0093791E" w:rsidRPr="0093791E" w:rsidRDefault="0093791E" w:rsidP="0093791E">
            <w:pPr>
              <w:jc w:val="center"/>
              <w:rPr>
                <w:sz w:val="20"/>
                <w:szCs w:val="20"/>
              </w:rPr>
            </w:pPr>
            <w:r w:rsidRPr="0093791E">
              <w:rPr>
                <w:sz w:val="20"/>
                <w:szCs w:val="20"/>
              </w:rPr>
              <w:t>15</w:t>
            </w:r>
          </w:p>
        </w:tc>
        <w:tc>
          <w:tcPr>
            <w:tcW w:w="1439" w:type="dxa"/>
          </w:tcPr>
          <w:p w14:paraId="5C85C6D9" w14:textId="571A79C1" w:rsidR="0093791E" w:rsidRPr="0093791E" w:rsidRDefault="0093791E" w:rsidP="0093791E">
            <w:pPr>
              <w:jc w:val="center"/>
              <w:rPr>
                <w:sz w:val="20"/>
                <w:szCs w:val="20"/>
              </w:rPr>
            </w:pPr>
            <w:r>
              <w:rPr>
                <w:sz w:val="20"/>
                <w:szCs w:val="20"/>
              </w:rPr>
              <w:t>2.2</w:t>
            </w:r>
            <w:r w:rsidRPr="0093791E">
              <w:rPr>
                <w:sz w:val="20"/>
                <w:szCs w:val="20"/>
              </w:rPr>
              <w:t>%</w:t>
            </w:r>
          </w:p>
        </w:tc>
      </w:tr>
      <w:tr w:rsidR="0093791E" w:rsidRPr="0093791E" w14:paraId="7DD88E1B" w14:textId="77777777" w:rsidTr="0093791E">
        <w:tc>
          <w:tcPr>
            <w:tcW w:w="5665" w:type="dxa"/>
          </w:tcPr>
          <w:p w14:paraId="168EE50A" w14:textId="3C7F0BE0" w:rsidR="0093791E" w:rsidRPr="0093791E" w:rsidRDefault="0093791E" w:rsidP="005F0E1B">
            <w:pPr>
              <w:rPr>
                <w:sz w:val="20"/>
                <w:szCs w:val="20"/>
              </w:rPr>
            </w:pPr>
            <w:r w:rsidRPr="0093791E">
              <w:rPr>
                <w:sz w:val="20"/>
                <w:szCs w:val="20"/>
              </w:rPr>
              <w:t>Rare</w:t>
            </w:r>
            <w:r w:rsidR="0086397C">
              <w:rPr>
                <w:sz w:val="20"/>
                <w:szCs w:val="20"/>
              </w:rPr>
              <w:t xml:space="preserve"> (&lt;2%)</w:t>
            </w:r>
            <w:r w:rsidRPr="0093791E">
              <w:rPr>
                <w:sz w:val="20"/>
                <w:szCs w:val="20"/>
              </w:rPr>
              <w:t xml:space="preserve"> dosing sequences</w:t>
            </w:r>
          </w:p>
        </w:tc>
        <w:tc>
          <w:tcPr>
            <w:tcW w:w="1843" w:type="dxa"/>
          </w:tcPr>
          <w:p w14:paraId="02F58169" w14:textId="54905E66" w:rsidR="0093791E" w:rsidRPr="0093791E" w:rsidRDefault="0093791E" w:rsidP="0093791E">
            <w:pPr>
              <w:jc w:val="center"/>
              <w:rPr>
                <w:sz w:val="20"/>
                <w:szCs w:val="20"/>
              </w:rPr>
            </w:pPr>
            <w:r w:rsidRPr="0093791E">
              <w:rPr>
                <w:sz w:val="20"/>
                <w:szCs w:val="20"/>
              </w:rPr>
              <w:t>75</w:t>
            </w:r>
          </w:p>
        </w:tc>
        <w:tc>
          <w:tcPr>
            <w:tcW w:w="1439" w:type="dxa"/>
          </w:tcPr>
          <w:p w14:paraId="1F724548" w14:textId="388EDB6E" w:rsidR="0093791E" w:rsidRPr="0093791E" w:rsidRDefault="0093791E" w:rsidP="0093791E">
            <w:pPr>
              <w:jc w:val="center"/>
              <w:rPr>
                <w:sz w:val="20"/>
                <w:szCs w:val="20"/>
              </w:rPr>
            </w:pPr>
            <w:r>
              <w:rPr>
                <w:sz w:val="20"/>
                <w:szCs w:val="20"/>
              </w:rPr>
              <w:t>11.1</w:t>
            </w:r>
            <w:r w:rsidRPr="0093791E">
              <w:rPr>
                <w:sz w:val="20"/>
                <w:szCs w:val="20"/>
              </w:rPr>
              <w:t>%</w:t>
            </w:r>
          </w:p>
        </w:tc>
      </w:tr>
      <w:tr w:rsidR="0093791E" w:rsidRPr="0093791E" w14:paraId="319633DD" w14:textId="77777777" w:rsidTr="0093791E">
        <w:tc>
          <w:tcPr>
            <w:tcW w:w="5665" w:type="dxa"/>
          </w:tcPr>
          <w:p w14:paraId="187646FE" w14:textId="5827084B" w:rsidR="0093791E" w:rsidRPr="0093791E" w:rsidRDefault="0093791E" w:rsidP="0093791E">
            <w:pPr>
              <w:rPr>
                <w:sz w:val="20"/>
                <w:szCs w:val="20"/>
              </w:rPr>
            </w:pPr>
            <w:r w:rsidRPr="0093791E">
              <w:rPr>
                <w:sz w:val="20"/>
                <w:szCs w:val="20"/>
              </w:rPr>
              <w:t xml:space="preserve">Total </w:t>
            </w:r>
          </w:p>
        </w:tc>
        <w:tc>
          <w:tcPr>
            <w:tcW w:w="1843" w:type="dxa"/>
          </w:tcPr>
          <w:p w14:paraId="0C8E3BDE" w14:textId="0AC7D0A0" w:rsidR="0093791E" w:rsidRPr="0093791E" w:rsidRDefault="0093791E" w:rsidP="0093791E">
            <w:pPr>
              <w:jc w:val="center"/>
              <w:rPr>
                <w:sz w:val="20"/>
                <w:szCs w:val="20"/>
              </w:rPr>
            </w:pPr>
            <w:r w:rsidRPr="0093791E">
              <w:rPr>
                <w:sz w:val="20"/>
                <w:szCs w:val="20"/>
              </w:rPr>
              <w:t>674</w:t>
            </w:r>
          </w:p>
        </w:tc>
        <w:tc>
          <w:tcPr>
            <w:tcW w:w="1439" w:type="dxa"/>
          </w:tcPr>
          <w:p w14:paraId="479B72F6" w14:textId="77777777" w:rsidR="0093791E" w:rsidRPr="0093791E" w:rsidRDefault="0093791E" w:rsidP="0093791E">
            <w:pPr>
              <w:rPr>
                <w:sz w:val="20"/>
                <w:szCs w:val="20"/>
              </w:rPr>
            </w:pPr>
          </w:p>
        </w:tc>
      </w:tr>
    </w:tbl>
    <w:p w14:paraId="32D89B6B" w14:textId="3527F898" w:rsidR="0093791E" w:rsidRPr="005F0E1B" w:rsidRDefault="0086397C" w:rsidP="00D57909">
      <w:pPr>
        <w:rPr>
          <w:sz w:val="20"/>
          <w:szCs w:val="20"/>
        </w:rPr>
      </w:pPr>
      <w:r>
        <w:rPr>
          <w:sz w:val="20"/>
          <w:szCs w:val="20"/>
        </w:rPr>
        <w:t>Note: R</w:t>
      </w:r>
      <w:r w:rsidR="00EC1717">
        <w:rPr>
          <w:sz w:val="20"/>
          <w:szCs w:val="20"/>
        </w:rPr>
        <w:t>are dosing sequences</w:t>
      </w:r>
      <w:r w:rsidR="005F0E1B" w:rsidRPr="005F0E1B">
        <w:rPr>
          <w:sz w:val="20"/>
          <w:szCs w:val="20"/>
        </w:rPr>
        <w:t xml:space="preserve"> </w:t>
      </w:r>
      <w:r w:rsidR="00EC1717">
        <w:rPr>
          <w:sz w:val="20"/>
          <w:szCs w:val="20"/>
        </w:rPr>
        <w:t>defined as sequences that</w:t>
      </w:r>
      <w:r w:rsidR="005F0E1B" w:rsidRPr="005F0E1B">
        <w:rPr>
          <w:sz w:val="20"/>
          <w:szCs w:val="20"/>
        </w:rPr>
        <w:t xml:space="preserve"> account for which less than 2% of </w:t>
      </w:r>
      <w:r>
        <w:rPr>
          <w:sz w:val="20"/>
          <w:szCs w:val="20"/>
        </w:rPr>
        <w:t>all tolvaptan dose</w:t>
      </w:r>
      <w:r w:rsidR="00EC1717">
        <w:rPr>
          <w:sz w:val="20"/>
          <w:szCs w:val="20"/>
        </w:rPr>
        <w:t xml:space="preserve"> sequences.</w:t>
      </w:r>
    </w:p>
    <w:p w14:paraId="6A7EE6B7" w14:textId="107F9939" w:rsidR="00D57909" w:rsidRPr="004228B2" w:rsidRDefault="00D57909" w:rsidP="004228B2">
      <w:r>
        <w:t>From Table 4, approximately 8</w:t>
      </w:r>
      <w:r w:rsidR="00620D60">
        <w:t>3</w:t>
      </w:r>
      <w:r>
        <w:t>% of patients followed the suggested dosing schedule published in the Tolvaptan Product Information, initiating treatment with the lowest strength dose and up</w:t>
      </w:r>
      <w:r w:rsidR="001C0D65">
        <w:t>-</w:t>
      </w:r>
      <w:r>
        <w:t>titrating.</w:t>
      </w:r>
      <w:r w:rsidRPr="006B245F">
        <w:rPr>
          <w:vertAlign w:val="superscript"/>
        </w:rPr>
        <w:fldChar w:fldCharType="begin"/>
      </w:r>
      <w:r w:rsidRPr="006B245F">
        <w:rPr>
          <w:vertAlign w:val="superscript"/>
        </w:rPr>
        <w:instrText xml:space="preserve"> NOTEREF _Ref75964356 \h  \* MERGEFORMAT </w:instrText>
      </w:r>
      <w:r w:rsidRPr="006B245F">
        <w:rPr>
          <w:vertAlign w:val="superscript"/>
        </w:rPr>
      </w:r>
      <w:r w:rsidRPr="006B245F">
        <w:rPr>
          <w:vertAlign w:val="superscript"/>
        </w:rPr>
        <w:fldChar w:fldCharType="separate"/>
      </w:r>
      <w:r w:rsidR="004740D3">
        <w:rPr>
          <w:vertAlign w:val="superscript"/>
        </w:rPr>
        <w:t>7</w:t>
      </w:r>
      <w:r w:rsidRPr="006B245F">
        <w:rPr>
          <w:vertAlign w:val="superscript"/>
        </w:rPr>
        <w:fldChar w:fldCharType="end"/>
      </w:r>
      <w:r>
        <w:t xml:space="preserve"> </w:t>
      </w:r>
      <w:r w:rsidR="006B245F">
        <w:t xml:space="preserve">Patients only supplied </w:t>
      </w:r>
      <w:r w:rsidR="006B245F" w:rsidRPr="005847AD">
        <w:t xml:space="preserve">the lowest </w:t>
      </w:r>
      <w:r w:rsidR="006B245F">
        <w:t>split dose</w:t>
      </w:r>
      <w:r w:rsidR="006B245F" w:rsidRPr="005847AD">
        <w:t xml:space="preserve"> 45 mg </w:t>
      </w:r>
      <w:r w:rsidR="006B245F">
        <w:t xml:space="preserve">+ 15 mg </w:t>
      </w:r>
      <w:r w:rsidR="006B245F" w:rsidRPr="005847AD">
        <w:t>tablets</w:t>
      </w:r>
      <w:r w:rsidR="006B245F">
        <w:t xml:space="preserve"> accounted for the most common dosing regimen (43.8%)</w:t>
      </w:r>
      <w:r w:rsidR="006B245F" w:rsidRPr="005847AD">
        <w:t xml:space="preserve">. </w:t>
      </w:r>
      <w:r>
        <w:t xml:space="preserve">Approximately 37% of patients up titrated </w:t>
      </w:r>
      <w:r w:rsidR="00951C52">
        <w:t>to higher strength doses, 30 mg + 60 mg (20.2%) and 30 mg +</w:t>
      </w:r>
      <w:r>
        <w:t xml:space="preserve"> 90 mg (17%). </w:t>
      </w:r>
    </w:p>
    <w:p w14:paraId="44C4ED88" w14:textId="0D4A7C73" w:rsidR="00235405" w:rsidRPr="00235405" w:rsidRDefault="00D151EB" w:rsidP="00235405">
      <w:pPr>
        <w:pStyle w:val="Heading2"/>
      </w:pPr>
      <w:r>
        <w:lastRenderedPageBreak/>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14:paraId="59E9826A" w14:textId="3B5564DD" w:rsidR="004F057D" w:rsidRPr="004F057D" w:rsidRDefault="004F057D" w:rsidP="004F057D">
      <w:pPr>
        <w:pStyle w:val="Tabletitle"/>
      </w:pPr>
      <w:r>
        <w:t>Table 5</w:t>
      </w:r>
      <w:r w:rsidRPr="004F057D">
        <w:t>:</w:t>
      </w:r>
      <w:r>
        <w:t xml:space="preserve"> Tolvaptan actual versus predicted utilisation </w:t>
      </w:r>
    </w:p>
    <w:tbl>
      <w:tblPr>
        <w:tblStyle w:val="TableGrid"/>
        <w:tblW w:w="0" w:type="auto"/>
        <w:tblLook w:val="04A0" w:firstRow="1" w:lastRow="0" w:firstColumn="1" w:lastColumn="0" w:noHBand="0" w:noVBand="1"/>
        <w:tblCaption w:val="Tolvaptan actual versus predicted utilisation"/>
      </w:tblPr>
      <w:tblGrid>
        <w:gridCol w:w="1789"/>
        <w:gridCol w:w="1789"/>
        <w:gridCol w:w="1789"/>
        <w:gridCol w:w="1790"/>
        <w:gridCol w:w="1790"/>
      </w:tblGrid>
      <w:tr w:rsidR="00235405" w:rsidRPr="00235405" w14:paraId="5F124E01" w14:textId="77777777" w:rsidTr="00FE44C4">
        <w:trPr>
          <w:tblHeader/>
        </w:trPr>
        <w:tc>
          <w:tcPr>
            <w:tcW w:w="3578" w:type="dxa"/>
            <w:gridSpan w:val="2"/>
            <w:vMerge w:val="restart"/>
            <w:shd w:val="clear" w:color="auto" w:fill="BFBFBF" w:themeFill="background1" w:themeFillShade="BF"/>
          </w:tcPr>
          <w:p w14:paraId="4FE013A4" w14:textId="72F59DE0" w:rsidR="00235405" w:rsidRPr="00C11A65" w:rsidRDefault="00235405" w:rsidP="00A35800">
            <w:pPr>
              <w:rPr>
                <w:b/>
                <w:sz w:val="20"/>
                <w:szCs w:val="20"/>
              </w:rPr>
            </w:pPr>
            <w:r w:rsidRPr="00C11A65">
              <w:rPr>
                <w:b/>
                <w:sz w:val="20"/>
                <w:szCs w:val="20"/>
              </w:rPr>
              <w:t xml:space="preserve">Tolvaptan listing years </w:t>
            </w:r>
          </w:p>
        </w:tc>
        <w:tc>
          <w:tcPr>
            <w:tcW w:w="1789" w:type="dxa"/>
            <w:shd w:val="clear" w:color="auto" w:fill="BFBFBF" w:themeFill="background1" w:themeFillShade="BF"/>
          </w:tcPr>
          <w:p w14:paraId="625E67BF" w14:textId="470CF15E" w:rsidR="00235405" w:rsidRPr="00C11A65" w:rsidRDefault="00235405" w:rsidP="00235405">
            <w:pPr>
              <w:jc w:val="center"/>
              <w:rPr>
                <w:b/>
                <w:sz w:val="20"/>
                <w:szCs w:val="20"/>
              </w:rPr>
            </w:pPr>
            <w:r w:rsidRPr="00C11A65">
              <w:rPr>
                <w:b/>
                <w:sz w:val="20"/>
                <w:szCs w:val="20"/>
              </w:rPr>
              <w:t>Year 1</w:t>
            </w:r>
          </w:p>
        </w:tc>
        <w:tc>
          <w:tcPr>
            <w:tcW w:w="1790" w:type="dxa"/>
            <w:shd w:val="clear" w:color="auto" w:fill="BFBFBF" w:themeFill="background1" w:themeFillShade="BF"/>
          </w:tcPr>
          <w:p w14:paraId="5ABEFD2D" w14:textId="6C50DCA9" w:rsidR="00235405" w:rsidRPr="00C11A65" w:rsidRDefault="00235405" w:rsidP="00235405">
            <w:pPr>
              <w:jc w:val="center"/>
              <w:rPr>
                <w:b/>
                <w:sz w:val="20"/>
                <w:szCs w:val="20"/>
              </w:rPr>
            </w:pPr>
            <w:r w:rsidRPr="00C11A65">
              <w:rPr>
                <w:b/>
                <w:sz w:val="20"/>
                <w:szCs w:val="20"/>
              </w:rPr>
              <w:t>Year 2</w:t>
            </w:r>
          </w:p>
        </w:tc>
        <w:tc>
          <w:tcPr>
            <w:tcW w:w="1790" w:type="dxa"/>
            <w:shd w:val="clear" w:color="auto" w:fill="BFBFBF" w:themeFill="background1" w:themeFillShade="BF"/>
          </w:tcPr>
          <w:p w14:paraId="6C038BAD" w14:textId="4C9E6D45" w:rsidR="00235405" w:rsidRPr="00C11A65" w:rsidRDefault="00235405" w:rsidP="00235405">
            <w:pPr>
              <w:jc w:val="center"/>
              <w:rPr>
                <w:b/>
                <w:sz w:val="20"/>
                <w:szCs w:val="20"/>
              </w:rPr>
            </w:pPr>
            <w:r w:rsidRPr="00C11A65">
              <w:rPr>
                <w:b/>
                <w:sz w:val="20"/>
                <w:szCs w:val="20"/>
              </w:rPr>
              <w:t>Year</w:t>
            </w:r>
            <w:r w:rsidR="0037352B" w:rsidRPr="00C11A65">
              <w:rPr>
                <w:b/>
                <w:sz w:val="20"/>
                <w:szCs w:val="20"/>
              </w:rPr>
              <w:t xml:space="preserve"> 3</w:t>
            </w:r>
          </w:p>
        </w:tc>
      </w:tr>
      <w:tr w:rsidR="00235405" w:rsidRPr="00235405" w14:paraId="3076AD64" w14:textId="77777777" w:rsidTr="00FE44C4">
        <w:trPr>
          <w:tblHeader/>
        </w:trPr>
        <w:tc>
          <w:tcPr>
            <w:tcW w:w="3578" w:type="dxa"/>
            <w:gridSpan w:val="2"/>
            <w:vMerge/>
            <w:shd w:val="clear" w:color="auto" w:fill="BFBFBF" w:themeFill="background1" w:themeFillShade="BF"/>
          </w:tcPr>
          <w:p w14:paraId="377DDDAB" w14:textId="77777777" w:rsidR="00235405" w:rsidRPr="00C11A65" w:rsidRDefault="00235405" w:rsidP="00A35800">
            <w:pPr>
              <w:rPr>
                <w:b/>
                <w:sz w:val="20"/>
                <w:szCs w:val="20"/>
              </w:rPr>
            </w:pPr>
          </w:p>
        </w:tc>
        <w:tc>
          <w:tcPr>
            <w:tcW w:w="1789" w:type="dxa"/>
            <w:shd w:val="clear" w:color="auto" w:fill="BFBFBF" w:themeFill="background1" w:themeFillShade="BF"/>
          </w:tcPr>
          <w:p w14:paraId="72ADB253" w14:textId="5EBE1F52" w:rsidR="00235405" w:rsidRPr="00C11A65" w:rsidRDefault="00235405" w:rsidP="00235405">
            <w:pPr>
              <w:jc w:val="center"/>
              <w:rPr>
                <w:b/>
                <w:sz w:val="20"/>
                <w:szCs w:val="20"/>
              </w:rPr>
            </w:pPr>
            <w:r w:rsidRPr="00C11A65">
              <w:rPr>
                <w:b/>
                <w:sz w:val="20"/>
                <w:szCs w:val="20"/>
              </w:rPr>
              <w:t>January 2019 – December 2019</w:t>
            </w:r>
          </w:p>
        </w:tc>
        <w:tc>
          <w:tcPr>
            <w:tcW w:w="1790" w:type="dxa"/>
            <w:shd w:val="clear" w:color="auto" w:fill="BFBFBF" w:themeFill="background1" w:themeFillShade="BF"/>
          </w:tcPr>
          <w:p w14:paraId="0C9F05C1" w14:textId="3EC47D7B" w:rsidR="00235405" w:rsidRPr="00C11A65" w:rsidRDefault="00235405" w:rsidP="00235405">
            <w:pPr>
              <w:jc w:val="center"/>
              <w:rPr>
                <w:b/>
                <w:sz w:val="20"/>
                <w:szCs w:val="20"/>
              </w:rPr>
            </w:pPr>
            <w:r w:rsidRPr="00C11A65">
              <w:rPr>
                <w:b/>
                <w:sz w:val="20"/>
                <w:szCs w:val="20"/>
              </w:rPr>
              <w:t>January 2020 – December 2020</w:t>
            </w:r>
          </w:p>
        </w:tc>
        <w:tc>
          <w:tcPr>
            <w:tcW w:w="1790" w:type="dxa"/>
            <w:shd w:val="clear" w:color="auto" w:fill="BFBFBF" w:themeFill="background1" w:themeFillShade="BF"/>
          </w:tcPr>
          <w:p w14:paraId="4BAC6A4B" w14:textId="130EB8B8" w:rsidR="00235405" w:rsidRPr="00C11A65" w:rsidRDefault="00235405" w:rsidP="00235405">
            <w:pPr>
              <w:jc w:val="center"/>
              <w:rPr>
                <w:b/>
                <w:sz w:val="20"/>
                <w:szCs w:val="20"/>
              </w:rPr>
            </w:pPr>
            <w:r w:rsidRPr="00C11A65">
              <w:rPr>
                <w:b/>
                <w:sz w:val="20"/>
                <w:szCs w:val="20"/>
              </w:rPr>
              <w:t>January 2021- December 2021</w:t>
            </w:r>
          </w:p>
        </w:tc>
      </w:tr>
      <w:tr w:rsidR="00A11DCE" w:rsidRPr="00235405" w14:paraId="1F2F4541" w14:textId="77777777" w:rsidTr="00235405">
        <w:tc>
          <w:tcPr>
            <w:tcW w:w="1789" w:type="dxa"/>
            <w:vMerge w:val="restart"/>
          </w:tcPr>
          <w:p w14:paraId="53E6AF9E" w14:textId="5609DDDE" w:rsidR="00A11DCE" w:rsidRPr="00235405" w:rsidRDefault="00A11DCE" w:rsidP="00A11DCE">
            <w:pPr>
              <w:rPr>
                <w:sz w:val="20"/>
                <w:szCs w:val="20"/>
              </w:rPr>
            </w:pPr>
            <w:r w:rsidRPr="00235405">
              <w:rPr>
                <w:sz w:val="20"/>
                <w:szCs w:val="20"/>
              </w:rPr>
              <w:t xml:space="preserve">Patients </w:t>
            </w:r>
          </w:p>
        </w:tc>
        <w:tc>
          <w:tcPr>
            <w:tcW w:w="1789" w:type="dxa"/>
          </w:tcPr>
          <w:p w14:paraId="53EC1584" w14:textId="49A5F6B2" w:rsidR="00A11DCE" w:rsidRPr="00235405" w:rsidRDefault="00A11DCE" w:rsidP="00A11DCE">
            <w:pPr>
              <w:rPr>
                <w:sz w:val="20"/>
                <w:szCs w:val="20"/>
              </w:rPr>
            </w:pPr>
            <w:r>
              <w:rPr>
                <w:sz w:val="20"/>
                <w:szCs w:val="20"/>
              </w:rPr>
              <w:t xml:space="preserve">Predicted </w:t>
            </w:r>
          </w:p>
        </w:tc>
        <w:tc>
          <w:tcPr>
            <w:tcW w:w="1789" w:type="dxa"/>
          </w:tcPr>
          <w:p w14:paraId="23024FFB" w14:textId="7EFBAB81" w:rsidR="00A11DCE" w:rsidRPr="00235405" w:rsidRDefault="00A11DCE" w:rsidP="00A11DCE">
            <w:pPr>
              <w:jc w:val="center"/>
              <w:rPr>
                <w:sz w:val="20"/>
                <w:szCs w:val="20"/>
              </w:rPr>
            </w:pPr>
            <w:proofErr w:type="spellStart"/>
            <w:r w:rsidRPr="00B57D1B">
              <w:rPr>
                <w:sz w:val="20"/>
                <w:szCs w:val="20"/>
                <w:highlight w:val="black"/>
              </w:rPr>
              <w:t>Xxx</w:t>
            </w:r>
            <w:proofErr w:type="spellEnd"/>
          </w:p>
        </w:tc>
        <w:tc>
          <w:tcPr>
            <w:tcW w:w="1790" w:type="dxa"/>
          </w:tcPr>
          <w:p w14:paraId="2AC320A8" w14:textId="17EF6E39" w:rsidR="00A11DCE" w:rsidRPr="00235405" w:rsidRDefault="00A11DCE" w:rsidP="00A11DCE">
            <w:pPr>
              <w:jc w:val="center"/>
              <w:rPr>
                <w:sz w:val="20"/>
                <w:szCs w:val="20"/>
              </w:rPr>
            </w:pPr>
            <w:proofErr w:type="spellStart"/>
            <w:r w:rsidRPr="00B57D1B">
              <w:rPr>
                <w:sz w:val="20"/>
                <w:szCs w:val="20"/>
                <w:highlight w:val="black"/>
              </w:rPr>
              <w:t>Xxx</w:t>
            </w:r>
            <w:proofErr w:type="spellEnd"/>
          </w:p>
        </w:tc>
        <w:tc>
          <w:tcPr>
            <w:tcW w:w="1790" w:type="dxa"/>
          </w:tcPr>
          <w:p w14:paraId="1AC8AA05" w14:textId="57644C02" w:rsidR="00A11DCE" w:rsidRPr="00235405" w:rsidRDefault="00A11DCE" w:rsidP="00A11DCE">
            <w:pPr>
              <w:jc w:val="center"/>
              <w:rPr>
                <w:sz w:val="20"/>
                <w:szCs w:val="20"/>
              </w:rPr>
            </w:pPr>
            <w:r w:rsidRPr="00B57D1B">
              <w:rPr>
                <w:sz w:val="20"/>
                <w:szCs w:val="20"/>
                <w:highlight w:val="black"/>
              </w:rPr>
              <w:t>xxx</w:t>
            </w:r>
          </w:p>
        </w:tc>
      </w:tr>
      <w:tr w:rsidR="00A11DCE" w:rsidRPr="00235405" w14:paraId="758FC4E0" w14:textId="77777777" w:rsidTr="00235405">
        <w:tc>
          <w:tcPr>
            <w:tcW w:w="1789" w:type="dxa"/>
            <w:vMerge/>
          </w:tcPr>
          <w:p w14:paraId="7380945E" w14:textId="77777777" w:rsidR="00A11DCE" w:rsidRPr="00235405" w:rsidRDefault="00A11DCE" w:rsidP="00A11DCE">
            <w:pPr>
              <w:rPr>
                <w:sz w:val="20"/>
                <w:szCs w:val="20"/>
              </w:rPr>
            </w:pPr>
          </w:p>
        </w:tc>
        <w:tc>
          <w:tcPr>
            <w:tcW w:w="1789" w:type="dxa"/>
          </w:tcPr>
          <w:p w14:paraId="26C8DE79" w14:textId="2BB9C870" w:rsidR="00A11DCE" w:rsidRPr="00235405" w:rsidRDefault="00A11DCE" w:rsidP="00A11DCE">
            <w:pPr>
              <w:rPr>
                <w:sz w:val="20"/>
                <w:szCs w:val="20"/>
              </w:rPr>
            </w:pPr>
            <w:r>
              <w:rPr>
                <w:sz w:val="20"/>
                <w:szCs w:val="20"/>
              </w:rPr>
              <w:t xml:space="preserve">Actual </w:t>
            </w:r>
          </w:p>
        </w:tc>
        <w:tc>
          <w:tcPr>
            <w:tcW w:w="1789" w:type="dxa"/>
          </w:tcPr>
          <w:p w14:paraId="030B9968" w14:textId="33C35527" w:rsidR="00A11DCE" w:rsidRPr="00235405" w:rsidRDefault="00A11DCE" w:rsidP="00A11DCE">
            <w:pPr>
              <w:jc w:val="center"/>
              <w:rPr>
                <w:sz w:val="20"/>
                <w:szCs w:val="20"/>
              </w:rPr>
            </w:pPr>
            <w:r>
              <w:rPr>
                <w:sz w:val="20"/>
                <w:szCs w:val="20"/>
              </w:rPr>
              <w:t>362</w:t>
            </w:r>
          </w:p>
        </w:tc>
        <w:tc>
          <w:tcPr>
            <w:tcW w:w="1790" w:type="dxa"/>
          </w:tcPr>
          <w:p w14:paraId="6F08EF43" w14:textId="2C6B11C4" w:rsidR="00A11DCE" w:rsidRPr="00235405" w:rsidRDefault="00A11DCE" w:rsidP="00A11DCE">
            <w:pPr>
              <w:jc w:val="center"/>
              <w:rPr>
                <w:sz w:val="20"/>
                <w:szCs w:val="20"/>
              </w:rPr>
            </w:pPr>
            <w:r>
              <w:rPr>
                <w:sz w:val="20"/>
                <w:szCs w:val="20"/>
              </w:rPr>
              <w:t>500</w:t>
            </w:r>
          </w:p>
        </w:tc>
        <w:tc>
          <w:tcPr>
            <w:tcW w:w="1790" w:type="dxa"/>
          </w:tcPr>
          <w:p w14:paraId="44CFDE4B" w14:textId="025E0C57" w:rsidR="00A11DCE" w:rsidRPr="00235405" w:rsidRDefault="00A11DCE" w:rsidP="00A11DCE">
            <w:pPr>
              <w:jc w:val="center"/>
              <w:rPr>
                <w:sz w:val="20"/>
                <w:szCs w:val="20"/>
              </w:rPr>
            </w:pPr>
            <w:r w:rsidRPr="00805455">
              <w:rPr>
                <w:sz w:val="20"/>
                <w:szCs w:val="20"/>
              </w:rPr>
              <w:t>516</w:t>
            </w:r>
          </w:p>
        </w:tc>
      </w:tr>
      <w:tr w:rsidR="00A11DCE" w:rsidRPr="00235405" w14:paraId="429C1E32" w14:textId="77777777" w:rsidTr="00235405">
        <w:tc>
          <w:tcPr>
            <w:tcW w:w="1789" w:type="dxa"/>
            <w:vMerge/>
          </w:tcPr>
          <w:p w14:paraId="2780B937" w14:textId="77777777" w:rsidR="00A11DCE" w:rsidRPr="00235405" w:rsidRDefault="00A11DCE" w:rsidP="00A11DCE">
            <w:pPr>
              <w:rPr>
                <w:sz w:val="20"/>
                <w:szCs w:val="20"/>
              </w:rPr>
            </w:pPr>
          </w:p>
        </w:tc>
        <w:tc>
          <w:tcPr>
            <w:tcW w:w="1789" w:type="dxa"/>
          </w:tcPr>
          <w:p w14:paraId="104E45EE" w14:textId="232F0C9A" w:rsidR="00A11DCE" w:rsidRPr="00235405" w:rsidRDefault="00A11DCE" w:rsidP="00A11DCE">
            <w:pPr>
              <w:rPr>
                <w:sz w:val="20"/>
                <w:szCs w:val="20"/>
              </w:rPr>
            </w:pPr>
            <w:r>
              <w:rPr>
                <w:sz w:val="20"/>
                <w:szCs w:val="20"/>
              </w:rPr>
              <w:t xml:space="preserve">Difference </w:t>
            </w:r>
          </w:p>
        </w:tc>
        <w:tc>
          <w:tcPr>
            <w:tcW w:w="1789" w:type="dxa"/>
          </w:tcPr>
          <w:p w14:paraId="25DD71DC" w14:textId="3DC4D79F" w:rsidR="00A11DCE" w:rsidRPr="00235405" w:rsidRDefault="00A11DCE" w:rsidP="00A11DCE">
            <w:pPr>
              <w:jc w:val="center"/>
              <w:rPr>
                <w:sz w:val="20"/>
                <w:szCs w:val="20"/>
              </w:rPr>
            </w:pPr>
            <w:r w:rsidRPr="00B57D1B">
              <w:rPr>
                <w:sz w:val="20"/>
                <w:szCs w:val="20"/>
                <w:highlight w:val="black"/>
              </w:rPr>
              <w:t>xxx</w:t>
            </w:r>
          </w:p>
        </w:tc>
        <w:tc>
          <w:tcPr>
            <w:tcW w:w="1790" w:type="dxa"/>
          </w:tcPr>
          <w:p w14:paraId="3B65D9D1" w14:textId="4390C202" w:rsidR="00A11DCE" w:rsidRPr="00235405" w:rsidRDefault="00A11DCE" w:rsidP="00A11DCE">
            <w:pPr>
              <w:jc w:val="center"/>
              <w:rPr>
                <w:sz w:val="20"/>
                <w:szCs w:val="20"/>
              </w:rPr>
            </w:pPr>
            <w:r w:rsidRPr="00B57D1B">
              <w:rPr>
                <w:sz w:val="20"/>
                <w:szCs w:val="20"/>
                <w:highlight w:val="black"/>
              </w:rPr>
              <w:t>xxx</w:t>
            </w:r>
          </w:p>
        </w:tc>
        <w:tc>
          <w:tcPr>
            <w:tcW w:w="1790" w:type="dxa"/>
          </w:tcPr>
          <w:p w14:paraId="4D61F90C" w14:textId="236F9900" w:rsidR="00A11DCE" w:rsidRPr="00235405" w:rsidRDefault="00A11DCE" w:rsidP="00A11DCE">
            <w:pPr>
              <w:jc w:val="center"/>
              <w:rPr>
                <w:sz w:val="20"/>
                <w:szCs w:val="20"/>
              </w:rPr>
            </w:pPr>
            <w:r w:rsidRPr="00B57D1B">
              <w:rPr>
                <w:sz w:val="20"/>
                <w:szCs w:val="20"/>
                <w:highlight w:val="black"/>
              </w:rPr>
              <w:t>xxx</w:t>
            </w:r>
          </w:p>
        </w:tc>
      </w:tr>
      <w:tr w:rsidR="00A11DCE" w:rsidRPr="00235405" w14:paraId="0734769C" w14:textId="77777777" w:rsidTr="00235405">
        <w:tc>
          <w:tcPr>
            <w:tcW w:w="1789" w:type="dxa"/>
            <w:vMerge w:val="restart"/>
          </w:tcPr>
          <w:p w14:paraId="7A3F4006" w14:textId="72135715" w:rsidR="00A11DCE" w:rsidRPr="00235405" w:rsidRDefault="00A11DCE" w:rsidP="00A11DCE">
            <w:pPr>
              <w:rPr>
                <w:sz w:val="20"/>
                <w:szCs w:val="20"/>
              </w:rPr>
            </w:pPr>
            <w:r>
              <w:rPr>
                <w:sz w:val="20"/>
                <w:szCs w:val="20"/>
              </w:rPr>
              <w:t>Prescriptions</w:t>
            </w:r>
          </w:p>
        </w:tc>
        <w:tc>
          <w:tcPr>
            <w:tcW w:w="1789" w:type="dxa"/>
          </w:tcPr>
          <w:p w14:paraId="67881A8B" w14:textId="3F3EE22E" w:rsidR="00A11DCE" w:rsidRPr="00235405" w:rsidRDefault="00A11DCE" w:rsidP="00A11DCE">
            <w:pPr>
              <w:rPr>
                <w:sz w:val="20"/>
                <w:szCs w:val="20"/>
              </w:rPr>
            </w:pPr>
            <w:r>
              <w:rPr>
                <w:sz w:val="20"/>
                <w:szCs w:val="20"/>
              </w:rPr>
              <w:t xml:space="preserve">Predicted </w:t>
            </w:r>
          </w:p>
        </w:tc>
        <w:tc>
          <w:tcPr>
            <w:tcW w:w="1789" w:type="dxa"/>
          </w:tcPr>
          <w:p w14:paraId="6B6F23C8" w14:textId="0B4D596A" w:rsidR="00A11DCE" w:rsidRPr="00235405" w:rsidRDefault="00A11DCE" w:rsidP="00A11DCE">
            <w:pPr>
              <w:jc w:val="center"/>
              <w:rPr>
                <w:sz w:val="20"/>
                <w:szCs w:val="20"/>
              </w:rPr>
            </w:pPr>
            <w:proofErr w:type="spellStart"/>
            <w:r w:rsidRPr="00B57D1B">
              <w:rPr>
                <w:sz w:val="20"/>
                <w:szCs w:val="20"/>
                <w:highlight w:val="black"/>
              </w:rPr>
              <w:t>xxxxx</w:t>
            </w:r>
            <w:proofErr w:type="spellEnd"/>
          </w:p>
        </w:tc>
        <w:tc>
          <w:tcPr>
            <w:tcW w:w="1790" w:type="dxa"/>
          </w:tcPr>
          <w:p w14:paraId="21BC8EF8" w14:textId="316BE4C4" w:rsidR="00A11DCE" w:rsidRPr="00805455" w:rsidRDefault="00A11DCE" w:rsidP="00A11DCE">
            <w:pPr>
              <w:jc w:val="center"/>
              <w:rPr>
                <w:sz w:val="20"/>
                <w:szCs w:val="20"/>
              </w:rPr>
            </w:pPr>
            <w:proofErr w:type="spellStart"/>
            <w:r w:rsidRPr="00B57D1B">
              <w:rPr>
                <w:sz w:val="20"/>
                <w:szCs w:val="20"/>
                <w:highlight w:val="black"/>
              </w:rPr>
              <w:t>xxxxx</w:t>
            </w:r>
            <w:proofErr w:type="spellEnd"/>
          </w:p>
        </w:tc>
        <w:tc>
          <w:tcPr>
            <w:tcW w:w="1790" w:type="dxa"/>
          </w:tcPr>
          <w:p w14:paraId="59C5755E" w14:textId="133401F5" w:rsidR="00A11DCE" w:rsidRPr="00805455" w:rsidRDefault="00A11DCE" w:rsidP="00A11DCE">
            <w:pPr>
              <w:jc w:val="center"/>
              <w:rPr>
                <w:sz w:val="20"/>
                <w:szCs w:val="20"/>
              </w:rPr>
            </w:pPr>
            <w:proofErr w:type="spellStart"/>
            <w:r w:rsidRPr="00B57D1B">
              <w:rPr>
                <w:sz w:val="20"/>
                <w:szCs w:val="20"/>
                <w:highlight w:val="black"/>
              </w:rPr>
              <w:t>xxxxx</w:t>
            </w:r>
            <w:proofErr w:type="spellEnd"/>
          </w:p>
        </w:tc>
      </w:tr>
      <w:tr w:rsidR="00A11DCE" w:rsidRPr="00235405" w14:paraId="18B5E8F9" w14:textId="77777777" w:rsidTr="00235405">
        <w:tc>
          <w:tcPr>
            <w:tcW w:w="1789" w:type="dxa"/>
            <w:vMerge/>
          </w:tcPr>
          <w:p w14:paraId="02B701E3" w14:textId="77777777" w:rsidR="00A11DCE" w:rsidRPr="00235405" w:rsidRDefault="00A11DCE" w:rsidP="00A11DCE">
            <w:pPr>
              <w:rPr>
                <w:sz w:val="20"/>
                <w:szCs w:val="20"/>
              </w:rPr>
            </w:pPr>
          </w:p>
        </w:tc>
        <w:tc>
          <w:tcPr>
            <w:tcW w:w="1789" w:type="dxa"/>
          </w:tcPr>
          <w:p w14:paraId="41D01251" w14:textId="25413D82" w:rsidR="00A11DCE" w:rsidRPr="00235405" w:rsidRDefault="00A11DCE" w:rsidP="00A11DCE">
            <w:pPr>
              <w:rPr>
                <w:sz w:val="20"/>
                <w:szCs w:val="20"/>
              </w:rPr>
            </w:pPr>
            <w:r>
              <w:rPr>
                <w:sz w:val="20"/>
                <w:szCs w:val="20"/>
              </w:rPr>
              <w:t xml:space="preserve">Actual </w:t>
            </w:r>
          </w:p>
        </w:tc>
        <w:tc>
          <w:tcPr>
            <w:tcW w:w="1789" w:type="dxa"/>
          </w:tcPr>
          <w:p w14:paraId="665B97C0" w14:textId="540225F7" w:rsidR="00A11DCE" w:rsidRPr="00235405" w:rsidRDefault="00A11DCE" w:rsidP="00A11DCE">
            <w:pPr>
              <w:jc w:val="center"/>
              <w:rPr>
                <w:sz w:val="20"/>
                <w:szCs w:val="20"/>
              </w:rPr>
            </w:pPr>
            <w:r>
              <w:rPr>
                <w:sz w:val="20"/>
                <w:szCs w:val="20"/>
              </w:rPr>
              <w:t>2,323</w:t>
            </w:r>
          </w:p>
        </w:tc>
        <w:tc>
          <w:tcPr>
            <w:tcW w:w="1790" w:type="dxa"/>
          </w:tcPr>
          <w:p w14:paraId="62D987ED" w14:textId="5D0F7533" w:rsidR="00A11DCE" w:rsidRPr="00805455" w:rsidRDefault="00A11DCE" w:rsidP="00A11DCE">
            <w:pPr>
              <w:jc w:val="center"/>
              <w:rPr>
                <w:sz w:val="20"/>
                <w:szCs w:val="20"/>
              </w:rPr>
            </w:pPr>
            <w:r w:rsidRPr="00805455">
              <w:rPr>
                <w:sz w:val="20"/>
                <w:szCs w:val="20"/>
              </w:rPr>
              <w:t>4,421</w:t>
            </w:r>
          </w:p>
        </w:tc>
        <w:tc>
          <w:tcPr>
            <w:tcW w:w="1790" w:type="dxa"/>
          </w:tcPr>
          <w:p w14:paraId="4E406D82" w14:textId="1B54EB88" w:rsidR="00A11DCE" w:rsidRPr="00805455" w:rsidRDefault="00A11DCE" w:rsidP="00A11DCE">
            <w:pPr>
              <w:jc w:val="center"/>
              <w:rPr>
                <w:sz w:val="20"/>
                <w:szCs w:val="20"/>
              </w:rPr>
            </w:pPr>
            <w:r w:rsidRPr="00805455">
              <w:rPr>
                <w:sz w:val="20"/>
                <w:szCs w:val="20"/>
              </w:rPr>
              <w:t>2,629</w:t>
            </w:r>
          </w:p>
        </w:tc>
      </w:tr>
      <w:tr w:rsidR="00A11DCE" w:rsidRPr="00235405" w14:paraId="70570D66" w14:textId="77777777" w:rsidTr="00235405">
        <w:tc>
          <w:tcPr>
            <w:tcW w:w="1789" w:type="dxa"/>
            <w:vMerge/>
          </w:tcPr>
          <w:p w14:paraId="15B75CA5" w14:textId="77777777" w:rsidR="00A11DCE" w:rsidRPr="00235405" w:rsidRDefault="00A11DCE" w:rsidP="00A11DCE">
            <w:pPr>
              <w:rPr>
                <w:sz w:val="20"/>
                <w:szCs w:val="20"/>
              </w:rPr>
            </w:pPr>
          </w:p>
        </w:tc>
        <w:tc>
          <w:tcPr>
            <w:tcW w:w="1789" w:type="dxa"/>
          </w:tcPr>
          <w:p w14:paraId="3669E4A8" w14:textId="792F11C2" w:rsidR="00A11DCE" w:rsidRPr="00235405" w:rsidRDefault="00A11DCE" w:rsidP="00A11DCE">
            <w:pPr>
              <w:rPr>
                <w:sz w:val="20"/>
                <w:szCs w:val="20"/>
              </w:rPr>
            </w:pPr>
            <w:r>
              <w:rPr>
                <w:sz w:val="20"/>
                <w:szCs w:val="20"/>
              </w:rPr>
              <w:t xml:space="preserve">Difference </w:t>
            </w:r>
          </w:p>
        </w:tc>
        <w:tc>
          <w:tcPr>
            <w:tcW w:w="1789" w:type="dxa"/>
          </w:tcPr>
          <w:p w14:paraId="1775DC26" w14:textId="4D3BC3CF" w:rsidR="00A11DCE" w:rsidRPr="00235405" w:rsidRDefault="00A11DCE" w:rsidP="00A11DCE">
            <w:pPr>
              <w:jc w:val="center"/>
              <w:rPr>
                <w:sz w:val="20"/>
                <w:szCs w:val="20"/>
              </w:rPr>
            </w:pPr>
            <w:r w:rsidRPr="00B57D1B">
              <w:rPr>
                <w:sz w:val="20"/>
                <w:szCs w:val="20"/>
                <w:highlight w:val="black"/>
              </w:rPr>
              <w:t>xxx</w:t>
            </w:r>
          </w:p>
        </w:tc>
        <w:tc>
          <w:tcPr>
            <w:tcW w:w="1790" w:type="dxa"/>
          </w:tcPr>
          <w:p w14:paraId="1F8B4C7D" w14:textId="08D3B1B2" w:rsidR="00A11DCE" w:rsidRPr="00235405" w:rsidRDefault="00A11DCE" w:rsidP="00A11DCE">
            <w:pPr>
              <w:jc w:val="center"/>
              <w:rPr>
                <w:sz w:val="20"/>
                <w:szCs w:val="20"/>
              </w:rPr>
            </w:pPr>
            <w:r w:rsidRPr="00B57D1B">
              <w:rPr>
                <w:sz w:val="20"/>
                <w:szCs w:val="20"/>
                <w:highlight w:val="black"/>
              </w:rPr>
              <w:t>xxx</w:t>
            </w:r>
          </w:p>
        </w:tc>
        <w:tc>
          <w:tcPr>
            <w:tcW w:w="1790" w:type="dxa"/>
          </w:tcPr>
          <w:p w14:paraId="3E02111B" w14:textId="3C54B6CE" w:rsidR="00A11DCE" w:rsidRPr="00235405" w:rsidRDefault="00A11DCE" w:rsidP="00A11DCE">
            <w:pPr>
              <w:jc w:val="center"/>
              <w:rPr>
                <w:sz w:val="20"/>
                <w:szCs w:val="20"/>
              </w:rPr>
            </w:pPr>
            <w:r w:rsidRPr="00B57D1B">
              <w:rPr>
                <w:sz w:val="20"/>
                <w:szCs w:val="20"/>
                <w:highlight w:val="black"/>
              </w:rPr>
              <w:t>xxx</w:t>
            </w:r>
          </w:p>
        </w:tc>
      </w:tr>
    </w:tbl>
    <w:p w14:paraId="5BCEC453" w14:textId="30EF7651" w:rsidR="00E52426" w:rsidRDefault="006D5C42" w:rsidP="00A35800">
      <w:pPr>
        <w:rPr>
          <w:sz w:val="20"/>
        </w:rPr>
      </w:pPr>
      <w:r w:rsidRPr="006D5C42">
        <w:rPr>
          <w:sz w:val="20"/>
        </w:rPr>
        <w:t xml:space="preserve">Note: </w:t>
      </w:r>
      <w:r>
        <w:rPr>
          <w:sz w:val="20"/>
        </w:rPr>
        <w:t>Year 3 predicted numbers are for the full year, actual numbers are six months of</w:t>
      </w:r>
      <w:r w:rsidR="006908AA">
        <w:rPr>
          <w:sz w:val="20"/>
        </w:rPr>
        <w:t xml:space="preserve"> data (January 2021 to June 2021</w:t>
      </w:r>
      <w:r>
        <w:rPr>
          <w:sz w:val="20"/>
        </w:rPr>
        <w:t xml:space="preserve"> inclusive). </w:t>
      </w:r>
    </w:p>
    <w:p w14:paraId="390C032C" w14:textId="2B7B6E09" w:rsidR="00442221" w:rsidRDefault="00442221" w:rsidP="00442221">
      <w:r w:rsidRPr="00F22BB8">
        <w:t xml:space="preserve">From Table 5, actual patient and prescription figures were lower than estimated. The number of patients in the first and second year of tolvaptan listing were </w:t>
      </w:r>
      <w:r>
        <w:t xml:space="preserve">lower by </w:t>
      </w:r>
      <w:r w:rsidRPr="000D442B">
        <w:rPr>
          <w:highlight w:val="black"/>
        </w:rPr>
        <w:t>xxx</w:t>
      </w:r>
      <w:r>
        <w:t xml:space="preserve"> and </w:t>
      </w:r>
      <w:r w:rsidRPr="000D442B">
        <w:rPr>
          <w:highlight w:val="black"/>
        </w:rPr>
        <w:t>xxx</w:t>
      </w:r>
      <w:r>
        <w:t xml:space="preserve">, respectively. </w:t>
      </w:r>
    </w:p>
    <w:p w14:paraId="1CE28FDE" w14:textId="60ABABB0" w:rsidR="00442221" w:rsidRDefault="00442221" w:rsidP="00442221">
      <w:r>
        <w:t xml:space="preserve">The number of prescriptions in the first and second year of tolvaptan listing were lower by </w:t>
      </w:r>
      <w:r w:rsidRPr="000D442B">
        <w:rPr>
          <w:highlight w:val="black"/>
        </w:rPr>
        <w:t>xxx</w:t>
      </w:r>
      <w:r>
        <w:t xml:space="preserve"> and </w:t>
      </w:r>
      <w:r w:rsidRPr="000D442B">
        <w:rPr>
          <w:highlight w:val="black"/>
        </w:rPr>
        <w:t>xxx</w:t>
      </w:r>
      <w:r>
        <w:t xml:space="preserve">, respectively. </w:t>
      </w:r>
    </w:p>
    <w:p w14:paraId="74D7EA99" w14:textId="1541FCCC" w:rsidR="00442221" w:rsidRDefault="00442221" w:rsidP="00A35800">
      <w:r>
        <w:t xml:space="preserve">Overall, there was a greater decrease in the number of prescriptions compared to the number of patients predicted. </w:t>
      </w:r>
    </w:p>
    <w:p w14:paraId="7CB2CF46" w14:textId="77777777" w:rsidR="005A0D90" w:rsidRDefault="005A0D90">
      <w:pPr>
        <w:spacing w:line="276" w:lineRule="auto"/>
        <w:rPr>
          <w:rFonts w:eastAsiaTheme="majorEastAsia" w:cstheme="majorBidi"/>
          <w:b/>
          <w:bCs/>
          <w:sz w:val="32"/>
          <w:szCs w:val="32"/>
        </w:rPr>
      </w:pPr>
      <w:r>
        <w:br w:type="page"/>
      </w:r>
    </w:p>
    <w:p w14:paraId="3555DFBA" w14:textId="4321A48F" w:rsidR="00591512" w:rsidRDefault="00AB3733" w:rsidP="00F73113">
      <w:pPr>
        <w:pStyle w:val="Heading1"/>
      </w:pPr>
      <w:r>
        <w:lastRenderedPageBreak/>
        <w:t>D</w:t>
      </w:r>
      <w:r w:rsidR="007346C7" w:rsidRPr="005E22C2">
        <w:t>iscussion</w:t>
      </w:r>
    </w:p>
    <w:p w14:paraId="2FBF30B0" w14:textId="66AA1BAA" w:rsidR="00B95441" w:rsidRDefault="00EF5390" w:rsidP="005A0D90">
      <w:pPr>
        <w:spacing w:line="276" w:lineRule="auto"/>
      </w:pPr>
      <w:r>
        <w:t xml:space="preserve">Despite </w:t>
      </w:r>
      <w:r w:rsidR="005413EE">
        <w:t>the increased utilisation trend</w:t>
      </w:r>
      <w:r>
        <w:t>, o</w:t>
      </w:r>
      <w:r w:rsidR="0042092D">
        <w:t>verall u</w:t>
      </w:r>
      <w:r w:rsidR="00D55C14">
        <w:t>tilisation of tolvapta</w:t>
      </w:r>
      <w:r w:rsidR="00E43433">
        <w:t>n</w:t>
      </w:r>
      <w:r w:rsidR="007C7CD2">
        <w:t xml:space="preserve"> was lower than </w:t>
      </w:r>
      <w:r w:rsidR="00E43433">
        <w:t>predic</w:t>
      </w:r>
      <w:r w:rsidR="00EE088D">
        <w:t>ted</w:t>
      </w:r>
      <w:r w:rsidR="00721844">
        <w:t>.</w:t>
      </w:r>
      <w:r w:rsidR="00B640D1">
        <w:t xml:space="preserve"> The submission estimated ADPKD prevalence to be 365 per million based on an unpublished European systematic review.</w:t>
      </w:r>
      <w:r w:rsidR="00B640D1" w:rsidRPr="00B640D1">
        <w:rPr>
          <w:vertAlign w:val="superscript"/>
        </w:rPr>
        <w:t xml:space="preserve"> </w:t>
      </w:r>
      <w:r w:rsidR="00B640D1" w:rsidRPr="00EB5C58">
        <w:rPr>
          <w:vertAlign w:val="superscript"/>
        </w:rPr>
        <w:fldChar w:fldCharType="begin"/>
      </w:r>
      <w:r w:rsidR="00B640D1" w:rsidRPr="00EB5C58">
        <w:rPr>
          <w:vertAlign w:val="superscript"/>
        </w:rPr>
        <w:instrText xml:space="preserve"> NOTEREF _Ref79661984 \h </w:instrText>
      </w:r>
      <w:r w:rsidR="00B640D1">
        <w:rPr>
          <w:vertAlign w:val="superscript"/>
        </w:rPr>
        <w:instrText xml:space="preserve"> \* MERGEFORMAT </w:instrText>
      </w:r>
      <w:r w:rsidR="00B640D1" w:rsidRPr="00EB5C58">
        <w:rPr>
          <w:vertAlign w:val="superscript"/>
        </w:rPr>
      </w:r>
      <w:r w:rsidR="00B640D1" w:rsidRPr="00EB5C58">
        <w:rPr>
          <w:vertAlign w:val="superscript"/>
        </w:rPr>
        <w:fldChar w:fldCharType="separate"/>
      </w:r>
      <w:r w:rsidR="004740D3">
        <w:rPr>
          <w:vertAlign w:val="superscript"/>
        </w:rPr>
        <w:t>8</w:t>
      </w:r>
      <w:r w:rsidR="00B640D1" w:rsidRPr="00EB5C58">
        <w:rPr>
          <w:vertAlign w:val="superscript"/>
        </w:rPr>
        <w:fldChar w:fldCharType="end"/>
      </w:r>
      <w:r w:rsidR="00B640D1">
        <w:t xml:space="preserve"> </w:t>
      </w:r>
      <w:r w:rsidR="000C1432">
        <w:t xml:space="preserve">Since the submission, </w:t>
      </w:r>
      <w:r w:rsidR="005A0D90">
        <w:t xml:space="preserve">Australian </w:t>
      </w:r>
      <w:r w:rsidR="007C609E">
        <w:t xml:space="preserve">ADPKD </w:t>
      </w:r>
      <w:r w:rsidR="005A0D90">
        <w:t xml:space="preserve">prevalence estimates </w:t>
      </w:r>
      <w:r w:rsidR="001C03FA">
        <w:t>continue</w:t>
      </w:r>
      <w:r w:rsidR="000C1432">
        <w:t xml:space="preserve"> to be</w:t>
      </w:r>
      <w:r w:rsidR="005A0D90">
        <w:t xml:space="preserve"> limited</w:t>
      </w:r>
      <w:r w:rsidR="000C1432">
        <w:t>,</w:t>
      </w:r>
      <w:r w:rsidR="005A0D90">
        <w:t xml:space="preserve"> </w:t>
      </w:r>
      <w:r w:rsidR="00836FC2">
        <w:t>with</w:t>
      </w:r>
      <w:r w:rsidR="007C609E">
        <w:t xml:space="preserve"> </w:t>
      </w:r>
      <w:r w:rsidR="005A0D90">
        <w:t xml:space="preserve">publications </w:t>
      </w:r>
      <w:r>
        <w:t>reporting</w:t>
      </w:r>
      <w:r w:rsidR="005A0D90">
        <w:t xml:space="preserve"> </w:t>
      </w:r>
      <w:r w:rsidR="007C609E">
        <w:t xml:space="preserve">prevalence </w:t>
      </w:r>
      <w:r w:rsidR="00D22CD3">
        <w:t xml:space="preserve">of </w:t>
      </w:r>
      <w:r w:rsidR="001D2CE2">
        <w:t>1 in</w:t>
      </w:r>
      <w:r w:rsidR="005A0D90">
        <w:t xml:space="preserve"> 1,000</w:t>
      </w:r>
      <w:r w:rsidR="00F2537B">
        <w:t xml:space="preserve"> (1,000 per million</w:t>
      </w:r>
      <w:r w:rsidR="000C1432">
        <w:t>)</w:t>
      </w:r>
      <w:r w:rsidR="007C609E">
        <w:t>.</w:t>
      </w:r>
      <w:r w:rsidR="00D22CD3">
        <w:t xml:space="preserve"> </w:t>
      </w:r>
      <w:r w:rsidR="00D22CD3">
        <w:rPr>
          <w:rStyle w:val="FootnoteReference"/>
        </w:rPr>
        <w:footnoteReference w:id="11"/>
      </w:r>
      <w:r w:rsidR="00D22CD3">
        <w:rPr>
          <w:vertAlign w:val="superscript"/>
        </w:rPr>
        <w:t>,</w:t>
      </w:r>
      <w:r w:rsidR="00912A37">
        <w:rPr>
          <w:rStyle w:val="FootnoteReference"/>
        </w:rPr>
        <w:footnoteReference w:id="12"/>
      </w:r>
      <w:r w:rsidR="000C1432">
        <w:t xml:space="preserve"> </w:t>
      </w:r>
      <w:r w:rsidR="000C1AC7">
        <w:t>T</w:t>
      </w:r>
      <w:r w:rsidR="001C03FA">
        <w:t>h</w:t>
      </w:r>
      <w:r w:rsidR="00D22CD3">
        <w:t>is estimate</w:t>
      </w:r>
      <w:r w:rsidR="001C03FA">
        <w:t xml:space="preserve"> w</w:t>
      </w:r>
      <w:r w:rsidR="00EB6E1D">
        <w:t>as</w:t>
      </w:r>
      <w:r w:rsidR="001C03FA">
        <w:t xml:space="preserve"> based on a </w:t>
      </w:r>
      <w:r w:rsidR="000C1AC7">
        <w:t xml:space="preserve">study by </w:t>
      </w:r>
      <w:proofErr w:type="spellStart"/>
      <w:r w:rsidR="000C1AC7">
        <w:t>Dalgaard</w:t>
      </w:r>
      <w:proofErr w:type="spellEnd"/>
      <w:r w:rsidR="001C03FA">
        <w:t xml:space="preserve"> (1956)</w:t>
      </w:r>
      <w:r w:rsidR="000C1AC7">
        <w:rPr>
          <w:rStyle w:val="FootnoteReference"/>
        </w:rPr>
        <w:footnoteReference w:id="13"/>
      </w:r>
      <w:r w:rsidR="000C1AC7">
        <w:t xml:space="preserve"> and substantially higher than </w:t>
      </w:r>
      <w:r w:rsidR="00EB6E1D">
        <w:t xml:space="preserve">what </w:t>
      </w:r>
      <w:r w:rsidR="00AE553A">
        <w:t>was estimated in</w:t>
      </w:r>
      <w:r w:rsidR="000C1AC7">
        <w:t xml:space="preserve"> the submission.</w:t>
      </w:r>
      <w:r w:rsidR="000C1432">
        <w:t xml:space="preserve"> </w:t>
      </w:r>
      <w:r w:rsidR="00AE553A">
        <w:t xml:space="preserve">However, </w:t>
      </w:r>
      <w:proofErr w:type="spellStart"/>
      <w:r w:rsidR="00AE553A">
        <w:t>Dalgaard</w:t>
      </w:r>
      <w:proofErr w:type="spellEnd"/>
      <w:r w:rsidR="00AE553A">
        <w:t xml:space="preserve"> had</w:t>
      </w:r>
      <w:r w:rsidR="000C1AC7">
        <w:t xml:space="preserve"> </w:t>
      </w:r>
      <w:r w:rsidR="00FD3C8A">
        <w:t xml:space="preserve">estimated morbid risk, the theoretical risk of being ill from ADPKD during </w:t>
      </w:r>
      <w:r w:rsidR="000C1AC7">
        <w:t>a lif</w:t>
      </w:r>
      <w:r w:rsidR="00BA1F09">
        <w:t xml:space="preserve">etime of 80 years duration, which has been </w:t>
      </w:r>
      <w:r w:rsidR="000C1AC7">
        <w:t xml:space="preserve">incorrectly cited and </w:t>
      </w:r>
      <w:r w:rsidR="00FD3C8A">
        <w:t>misinterpreted as ADPKD prevalence.</w:t>
      </w:r>
      <w:r w:rsidR="00FD3C8A" w:rsidRPr="00196B2C">
        <w:rPr>
          <w:vertAlign w:val="superscript"/>
        </w:rPr>
        <w:fldChar w:fldCharType="begin"/>
      </w:r>
      <w:r w:rsidR="00FD3C8A" w:rsidRPr="00196B2C">
        <w:rPr>
          <w:vertAlign w:val="superscript"/>
        </w:rPr>
        <w:instrText xml:space="preserve"> NOTEREF _Ref79661984 \h </w:instrText>
      </w:r>
      <w:r w:rsidR="00FD3C8A">
        <w:rPr>
          <w:vertAlign w:val="superscript"/>
        </w:rPr>
        <w:instrText xml:space="preserve"> \* MERGEFORMAT </w:instrText>
      </w:r>
      <w:r w:rsidR="00FD3C8A" w:rsidRPr="00196B2C">
        <w:rPr>
          <w:vertAlign w:val="superscript"/>
        </w:rPr>
      </w:r>
      <w:r w:rsidR="00FD3C8A" w:rsidRPr="00196B2C">
        <w:rPr>
          <w:vertAlign w:val="superscript"/>
        </w:rPr>
        <w:fldChar w:fldCharType="separate"/>
      </w:r>
      <w:r w:rsidR="004740D3">
        <w:rPr>
          <w:vertAlign w:val="superscript"/>
        </w:rPr>
        <w:t>8</w:t>
      </w:r>
      <w:r w:rsidR="00FD3C8A" w:rsidRPr="00196B2C">
        <w:rPr>
          <w:vertAlign w:val="superscript"/>
        </w:rPr>
        <w:fldChar w:fldCharType="end"/>
      </w:r>
      <w:r w:rsidR="00FD3C8A">
        <w:rPr>
          <w:vertAlign w:val="superscript"/>
        </w:rPr>
        <w:t>,</w:t>
      </w:r>
      <w:bookmarkStart w:id="4" w:name="_Ref80088700"/>
      <w:r w:rsidR="00FD3C8A">
        <w:rPr>
          <w:rStyle w:val="FootnoteReference"/>
        </w:rPr>
        <w:footnoteReference w:id="14"/>
      </w:r>
      <w:bookmarkEnd w:id="4"/>
      <w:r w:rsidR="00B95441">
        <w:t xml:space="preserve"> </w:t>
      </w:r>
    </w:p>
    <w:p w14:paraId="5124EC54" w14:textId="01867ABD" w:rsidR="005A0D90" w:rsidRPr="00984986" w:rsidRDefault="00984986" w:rsidP="005A0D90">
      <w:pPr>
        <w:spacing w:line="276" w:lineRule="auto"/>
      </w:pPr>
      <w:r>
        <w:t>Although there</w:t>
      </w:r>
      <w:r w:rsidR="0000732D">
        <w:t xml:space="preserve"> w</w:t>
      </w:r>
      <w:r w:rsidR="003A6AB6">
        <w:t>ere</w:t>
      </w:r>
      <w:r w:rsidR="000C1432">
        <w:t xml:space="preserve"> </w:t>
      </w:r>
      <w:r w:rsidR="00642BDB">
        <w:t xml:space="preserve">limited </w:t>
      </w:r>
      <w:r w:rsidR="004D1EF8">
        <w:t>Australian</w:t>
      </w:r>
      <w:r w:rsidR="00642BDB">
        <w:t xml:space="preserve"> literature to inform</w:t>
      </w:r>
      <w:r w:rsidR="004D1EF8">
        <w:t xml:space="preserve"> ADPKD prevalence, </w:t>
      </w:r>
      <w:proofErr w:type="gramStart"/>
      <w:r w:rsidR="00642BDB">
        <w:t>a number of</w:t>
      </w:r>
      <w:proofErr w:type="gramEnd"/>
      <w:r w:rsidR="00642BDB">
        <w:t xml:space="preserve"> </w:t>
      </w:r>
      <w:r w:rsidR="00EF5390">
        <w:t xml:space="preserve">recent sources could be indicative of Australian ADPKD prevalence. </w:t>
      </w:r>
      <w:r w:rsidR="00446E3E">
        <w:t>Recent s</w:t>
      </w:r>
      <w:r w:rsidR="005A0D90">
        <w:t xml:space="preserve">ystematic reviews conducted in Europe and the United States </w:t>
      </w:r>
      <w:r w:rsidR="007C609E">
        <w:t xml:space="preserve">reported </w:t>
      </w:r>
      <w:r w:rsidR="005A0D90">
        <w:t xml:space="preserve">ADPKD prevalence </w:t>
      </w:r>
      <w:r w:rsidR="007C609E">
        <w:t>to be 2.7 per 10,000</w:t>
      </w:r>
      <w:r w:rsidR="00D54A28">
        <w:t xml:space="preserve"> (270 per million)</w:t>
      </w:r>
      <w:r w:rsidR="007C609E">
        <w:t xml:space="preserve"> </w:t>
      </w:r>
      <w:r w:rsidR="005A0D90">
        <w:t>and 4.</w:t>
      </w:r>
      <w:r w:rsidR="007C609E">
        <w:t>3 per 10,000</w:t>
      </w:r>
      <w:r w:rsidR="00D54A28">
        <w:t xml:space="preserve"> (430 per million)</w:t>
      </w:r>
      <w:r w:rsidR="005A0D90">
        <w:t>, respectively</w:t>
      </w:r>
      <w:r w:rsidR="0035428D">
        <w:t>.</w:t>
      </w:r>
      <w:r w:rsidR="008B1C11" w:rsidRPr="008B1C11">
        <w:rPr>
          <w:vertAlign w:val="superscript"/>
        </w:rPr>
        <w:fldChar w:fldCharType="begin"/>
      </w:r>
      <w:r w:rsidR="008B1C11" w:rsidRPr="008B1C11">
        <w:rPr>
          <w:vertAlign w:val="superscript"/>
        </w:rPr>
        <w:instrText xml:space="preserve"> NOTEREF _Ref80088700 \h </w:instrText>
      </w:r>
      <w:r w:rsidR="008B1C11">
        <w:rPr>
          <w:vertAlign w:val="superscript"/>
        </w:rPr>
        <w:instrText xml:space="preserve"> \* MERGEFORMAT </w:instrText>
      </w:r>
      <w:r w:rsidR="008B1C11" w:rsidRPr="008B1C11">
        <w:rPr>
          <w:vertAlign w:val="superscript"/>
        </w:rPr>
      </w:r>
      <w:r w:rsidR="008B1C11" w:rsidRPr="008B1C11">
        <w:rPr>
          <w:vertAlign w:val="superscript"/>
        </w:rPr>
        <w:fldChar w:fldCharType="separate"/>
      </w:r>
      <w:r w:rsidR="004740D3">
        <w:rPr>
          <w:vertAlign w:val="superscript"/>
        </w:rPr>
        <w:t>14</w:t>
      </w:r>
      <w:r w:rsidR="008B1C11" w:rsidRPr="008B1C11">
        <w:rPr>
          <w:vertAlign w:val="superscript"/>
        </w:rPr>
        <w:fldChar w:fldCharType="end"/>
      </w:r>
      <w:r w:rsidR="005A0D90">
        <w:rPr>
          <w:vertAlign w:val="superscript"/>
        </w:rPr>
        <w:t>,</w:t>
      </w:r>
      <w:r w:rsidR="00537F23">
        <w:rPr>
          <w:rStyle w:val="FootnoteReference"/>
        </w:rPr>
        <w:footnoteReference w:id="15"/>
      </w:r>
      <w:r w:rsidR="005A0D90" w:rsidRPr="005A0D90">
        <w:rPr>
          <w:vertAlign w:val="superscript"/>
        </w:rPr>
        <w:t xml:space="preserve"> </w:t>
      </w:r>
      <w:r w:rsidR="008F0636">
        <w:rPr>
          <w:vertAlign w:val="superscript"/>
        </w:rPr>
        <w:t xml:space="preserve"> </w:t>
      </w:r>
      <w:r w:rsidR="00337591">
        <w:t>The average (350 per million)</w:t>
      </w:r>
      <w:r>
        <w:t xml:space="preserve"> of these recent prevalence estimates is </w:t>
      </w:r>
      <w:proofErr w:type="gramStart"/>
      <w:r>
        <w:t>similar to</w:t>
      </w:r>
      <w:proofErr w:type="gramEnd"/>
      <w:r>
        <w:t xml:space="preserve"> the ADPKD prevalence used in the submission. </w:t>
      </w:r>
    </w:p>
    <w:p w14:paraId="76DFEAC4" w14:textId="0E6E6072" w:rsidR="00542E82" w:rsidRDefault="009B77E9" w:rsidP="003F79AC">
      <w:pPr>
        <w:spacing w:line="276" w:lineRule="auto"/>
      </w:pPr>
      <w:r>
        <w:t>The</w:t>
      </w:r>
      <w:r w:rsidR="008A6203">
        <w:t xml:space="preserve"> precautionary details described in the b</w:t>
      </w:r>
      <w:r>
        <w:t>oxed warning</w:t>
      </w:r>
      <w:r w:rsidR="00E40E0C">
        <w:t xml:space="preserve"> </w:t>
      </w:r>
      <w:r w:rsidR="00A25AEC">
        <w:t xml:space="preserve">could have contributed to low tolvaptan uptake. </w:t>
      </w:r>
      <w:r w:rsidR="003C7365">
        <w:t xml:space="preserve">The boxed warning states: “Tolvaptan has been associated with idiosyncratic elevations of blood alanine and aspartate aminotransferases (ALT and AST), rarely associated with concomitant elevations in bilirubin-total (BT). To help mitigate the risk of liver injury, blood injury for hepatic transaminases is required prior to initiation and </w:t>
      </w:r>
      <w:r w:rsidR="00542E82" w:rsidRPr="007E0AC0">
        <w:t>contin</w:t>
      </w:r>
      <w:r w:rsidR="00542E82">
        <w:t xml:space="preserve">ued </w:t>
      </w:r>
      <w:r w:rsidR="00542E82" w:rsidRPr="007E0AC0">
        <w:t>monthly for 18 months,</w:t>
      </w:r>
      <w:r w:rsidR="003F79AC">
        <w:t xml:space="preserve"> then every 3 months thereafter</w:t>
      </w:r>
      <w:r w:rsidR="00337591">
        <w:t>.</w:t>
      </w:r>
      <w:r w:rsidR="003C7365">
        <w:t>”</w:t>
      </w:r>
      <w:r w:rsidR="00542E82" w:rsidRPr="003F79AC">
        <w:rPr>
          <w:vertAlign w:val="superscript"/>
        </w:rPr>
        <w:fldChar w:fldCharType="begin"/>
      </w:r>
      <w:r w:rsidR="00542E82" w:rsidRPr="003F79AC">
        <w:rPr>
          <w:vertAlign w:val="superscript"/>
        </w:rPr>
        <w:instrText xml:space="preserve"> NOTEREF _Ref75964356 \h  \* MERGEFORMAT </w:instrText>
      </w:r>
      <w:r w:rsidR="00542E82" w:rsidRPr="003F79AC">
        <w:rPr>
          <w:vertAlign w:val="superscript"/>
        </w:rPr>
      </w:r>
      <w:r w:rsidR="00542E82" w:rsidRPr="003F79AC">
        <w:rPr>
          <w:vertAlign w:val="superscript"/>
        </w:rPr>
        <w:fldChar w:fldCharType="separate"/>
      </w:r>
      <w:r w:rsidR="004740D3">
        <w:rPr>
          <w:vertAlign w:val="superscript"/>
        </w:rPr>
        <w:t>7</w:t>
      </w:r>
      <w:r w:rsidR="00542E82" w:rsidRPr="003F79AC">
        <w:rPr>
          <w:vertAlign w:val="superscript"/>
        </w:rPr>
        <w:fldChar w:fldCharType="end"/>
      </w:r>
      <w:r w:rsidR="003C7365">
        <w:t xml:space="preserve"> </w:t>
      </w:r>
      <w:r w:rsidR="00542E82">
        <w:t xml:space="preserve">Although </w:t>
      </w:r>
      <w:r w:rsidR="00A25AEC">
        <w:t>this</w:t>
      </w:r>
      <w:r w:rsidR="00862648">
        <w:t xml:space="preserve"> boxed</w:t>
      </w:r>
      <w:r w:rsidR="00B45A47">
        <w:t xml:space="preserve"> warning was published </w:t>
      </w:r>
      <w:r w:rsidR="00862648">
        <w:t>in the Product I</w:t>
      </w:r>
      <w:r w:rsidR="00542E82">
        <w:t>nformation at the time of submission, the mandatory requirements for prescriber education and certification on the risk of liver injury and the importance of liver monitoring through the sponsor’s IMADJIN® program was not desc</w:t>
      </w:r>
      <w:r w:rsidR="00862648">
        <w:t xml:space="preserve">ribed at the time of submission. </w:t>
      </w:r>
    </w:p>
    <w:p w14:paraId="53A6C2EF" w14:textId="1CD84C00" w:rsidR="00CE424C" w:rsidRDefault="00936E0F" w:rsidP="003F79AC">
      <w:pPr>
        <w:spacing w:line="276" w:lineRule="auto"/>
      </w:pPr>
      <w:r>
        <w:lastRenderedPageBreak/>
        <w:t>Additionally, t</w:t>
      </w:r>
      <w:r w:rsidR="00104B3B">
        <w:t xml:space="preserve">he requirements for patients to </w:t>
      </w:r>
      <w:r>
        <w:t xml:space="preserve">commit to </w:t>
      </w:r>
      <w:r w:rsidR="00104B3B">
        <w:t xml:space="preserve">lifestyle modifications </w:t>
      </w:r>
      <w:r w:rsidR="008766B6">
        <w:t>whilst receiving</w:t>
      </w:r>
      <w:r w:rsidR="00104B3B">
        <w:t xml:space="preserve"> </w:t>
      </w:r>
      <w:r w:rsidR="00890C14">
        <w:t xml:space="preserve">tolvaptan </w:t>
      </w:r>
      <w:r w:rsidR="00104B3B">
        <w:t xml:space="preserve">treatment </w:t>
      </w:r>
      <w:r w:rsidR="00E57CA8">
        <w:t xml:space="preserve">could have </w:t>
      </w:r>
      <w:r w:rsidR="008A6203">
        <w:t xml:space="preserve">further </w:t>
      </w:r>
      <w:r w:rsidR="00E57CA8">
        <w:t>contributed to its low uptake</w:t>
      </w:r>
      <w:r w:rsidR="007F34E4">
        <w:t>.</w:t>
      </w:r>
      <w:bookmarkStart w:id="5" w:name="_Ref80964734"/>
      <w:r w:rsidR="00890C14">
        <w:rPr>
          <w:rStyle w:val="FootnoteReference"/>
        </w:rPr>
        <w:footnoteReference w:id="16"/>
      </w:r>
      <w:bookmarkEnd w:id="5"/>
      <w:r w:rsidR="007F34E4">
        <w:t xml:space="preserve"> </w:t>
      </w:r>
      <w:r w:rsidR="00E40E0C">
        <w:t xml:space="preserve"> </w:t>
      </w:r>
      <w:r w:rsidR="00B95441">
        <w:t xml:space="preserve"> </w:t>
      </w:r>
      <w:r w:rsidR="00542E82">
        <w:t>T</w:t>
      </w:r>
      <w:r w:rsidR="00EE088D">
        <w:t>olvaptan is administered twi</w:t>
      </w:r>
      <w:r w:rsidR="007847EC">
        <w:t>ce daily in split-</w:t>
      </w:r>
      <w:r w:rsidR="00435BAE">
        <w:t>dose regimens</w:t>
      </w:r>
      <w:r w:rsidR="00542E82">
        <w:t xml:space="preserve"> following a stringent dosing </w:t>
      </w:r>
      <w:r w:rsidR="00A10952">
        <w:t xml:space="preserve">and meal </w:t>
      </w:r>
      <w:r w:rsidR="00B95441">
        <w:t>schedule</w:t>
      </w:r>
      <w:r>
        <w:t>, requir</w:t>
      </w:r>
      <w:r w:rsidR="00DF04B7">
        <w:t>ing</w:t>
      </w:r>
      <w:r>
        <w:t xml:space="preserve"> patients to plan accordingly to ensure adequate dosing</w:t>
      </w:r>
      <w:r w:rsidR="00B95441">
        <w:t xml:space="preserve">. </w:t>
      </w:r>
      <w:r>
        <w:t xml:space="preserve">Furthermore, tolvaptan is associated with </w:t>
      </w:r>
      <w:proofErr w:type="gramStart"/>
      <w:r>
        <w:t>a number of</w:t>
      </w:r>
      <w:proofErr w:type="gramEnd"/>
      <w:r>
        <w:t xml:space="preserve"> </w:t>
      </w:r>
      <w:r w:rsidR="00DF04B7">
        <w:t>side effects</w:t>
      </w:r>
      <w:r>
        <w:t xml:space="preserve">. </w:t>
      </w:r>
      <w:r w:rsidR="001A1F6B">
        <w:t>A</w:t>
      </w:r>
      <w:r w:rsidR="007B644B">
        <w:t>s</w:t>
      </w:r>
      <w:r w:rsidR="00CE424C">
        <w:t xml:space="preserve"> tolvaptan increases urine production, patients are required to drink plenty of water throughout the day and before bedtime regardless </w:t>
      </w:r>
      <w:r w:rsidR="00587FE1">
        <w:t xml:space="preserve">of perceived </w:t>
      </w:r>
      <w:r w:rsidR="00587FE1" w:rsidRPr="001A1F6B">
        <w:t>thirst levels.</w:t>
      </w:r>
      <w:r w:rsidR="00DF5A24" w:rsidRPr="00DF5A24">
        <w:t xml:space="preserve"> </w:t>
      </w:r>
      <w:r w:rsidR="00DF5A24">
        <w:t>Serious side effects requiring urgent medical attention include difficulty urinating, allergic reaction symptoms (such as face swelling and breathlessness) and signs of electrolytes imbalances (such as dizziness and seizures)</w:t>
      </w:r>
      <w:r w:rsidR="00DF04B7" w:rsidRPr="001A1F6B">
        <w:fldChar w:fldCharType="begin"/>
      </w:r>
      <w:r w:rsidR="00DF04B7" w:rsidRPr="001A1F6B">
        <w:rPr>
          <w:rStyle w:val="FootnoteReference"/>
        </w:rPr>
        <w:instrText xml:space="preserve"> NOTEREF _Ref80964734 \h </w:instrText>
      </w:r>
      <w:r w:rsidR="001B34F0" w:rsidRPr="001A1F6B">
        <w:instrText xml:space="preserve"> \* MERGEFORMAT </w:instrText>
      </w:r>
      <w:r w:rsidR="00DF04B7" w:rsidRPr="001A1F6B">
        <w:fldChar w:fldCharType="separate"/>
      </w:r>
      <w:r w:rsidR="004740D3">
        <w:rPr>
          <w:rStyle w:val="FootnoteReference"/>
        </w:rPr>
        <w:t>16</w:t>
      </w:r>
      <w:r w:rsidR="00DF04B7" w:rsidRPr="001A1F6B">
        <w:fldChar w:fldCharType="end"/>
      </w:r>
      <w:r w:rsidR="00DF04B7" w:rsidRPr="001A1F6B">
        <w:rPr>
          <w:vertAlign w:val="superscript"/>
        </w:rPr>
        <w:t>,</w:t>
      </w:r>
      <w:r w:rsidR="00E57CA8" w:rsidRPr="001A1F6B">
        <w:rPr>
          <w:rStyle w:val="FootnoteReference"/>
        </w:rPr>
        <w:footnoteReference w:id="17"/>
      </w:r>
      <w:r w:rsidR="003A7D8B" w:rsidRPr="001A1F6B">
        <w:rPr>
          <w:rStyle w:val="FootnoteReference"/>
        </w:rPr>
        <w:t xml:space="preserve"> </w:t>
      </w:r>
      <w:r w:rsidR="003A7D8B" w:rsidRPr="001A1F6B">
        <w:t>Additional</w:t>
      </w:r>
      <w:r w:rsidR="003A7D8B">
        <w:t xml:space="preserve"> measures are required for long term treatment including regular monitoring of</w:t>
      </w:r>
      <w:r w:rsidR="00A25AEC">
        <w:t xml:space="preserve"> electrolytes</w:t>
      </w:r>
      <w:r w:rsidR="00CE424C">
        <w:t>.</w:t>
      </w:r>
      <w:r w:rsidR="0009538B" w:rsidRPr="0009538B">
        <w:rPr>
          <w:vertAlign w:val="superscript"/>
        </w:rPr>
        <w:fldChar w:fldCharType="begin"/>
      </w:r>
      <w:r w:rsidR="0009538B" w:rsidRPr="0009538B">
        <w:rPr>
          <w:vertAlign w:val="superscript"/>
        </w:rPr>
        <w:instrText xml:space="preserve"> NOTEREF _Ref75964356 \h </w:instrText>
      </w:r>
      <w:r w:rsidR="0009538B">
        <w:rPr>
          <w:vertAlign w:val="superscript"/>
        </w:rPr>
        <w:instrText xml:space="preserve"> \* MERGEFORMAT </w:instrText>
      </w:r>
      <w:r w:rsidR="0009538B" w:rsidRPr="0009538B">
        <w:rPr>
          <w:vertAlign w:val="superscript"/>
        </w:rPr>
      </w:r>
      <w:r w:rsidR="0009538B" w:rsidRPr="0009538B">
        <w:rPr>
          <w:vertAlign w:val="superscript"/>
        </w:rPr>
        <w:fldChar w:fldCharType="separate"/>
      </w:r>
      <w:r w:rsidR="004740D3">
        <w:rPr>
          <w:vertAlign w:val="superscript"/>
        </w:rPr>
        <w:t>7</w:t>
      </w:r>
      <w:r w:rsidR="0009538B" w:rsidRPr="0009538B">
        <w:rPr>
          <w:vertAlign w:val="superscript"/>
        </w:rPr>
        <w:fldChar w:fldCharType="end"/>
      </w:r>
      <w:r w:rsidR="00B95441">
        <w:t xml:space="preserve"> </w:t>
      </w:r>
      <w:r w:rsidR="00542E82">
        <w:t xml:space="preserve"> </w:t>
      </w:r>
    </w:p>
    <w:p w14:paraId="577D0B83" w14:textId="0F1E5E12" w:rsidR="00EE088D" w:rsidRDefault="00E56E61" w:rsidP="00EE088D">
      <w:pPr>
        <w:spacing w:line="276" w:lineRule="auto"/>
      </w:pPr>
      <w:r>
        <w:t>Despite n</w:t>
      </w:r>
      <w:r w:rsidR="00EE088D">
        <w:t xml:space="preserve">ew </w:t>
      </w:r>
      <w:r>
        <w:t>single dose packs</w:t>
      </w:r>
      <w:r w:rsidR="00EE088D">
        <w:t xml:space="preserve"> of 15 mg and 30 mg </w:t>
      </w:r>
      <w:r>
        <w:t xml:space="preserve">being </w:t>
      </w:r>
      <w:r w:rsidR="00EE088D">
        <w:t xml:space="preserve">PBS listed </w:t>
      </w:r>
      <w:r w:rsidR="00721844">
        <w:t xml:space="preserve">on 1 </w:t>
      </w:r>
      <w:r w:rsidR="00EE088D">
        <w:t xml:space="preserve">June 2021, </w:t>
      </w:r>
      <w:r w:rsidR="00D62C6A">
        <w:t xml:space="preserve">they </w:t>
      </w:r>
      <w:r w:rsidR="00721844">
        <w:t xml:space="preserve">would </w:t>
      </w:r>
      <w:r w:rsidR="00EE088D">
        <w:t>unlikely increase</w:t>
      </w:r>
      <w:r w:rsidR="00D62C6A">
        <w:t xml:space="preserve"> </w:t>
      </w:r>
      <w:r>
        <w:t>future tolvaptan utilisation</w:t>
      </w:r>
      <w:r w:rsidR="00EE088D">
        <w:t>.</w:t>
      </w:r>
      <w:r w:rsidR="00D62C6A">
        <w:t xml:space="preserve"> </w:t>
      </w:r>
      <w:r w:rsidR="00721844">
        <w:t>Based on European marketing data, t</w:t>
      </w:r>
      <w:r w:rsidR="00EE088D">
        <w:t xml:space="preserve">he submission estimated </w:t>
      </w:r>
      <w:r w:rsidR="006D74F4">
        <w:t>single dose</w:t>
      </w:r>
      <w:r w:rsidR="00E55ED9">
        <w:t xml:space="preserve">s </w:t>
      </w:r>
      <w:r w:rsidR="006D74F4">
        <w:t xml:space="preserve">would account for </w:t>
      </w:r>
      <w:r w:rsidR="005D48C4">
        <w:t xml:space="preserve">approximately 1 to </w:t>
      </w:r>
      <w:r w:rsidR="00EE088D">
        <w:t>5% of total</w:t>
      </w:r>
      <w:r w:rsidR="00721844">
        <w:t xml:space="preserve"> utilisation</w:t>
      </w:r>
      <w:r w:rsidR="00EE088D">
        <w:t>. The single dose packs were anticipated to be used by patients who require a reduced dose if concomitantly taking medicines that inh</w:t>
      </w:r>
      <w:r w:rsidR="00721844">
        <w:t>ibit CYP3A liver enzyme</w:t>
      </w:r>
      <w:r w:rsidR="00A43991">
        <w:t>s</w:t>
      </w:r>
      <w:r w:rsidR="00721844">
        <w:t xml:space="preserve"> and in patients who require a </w:t>
      </w:r>
      <w:r w:rsidR="00EE088D">
        <w:t xml:space="preserve">temporary dose reduction.  </w:t>
      </w:r>
    </w:p>
    <w:p w14:paraId="6A59FD9B" w14:textId="77777777" w:rsidR="00BA7B64" w:rsidRDefault="00BA7B64" w:rsidP="00BA7B64">
      <w:pPr>
        <w:pStyle w:val="Heading1"/>
      </w:pPr>
      <w:r>
        <w:t>DUSC consideration</w:t>
      </w:r>
    </w:p>
    <w:p w14:paraId="5F1F3F34" w14:textId="11E3C041" w:rsidR="00BA7B64" w:rsidRPr="00FD1352" w:rsidRDefault="00BA7B64" w:rsidP="00BA7B64">
      <w:pPr>
        <w:rPr>
          <w:rFonts w:cstheme="minorHAnsi"/>
        </w:rPr>
      </w:pPr>
      <w:r w:rsidRPr="00FD1352">
        <w:t xml:space="preserve">DUSC considered the boxed warning, mandatory prescriber education, lifestyle modifications and the treatment associated side effects as possible reasons for low tolvaptan utilisation. </w:t>
      </w:r>
      <w:r w:rsidRPr="00FD1352">
        <w:rPr>
          <w:rFonts w:cstheme="minorHAnsi"/>
        </w:rPr>
        <w:t xml:space="preserve">DUSC noted that clinical input was sought from nephrologists to explore possible reasons for low tolvaptan utilisation. </w:t>
      </w:r>
    </w:p>
    <w:p w14:paraId="4CC889FA" w14:textId="77777777" w:rsidR="00BA7B64" w:rsidRPr="00FD1352" w:rsidRDefault="00BA7B64" w:rsidP="00BA7B64">
      <w:pPr>
        <w:rPr>
          <w:rFonts w:cstheme="minorHAnsi"/>
        </w:rPr>
      </w:pPr>
      <w:r w:rsidRPr="00FD1352">
        <w:rPr>
          <w:rFonts w:cstheme="minorHAnsi"/>
        </w:rPr>
        <w:t>DUSC noted the restriction requires patients to have rapidly progressing disease (defined as a decline in EGFR of greater than or equal to 5 ml/min/1.73 m</w:t>
      </w:r>
      <w:r w:rsidRPr="00FD1352">
        <w:rPr>
          <w:rFonts w:cstheme="minorHAnsi"/>
          <w:vertAlign w:val="superscript"/>
        </w:rPr>
        <w:t>2</w:t>
      </w:r>
      <w:r w:rsidRPr="00FD1352">
        <w:rPr>
          <w:rFonts w:cstheme="minorHAnsi"/>
        </w:rPr>
        <w:t xml:space="preserve"> within one year or an average decline in EGFR of greater than or equal </w:t>
      </w:r>
      <w:r w:rsidRPr="00FD1352">
        <w:t>to 2.5ml/min/1.73m</w:t>
      </w:r>
      <w:r w:rsidRPr="00FD1352">
        <w:rPr>
          <w:vertAlign w:val="superscript"/>
        </w:rPr>
        <w:t>2</w:t>
      </w:r>
      <w:r w:rsidRPr="00FD1352">
        <w:t xml:space="preserve"> per year over a </w:t>
      </w:r>
      <w:proofErr w:type="gramStart"/>
      <w:r w:rsidRPr="00FD1352">
        <w:t>five year</w:t>
      </w:r>
      <w:proofErr w:type="gramEnd"/>
      <w:r w:rsidRPr="00FD1352">
        <w:t xml:space="preserve"> period). </w:t>
      </w:r>
      <w:r w:rsidRPr="00FD1352">
        <w:rPr>
          <w:rFonts w:cstheme="minorHAnsi"/>
        </w:rPr>
        <w:t xml:space="preserve">Furthermore, DUSC noted the restriction change in April 2020, where the initial treatment phase was changed from Authority Required (Written) to Authority Required (Telephone/Electronic). DUSC considered clinical input which described many ADPKD patients were not eligible as they had stable renal function and did not have a decline in eGFR. However, DUSC considered that the eligibility criteria should remain as the clinical benefit of tolvaptan treatment for these patients is unclear. Further clinical input considered the burden of the previous initial </w:t>
      </w:r>
      <w:proofErr w:type="gramStart"/>
      <w:r w:rsidRPr="00FD1352">
        <w:rPr>
          <w:rFonts w:cstheme="minorHAnsi"/>
        </w:rPr>
        <w:t>paper based</w:t>
      </w:r>
      <w:proofErr w:type="gramEnd"/>
      <w:r w:rsidRPr="00FD1352">
        <w:rPr>
          <w:rFonts w:cstheme="minorHAnsi"/>
        </w:rPr>
        <w:t xml:space="preserve"> authorisation process may have contributed to low utilisation.  </w:t>
      </w:r>
    </w:p>
    <w:p w14:paraId="44621EBA" w14:textId="77777777" w:rsidR="00BA7B64" w:rsidRPr="00FD1352" w:rsidRDefault="00BA7B64" w:rsidP="00BA7B64">
      <w:pPr>
        <w:rPr>
          <w:rFonts w:cstheme="minorHAnsi"/>
        </w:rPr>
      </w:pPr>
      <w:r w:rsidRPr="00FD1352">
        <w:rPr>
          <w:rFonts w:cstheme="minorHAnsi"/>
        </w:rPr>
        <w:lastRenderedPageBreak/>
        <w:t xml:space="preserve">DUSC noted tolvaptan is taken in split doses of 45 mg + 15 mg, 60 mg + 30 mg or 90 mg + 30 mg. The TGA Product Information describes the up-titration process where patients are recommended to be maintained on the highest tolerable dose. DUSC noted the most common dosing regimen were patients only supplied the lowest split dose of 45 mg + 15 mg tablets. DUSC considered clinician input which described the urine osmolality goal of &lt;200 </w:t>
      </w:r>
      <w:proofErr w:type="spellStart"/>
      <w:r w:rsidRPr="00FD1352">
        <w:rPr>
          <w:rFonts w:cstheme="minorHAnsi"/>
        </w:rPr>
        <w:t>mOsm</w:t>
      </w:r>
      <w:proofErr w:type="spellEnd"/>
      <w:r w:rsidRPr="00FD1352">
        <w:rPr>
          <w:rFonts w:cstheme="minorHAnsi"/>
        </w:rPr>
        <w:t xml:space="preserve">/L could be achieved with the lowest tolvaptan dose in conjunction with increased fluid intake. </w:t>
      </w:r>
    </w:p>
    <w:p w14:paraId="0341966C" w14:textId="77777777" w:rsidR="00BA7B64" w:rsidRPr="00FD1352" w:rsidRDefault="00BA7B64" w:rsidP="00BA7B64">
      <w:pPr>
        <w:rPr>
          <w:rFonts w:cstheme="minorHAnsi"/>
        </w:rPr>
      </w:pPr>
      <w:r w:rsidRPr="00FD1352">
        <w:rPr>
          <w:rFonts w:cstheme="minorHAnsi"/>
        </w:rPr>
        <w:t>DUSC noted as data were too immature to analyse the time on tolvaptan treatment, the median treatment duration was not reached by the analysis end date 30 June 2021. DUSC considered clinician input which described that approximately 22% of patients who initiate tolvaptan treatment stop for a variety of reasons including hepatic adverse events (abnormal alanine aminotransferase [ALT], aspartate aminotransferase [AST] and/or bilirubin), aquaretic tolerability, disease progression and acute renal impairment.</w:t>
      </w:r>
      <w:r w:rsidRPr="00FD1352">
        <w:rPr>
          <w:rStyle w:val="FootnoteReference"/>
          <w:rFonts w:cstheme="minorHAnsi"/>
        </w:rPr>
        <w:footnoteReference w:id="18"/>
      </w:r>
      <w:r w:rsidRPr="00FD1352">
        <w:rPr>
          <w:rFonts w:cstheme="minorHAnsi"/>
        </w:rPr>
        <w:t xml:space="preserve"> </w:t>
      </w:r>
    </w:p>
    <w:p w14:paraId="06346057" w14:textId="77777777" w:rsidR="00BA7B64" w:rsidRPr="00FD1352" w:rsidRDefault="00BA7B64" w:rsidP="00BA7B64">
      <w:pPr>
        <w:rPr>
          <w:rFonts w:cstheme="minorHAnsi"/>
        </w:rPr>
      </w:pPr>
      <w:r w:rsidRPr="00FD1352">
        <w:rPr>
          <w:rFonts w:cstheme="minorHAnsi"/>
        </w:rPr>
        <w:t xml:space="preserve">DUSC noted the requirements for patients to commit to lifestyle modifications whilst receiving tolvaptan treatment. Tolvaptan is administered twice daily in split-dose regimens following a stringent dosing and meal schedule. Furthermore, tolvaptan is associated with </w:t>
      </w:r>
      <w:proofErr w:type="gramStart"/>
      <w:r w:rsidRPr="00FD1352">
        <w:rPr>
          <w:rFonts w:cstheme="minorHAnsi"/>
        </w:rPr>
        <w:t>a number of</w:t>
      </w:r>
      <w:proofErr w:type="gramEnd"/>
      <w:r w:rsidRPr="00FD1352">
        <w:rPr>
          <w:rFonts w:cstheme="minorHAnsi"/>
        </w:rPr>
        <w:t xml:space="preserve"> side effects such as increased urine production, and as such patients are required to increase fluid intake. There can be serious side effects requiring urgent medical attention including difficulty urinating, allergic reaction symptoms (such as face swelling and breathlessness) and signs of electrolytes imbalances (such as dizziness and seizures). There are also additional measures required for long term treatment including regular monitoring of electrolytes. DUSC considered clinical input which described patient’s reluctance to initiate treatment was due to polyuria, potential liver toxicity and the requirement for monthly liver function tests. Further clinical input described Stage 1 and 2 ADPKD patients were often reluctant to initiate treatment due to the rare liver associated side effects.  </w:t>
      </w:r>
    </w:p>
    <w:p w14:paraId="22609871" w14:textId="77777777" w:rsidR="00BA7B64" w:rsidRPr="00FD1352" w:rsidRDefault="00BA7B64" w:rsidP="00BA7B64">
      <w:pPr>
        <w:rPr>
          <w:rFonts w:cstheme="minorHAnsi"/>
        </w:rPr>
      </w:pPr>
      <w:r w:rsidRPr="00FD1352">
        <w:rPr>
          <w:rFonts w:cstheme="minorHAnsi"/>
        </w:rPr>
        <w:t xml:space="preserve">DUSC considered clinical input on other reasons that could have contributed to low utilisation of tolvaptan. This included: </w:t>
      </w:r>
    </w:p>
    <w:p w14:paraId="6EC4DF4F" w14:textId="77777777" w:rsidR="00BA7B64" w:rsidRPr="00FD1352" w:rsidRDefault="00BA7B64" w:rsidP="00BA7B64">
      <w:pPr>
        <w:pStyle w:val="ListParagraph"/>
        <w:numPr>
          <w:ilvl w:val="0"/>
          <w:numId w:val="42"/>
        </w:numPr>
        <w:rPr>
          <w:rFonts w:cstheme="minorHAnsi"/>
        </w:rPr>
      </w:pPr>
      <w:r w:rsidRPr="00FD1352">
        <w:rPr>
          <w:rFonts w:cstheme="minorHAnsi"/>
        </w:rPr>
        <w:t xml:space="preserve">ADPKD can be managed through other factors such as maintaining blood pressure, hydration, smoking cessation. During the early stages of the disease, increased fluid intake is sufficient to manage the condition. </w:t>
      </w:r>
    </w:p>
    <w:p w14:paraId="11B7DA77" w14:textId="77777777" w:rsidR="00BA7B64" w:rsidRPr="00FD1352" w:rsidRDefault="00BA7B64" w:rsidP="00BA7B64">
      <w:pPr>
        <w:pStyle w:val="ListParagraph"/>
        <w:numPr>
          <w:ilvl w:val="0"/>
          <w:numId w:val="42"/>
        </w:numPr>
        <w:rPr>
          <w:rFonts w:cstheme="minorHAnsi"/>
        </w:rPr>
      </w:pPr>
      <w:r w:rsidRPr="00FD1352">
        <w:rPr>
          <w:rFonts w:cstheme="minorHAnsi"/>
        </w:rPr>
        <w:t>Therapeutic inertia.</w:t>
      </w:r>
    </w:p>
    <w:p w14:paraId="5544D3BB" w14:textId="77777777" w:rsidR="00BA7B64" w:rsidRPr="00FD1352" w:rsidRDefault="00BA7B64" w:rsidP="00BA7B64">
      <w:pPr>
        <w:pStyle w:val="ListParagraph"/>
        <w:numPr>
          <w:ilvl w:val="0"/>
          <w:numId w:val="42"/>
        </w:numPr>
        <w:rPr>
          <w:rFonts w:cstheme="minorHAnsi"/>
        </w:rPr>
      </w:pPr>
      <w:r w:rsidRPr="00FD1352">
        <w:rPr>
          <w:rFonts w:cstheme="minorHAnsi"/>
        </w:rPr>
        <w:t xml:space="preserve">Prescriber reluctance due to the lack of data regarding the </w:t>
      </w:r>
      <w:proofErr w:type="gramStart"/>
      <w:r w:rsidRPr="00FD1352">
        <w:rPr>
          <w:rFonts w:cstheme="minorHAnsi"/>
        </w:rPr>
        <w:t>long term</w:t>
      </w:r>
      <w:proofErr w:type="gramEnd"/>
      <w:r w:rsidRPr="00FD1352">
        <w:rPr>
          <w:rFonts w:cstheme="minorHAnsi"/>
        </w:rPr>
        <w:t xml:space="preserve"> benefits of treatment.</w:t>
      </w:r>
    </w:p>
    <w:p w14:paraId="4C7B983B" w14:textId="77777777" w:rsidR="00BA7B64" w:rsidRPr="00FD1352" w:rsidRDefault="00BA7B64" w:rsidP="00BA7B64">
      <w:pPr>
        <w:rPr>
          <w:rFonts w:cstheme="minorHAnsi"/>
        </w:rPr>
      </w:pPr>
      <w:r>
        <w:rPr>
          <w:rFonts w:cstheme="minorHAnsi"/>
        </w:rPr>
        <w:t>DUSC noted the Pre-Sub-C</w:t>
      </w:r>
      <w:r w:rsidRPr="00FD1352">
        <w:rPr>
          <w:rFonts w:cstheme="minorHAnsi"/>
        </w:rPr>
        <w:t>ommittee Response described the, “need to recognise the importance of making such medication widely available to Australian patients who otherwise would have no other disease modifying treatment with proven efficacy.”</w:t>
      </w:r>
    </w:p>
    <w:p w14:paraId="0770B724" w14:textId="77777777" w:rsidR="00BA7B64" w:rsidRDefault="00BA7B64" w:rsidP="00BA7B64">
      <w:pPr>
        <w:pStyle w:val="Heading1"/>
      </w:pPr>
      <w:r>
        <w:lastRenderedPageBreak/>
        <w:t>DUSC actions</w:t>
      </w:r>
    </w:p>
    <w:p w14:paraId="25ED4F09" w14:textId="77777777" w:rsidR="00BA7B64" w:rsidRPr="00124192" w:rsidRDefault="00BA7B64" w:rsidP="00BA7B64">
      <w:r w:rsidRPr="00124192">
        <w:t xml:space="preserve">DUSC requested that the report be provided to the PBAC for consideration. </w:t>
      </w:r>
    </w:p>
    <w:p w14:paraId="39638ECD" w14:textId="77777777" w:rsidR="00BA7B64" w:rsidRDefault="00BA7B64" w:rsidP="00BA7B64">
      <w:pPr>
        <w:pStyle w:val="Heading1"/>
      </w:pPr>
      <w:r w:rsidRPr="0092516A">
        <w:t>Context for analysis</w:t>
      </w:r>
    </w:p>
    <w:p w14:paraId="3B6A149B" w14:textId="77777777" w:rsidR="00BA7B64" w:rsidRDefault="00BA7B64" w:rsidP="00BA7B64">
      <w:r>
        <w:t>The DUSC is a Sub Committee of the Pharmaceutical Benefits Advisory Committee (PBAC). The DUSC assesses estimates on projected usage and financial cost of medicines.</w:t>
      </w:r>
    </w:p>
    <w:p w14:paraId="6FA558BF" w14:textId="77777777" w:rsidR="00BA7B64" w:rsidRDefault="00BA7B64" w:rsidP="00BA7B64">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354A7A71" w14:textId="77777777" w:rsidR="00BA7B64" w:rsidRDefault="00BA7B64" w:rsidP="00BA7B64">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05481FFD" w14:textId="77777777" w:rsidR="00BA7B64" w:rsidRDefault="00BA7B64" w:rsidP="00BA7B64">
      <w:r>
        <w:t>The utilisation analysis report was provided to the pharmaceutical sponsors of each drug and comments on the report were provided to DUSC prior to its consideration of the analysis.</w:t>
      </w:r>
    </w:p>
    <w:p w14:paraId="3AFFE5B5" w14:textId="77777777" w:rsidR="00BA7B64" w:rsidRDefault="00BA7B64" w:rsidP="00BA7B64">
      <w:pPr>
        <w:pStyle w:val="Heading1"/>
      </w:pPr>
      <w:r>
        <w:t>Sponsor</w:t>
      </w:r>
      <w:r w:rsidRPr="0092516A">
        <w:t>s</w:t>
      </w:r>
      <w:r>
        <w:t>’</w:t>
      </w:r>
      <w:r w:rsidRPr="0092516A">
        <w:t xml:space="preserve"> comments</w:t>
      </w:r>
    </w:p>
    <w:p w14:paraId="7F47C81E" w14:textId="1ACDA7C3" w:rsidR="00BA7B64" w:rsidRDefault="00BA7B64" w:rsidP="00BA7B64">
      <w:r>
        <w:t xml:space="preserve">Otsuka Australia Pharmaceutical Pty. Ltd: </w:t>
      </w:r>
      <w:r w:rsidR="00A11DCE">
        <w:t xml:space="preserve">The sponsor has no comment. </w:t>
      </w:r>
    </w:p>
    <w:p w14:paraId="7FC92FD6" w14:textId="77777777" w:rsidR="00BA7B64" w:rsidRDefault="00BA7B64" w:rsidP="00BA7B64">
      <w:pPr>
        <w:pStyle w:val="Heading1"/>
      </w:pPr>
      <w:r w:rsidRPr="00A4020E">
        <w:t>Disclaimer</w:t>
      </w:r>
    </w:p>
    <w:p w14:paraId="643D33EE" w14:textId="77777777" w:rsidR="00BA7B64" w:rsidRDefault="00BA7B64" w:rsidP="00BA7B64">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1AFE0FCC" w14:textId="77777777" w:rsidR="00BA7B64" w:rsidRDefault="00BA7B64" w:rsidP="00BA7B64">
      <w:r>
        <w:t>The Department of Health (</w:t>
      </w:r>
      <w:proofErr w:type="spellStart"/>
      <w:r>
        <w:t>DoH</w:t>
      </w:r>
      <w:proofErr w:type="spellEnd"/>
      <w:r>
        <w:t xml:space="preserve">) has made all reasonable efforts to ensure that information provided in this report is accurate. The information provided in this report was </w:t>
      </w:r>
      <w:proofErr w:type="gramStart"/>
      <w:r>
        <w:t>up-to-date</w:t>
      </w:r>
      <w:proofErr w:type="gramEnd"/>
      <w:r>
        <w:t xml:space="preserve"> when it was considered by the Drug Utilisation Sub-committee of the Pharmaceutical Benefits Advisory Committee.  The context for that information may have changed since publication.</w:t>
      </w:r>
    </w:p>
    <w:p w14:paraId="1FB0D2E3" w14:textId="77777777" w:rsidR="00BA7B64" w:rsidRDefault="00BA7B64" w:rsidP="00BA7B64">
      <w:r>
        <w:t xml:space="preserve">To the extent provided by law, </w:t>
      </w:r>
      <w:proofErr w:type="spellStart"/>
      <w:proofErr w:type="gramStart"/>
      <w:r>
        <w:t>DoH</w:t>
      </w:r>
      <w:proofErr w:type="spellEnd"/>
      <w:proofErr w:type="gramEnd"/>
      <w:r>
        <w:t xml:space="preserve"> makes no warranties or representations as to accuracy or completeness of information contained in this report. </w:t>
      </w:r>
    </w:p>
    <w:p w14:paraId="5D9716C5" w14:textId="77777777" w:rsidR="00BA7B64" w:rsidRDefault="00BA7B64" w:rsidP="00BA7B64">
      <w:r>
        <w:lastRenderedPageBreak/>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w:t>
      </w:r>
      <w:proofErr w:type="gramStart"/>
      <w:r>
        <w:t>third party</w:t>
      </w:r>
      <w:proofErr w:type="gramEnd"/>
      <w:r>
        <w:t xml:space="preserve"> website referred to in this report.</w:t>
      </w:r>
    </w:p>
    <w:p w14:paraId="31D9BD28" w14:textId="77777777" w:rsidR="005C51F9" w:rsidRDefault="005C51F9">
      <w:pPr>
        <w:spacing w:line="276" w:lineRule="auto"/>
        <w:rPr>
          <w:rFonts w:eastAsiaTheme="majorEastAsia" w:cstheme="majorBidi"/>
          <w:b/>
          <w:bCs/>
          <w:sz w:val="32"/>
          <w:szCs w:val="32"/>
        </w:rPr>
      </w:pPr>
      <w:r>
        <w:br w:type="page"/>
      </w:r>
    </w:p>
    <w:p w14:paraId="314EA6A2" w14:textId="38A5206D" w:rsidR="00633A4B" w:rsidRPr="001815A3" w:rsidRDefault="004B306F" w:rsidP="001815A3">
      <w:pPr>
        <w:pStyle w:val="Heading1"/>
      </w:pPr>
      <w:r>
        <w:lastRenderedPageBreak/>
        <w:t>References</w:t>
      </w:r>
    </w:p>
    <w:p w14:paraId="20DEE997" w14:textId="6D5549A7" w:rsidR="00633A4B" w:rsidRPr="00340814" w:rsidRDefault="00633A4B" w:rsidP="00D30E48">
      <w:pPr>
        <w:pStyle w:val="FootnoteText"/>
        <w:spacing w:before="240" w:after="240"/>
        <w:rPr>
          <w:sz w:val="24"/>
          <w:szCs w:val="24"/>
        </w:rPr>
      </w:pPr>
      <w:r w:rsidRPr="00340814">
        <w:rPr>
          <w:rStyle w:val="FootnoteReference"/>
          <w:sz w:val="24"/>
          <w:szCs w:val="24"/>
          <w:vertAlign w:val="baseline"/>
        </w:rPr>
        <w:t>C</w:t>
      </w:r>
      <w:r w:rsidRPr="00340814">
        <w:rPr>
          <w:sz w:val="24"/>
          <w:szCs w:val="24"/>
        </w:rPr>
        <w:t xml:space="preserve">hapman A.B, </w:t>
      </w:r>
      <w:proofErr w:type="spellStart"/>
      <w:r w:rsidRPr="00340814">
        <w:rPr>
          <w:sz w:val="24"/>
          <w:szCs w:val="24"/>
        </w:rPr>
        <w:t>Guay</w:t>
      </w:r>
      <w:proofErr w:type="spellEnd"/>
      <w:r w:rsidRPr="00340814">
        <w:rPr>
          <w:sz w:val="24"/>
          <w:szCs w:val="24"/>
        </w:rPr>
        <w:t>-Woodford L.M, Grantham J.J, Torres V.E, Bae K.T, Baumgarten D.A et al. Renal structure in early autosomal-dominant polycystic kidney disease (ADPKD): The Consortium for Radiologic Imaging Studies of Polycystic Kidney Disease (CRISP) cohort. Kidney International 2003 (64): 1035-1045</w:t>
      </w:r>
    </w:p>
    <w:p w14:paraId="7CA44866" w14:textId="1C97955F" w:rsidR="00340814" w:rsidRPr="00340814" w:rsidRDefault="00340814" w:rsidP="00D30E48">
      <w:pPr>
        <w:pStyle w:val="FootnoteText"/>
        <w:spacing w:before="240"/>
        <w:rPr>
          <w:sz w:val="24"/>
          <w:szCs w:val="24"/>
        </w:rPr>
      </w:pPr>
      <w:proofErr w:type="spellStart"/>
      <w:r w:rsidRPr="00340814">
        <w:rPr>
          <w:sz w:val="24"/>
          <w:szCs w:val="24"/>
        </w:rPr>
        <w:t>Dalgaard</w:t>
      </w:r>
      <w:proofErr w:type="spellEnd"/>
      <w:r w:rsidRPr="00340814">
        <w:rPr>
          <w:sz w:val="24"/>
          <w:szCs w:val="24"/>
        </w:rPr>
        <w:t xml:space="preserve"> O.Z. Bilateral polycystic disease of the kidneys; a follow-up of two hundred and eighty-four patients and their families. Acta Med </w:t>
      </w:r>
      <w:proofErr w:type="spellStart"/>
      <w:r w:rsidRPr="00340814">
        <w:rPr>
          <w:sz w:val="24"/>
          <w:szCs w:val="24"/>
        </w:rPr>
        <w:t>Scand</w:t>
      </w:r>
      <w:proofErr w:type="spellEnd"/>
      <w:r w:rsidRPr="00340814">
        <w:rPr>
          <w:sz w:val="24"/>
          <w:szCs w:val="24"/>
        </w:rPr>
        <w:t xml:space="preserve"> Suppl. 1956; 328:1-255</w:t>
      </w:r>
    </w:p>
    <w:p w14:paraId="4B5F5EFB" w14:textId="77777777" w:rsidR="00633A4B" w:rsidRPr="00340814" w:rsidRDefault="00633A4B" w:rsidP="00D30E48">
      <w:pPr>
        <w:spacing w:before="240" w:after="240"/>
      </w:pPr>
      <w:proofErr w:type="spellStart"/>
      <w:r w:rsidRPr="00340814">
        <w:t>Gabow</w:t>
      </w:r>
      <w:proofErr w:type="spellEnd"/>
      <w:r w:rsidRPr="00340814">
        <w:t xml:space="preserve"> P.A, Autosomal Dominant Polycystic Kidney Disease. The New England Journal of Medicine 1993, 329 (5): 332-342</w:t>
      </w:r>
    </w:p>
    <w:p w14:paraId="736CCF56" w14:textId="77777777" w:rsidR="00633A4B" w:rsidRPr="00340814" w:rsidRDefault="00633A4B" w:rsidP="00D30E48">
      <w:pPr>
        <w:pStyle w:val="FootnoteText"/>
        <w:spacing w:before="240" w:after="240"/>
        <w:rPr>
          <w:sz w:val="24"/>
          <w:szCs w:val="24"/>
        </w:rPr>
      </w:pPr>
      <w:r w:rsidRPr="00340814">
        <w:rPr>
          <w:sz w:val="24"/>
          <w:szCs w:val="24"/>
        </w:rPr>
        <w:t xml:space="preserve">Gonzalez-Perrett S, Kim K, Ibarra C, Damiano A.E, </w:t>
      </w:r>
      <w:proofErr w:type="spellStart"/>
      <w:r w:rsidRPr="00340814">
        <w:rPr>
          <w:sz w:val="24"/>
          <w:szCs w:val="24"/>
        </w:rPr>
        <w:t>Zotta</w:t>
      </w:r>
      <w:proofErr w:type="spellEnd"/>
      <w:r w:rsidRPr="00340814">
        <w:rPr>
          <w:sz w:val="24"/>
          <w:szCs w:val="24"/>
        </w:rPr>
        <w:t xml:space="preserve"> E, </w:t>
      </w:r>
      <w:proofErr w:type="spellStart"/>
      <w:r w:rsidRPr="00340814">
        <w:rPr>
          <w:sz w:val="24"/>
          <w:szCs w:val="24"/>
        </w:rPr>
        <w:t>Batelli</w:t>
      </w:r>
      <w:proofErr w:type="spellEnd"/>
      <w:r w:rsidRPr="00340814">
        <w:rPr>
          <w:sz w:val="24"/>
          <w:szCs w:val="24"/>
        </w:rPr>
        <w:t xml:space="preserve"> M. Polycystin-2, the protein mutated in autosomal dominant polycystic kidney disease (ADPKD), is a Ca</w:t>
      </w:r>
      <w:r w:rsidRPr="00340814">
        <w:rPr>
          <w:sz w:val="24"/>
          <w:szCs w:val="24"/>
          <w:vertAlign w:val="superscript"/>
        </w:rPr>
        <w:t>2+</w:t>
      </w:r>
      <w:r w:rsidRPr="00340814">
        <w:rPr>
          <w:sz w:val="24"/>
          <w:szCs w:val="24"/>
        </w:rPr>
        <w:t>- permeable nonselective cation channel. PNAS 2001, 98(3): 1182-1187</w:t>
      </w:r>
    </w:p>
    <w:p w14:paraId="1DB40DE6" w14:textId="3629596A" w:rsidR="00633A4B" w:rsidRDefault="00633A4B" w:rsidP="00D30E48">
      <w:pPr>
        <w:pStyle w:val="FootnoteText"/>
        <w:spacing w:before="240" w:after="240"/>
        <w:rPr>
          <w:sz w:val="24"/>
          <w:szCs w:val="24"/>
        </w:rPr>
      </w:pPr>
      <w:proofErr w:type="spellStart"/>
      <w:r w:rsidRPr="00340814">
        <w:rPr>
          <w:sz w:val="24"/>
          <w:szCs w:val="24"/>
        </w:rPr>
        <w:t>Hateboer</w:t>
      </w:r>
      <w:proofErr w:type="spellEnd"/>
      <w:r w:rsidRPr="00340814">
        <w:rPr>
          <w:sz w:val="24"/>
          <w:szCs w:val="24"/>
        </w:rPr>
        <w:t xml:space="preserve"> N, v </w:t>
      </w:r>
      <w:proofErr w:type="spellStart"/>
      <w:r w:rsidRPr="00340814">
        <w:rPr>
          <w:sz w:val="24"/>
          <w:szCs w:val="24"/>
        </w:rPr>
        <w:t>Dijik</w:t>
      </w:r>
      <w:proofErr w:type="spellEnd"/>
      <w:r w:rsidRPr="00340814">
        <w:rPr>
          <w:sz w:val="24"/>
          <w:szCs w:val="24"/>
        </w:rPr>
        <w:t xml:space="preserve"> M.A, </w:t>
      </w:r>
      <w:proofErr w:type="spellStart"/>
      <w:r w:rsidRPr="00340814">
        <w:rPr>
          <w:sz w:val="24"/>
          <w:szCs w:val="24"/>
        </w:rPr>
        <w:t>Bogdanova</w:t>
      </w:r>
      <w:proofErr w:type="spellEnd"/>
      <w:r w:rsidRPr="00340814">
        <w:rPr>
          <w:sz w:val="24"/>
          <w:szCs w:val="24"/>
        </w:rPr>
        <w:t xml:space="preserve"> N, </w:t>
      </w:r>
      <w:proofErr w:type="spellStart"/>
      <w:r w:rsidRPr="00340814">
        <w:rPr>
          <w:sz w:val="24"/>
          <w:szCs w:val="24"/>
        </w:rPr>
        <w:t>Coto</w:t>
      </w:r>
      <w:proofErr w:type="spellEnd"/>
      <w:r w:rsidRPr="00340814">
        <w:rPr>
          <w:sz w:val="24"/>
          <w:szCs w:val="24"/>
        </w:rPr>
        <w:t xml:space="preserve"> E, Saggar-Malik A.K, San Millan J.L et al. Comparison of phenotypes of polycystic kidney disease types 1 and 2. The Lancet 1999 (353): 103-107</w:t>
      </w:r>
    </w:p>
    <w:p w14:paraId="6B581398" w14:textId="1A7FFDE6" w:rsidR="00D30E48" w:rsidRPr="00D30E48" w:rsidRDefault="00D30E48" w:rsidP="00D30E48">
      <w:pPr>
        <w:pStyle w:val="FootnoteText"/>
        <w:spacing w:before="240" w:after="240"/>
        <w:rPr>
          <w:sz w:val="24"/>
          <w:szCs w:val="24"/>
        </w:rPr>
      </w:pPr>
      <w:proofErr w:type="spellStart"/>
      <w:r w:rsidRPr="00D30E48">
        <w:rPr>
          <w:sz w:val="24"/>
          <w:szCs w:val="24"/>
        </w:rPr>
        <w:t>Irazabal</w:t>
      </w:r>
      <w:proofErr w:type="spellEnd"/>
      <w:r w:rsidRPr="00D30E48">
        <w:rPr>
          <w:sz w:val="24"/>
          <w:szCs w:val="24"/>
        </w:rPr>
        <w:t xml:space="preserve"> M.V, Rangel L.J, </w:t>
      </w:r>
      <w:proofErr w:type="spellStart"/>
      <w:r w:rsidRPr="00D30E48">
        <w:rPr>
          <w:sz w:val="24"/>
          <w:szCs w:val="24"/>
        </w:rPr>
        <w:t>Bergstralh</w:t>
      </w:r>
      <w:proofErr w:type="spellEnd"/>
      <w:r w:rsidRPr="00D30E48">
        <w:rPr>
          <w:sz w:val="24"/>
          <w:szCs w:val="24"/>
        </w:rPr>
        <w:t xml:space="preserve"> E.J, Osborn S.L, Harmon A.J, </w:t>
      </w:r>
      <w:proofErr w:type="spellStart"/>
      <w:r w:rsidRPr="00D30E48">
        <w:rPr>
          <w:sz w:val="24"/>
          <w:szCs w:val="24"/>
        </w:rPr>
        <w:t>Sundsbak</w:t>
      </w:r>
      <w:proofErr w:type="spellEnd"/>
      <w:r w:rsidRPr="00D30E48">
        <w:rPr>
          <w:sz w:val="24"/>
          <w:szCs w:val="24"/>
        </w:rPr>
        <w:t xml:space="preserve"> J.L. Imaging classification of autosomal dominant polycystic kidney disease: A simple model for selecting patients for clinical trials. J Am Soc Nephrol 2015. 26:160-172</w:t>
      </w:r>
    </w:p>
    <w:p w14:paraId="6D0BD69B" w14:textId="48063E99" w:rsidR="001042C2" w:rsidRPr="00340814" w:rsidRDefault="001042C2" w:rsidP="00D30E48">
      <w:pPr>
        <w:pStyle w:val="FootnoteText"/>
        <w:spacing w:before="240" w:after="240"/>
        <w:rPr>
          <w:sz w:val="24"/>
          <w:szCs w:val="24"/>
        </w:rPr>
      </w:pPr>
      <w:proofErr w:type="spellStart"/>
      <w:r w:rsidRPr="00340814">
        <w:rPr>
          <w:sz w:val="24"/>
          <w:szCs w:val="24"/>
        </w:rPr>
        <w:t>Jinarc</w:t>
      </w:r>
      <w:proofErr w:type="spellEnd"/>
      <w:r w:rsidRPr="00340814">
        <w:rPr>
          <w:sz w:val="24"/>
          <w:szCs w:val="24"/>
        </w:rPr>
        <w:t xml:space="preserve"> (tolvaptan). Australian Approved Consumer Medicine Information. Chatswood: Otsuka Australia Pharmaceutical Pty Ltd. Approved 24 March 2017. Available from &lt;https://www.tga.gov.au/consumer-medicines-information-cmi.&gt;</w:t>
      </w:r>
    </w:p>
    <w:p w14:paraId="5DA22EBE" w14:textId="4DF781DF" w:rsidR="00633A4B" w:rsidRPr="00340814" w:rsidRDefault="002471D6" w:rsidP="00D30E48">
      <w:pPr>
        <w:spacing w:before="240" w:after="240"/>
      </w:pPr>
      <w:proofErr w:type="spellStart"/>
      <w:r w:rsidRPr="00340814">
        <w:t>Jinarc</w:t>
      </w:r>
      <w:proofErr w:type="spellEnd"/>
      <w:r w:rsidRPr="00340814">
        <w:t xml:space="preserve"> (tolvaptan). Australian Approved Product Information. Chatswood: Otsuka Australia Pharmaceutical Pty Ltd. Approved 24 March 2017, updated 26 June 2020. Available from &lt; </w:t>
      </w:r>
      <w:hyperlink r:id="rId23" w:history="1">
        <w:r w:rsidRPr="00340814">
          <w:rPr>
            <w:rStyle w:val="Hyperlink"/>
          </w:rPr>
          <w:t>https://www.tga.gov.au/product-information-pi</w:t>
        </w:r>
      </w:hyperlink>
      <w:r w:rsidRPr="00340814">
        <w:t>.&gt;</w:t>
      </w:r>
    </w:p>
    <w:p w14:paraId="703DE7EE" w14:textId="3FCC12EE" w:rsidR="00340814" w:rsidRPr="00340814" w:rsidRDefault="00633A4B" w:rsidP="00D30E48">
      <w:pPr>
        <w:spacing w:before="240" w:after="240"/>
      </w:pPr>
      <w:r w:rsidRPr="00340814">
        <w:t xml:space="preserve">Kidney Health Australia. Factsheet Polycystic Kidney Disease 2019. Accessed 30 July 2021: </w:t>
      </w:r>
      <w:hyperlink r:id="rId24" w:history="1">
        <w:r w:rsidRPr="00340814">
          <w:rPr>
            <w:rStyle w:val="Hyperlink"/>
          </w:rPr>
          <w:t>https://kidney.org.au/resources/factsheets-and-photosheets/polycystic-kidney-disease-factsheet</w:t>
        </w:r>
      </w:hyperlink>
    </w:p>
    <w:p w14:paraId="3CADAE6D" w14:textId="0927EDB3" w:rsidR="00D30E48" w:rsidRPr="00D30E48" w:rsidRDefault="00D30E48" w:rsidP="00D30E48">
      <w:pPr>
        <w:pStyle w:val="FootnoteText"/>
        <w:spacing w:before="240" w:after="240"/>
        <w:rPr>
          <w:sz w:val="24"/>
          <w:szCs w:val="24"/>
        </w:rPr>
      </w:pPr>
      <w:r w:rsidRPr="00D30E48">
        <w:rPr>
          <w:sz w:val="24"/>
          <w:szCs w:val="24"/>
        </w:rPr>
        <w:t>PKD Australia. ADPKD: PKD Australia. Accessed 26 August 2021 &lt;https://pkdaustralia.org/adpkd/&gt;</w:t>
      </w:r>
    </w:p>
    <w:p w14:paraId="5BC1187C" w14:textId="73591CAB" w:rsidR="001B34F0" w:rsidRDefault="00340814" w:rsidP="00D30E48">
      <w:pPr>
        <w:pStyle w:val="FootnoteText"/>
        <w:spacing w:before="240" w:after="240"/>
        <w:rPr>
          <w:sz w:val="24"/>
          <w:szCs w:val="24"/>
        </w:rPr>
      </w:pPr>
      <w:r w:rsidRPr="00340814">
        <w:rPr>
          <w:sz w:val="24"/>
          <w:szCs w:val="24"/>
        </w:rPr>
        <w:t>PBS statistics. Australian Government Department of Human Services Medicare. Canberra. Available from &lt;</w:t>
      </w:r>
      <w:hyperlink r:id="rId25" w:history="1">
        <w:r w:rsidRPr="00340814">
          <w:rPr>
            <w:rStyle w:val="Hyperlink"/>
            <w:sz w:val="24"/>
            <w:szCs w:val="24"/>
          </w:rPr>
          <w:t>http://www.medicareaustralia.gov.au/provider/pbs/stats.jsp</w:t>
        </w:r>
      </w:hyperlink>
      <w:r w:rsidRPr="00340814">
        <w:rPr>
          <w:sz w:val="24"/>
          <w:szCs w:val="24"/>
        </w:rPr>
        <w:t>&gt;.</w:t>
      </w:r>
    </w:p>
    <w:p w14:paraId="4A825C42" w14:textId="2E3AF076" w:rsidR="00D30E48" w:rsidRPr="00D30E48" w:rsidRDefault="00D30E48" w:rsidP="00D30E48">
      <w:pPr>
        <w:pStyle w:val="FootnoteText"/>
        <w:spacing w:after="240"/>
        <w:rPr>
          <w:sz w:val="24"/>
          <w:szCs w:val="24"/>
        </w:rPr>
      </w:pPr>
      <w:proofErr w:type="spellStart"/>
      <w:r w:rsidRPr="00D30E48">
        <w:rPr>
          <w:sz w:val="24"/>
          <w:szCs w:val="24"/>
        </w:rPr>
        <w:t>Rangan</w:t>
      </w:r>
      <w:proofErr w:type="spellEnd"/>
      <w:r w:rsidRPr="00D30E48">
        <w:rPr>
          <w:sz w:val="24"/>
          <w:szCs w:val="24"/>
        </w:rPr>
        <w:t xml:space="preserve"> G.K, </w:t>
      </w:r>
      <w:proofErr w:type="spellStart"/>
      <w:r w:rsidRPr="00D30E48">
        <w:rPr>
          <w:sz w:val="24"/>
          <w:szCs w:val="24"/>
        </w:rPr>
        <w:t>Tchan</w:t>
      </w:r>
      <w:proofErr w:type="spellEnd"/>
      <w:r w:rsidRPr="00D30E48">
        <w:rPr>
          <w:sz w:val="24"/>
          <w:szCs w:val="24"/>
        </w:rPr>
        <w:t xml:space="preserve"> M.C, Tong A, Wong A.T.Y, </w:t>
      </w:r>
      <w:proofErr w:type="spellStart"/>
      <w:r w:rsidRPr="00D30E48">
        <w:rPr>
          <w:sz w:val="24"/>
          <w:szCs w:val="24"/>
        </w:rPr>
        <w:t>Nankivell</w:t>
      </w:r>
      <w:proofErr w:type="spellEnd"/>
      <w:r w:rsidRPr="00D30E48">
        <w:rPr>
          <w:sz w:val="24"/>
          <w:szCs w:val="24"/>
        </w:rPr>
        <w:t xml:space="preserve"> B.J. Recent advances in autosomal-dominant polycystic kidney disease. Royal Australasian College of Physicians Internal Medicine Journal. 2016. 46(8):883-892.</w:t>
      </w:r>
    </w:p>
    <w:p w14:paraId="3A3324E8" w14:textId="5DBA2DF8" w:rsidR="001B34F0" w:rsidRDefault="001B34F0" w:rsidP="00D30E48">
      <w:pPr>
        <w:pStyle w:val="FootnoteText"/>
        <w:spacing w:after="240"/>
        <w:rPr>
          <w:sz w:val="24"/>
          <w:szCs w:val="24"/>
        </w:rPr>
      </w:pPr>
      <w:r w:rsidRPr="001B34F0">
        <w:rPr>
          <w:sz w:val="24"/>
          <w:szCs w:val="24"/>
        </w:rPr>
        <w:lastRenderedPageBreak/>
        <w:t>Sans-</w:t>
      </w:r>
      <w:proofErr w:type="spellStart"/>
      <w:r w:rsidRPr="001B34F0">
        <w:rPr>
          <w:sz w:val="24"/>
          <w:szCs w:val="24"/>
        </w:rPr>
        <w:t>Atxer</w:t>
      </w:r>
      <w:proofErr w:type="spellEnd"/>
      <w:r w:rsidRPr="001B34F0">
        <w:rPr>
          <w:sz w:val="24"/>
          <w:szCs w:val="24"/>
        </w:rPr>
        <w:t xml:space="preserve"> L, Joly D. Tolvaptan in the treatment of autosomal dominant polycystic kidney disease: patient selection and special considerations. International Journal of Nephrology and Renovascular Disease 2018(11): 41-51</w:t>
      </w:r>
    </w:p>
    <w:p w14:paraId="02915457" w14:textId="028818FC" w:rsidR="00340814" w:rsidRPr="00340814" w:rsidRDefault="00340814" w:rsidP="00D30E48">
      <w:pPr>
        <w:pStyle w:val="FootnoteText"/>
        <w:spacing w:after="240"/>
        <w:rPr>
          <w:sz w:val="24"/>
          <w:szCs w:val="24"/>
        </w:rPr>
      </w:pPr>
      <w:proofErr w:type="spellStart"/>
      <w:r w:rsidRPr="00340814">
        <w:rPr>
          <w:sz w:val="24"/>
          <w:szCs w:val="24"/>
        </w:rPr>
        <w:t>Solazzo</w:t>
      </w:r>
      <w:proofErr w:type="spellEnd"/>
      <w:r w:rsidRPr="00340814">
        <w:rPr>
          <w:sz w:val="24"/>
          <w:szCs w:val="24"/>
        </w:rPr>
        <w:t xml:space="preserve"> A, Testa F, </w:t>
      </w:r>
      <w:proofErr w:type="spellStart"/>
      <w:r w:rsidRPr="00340814">
        <w:rPr>
          <w:sz w:val="24"/>
          <w:szCs w:val="24"/>
        </w:rPr>
        <w:t>Giovanella</w:t>
      </w:r>
      <w:proofErr w:type="spellEnd"/>
      <w:r w:rsidRPr="00340814">
        <w:rPr>
          <w:sz w:val="24"/>
          <w:szCs w:val="24"/>
        </w:rPr>
        <w:t xml:space="preserve"> S, </w:t>
      </w:r>
      <w:proofErr w:type="spellStart"/>
      <w:r w:rsidRPr="00340814">
        <w:rPr>
          <w:sz w:val="24"/>
          <w:szCs w:val="24"/>
        </w:rPr>
        <w:t>Busutti</w:t>
      </w:r>
      <w:proofErr w:type="spellEnd"/>
      <w:r w:rsidRPr="00340814">
        <w:rPr>
          <w:sz w:val="24"/>
          <w:szCs w:val="24"/>
        </w:rPr>
        <w:t xml:space="preserve"> M, </w:t>
      </w:r>
      <w:proofErr w:type="spellStart"/>
      <w:r w:rsidRPr="00340814">
        <w:rPr>
          <w:sz w:val="24"/>
          <w:szCs w:val="24"/>
        </w:rPr>
        <w:t>Furci</w:t>
      </w:r>
      <w:proofErr w:type="spellEnd"/>
      <w:r w:rsidRPr="00340814">
        <w:rPr>
          <w:sz w:val="24"/>
          <w:szCs w:val="24"/>
        </w:rPr>
        <w:t xml:space="preserve"> L, Carrera P. The prevalence of autosomal dominant polycystic kidney disease (ADPKD): A meta-analysis of European literature and prevalence evaluation in the Italian province of Modena suggest that ADPKD is a rare and underdiagnosed condition. PLOS One, 2018. Accessed from: </w:t>
      </w:r>
      <w:hyperlink r:id="rId26" w:history="1">
        <w:r w:rsidRPr="00340814">
          <w:rPr>
            <w:rStyle w:val="Hyperlink"/>
            <w:sz w:val="24"/>
            <w:szCs w:val="24"/>
          </w:rPr>
          <w:t>https://doi.org/10.1371/journal.pone.0190430</w:t>
        </w:r>
      </w:hyperlink>
    </w:p>
    <w:p w14:paraId="3A51A428" w14:textId="77777777" w:rsidR="00340814" w:rsidRPr="00340814" w:rsidRDefault="00633A4B" w:rsidP="00D30E48">
      <w:pPr>
        <w:pStyle w:val="FootnoteText"/>
        <w:spacing w:before="240" w:after="240"/>
        <w:rPr>
          <w:sz w:val="24"/>
          <w:szCs w:val="24"/>
        </w:rPr>
      </w:pPr>
      <w:proofErr w:type="spellStart"/>
      <w:r w:rsidRPr="00340814">
        <w:rPr>
          <w:sz w:val="24"/>
          <w:szCs w:val="24"/>
        </w:rPr>
        <w:t>Spithoven</w:t>
      </w:r>
      <w:proofErr w:type="spellEnd"/>
      <w:r w:rsidRPr="00340814">
        <w:rPr>
          <w:sz w:val="24"/>
          <w:szCs w:val="24"/>
        </w:rPr>
        <w:t xml:space="preserve"> E, Kramer A, Meijer E, Orskov B, Wanner C, Abad J.M et al. Renal replacement therapy for autosomal dominant kidney disease (ADPKD) in Europe: prevalence and survival – an analysis of data from the ERA-EDTA Registry. Nephrol Dial Transplant 2014, 29:</w:t>
      </w:r>
      <w:r w:rsidR="00340814" w:rsidRPr="00340814">
        <w:rPr>
          <w:sz w:val="24"/>
          <w:szCs w:val="24"/>
        </w:rPr>
        <w:t xml:space="preserve"> 15-25</w:t>
      </w:r>
    </w:p>
    <w:p w14:paraId="5DC07401" w14:textId="77777777" w:rsidR="00340814" w:rsidRPr="00340814" w:rsidRDefault="00340814" w:rsidP="00D30E48">
      <w:pPr>
        <w:pStyle w:val="FootnoteText"/>
        <w:spacing w:before="240" w:after="240"/>
        <w:rPr>
          <w:sz w:val="24"/>
          <w:szCs w:val="24"/>
        </w:rPr>
      </w:pPr>
      <w:r w:rsidRPr="00340814">
        <w:rPr>
          <w:sz w:val="24"/>
          <w:szCs w:val="24"/>
        </w:rPr>
        <w:t xml:space="preserve">Willey C.J, </w:t>
      </w:r>
      <w:proofErr w:type="spellStart"/>
      <w:r w:rsidRPr="00340814">
        <w:rPr>
          <w:sz w:val="24"/>
          <w:szCs w:val="24"/>
        </w:rPr>
        <w:t>Blais</w:t>
      </w:r>
      <w:proofErr w:type="spellEnd"/>
      <w:r w:rsidRPr="00340814">
        <w:rPr>
          <w:sz w:val="24"/>
          <w:szCs w:val="24"/>
        </w:rPr>
        <w:t xml:space="preserve"> J.D, Hall A.K, </w:t>
      </w:r>
      <w:proofErr w:type="spellStart"/>
      <w:r w:rsidRPr="00340814">
        <w:rPr>
          <w:sz w:val="24"/>
          <w:szCs w:val="24"/>
        </w:rPr>
        <w:t>Krasa</w:t>
      </w:r>
      <w:proofErr w:type="spellEnd"/>
      <w:r w:rsidRPr="00340814">
        <w:rPr>
          <w:sz w:val="24"/>
          <w:szCs w:val="24"/>
        </w:rPr>
        <w:t xml:space="preserve"> H.B, Makin A.J, </w:t>
      </w:r>
      <w:proofErr w:type="spellStart"/>
      <w:r w:rsidRPr="00340814">
        <w:rPr>
          <w:sz w:val="24"/>
          <w:szCs w:val="24"/>
        </w:rPr>
        <w:t>Czerwiec</w:t>
      </w:r>
      <w:proofErr w:type="spellEnd"/>
      <w:r w:rsidRPr="00340814">
        <w:rPr>
          <w:sz w:val="24"/>
          <w:szCs w:val="24"/>
        </w:rPr>
        <w:t xml:space="preserve"> F.S. Prevalence of autosomal dominant polycystic kidney disease in the European Union. Nephrol Dial Transplant 2017. 32: 1356-1363</w:t>
      </w:r>
    </w:p>
    <w:p w14:paraId="6553AD90" w14:textId="236A97F3" w:rsidR="001042C2" w:rsidRPr="00340814" w:rsidRDefault="00340814" w:rsidP="00D30E48">
      <w:pPr>
        <w:pStyle w:val="FootnoteText"/>
        <w:spacing w:before="240" w:after="240"/>
        <w:rPr>
          <w:sz w:val="24"/>
          <w:szCs w:val="24"/>
        </w:rPr>
      </w:pPr>
      <w:r w:rsidRPr="00340814">
        <w:rPr>
          <w:sz w:val="24"/>
          <w:szCs w:val="24"/>
        </w:rPr>
        <w:t xml:space="preserve">Willey C, </w:t>
      </w:r>
      <w:proofErr w:type="spellStart"/>
      <w:r w:rsidRPr="00340814">
        <w:rPr>
          <w:sz w:val="24"/>
          <w:szCs w:val="24"/>
        </w:rPr>
        <w:t>Kamat</w:t>
      </w:r>
      <w:proofErr w:type="spellEnd"/>
      <w:r w:rsidRPr="00340814">
        <w:rPr>
          <w:sz w:val="24"/>
          <w:szCs w:val="24"/>
        </w:rPr>
        <w:t xml:space="preserve"> S, Stellhorn R, </w:t>
      </w:r>
      <w:proofErr w:type="spellStart"/>
      <w:r w:rsidRPr="00340814">
        <w:rPr>
          <w:sz w:val="24"/>
          <w:szCs w:val="24"/>
        </w:rPr>
        <w:t>Blais</w:t>
      </w:r>
      <w:proofErr w:type="spellEnd"/>
      <w:r w:rsidRPr="00340814">
        <w:rPr>
          <w:sz w:val="24"/>
          <w:szCs w:val="24"/>
        </w:rPr>
        <w:t xml:space="preserve"> J. Analysis of Nationwide Data to Determine the Incidence and Diagnosed Prevalence of Autosomal Dominant Polycystic Kidney Disease in the USA: 2013-2015. Kidney Diseases 2019; 5: 107-117</w:t>
      </w:r>
    </w:p>
    <w:sectPr w:rsidR="001042C2" w:rsidRPr="00340814" w:rsidSect="00DD188C">
      <w:headerReference w:type="even" r:id="rId27"/>
      <w:headerReference w:type="default" r:id="rId28"/>
      <w:footerReference w:type="even" r:id="rId29"/>
      <w:footerReference w:type="default" r:id="rId30"/>
      <w:headerReference w:type="first" r:id="rId31"/>
      <w:footerReference w:type="first" r:id="rId32"/>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4E7E5" w14:textId="77777777" w:rsidR="00B45F04" w:rsidRDefault="00B45F04" w:rsidP="00A35800">
      <w:r>
        <w:separator/>
      </w:r>
    </w:p>
  </w:endnote>
  <w:endnote w:type="continuationSeparator" w:id="0">
    <w:p w14:paraId="1C3E62F8" w14:textId="77777777" w:rsidR="00B45F04" w:rsidRDefault="00B45F04"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9D5E5" w14:textId="77777777" w:rsidR="00B45F04" w:rsidRDefault="00B45F04"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B45F04" w:rsidRDefault="00B45F04"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30682B98" w14:textId="4F69CB52" w:rsidR="00B45F04" w:rsidRPr="000E72C6" w:rsidRDefault="00B45F04" w:rsidP="000E72C6">
            <w:pPr>
              <w:pStyle w:val="Footer"/>
              <w:jc w:val="center"/>
              <w:rPr>
                <w:i/>
                <w:sz w:val="20"/>
              </w:rPr>
            </w:pPr>
            <w:r>
              <w:rPr>
                <w:i/>
                <w:sz w:val="20"/>
              </w:rPr>
              <w:t>Public Release Document, October 2021 Meeting</w:t>
            </w:r>
          </w:p>
          <w:p w14:paraId="10292A9A" w14:textId="7851E80A" w:rsidR="00B45F04" w:rsidRDefault="00B45F04"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Pr>
                <w:bCs/>
                <w:i/>
                <w:noProof/>
                <w:sz w:val="20"/>
              </w:rPr>
              <w:t>26</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Pr>
                <w:bCs/>
                <w:i/>
                <w:noProof/>
                <w:sz w:val="20"/>
              </w:rPr>
              <w:t>28</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22E1F" w14:textId="77777777" w:rsidR="00B45F04" w:rsidRDefault="00B45F04" w:rsidP="007A5733">
    <w:pPr>
      <w:pStyle w:val="Footer"/>
      <w:jc w:val="center"/>
      <w:rPr>
        <w:rStyle w:val="PageNumber"/>
      </w:rPr>
    </w:pPr>
    <w:r>
      <w:rPr>
        <w:rStyle w:val="PageNumber"/>
      </w:rPr>
      <w:t>Committee-in-Confidence</w:t>
    </w:r>
  </w:p>
  <w:p w14:paraId="3CE6880B" w14:textId="77777777" w:rsidR="00B45F04" w:rsidRDefault="00B45F04"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8526F" w14:textId="77777777" w:rsidR="00B45F04" w:rsidRDefault="00B45F04" w:rsidP="00A35800">
      <w:r>
        <w:separator/>
      </w:r>
    </w:p>
  </w:footnote>
  <w:footnote w:type="continuationSeparator" w:id="0">
    <w:p w14:paraId="15B19F91" w14:textId="77777777" w:rsidR="00B45F04" w:rsidRDefault="00B45F04" w:rsidP="00A35800">
      <w:r>
        <w:continuationSeparator/>
      </w:r>
    </w:p>
  </w:footnote>
  <w:footnote w:id="1">
    <w:p w14:paraId="1B575B60" w14:textId="7B7CA78D" w:rsidR="00B45F04" w:rsidRDefault="00B45F04">
      <w:pPr>
        <w:pStyle w:val="FootnoteText"/>
      </w:pPr>
      <w:r>
        <w:rPr>
          <w:rStyle w:val="FootnoteReference"/>
        </w:rPr>
        <w:footnoteRef/>
      </w:r>
      <w:r>
        <w:t xml:space="preserve"> Chapman A.B, Guay-Woodford L.M, Grantham J.J, Torres V.E, Bae K.T, Baumgarten D.A et al. Renal structure in early autosomal-dominant polycystic kidney disease (ADPKD): The Consortium for Radiologic Imaging Studies of Polycystic Kidney Disease (CRISP) cohort. Kidney International 2003 (64): 1035-1045</w:t>
      </w:r>
    </w:p>
  </w:footnote>
  <w:footnote w:id="2">
    <w:p w14:paraId="733AA39D" w14:textId="1863D0B2" w:rsidR="00B45F04" w:rsidRDefault="00B45F04">
      <w:pPr>
        <w:pStyle w:val="FootnoteText"/>
      </w:pPr>
      <w:r>
        <w:rPr>
          <w:rStyle w:val="FootnoteReference"/>
        </w:rPr>
        <w:footnoteRef/>
      </w:r>
      <w:r>
        <w:t xml:space="preserve"> Hateboer N, v Dijik M.A, Bogdanova N, Coto E, Saggar-Malik A.K, San Millan J.L et al. Comparison of phenotypes of polycystic kidney disease types 1 and 2. The Lancet 1999 (353): 103-107</w:t>
      </w:r>
    </w:p>
  </w:footnote>
  <w:footnote w:id="3">
    <w:p w14:paraId="6A1A43D8" w14:textId="3E475FCC" w:rsidR="00B45F04" w:rsidRPr="005930FF" w:rsidRDefault="00B45F04">
      <w:pPr>
        <w:pStyle w:val="FootnoteText"/>
      </w:pPr>
      <w:r>
        <w:rPr>
          <w:rStyle w:val="FootnoteReference"/>
        </w:rPr>
        <w:footnoteRef/>
      </w:r>
      <w:r>
        <w:t xml:space="preserve"> Gonzalez-Perrett S, Kim K, Ibarra C, Damiano A.E, Zotta E, Batelli M. Polycystin-2, the protein mutated in autosomal dominant polycystic kidney disease (ADPKD), is a Ca</w:t>
      </w:r>
      <w:r>
        <w:rPr>
          <w:vertAlign w:val="superscript"/>
        </w:rPr>
        <w:t>2+</w:t>
      </w:r>
      <w:r>
        <w:t>- permeable nonselective cation channel. PNAS 2001, 98(3): 1182-1187</w:t>
      </w:r>
    </w:p>
  </w:footnote>
  <w:footnote w:id="4">
    <w:p w14:paraId="5073226C" w14:textId="02E1C352" w:rsidR="00B45F04" w:rsidRDefault="00B45F04">
      <w:pPr>
        <w:pStyle w:val="FootnoteText"/>
      </w:pPr>
      <w:r>
        <w:rPr>
          <w:rStyle w:val="FootnoteReference"/>
        </w:rPr>
        <w:footnoteRef/>
      </w:r>
      <w:r>
        <w:t xml:space="preserve"> Kidney Health Australia. Factsheet Polycystic Kidney Disease 2019. Accessed 30 July 2021: </w:t>
      </w:r>
      <w:r w:rsidRPr="00CD00DC">
        <w:t>https://kidney.org.au/resources/factsheets-and-photosheets/polycystic-kidney-disease-factsheet</w:t>
      </w:r>
    </w:p>
  </w:footnote>
  <w:footnote w:id="5">
    <w:p w14:paraId="38F8E50F" w14:textId="77777777" w:rsidR="00B45F04" w:rsidRDefault="00B45F04" w:rsidP="009F79D2">
      <w:pPr>
        <w:pStyle w:val="FootnoteText"/>
      </w:pPr>
      <w:r>
        <w:rPr>
          <w:rStyle w:val="FootnoteReference"/>
        </w:rPr>
        <w:footnoteRef/>
      </w:r>
      <w:r>
        <w:t xml:space="preserve"> Spithoven E, Kramer A, Meijer E, Orskov B, Wanner C, Abad J.M et al. Renal replacement therapy for autosomal dominant kidney disease (ADPKD) in Europe: prevalence and survival – an analysis of data from the ERA-EDTA Registry. Nephrol Dial Transplant 2014, 29: 15-25</w:t>
      </w:r>
    </w:p>
  </w:footnote>
  <w:footnote w:id="6">
    <w:p w14:paraId="3F7853BB" w14:textId="77777777" w:rsidR="00B45F04" w:rsidRDefault="00B45F04" w:rsidP="009F79D2">
      <w:pPr>
        <w:pStyle w:val="FootnoteText"/>
      </w:pPr>
      <w:r>
        <w:rPr>
          <w:rStyle w:val="FootnoteReference"/>
        </w:rPr>
        <w:footnoteRef/>
      </w:r>
      <w:r>
        <w:t xml:space="preserve"> Gabow P.A, Autosomal Dominant Polycystic Kidney Disease. The New England Journal of Medicine 1993, 329 (5): 332-342</w:t>
      </w:r>
    </w:p>
  </w:footnote>
  <w:footnote w:id="7">
    <w:p w14:paraId="23783DD8" w14:textId="4E5B4453" w:rsidR="00B45F04" w:rsidRPr="008142B4" w:rsidRDefault="00B45F04" w:rsidP="00C24752">
      <w:pPr>
        <w:pStyle w:val="FootnoteText"/>
        <w:rPr>
          <w:szCs w:val="18"/>
        </w:rPr>
      </w:pPr>
      <w:r w:rsidRPr="008142B4">
        <w:rPr>
          <w:rStyle w:val="FootnoteReference"/>
          <w:szCs w:val="18"/>
        </w:rPr>
        <w:footnoteRef/>
      </w:r>
      <w:r w:rsidRPr="008142B4">
        <w:rPr>
          <w:szCs w:val="18"/>
        </w:rPr>
        <w:t xml:space="preserve"> </w:t>
      </w:r>
      <w:r>
        <w:rPr>
          <w:szCs w:val="18"/>
        </w:rPr>
        <w:t>Jinarc (tolvaptan). Australian Approved Product Information. Chatswood: Otsuka Australia Pharmaceutical Pty Ltd. Approved 24 March 2017, updated 26 June 2020. Available from</w:t>
      </w:r>
      <w:r w:rsidRPr="00CD4486">
        <w:t xml:space="preserve"> </w:t>
      </w:r>
      <w:hyperlink r:id="rId1" w:history="1">
        <w:r w:rsidRPr="00123B62">
          <w:rPr>
            <w:rStyle w:val="Hyperlink"/>
            <w:szCs w:val="18"/>
          </w:rPr>
          <w:t>https://www.tga.gov.au/product-information-pi</w:t>
        </w:r>
      </w:hyperlink>
      <w:r>
        <w:rPr>
          <w:szCs w:val="18"/>
        </w:rPr>
        <w:t xml:space="preserve"> </w:t>
      </w:r>
    </w:p>
  </w:footnote>
  <w:footnote w:id="8">
    <w:p w14:paraId="23A2E473" w14:textId="6D836889" w:rsidR="00B45F04" w:rsidRDefault="00B45F04">
      <w:pPr>
        <w:pStyle w:val="FootnoteText"/>
      </w:pPr>
      <w:r>
        <w:rPr>
          <w:rStyle w:val="FootnoteReference"/>
        </w:rPr>
        <w:footnoteRef/>
      </w:r>
      <w:r>
        <w:t xml:space="preserve"> Willey C.J, Blais J.D, Hall A.K, Krasa H.B, Makin A.J, Czerwiec F.S. Prevalence of autosomal dominant polycystic kidney disease in the European Union. Nephrol Dial Transplant 2017. 32: 1356-1363</w:t>
      </w:r>
    </w:p>
  </w:footnote>
  <w:footnote w:id="9">
    <w:p w14:paraId="7246A37D" w14:textId="480AAB60" w:rsidR="00B45F04" w:rsidRDefault="00B45F04">
      <w:pPr>
        <w:pStyle w:val="FootnoteText"/>
      </w:pPr>
      <w:r>
        <w:rPr>
          <w:rStyle w:val="FootnoteReference"/>
        </w:rPr>
        <w:footnoteRef/>
      </w:r>
      <w:r>
        <w:t xml:space="preserve"> Irazabal M.V, Rangel L.J, Bergstralh E.J, Osborn S.L, Harmon A.J, Sundsbak J.L. Imaging classification of autosomal dominant polycystic kidney disease: A simple model for selecting patients for clinical trials. J Am Soc Nephrol 2015. 26:160-172</w:t>
      </w:r>
    </w:p>
  </w:footnote>
  <w:footnote w:id="10">
    <w:p w14:paraId="0A4DD767" w14:textId="77777777" w:rsidR="00B45F04" w:rsidRPr="00BC5AE2" w:rsidRDefault="00B45F04" w:rsidP="00576B18">
      <w:pPr>
        <w:pStyle w:val="FootnoteText"/>
        <w:rPr>
          <w:sz w:val="20"/>
        </w:rPr>
      </w:pPr>
      <w:r w:rsidRPr="00BC5AE2">
        <w:rPr>
          <w:rStyle w:val="FootnoteReference"/>
          <w:sz w:val="20"/>
        </w:rPr>
        <w:footnoteRef/>
      </w:r>
      <w:r w:rsidRPr="00BC5AE2">
        <w:rPr>
          <w:sz w:val="20"/>
        </w:rPr>
        <w:t xml:space="preserve"> PBS statistics</w:t>
      </w:r>
      <w:r>
        <w:rPr>
          <w:sz w:val="20"/>
        </w:rPr>
        <w:t>. Australian Government Department of Human Services Medicare. Canberra. Available from &lt;</w:t>
      </w:r>
      <w:hyperlink r:id="rId2" w:history="1">
        <w:r>
          <w:rPr>
            <w:rStyle w:val="Hyperlink"/>
            <w:sz w:val="20"/>
          </w:rPr>
          <w:t>http://www.medicareaustralia.gov.au/provider/pbs/stats.jsp</w:t>
        </w:r>
      </w:hyperlink>
      <w:r>
        <w:rPr>
          <w:sz w:val="20"/>
        </w:rPr>
        <w:t>&gt;.</w:t>
      </w:r>
    </w:p>
  </w:footnote>
  <w:footnote w:id="11">
    <w:p w14:paraId="7AF59DE0" w14:textId="34587AB7" w:rsidR="00B45F04" w:rsidRDefault="00B45F04">
      <w:pPr>
        <w:pStyle w:val="FootnoteText"/>
      </w:pPr>
      <w:r>
        <w:rPr>
          <w:rStyle w:val="FootnoteReference"/>
        </w:rPr>
        <w:footnoteRef/>
      </w:r>
      <w:r>
        <w:t xml:space="preserve"> PKD Australia. ADPKD: PKD Australia. Accessed 26 August 2021 &lt;</w:t>
      </w:r>
      <w:r w:rsidRPr="00D22CD3">
        <w:t xml:space="preserve"> https://pkdaustralia.org/adpkd/</w:t>
      </w:r>
      <w:r>
        <w:t>&gt;</w:t>
      </w:r>
    </w:p>
  </w:footnote>
  <w:footnote w:id="12">
    <w:p w14:paraId="3F278AC6" w14:textId="62DF9C39" w:rsidR="00B45F04" w:rsidRDefault="00B45F04">
      <w:pPr>
        <w:pStyle w:val="FootnoteText"/>
      </w:pPr>
      <w:r>
        <w:rPr>
          <w:rStyle w:val="FootnoteReference"/>
        </w:rPr>
        <w:footnoteRef/>
      </w:r>
      <w:r>
        <w:t xml:space="preserve"> Rangan G.K, Tchan M.C, Tong A, Wong A.T.Y, Nankivell B.J. Recent advances in autosomal-dominant polycystic kidney disease. Royal Australasian College of Physicians Internal Medicine Journal. 2016. 46(8):883-892.</w:t>
      </w:r>
    </w:p>
  </w:footnote>
  <w:footnote w:id="13">
    <w:p w14:paraId="2C5E3D93" w14:textId="77777777" w:rsidR="00B45F04" w:rsidRDefault="00B45F04" w:rsidP="000C1AC7">
      <w:pPr>
        <w:pStyle w:val="FootnoteText"/>
      </w:pPr>
      <w:r>
        <w:rPr>
          <w:rStyle w:val="FootnoteReference"/>
        </w:rPr>
        <w:footnoteRef/>
      </w:r>
      <w:r>
        <w:t xml:space="preserve"> Dalgaard O.Z. Bilateral polycystic disease of the kidneys; a follow-up of two hundred and eighty-four patients and their families. Acta Med Scand Suppl. 1956; 328:1-255</w:t>
      </w:r>
    </w:p>
  </w:footnote>
  <w:footnote w:id="14">
    <w:p w14:paraId="68F77A69" w14:textId="77777777" w:rsidR="00B45F04" w:rsidRDefault="00B45F04" w:rsidP="00FD3C8A">
      <w:pPr>
        <w:pStyle w:val="FootnoteText"/>
      </w:pPr>
      <w:r>
        <w:rPr>
          <w:rStyle w:val="FootnoteReference"/>
        </w:rPr>
        <w:footnoteRef/>
      </w:r>
      <w:r>
        <w:t xml:space="preserve"> Solazzo A, Testa F, Giovanella S, Busutti M, Furci L, Carrera P. The prevalence of autosomal dominant polycystic kidney disease (ADPKD): A meta-analysis of European literature and prevalence evaluation in the Italian province of Modena suggest that ADPKD is a rare and underdiagnosed condition. PLOS One, 2018. Accessed from: &lt;https://doi.org/10.1371/journal.pone.0190430&gt;</w:t>
      </w:r>
    </w:p>
  </w:footnote>
  <w:footnote w:id="15">
    <w:p w14:paraId="41C63152" w14:textId="05E53322" w:rsidR="00B45F04" w:rsidRDefault="00B45F04">
      <w:pPr>
        <w:pStyle w:val="FootnoteText"/>
      </w:pPr>
      <w:r>
        <w:rPr>
          <w:rStyle w:val="FootnoteReference"/>
        </w:rPr>
        <w:footnoteRef/>
      </w:r>
      <w:r>
        <w:t xml:space="preserve"> Willey C, Kamat S, Stellhorn R, Blais J. Analysis of Nationwide Data to Determine the Incidence and Diagnosed Prevalence of Autosomal Dominant Polycystic Kidney Disease in the USA: 2013-2015. Kidney Diseases 2019;5: 107-117</w:t>
      </w:r>
    </w:p>
  </w:footnote>
  <w:footnote w:id="16">
    <w:p w14:paraId="5E71DAE7" w14:textId="5EE5B9BE" w:rsidR="00B45F04" w:rsidRDefault="00B45F04">
      <w:pPr>
        <w:pStyle w:val="FootnoteText"/>
      </w:pPr>
      <w:r>
        <w:rPr>
          <w:rStyle w:val="FootnoteReference"/>
        </w:rPr>
        <w:footnoteRef/>
      </w:r>
      <w:r>
        <w:t xml:space="preserve"> Sans-Atxer L, Joly D. Tolvaptan in the treatment of autosomal dominant polycystic kidney disease: patient selection and special considerations. International Journal of Nephrology and Renovascular Disease 2018(11): 41-51</w:t>
      </w:r>
    </w:p>
  </w:footnote>
  <w:footnote w:id="17">
    <w:p w14:paraId="382B7A29" w14:textId="77777777" w:rsidR="00B45F04" w:rsidRDefault="00B45F04" w:rsidP="00E57CA8">
      <w:pPr>
        <w:pStyle w:val="FootnoteText"/>
      </w:pPr>
      <w:r>
        <w:rPr>
          <w:rStyle w:val="FootnoteReference"/>
        </w:rPr>
        <w:footnoteRef/>
      </w:r>
      <w:r>
        <w:t xml:space="preserve"> Jinarc (tolvaptan). Australian Approved Consumer Medicine Information. Chatswood: Otsuka Australia Pharmaceutical Pty Ltd. Approved 24 March 2017. Available from &lt;https://www.tga.gov.au/consumer-medicines-information-cmi.&gt;</w:t>
      </w:r>
    </w:p>
  </w:footnote>
  <w:footnote w:id="18">
    <w:p w14:paraId="3C8BED78" w14:textId="77777777" w:rsidR="00B45F04" w:rsidRDefault="00B45F04" w:rsidP="00BA7B64">
      <w:pPr>
        <w:pStyle w:val="FootnoteText"/>
      </w:pPr>
      <w:r>
        <w:rPr>
          <w:rStyle w:val="FootnoteReference"/>
        </w:rPr>
        <w:footnoteRef/>
      </w:r>
      <w:r>
        <w:t xml:space="preserve"> Thomas M, Gois P.H.F, Butcher B.E, Ta M, Wyk G.V. All-cause discontinuation of tolvaptan in patients with autosomal dominant polycystic kidney disease (ADPKD): A secondary use of data analysis of patients in the IMADJIN dataset. Australian and New Zealand Society of Nephrology: The Nephrology and Transplantation Update Course and Annual Scientific Meeting. Accessed 13 October 2021: </w:t>
      </w:r>
      <w:hyperlink r:id="rId3" w:history="1">
        <w:r w:rsidRPr="005433D7">
          <w:rPr>
            <w:rStyle w:val="Hyperlink"/>
          </w:rPr>
          <w:t>https://anzsnasm.com/11038</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6A7C7" w14:textId="77777777" w:rsidR="00B45F04" w:rsidRDefault="00B45F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07B84" w14:textId="20AB81B2" w:rsidR="00B45F04" w:rsidRDefault="00B45F04" w:rsidP="00FB77FA">
    <w:pPr>
      <w:pStyle w:val="Header"/>
    </w:pPr>
  </w:p>
  <w:p w14:paraId="3A96F15D" w14:textId="77777777" w:rsidR="00B45F04" w:rsidRDefault="00B45F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6AE68" w14:textId="77777777" w:rsidR="00B45F04" w:rsidRDefault="00B45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73830"/>
    <w:multiLevelType w:val="multilevel"/>
    <w:tmpl w:val="761E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4008C"/>
    <w:multiLevelType w:val="hybridMultilevel"/>
    <w:tmpl w:val="763424C6"/>
    <w:lvl w:ilvl="0" w:tplc="7B3050B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B560896"/>
    <w:multiLevelType w:val="hybridMultilevel"/>
    <w:tmpl w:val="31FE287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 w15:restartNumberingAfterBreak="0">
    <w:nsid w:val="0C565F1F"/>
    <w:multiLevelType w:val="hybridMultilevel"/>
    <w:tmpl w:val="BFF6D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9266F8"/>
    <w:multiLevelType w:val="hybridMultilevel"/>
    <w:tmpl w:val="AFC6BF56"/>
    <w:lvl w:ilvl="0" w:tplc="DF125AE8">
      <w:start w:val="1"/>
      <w:numFmt w:val="lowerLetter"/>
      <w:lvlText w:val="%1."/>
      <w:lvlJc w:val="left"/>
      <w:pPr>
        <w:ind w:left="1080" w:hanging="360"/>
      </w:pPr>
      <w:rPr>
        <w:rFonts w:asciiTheme="minorHAnsi" w:eastAsiaTheme="minorEastAsia" w:hAnsiTheme="minorHAnsi" w:cstheme="minorBidi"/>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0E01B29"/>
    <w:multiLevelType w:val="hybridMultilevel"/>
    <w:tmpl w:val="4DCAA6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353F42"/>
    <w:multiLevelType w:val="multilevel"/>
    <w:tmpl w:val="0FA0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B10580"/>
    <w:multiLevelType w:val="hybridMultilevel"/>
    <w:tmpl w:val="41D84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BA48F5"/>
    <w:multiLevelType w:val="hybridMultilevel"/>
    <w:tmpl w:val="6C1CE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124C84"/>
    <w:multiLevelType w:val="hybridMultilevel"/>
    <w:tmpl w:val="80D4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F26073"/>
    <w:multiLevelType w:val="hybridMultilevel"/>
    <w:tmpl w:val="BBC61E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F908DC"/>
    <w:multiLevelType w:val="hybridMultilevel"/>
    <w:tmpl w:val="67F0DE52"/>
    <w:lvl w:ilvl="0" w:tplc="0C090001">
      <w:start w:val="1"/>
      <w:numFmt w:val="bullet"/>
      <w:lvlText w:val=""/>
      <w:lvlJc w:val="left"/>
      <w:pPr>
        <w:ind w:left="9360" w:hanging="360"/>
      </w:pPr>
      <w:rPr>
        <w:rFonts w:ascii="Symbol" w:hAnsi="Symbol" w:hint="default"/>
      </w:rPr>
    </w:lvl>
    <w:lvl w:ilvl="1" w:tplc="0C090003" w:tentative="1">
      <w:start w:val="1"/>
      <w:numFmt w:val="bullet"/>
      <w:lvlText w:val="o"/>
      <w:lvlJc w:val="left"/>
      <w:pPr>
        <w:ind w:left="10080" w:hanging="360"/>
      </w:pPr>
      <w:rPr>
        <w:rFonts w:ascii="Courier New" w:hAnsi="Courier New" w:cs="Courier New" w:hint="default"/>
      </w:rPr>
    </w:lvl>
    <w:lvl w:ilvl="2" w:tplc="0C090005" w:tentative="1">
      <w:start w:val="1"/>
      <w:numFmt w:val="bullet"/>
      <w:lvlText w:val=""/>
      <w:lvlJc w:val="left"/>
      <w:pPr>
        <w:ind w:left="10800" w:hanging="360"/>
      </w:pPr>
      <w:rPr>
        <w:rFonts w:ascii="Wingdings" w:hAnsi="Wingdings" w:hint="default"/>
      </w:rPr>
    </w:lvl>
    <w:lvl w:ilvl="3" w:tplc="0C090001" w:tentative="1">
      <w:start w:val="1"/>
      <w:numFmt w:val="bullet"/>
      <w:lvlText w:val=""/>
      <w:lvlJc w:val="left"/>
      <w:pPr>
        <w:ind w:left="11520" w:hanging="360"/>
      </w:pPr>
      <w:rPr>
        <w:rFonts w:ascii="Symbol" w:hAnsi="Symbol" w:hint="default"/>
      </w:rPr>
    </w:lvl>
    <w:lvl w:ilvl="4" w:tplc="0C090003" w:tentative="1">
      <w:start w:val="1"/>
      <w:numFmt w:val="bullet"/>
      <w:lvlText w:val="o"/>
      <w:lvlJc w:val="left"/>
      <w:pPr>
        <w:ind w:left="12240" w:hanging="360"/>
      </w:pPr>
      <w:rPr>
        <w:rFonts w:ascii="Courier New" w:hAnsi="Courier New" w:cs="Courier New" w:hint="default"/>
      </w:rPr>
    </w:lvl>
    <w:lvl w:ilvl="5" w:tplc="0C090005" w:tentative="1">
      <w:start w:val="1"/>
      <w:numFmt w:val="bullet"/>
      <w:lvlText w:val=""/>
      <w:lvlJc w:val="left"/>
      <w:pPr>
        <w:ind w:left="12960" w:hanging="360"/>
      </w:pPr>
      <w:rPr>
        <w:rFonts w:ascii="Wingdings" w:hAnsi="Wingdings" w:hint="default"/>
      </w:rPr>
    </w:lvl>
    <w:lvl w:ilvl="6" w:tplc="0C090001" w:tentative="1">
      <w:start w:val="1"/>
      <w:numFmt w:val="bullet"/>
      <w:lvlText w:val=""/>
      <w:lvlJc w:val="left"/>
      <w:pPr>
        <w:ind w:left="13680" w:hanging="360"/>
      </w:pPr>
      <w:rPr>
        <w:rFonts w:ascii="Symbol" w:hAnsi="Symbol" w:hint="default"/>
      </w:rPr>
    </w:lvl>
    <w:lvl w:ilvl="7" w:tplc="0C090003" w:tentative="1">
      <w:start w:val="1"/>
      <w:numFmt w:val="bullet"/>
      <w:lvlText w:val="o"/>
      <w:lvlJc w:val="left"/>
      <w:pPr>
        <w:ind w:left="14400" w:hanging="360"/>
      </w:pPr>
      <w:rPr>
        <w:rFonts w:ascii="Courier New" w:hAnsi="Courier New" w:cs="Courier New" w:hint="default"/>
      </w:rPr>
    </w:lvl>
    <w:lvl w:ilvl="8" w:tplc="0C090005" w:tentative="1">
      <w:start w:val="1"/>
      <w:numFmt w:val="bullet"/>
      <w:lvlText w:val=""/>
      <w:lvlJc w:val="left"/>
      <w:pPr>
        <w:ind w:left="15120" w:hanging="360"/>
      </w:pPr>
      <w:rPr>
        <w:rFonts w:ascii="Wingdings" w:hAnsi="Wingdings" w:hint="default"/>
      </w:rPr>
    </w:lvl>
  </w:abstractNum>
  <w:abstractNum w:abstractNumId="12" w15:restartNumberingAfterBreak="0">
    <w:nsid w:val="1E903C29"/>
    <w:multiLevelType w:val="multilevel"/>
    <w:tmpl w:val="4DE0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F336ED"/>
    <w:multiLevelType w:val="multilevel"/>
    <w:tmpl w:val="B6F8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0A449B"/>
    <w:multiLevelType w:val="hybridMultilevel"/>
    <w:tmpl w:val="649C4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3441DA"/>
    <w:multiLevelType w:val="hybridMultilevel"/>
    <w:tmpl w:val="36629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561997"/>
    <w:multiLevelType w:val="hybridMultilevel"/>
    <w:tmpl w:val="B71650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D7C1A95"/>
    <w:multiLevelType w:val="hybridMultilevel"/>
    <w:tmpl w:val="D81AD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B41BF9"/>
    <w:multiLevelType w:val="hybridMultilevel"/>
    <w:tmpl w:val="A982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712772"/>
    <w:multiLevelType w:val="multilevel"/>
    <w:tmpl w:val="F5E6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C258FE"/>
    <w:multiLevelType w:val="hybridMultilevel"/>
    <w:tmpl w:val="80D04044"/>
    <w:lvl w:ilvl="0" w:tplc="3AE8454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BE21AA6"/>
    <w:multiLevelType w:val="hybridMultilevel"/>
    <w:tmpl w:val="1974C12E"/>
    <w:lvl w:ilvl="0" w:tplc="0C090001">
      <w:start w:val="1"/>
      <w:numFmt w:val="bullet"/>
      <w:lvlText w:val=""/>
      <w:lvlJc w:val="left"/>
      <w:pPr>
        <w:ind w:left="6480" w:hanging="360"/>
      </w:pPr>
      <w:rPr>
        <w:rFonts w:ascii="Symbol" w:hAnsi="Symbol" w:hint="default"/>
      </w:rPr>
    </w:lvl>
    <w:lvl w:ilvl="1" w:tplc="0C090003" w:tentative="1">
      <w:start w:val="1"/>
      <w:numFmt w:val="bullet"/>
      <w:lvlText w:val="o"/>
      <w:lvlJc w:val="left"/>
      <w:pPr>
        <w:ind w:left="7200" w:hanging="360"/>
      </w:pPr>
      <w:rPr>
        <w:rFonts w:ascii="Courier New" w:hAnsi="Courier New" w:cs="Courier New" w:hint="default"/>
      </w:rPr>
    </w:lvl>
    <w:lvl w:ilvl="2" w:tplc="0C090005" w:tentative="1">
      <w:start w:val="1"/>
      <w:numFmt w:val="bullet"/>
      <w:lvlText w:val=""/>
      <w:lvlJc w:val="left"/>
      <w:pPr>
        <w:ind w:left="7920" w:hanging="360"/>
      </w:pPr>
      <w:rPr>
        <w:rFonts w:ascii="Wingdings" w:hAnsi="Wingdings" w:hint="default"/>
      </w:rPr>
    </w:lvl>
    <w:lvl w:ilvl="3" w:tplc="0C090001" w:tentative="1">
      <w:start w:val="1"/>
      <w:numFmt w:val="bullet"/>
      <w:lvlText w:val=""/>
      <w:lvlJc w:val="left"/>
      <w:pPr>
        <w:ind w:left="8640" w:hanging="360"/>
      </w:pPr>
      <w:rPr>
        <w:rFonts w:ascii="Symbol" w:hAnsi="Symbol" w:hint="default"/>
      </w:rPr>
    </w:lvl>
    <w:lvl w:ilvl="4" w:tplc="0C090003" w:tentative="1">
      <w:start w:val="1"/>
      <w:numFmt w:val="bullet"/>
      <w:lvlText w:val="o"/>
      <w:lvlJc w:val="left"/>
      <w:pPr>
        <w:ind w:left="9360" w:hanging="360"/>
      </w:pPr>
      <w:rPr>
        <w:rFonts w:ascii="Courier New" w:hAnsi="Courier New" w:cs="Courier New" w:hint="default"/>
      </w:rPr>
    </w:lvl>
    <w:lvl w:ilvl="5" w:tplc="0C090005" w:tentative="1">
      <w:start w:val="1"/>
      <w:numFmt w:val="bullet"/>
      <w:lvlText w:val=""/>
      <w:lvlJc w:val="left"/>
      <w:pPr>
        <w:ind w:left="10080" w:hanging="360"/>
      </w:pPr>
      <w:rPr>
        <w:rFonts w:ascii="Wingdings" w:hAnsi="Wingdings" w:hint="default"/>
      </w:rPr>
    </w:lvl>
    <w:lvl w:ilvl="6" w:tplc="0C090001" w:tentative="1">
      <w:start w:val="1"/>
      <w:numFmt w:val="bullet"/>
      <w:lvlText w:val=""/>
      <w:lvlJc w:val="left"/>
      <w:pPr>
        <w:ind w:left="10800" w:hanging="360"/>
      </w:pPr>
      <w:rPr>
        <w:rFonts w:ascii="Symbol" w:hAnsi="Symbol" w:hint="default"/>
      </w:rPr>
    </w:lvl>
    <w:lvl w:ilvl="7" w:tplc="0C090003" w:tentative="1">
      <w:start w:val="1"/>
      <w:numFmt w:val="bullet"/>
      <w:lvlText w:val="o"/>
      <w:lvlJc w:val="left"/>
      <w:pPr>
        <w:ind w:left="11520" w:hanging="360"/>
      </w:pPr>
      <w:rPr>
        <w:rFonts w:ascii="Courier New" w:hAnsi="Courier New" w:cs="Courier New" w:hint="default"/>
      </w:rPr>
    </w:lvl>
    <w:lvl w:ilvl="8" w:tplc="0C090005" w:tentative="1">
      <w:start w:val="1"/>
      <w:numFmt w:val="bullet"/>
      <w:lvlText w:val=""/>
      <w:lvlJc w:val="left"/>
      <w:pPr>
        <w:ind w:left="12240" w:hanging="360"/>
      </w:pPr>
      <w:rPr>
        <w:rFonts w:ascii="Wingdings" w:hAnsi="Wingdings" w:hint="default"/>
      </w:rPr>
    </w:lvl>
  </w:abstractNum>
  <w:abstractNum w:abstractNumId="23" w15:restartNumberingAfterBreak="0">
    <w:nsid w:val="44442297"/>
    <w:multiLevelType w:val="hybridMultilevel"/>
    <w:tmpl w:val="A8622F92"/>
    <w:lvl w:ilvl="0" w:tplc="80D851A0">
      <w:start w:val="1"/>
      <w:numFmt w:val="bullet"/>
      <w:pStyle w:val="Bulletpoints"/>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52466A"/>
    <w:multiLevelType w:val="hybridMultilevel"/>
    <w:tmpl w:val="25ACA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18770C"/>
    <w:multiLevelType w:val="hybridMultilevel"/>
    <w:tmpl w:val="D02EEB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0F4797F"/>
    <w:multiLevelType w:val="hybridMultilevel"/>
    <w:tmpl w:val="ADD8E3CE"/>
    <w:lvl w:ilvl="0" w:tplc="D46A95D6">
      <w:start w:val="70"/>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776C7E"/>
    <w:multiLevelType w:val="hybridMultilevel"/>
    <w:tmpl w:val="D1346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A5663DA"/>
    <w:multiLevelType w:val="hybridMultilevel"/>
    <w:tmpl w:val="CDB4F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005A4E"/>
    <w:multiLevelType w:val="hybridMultilevel"/>
    <w:tmpl w:val="73EEE3C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0"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D5F22D6"/>
    <w:multiLevelType w:val="hybridMultilevel"/>
    <w:tmpl w:val="651ECC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2880EB7"/>
    <w:multiLevelType w:val="hybridMultilevel"/>
    <w:tmpl w:val="6D220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3AD09E7"/>
    <w:multiLevelType w:val="hybridMultilevel"/>
    <w:tmpl w:val="395CF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5424074"/>
    <w:multiLevelType w:val="hybridMultilevel"/>
    <w:tmpl w:val="BAE67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F46B13"/>
    <w:multiLevelType w:val="hybridMultilevel"/>
    <w:tmpl w:val="F1BC6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4D033C"/>
    <w:multiLevelType w:val="multilevel"/>
    <w:tmpl w:val="42A0547A"/>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F65EC9"/>
    <w:multiLevelType w:val="hybridMultilevel"/>
    <w:tmpl w:val="2CFC34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C477A61"/>
    <w:multiLevelType w:val="hybridMultilevel"/>
    <w:tmpl w:val="5BF65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C9047E"/>
    <w:multiLevelType w:val="multilevel"/>
    <w:tmpl w:val="FD9A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FE6D6B"/>
    <w:multiLevelType w:val="multilevel"/>
    <w:tmpl w:val="C778D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773F6B"/>
    <w:multiLevelType w:val="hybridMultilevel"/>
    <w:tmpl w:val="4F2CC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15"/>
  </w:num>
  <w:num w:numId="4">
    <w:abstractNumId w:val="6"/>
  </w:num>
  <w:num w:numId="5">
    <w:abstractNumId w:val="0"/>
  </w:num>
  <w:num w:numId="6">
    <w:abstractNumId w:val="39"/>
  </w:num>
  <w:num w:numId="7">
    <w:abstractNumId w:val="13"/>
  </w:num>
  <w:num w:numId="8">
    <w:abstractNumId w:val="40"/>
  </w:num>
  <w:num w:numId="9">
    <w:abstractNumId w:val="12"/>
  </w:num>
  <w:num w:numId="10">
    <w:abstractNumId w:val="20"/>
  </w:num>
  <w:num w:numId="11">
    <w:abstractNumId w:val="38"/>
  </w:num>
  <w:num w:numId="12">
    <w:abstractNumId w:val="9"/>
  </w:num>
  <w:num w:numId="13">
    <w:abstractNumId w:val="18"/>
  </w:num>
  <w:num w:numId="14">
    <w:abstractNumId w:val="36"/>
  </w:num>
  <w:num w:numId="15">
    <w:abstractNumId w:val="16"/>
  </w:num>
  <w:num w:numId="16">
    <w:abstractNumId w:val="23"/>
  </w:num>
  <w:num w:numId="17">
    <w:abstractNumId w:val="17"/>
  </w:num>
  <w:num w:numId="18">
    <w:abstractNumId w:val="33"/>
  </w:num>
  <w:num w:numId="19">
    <w:abstractNumId w:val="26"/>
  </w:num>
  <w:num w:numId="20">
    <w:abstractNumId w:val="3"/>
  </w:num>
  <w:num w:numId="21">
    <w:abstractNumId w:val="29"/>
  </w:num>
  <w:num w:numId="22">
    <w:abstractNumId w:val="14"/>
  </w:num>
  <w:num w:numId="23">
    <w:abstractNumId w:val="24"/>
  </w:num>
  <w:num w:numId="24">
    <w:abstractNumId w:val="4"/>
  </w:num>
  <w:num w:numId="25">
    <w:abstractNumId w:val="8"/>
  </w:num>
  <w:num w:numId="26">
    <w:abstractNumId w:val="1"/>
  </w:num>
  <w:num w:numId="27">
    <w:abstractNumId w:val="21"/>
  </w:num>
  <w:num w:numId="28">
    <w:abstractNumId w:val="19"/>
  </w:num>
  <w:num w:numId="29">
    <w:abstractNumId w:val="37"/>
  </w:num>
  <w:num w:numId="30">
    <w:abstractNumId w:val="2"/>
  </w:num>
  <w:num w:numId="31">
    <w:abstractNumId w:val="22"/>
  </w:num>
  <w:num w:numId="32">
    <w:abstractNumId w:val="11"/>
  </w:num>
  <w:num w:numId="33">
    <w:abstractNumId w:val="27"/>
  </w:num>
  <w:num w:numId="34">
    <w:abstractNumId w:val="41"/>
  </w:num>
  <w:num w:numId="35">
    <w:abstractNumId w:val="34"/>
  </w:num>
  <w:num w:numId="36">
    <w:abstractNumId w:val="25"/>
  </w:num>
  <w:num w:numId="37">
    <w:abstractNumId w:val="35"/>
  </w:num>
  <w:num w:numId="38">
    <w:abstractNumId w:val="7"/>
  </w:num>
  <w:num w:numId="39">
    <w:abstractNumId w:val="10"/>
  </w:num>
  <w:num w:numId="40">
    <w:abstractNumId w:val="31"/>
  </w:num>
  <w:num w:numId="41">
    <w:abstractNumId w:val="5"/>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1"/>
    <w:rsid w:val="00005F68"/>
    <w:rsid w:val="0000732D"/>
    <w:rsid w:val="00007E85"/>
    <w:rsid w:val="00013465"/>
    <w:rsid w:val="00014143"/>
    <w:rsid w:val="00020258"/>
    <w:rsid w:val="000226B3"/>
    <w:rsid w:val="00024549"/>
    <w:rsid w:val="0003123F"/>
    <w:rsid w:val="000544B6"/>
    <w:rsid w:val="000604AF"/>
    <w:rsid w:val="0006254C"/>
    <w:rsid w:val="0006277D"/>
    <w:rsid w:val="00066788"/>
    <w:rsid w:val="0007257F"/>
    <w:rsid w:val="00077E80"/>
    <w:rsid w:val="000866CC"/>
    <w:rsid w:val="00086C11"/>
    <w:rsid w:val="00093CAA"/>
    <w:rsid w:val="00094DCF"/>
    <w:rsid w:val="0009538B"/>
    <w:rsid w:val="000A6CFD"/>
    <w:rsid w:val="000B0982"/>
    <w:rsid w:val="000B796C"/>
    <w:rsid w:val="000C1432"/>
    <w:rsid w:val="000C1AC7"/>
    <w:rsid w:val="000C26D6"/>
    <w:rsid w:val="000C440B"/>
    <w:rsid w:val="000C46BB"/>
    <w:rsid w:val="000C4D9D"/>
    <w:rsid w:val="000C5EC5"/>
    <w:rsid w:val="000C6FA3"/>
    <w:rsid w:val="000C74DC"/>
    <w:rsid w:val="000C7C4B"/>
    <w:rsid w:val="000C7D8B"/>
    <w:rsid w:val="000C7E4C"/>
    <w:rsid w:val="000D442B"/>
    <w:rsid w:val="000D5027"/>
    <w:rsid w:val="000D6EF8"/>
    <w:rsid w:val="000D73DF"/>
    <w:rsid w:val="000E485D"/>
    <w:rsid w:val="000E72C6"/>
    <w:rsid w:val="000F01FB"/>
    <w:rsid w:val="000F1893"/>
    <w:rsid w:val="000F2F51"/>
    <w:rsid w:val="000F3A35"/>
    <w:rsid w:val="001042C2"/>
    <w:rsid w:val="00104B3B"/>
    <w:rsid w:val="0010666F"/>
    <w:rsid w:val="00106A60"/>
    <w:rsid w:val="00113CF8"/>
    <w:rsid w:val="00113D74"/>
    <w:rsid w:val="00117567"/>
    <w:rsid w:val="00117C5C"/>
    <w:rsid w:val="00121CBC"/>
    <w:rsid w:val="001310AE"/>
    <w:rsid w:val="001350CB"/>
    <w:rsid w:val="0013565F"/>
    <w:rsid w:val="001420B3"/>
    <w:rsid w:val="001460C4"/>
    <w:rsid w:val="00151F13"/>
    <w:rsid w:val="00155A02"/>
    <w:rsid w:val="0015691C"/>
    <w:rsid w:val="00157938"/>
    <w:rsid w:val="001621F7"/>
    <w:rsid w:val="001624D7"/>
    <w:rsid w:val="001631DC"/>
    <w:rsid w:val="0016547D"/>
    <w:rsid w:val="00177B86"/>
    <w:rsid w:val="00177D2D"/>
    <w:rsid w:val="00181069"/>
    <w:rsid w:val="001815A3"/>
    <w:rsid w:val="00182585"/>
    <w:rsid w:val="00183105"/>
    <w:rsid w:val="00185E4D"/>
    <w:rsid w:val="00191182"/>
    <w:rsid w:val="0019664D"/>
    <w:rsid w:val="00196B2C"/>
    <w:rsid w:val="001A17E9"/>
    <w:rsid w:val="001A1F6B"/>
    <w:rsid w:val="001A6103"/>
    <w:rsid w:val="001B34F0"/>
    <w:rsid w:val="001B5D37"/>
    <w:rsid w:val="001B6035"/>
    <w:rsid w:val="001C03FA"/>
    <w:rsid w:val="001C0D65"/>
    <w:rsid w:val="001C2940"/>
    <w:rsid w:val="001C4016"/>
    <w:rsid w:val="001C548D"/>
    <w:rsid w:val="001C591D"/>
    <w:rsid w:val="001C6A5D"/>
    <w:rsid w:val="001D2CE2"/>
    <w:rsid w:val="001D3416"/>
    <w:rsid w:val="001D45D0"/>
    <w:rsid w:val="001E12CA"/>
    <w:rsid w:val="001E31A6"/>
    <w:rsid w:val="001E42C7"/>
    <w:rsid w:val="001E4CAB"/>
    <w:rsid w:val="001F0A4E"/>
    <w:rsid w:val="001F2F3E"/>
    <w:rsid w:val="001F4906"/>
    <w:rsid w:val="001F625F"/>
    <w:rsid w:val="001F6578"/>
    <w:rsid w:val="001F7C4A"/>
    <w:rsid w:val="001F7FD0"/>
    <w:rsid w:val="0020578A"/>
    <w:rsid w:val="00207631"/>
    <w:rsid w:val="00213109"/>
    <w:rsid w:val="00213995"/>
    <w:rsid w:val="00214013"/>
    <w:rsid w:val="00214409"/>
    <w:rsid w:val="00220FC1"/>
    <w:rsid w:val="00222E9A"/>
    <w:rsid w:val="00227207"/>
    <w:rsid w:val="0023179D"/>
    <w:rsid w:val="00232B16"/>
    <w:rsid w:val="00235405"/>
    <w:rsid w:val="00241F57"/>
    <w:rsid w:val="002471D6"/>
    <w:rsid w:val="00250047"/>
    <w:rsid w:val="0025389D"/>
    <w:rsid w:val="00254E02"/>
    <w:rsid w:val="0026265F"/>
    <w:rsid w:val="00266314"/>
    <w:rsid w:val="002664AB"/>
    <w:rsid w:val="00273D8B"/>
    <w:rsid w:val="00275B6C"/>
    <w:rsid w:val="00276160"/>
    <w:rsid w:val="00282CF4"/>
    <w:rsid w:val="00286C3A"/>
    <w:rsid w:val="002930F5"/>
    <w:rsid w:val="00293557"/>
    <w:rsid w:val="00294AA5"/>
    <w:rsid w:val="002950F6"/>
    <w:rsid w:val="002A06B7"/>
    <w:rsid w:val="002B097C"/>
    <w:rsid w:val="002C6E0C"/>
    <w:rsid w:val="002D0FF7"/>
    <w:rsid w:val="002D144A"/>
    <w:rsid w:val="002E126B"/>
    <w:rsid w:val="002E19A3"/>
    <w:rsid w:val="002E212B"/>
    <w:rsid w:val="002E3337"/>
    <w:rsid w:val="002E6D03"/>
    <w:rsid w:val="002F1E36"/>
    <w:rsid w:val="002F3745"/>
    <w:rsid w:val="002F49A8"/>
    <w:rsid w:val="002F5ACD"/>
    <w:rsid w:val="002F5E66"/>
    <w:rsid w:val="002F60B1"/>
    <w:rsid w:val="002F61CA"/>
    <w:rsid w:val="002F79C6"/>
    <w:rsid w:val="0030010D"/>
    <w:rsid w:val="00304331"/>
    <w:rsid w:val="00312C71"/>
    <w:rsid w:val="00313C3F"/>
    <w:rsid w:val="003234D7"/>
    <w:rsid w:val="00323D52"/>
    <w:rsid w:val="003307FD"/>
    <w:rsid w:val="00332397"/>
    <w:rsid w:val="0033504C"/>
    <w:rsid w:val="00336816"/>
    <w:rsid w:val="003370D0"/>
    <w:rsid w:val="00337355"/>
    <w:rsid w:val="00337591"/>
    <w:rsid w:val="003402E4"/>
    <w:rsid w:val="00340814"/>
    <w:rsid w:val="00340F95"/>
    <w:rsid w:val="00341937"/>
    <w:rsid w:val="00342686"/>
    <w:rsid w:val="003435E1"/>
    <w:rsid w:val="00347FCC"/>
    <w:rsid w:val="003531ED"/>
    <w:rsid w:val="003536B9"/>
    <w:rsid w:val="0035428D"/>
    <w:rsid w:val="00355266"/>
    <w:rsid w:val="00360B9A"/>
    <w:rsid w:val="003639B1"/>
    <w:rsid w:val="0036641B"/>
    <w:rsid w:val="0037352B"/>
    <w:rsid w:val="0037385A"/>
    <w:rsid w:val="003743E6"/>
    <w:rsid w:val="00377B07"/>
    <w:rsid w:val="00380B7E"/>
    <w:rsid w:val="003841B1"/>
    <w:rsid w:val="00384B91"/>
    <w:rsid w:val="00386A19"/>
    <w:rsid w:val="0039017F"/>
    <w:rsid w:val="00394AEE"/>
    <w:rsid w:val="0039640D"/>
    <w:rsid w:val="00397825"/>
    <w:rsid w:val="003A2E6F"/>
    <w:rsid w:val="003A6AB6"/>
    <w:rsid w:val="003A7D8B"/>
    <w:rsid w:val="003B3C14"/>
    <w:rsid w:val="003B7287"/>
    <w:rsid w:val="003C2D98"/>
    <w:rsid w:val="003C44C2"/>
    <w:rsid w:val="003C7365"/>
    <w:rsid w:val="003D0213"/>
    <w:rsid w:val="003D3A96"/>
    <w:rsid w:val="003D3B9C"/>
    <w:rsid w:val="003D4928"/>
    <w:rsid w:val="003D5BCA"/>
    <w:rsid w:val="003E24F1"/>
    <w:rsid w:val="003E2CCD"/>
    <w:rsid w:val="003F79AC"/>
    <w:rsid w:val="00404F03"/>
    <w:rsid w:val="004117F3"/>
    <w:rsid w:val="00412051"/>
    <w:rsid w:val="0042092D"/>
    <w:rsid w:val="004228B2"/>
    <w:rsid w:val="00423B94"/>
    <w:rsid w:val="00425443"/>
    <w:rsid w:val="004305EF"/>
    <w:rsid w:val="00430E1D"/>
    <w:rsid w:val="00435BAE"/>
    <w:rsid w:val="00441053"/>
    <w:rsid w:val="00442221"/>
    <w:rsid w:val="004442E4"/>
    <w:rsid w:val="00446E3E"/>
    <w:rsid w:val="00454798"/>
    <w:rsid w:val="00457904"/>
    <w:rsid w:val="004601B5"/>
    <w:rsid w:val="00463731"/>
    <w:rsid w:val="0046400A"/>
    <w:rsid w:val="00464A9F"/>
    <w:rsid w:val="00467B25"/>
    <w:rsid w:val="004740D3"/>
    <w:rsid w:val="00481108"/>
    <w:rsid w:val="00486C72"/>
    <w:rsid w:val="00487164"/>
    <w:rsid w:val="004878DF"/>
    <w:rsid w:val="0049042B"/>
    <w:rsid w:val="004908CC"/>
    <w:rsid w:val="00495473"/>
    <w:rsid w:val="004A2928"/>
    <w:rsid w:val="004A458E"/>
    <w:rsid w:val="004A4D8B"/>
    <w:rsid w:val="004B0336"/>
    <w:rsid w:val="004B23E7"/>
    <w:rsid w:val="004B306F"/>
    <w:rsid w:val="004C031B"/>
    <w:rsid w:val="004C3186"/>
    <w:rsid w:val="004C4420"/>
    <w:rsid w:val="004C5042"/>
    <w:rsid w:val="004C6D3D"/>
    <w:rsid w:val="004D0011"/>
    <w:rsid w:val="004D1BE0"/>
    <w:rsid w:val="004D1EF8"/>
    <w:rsid w:val="004E17BB"/>
    <w:rsid w:val="004E301F"/>
    <w:rsid w:val="004E4422"/>
    <w:rsid w:val="004E646A"/>
    <w:rsid w:val="004F057D"/>
    <w:rsid w:val="004F5BB3"/>
    <w:rsid w:val="0050168F"/>
    <w:rsid w:val="00503998"/>
    <w:rsid w:val="00503FCE"/>
    <w:rsid w:val="0050623B"/>
    <w:rsid w:val="00512AC3"/>
    <w:rsid w:val="00515FA4"/>
    <w:rsid w:val="005212E5"/>
    <w:rsid w:val="00523181"/>
    <w:rsid w:val="00524D13"/>
    <w:rsid w:val="005250A7"/>
    <w:rsid w:val="00530621"/>
    <w:rsid w:val="005339F6"/>
    <w:rsid w:val="0053636E"/>
    <w:rsid w:val="0053684E"/>
    <w:rsid w:val="00537F23"/>
    <w:rsid w:val="005413EE"/>
    <w:rsid w:val="005421CE"/>
    <w:rsid w:val="00542E82"/>
    <w:rsid w:val="005431F1"/>
    <w:rsid w:val="00547340"/>
    <w:rsid w:val="00552430"/>
    <w:rsid w:val="00563AB9"/>
    <w:rsid w:val="00571A6A"/>
    <w:rsid w:val="0057285B"/>
    <w:rsid w:val="00576B18"/>
    <w:rsid w:val="005847AD"/>
    <w:rsid w:val="00587724"/>
    <w:rsid w:val="00587FE1"/>
    <w:rsid w:val="00591512"/>
    <w:rsid w:val="005923B5"/>
    <w:rsid w:val="005930FF"/>
    <w:rsid w:val="005A003A"/>
    <w:rsid w:val="005A0D90"/>
    <w:rsid w:val="005B2D91"/>
    <w:rsid w:val="005B48B4"/>
    <w:rsid w:val="005C51F9"/>
    <w:rsid w:val="005C6661"/>
    <w:rsid w:val="005C6E3B"/>
    <w:rsid w:val="005D474B"/>
    <w:rsid w:val="005D48C4"/>
    <w:rsid w:val="005D7727"/>
    <w:rsid w:val="005E057B"/>
    <w:rsid w:val="005E085C"/>
    <w:rsid w:val="005E147D"/>
    <w:rsid w:val="005E22C2"/>
    <w:rsid w:val="005E4F5D"/>
    <w:rsid w:val="005E57BB"/>
    <w:rsid w:val="005E6A85"/>
    <w:rsid w:val="005F0017"/>
    <w:rsid w:val="005F0E1B"/>
    <w:rsid w:val="005F4FB2"/>
    <w:rsid w:val="00600347"/>
    <w:rsid w:val="006014F1"/>
    <w:rsid w:val="006066AE"/>
    <w:rsid w:val="0061357B"/>
    <w:rsid w:val="00614A7D"/>
    <w:rsid w:val="00617D89"/>
    <w:rsid w:val="00620D60"/>
    <w:rsid w:val="00625FC5"/>
    <w:rsid w:val="00630DA2"/>
    <w:rsid w:val="00633A4B"/>
    <w:rsid w:val="0063631C"/>
    <w:rsid w:val="0063757B"/>
    <w:rsid w:val="006377CE"/>
    <w:rsid w:val="0064128D"/>
    <w:rsid w:val="00642BDB"/>
    <w:rsid w:val="00651FE8"/>
    <w:rsid w:val="00653456"/>
    <w:rsid w:val="006537D9"/>
    <w:rsid w:val="006603C5"/>
    <w:rsid w:val="00663577"/>
    <w:rsid w:val="00664A48"/>
    <w:rsid w:val="00665DEF"/>
    <w:rsid w:val="00675BB1"/>
    <w:rsid w:val="00676445"/>
    <w:rsid w:val="006771E1"/>
    <w:rsid w:val="006775F1"/>
    <w:rsid w:val="006908AA"/>
    <w:rsid w:val="00692AA7"/>
    <w:rsid w:val="00697FEC"/>
    <w:rsid w:val="006A08EE"/>
    <w:rsid w:val="006A1494"/>
    <w:rsid w:val="006A175F"/>
    <w:rsid w:val="006A1C7E"/>
    <w:rsid w:val="006A246A"/>
    <w:rsid w:val="006A2E1D"/>
    <w:rsid w:val="006A44F5"/>
    <w:rsid w:val="006A6F39"/>
    <w:rsid w:val="006B245F"/>
    <w:rsid w:val="006B4208"/>
    <w:rsid w:val="006B4451"/>
    <w:rsid w:val="006B4537"/>
    <w:rsid w:val="006B5B62"/>
    <w:rsid w:val="006B5F85"/>
    <w:rsid w:val="006B6929"/>
    <w:rsid w:val="006B709B"/>
    <w:rsid w:val="006C54AF"/>
    <w:rsid w:val="006C6C83"/>
    <w:rsid w:val="006C784F"/>
    <w:rsid w:val="006D1190"/>
    <w:rsid w:val="006D3BDC"/>
    <w:rsid w:val="006D5C42"/>
    <w:rsid w:val="006D72E4"/>
    <w:rsid w:val="006D74F4"/>
    <w:rsid w:val="006E0181"/>
    <w:rsid w:val="006F3C55"/>
    <w:rsid w:val="006F51B1"/>
    <w:rsid w:val="00700C0E"/>
    <w:rsid w:val="007040AD"/>
    <w:rsid w:val="00705DAD"/>
    <w:rsid w:val="007066EA"/>
    <w:rsid w:val="0071109D"/>
    <w:rsid w:val="00711990"/>
    <w:rsid w:val="00721844"/>
    <w:rsid w:val="00722504"/>
    <w:rsid w:val="00722BA9"/>
    <w:rsid w:val="007247B9"/>
    <w:rsid w:val="00727D85"/>
    <w:rsid w:val="00733820"/>
    <w:rsid w:val="007346C7"/>
    <w:rsid w:val="00736041"/>
    <w:rsid w:val="007408C7"/>
    <w:rsid w:val="007465DA"/>
    <w:rsid w:val="00746BC2"/>
    <w:rsid w:val="00752C7F"/>
    <w:rsid w:val="00754A4C"/>
    <w:rsid w:val="00755E1B"/>
    <w:rsid w:val="00757984"/>
    <w:rsid w:val="0076298A"/>
    <w:rsid w:val="00766913"/>
    <w:rsid w:val="0077354E"/>
    <w:rsid w:val="0077399F"/>
    <w:rsid w:val="00774A1C"/>
    <w:rsid w:val="00775CD0"/>
    <w:rsid w:val="00776598"/>
    <w:rsid w:val="00781013"/>
    <w:rsid w:val="007819CA"/>
    <w:rsid w:val="0078470A"/>
    <w:rsid w:val="007847EC"/>
    <w:rsid w:val="00785266"/>
    <w:rsid w:val="00786746"/>
    <w:rsid w:val="007911D4"/>
    <w:rsid w:val="00792948"/>
    <w:rsid w:val="0079312A"/>
    <w:rsid w:val="00796E84"/>
    <w:rsid w:val="007A3ADE"/>
    <w:rsid w:val="007A4C78"/>
    <w:rsid w:val="007A5733"/>
    <w:rsid w:val="007A5774"/>
    <w:rsid w:val="007A6947"/>
    <w:rsid w:val="007B0457"/>
    <w:rsid w:val="007B0F65"/>
    <w:rsid w:val="007B644B"/>
    <w:rsid w:val="007B6B9B"/>
    <w:rsid w:val="007C2664"/>
    <w:rsid w:val="007C609E"/>
    <w:rsid w:val="007C667B"/>
    <w:rsid w:val="007C7574"/>
    <w:rsid w:val="007C7CD2"/>
    <w:rsid w:val="007D0CFC"/>
    <w:rsid w:val="007D7057"/>
    <w:rsid w:val="007E0AC0"/>
    <w:rsid w:val="007E31E0"/>
    <w:rsid w:val="007F2002"/>
    <w:rsid w:val="007F2CFB"/>
    <w:rsid w:val="007F2FC8"/>
    <w:rsid w:val="007F34E4"/>
    <w:rsid w:val="00801E74"/>
    <w:rsid w:val="0080485E"/>
    <w:rsid w:val="00804B47"/>
    <w:rsid w:val="00805455"/>
    <w:rsid w:val="008059DC"/>
    <w:rsid w:val="00810AFB"/>
    <w:rsid w:val="00812068"/>
    <w:rsid w:val="008142B4"/>
    <w:rsid w:val="0082109C"/>
    <w:rsid w:val="00822627"/>
    <w:rsid w:val="00832324"/>
    <w:rsid w:val="0083413A"/>
    <w:rsid w:val="00835337"/>
    <w:rsid w:val="00836FC2"/>
    <w:rsid w:val="008428FE"/>
    <w:rsid w:val="00843220"/>
    <w:rsid w:val="008441A4"/>
    <w:rsid w:val="00846DCD"/>
    <w:rsid w:val="00851D85"/>
    <w:rsid w:val="00854564"/>
    <w:rsid w:val="00856C83"/>
    <w:rsid w:val="00860627"/>
    <w:rsid w:val="00860CCB"/>
    <w:rsid w:val="00861158"/>
    <w:rsid w:val="00862648"/>
    <w:rsid w:val="0086397C"/>
    <w:rsid w:val="00865430"/>
    <w:rsid w:val="008740A3"/>
    <w:rsid w:val="008766B6"/>
    <w:rsid w:val="00877FA1"/>
    <w:rsid w:val="008808C2"/>
    <w:rsid w:val="00880E8B"/>
    <w:rsid w:val="00881EA2"/>
    <w:rsid w:val="0088563C"/>
    <w:rsid w:val="0088611B"/>
    <w:rsid w:val="00890C14"/>
    <w:rsid w:val="0089297B"/>
    <w:rsid w:val="008A0759"/>
    <w:rsid w:val="008A2F03"/>
    <w:rsid w:val="008A6203"/>
    <w:rsid w:val="008B1C11"/>
    <w:rsid w:val="008C052D"/>
    <w:rsid w:val="008C24B4"/>
    <w:rsid w:val="008C36CA"/>
    <w:rsid w:val="008C3FDC"/>
    <w:rsid w:val="008D27A1"/>
    <w:rsid w:val="008D3D6E"/>
    <w:rsid w:val="008D5196"/>
    <w:rsid w:val="008D5E62"/>
    <w:rsid w:val="008D68EF"/>
    <w:rsid w:val="008E3F8C"/>
    <w:rsid w:val="008E4A71"/>
    <w:rsid w:val="008E5A03"/>
    <w:rsid w:val="008E67BB"/>
    <w:rsid w:val="008F0283"/>
    <w:rsid w:val="008F0636"/>
    <w:rsid w:val="008F18FD"/>
    <w:rsid w:val="008F5953"/>
    <w:rsid w:val="00900C01"/>
    <w:rsid w:val="00902FD0"/>
    <w:rsid w:val="009053D3"/>
    <w:rsid w:val="0090691F"/>
    <w:rsid w:val="0091000C"/>
    <w:rsid w:val="00912A37"/>
    <w:rsid w:val="00913E1C"/>
    <w:rsid w:val="009215BB"/>
    <w:rsid w:val="0092386B"/>
    <w:rsid w:val="0092585D"/>
    <w:rsid w:val="0093111F"/>
    <w:rsid w:val="00931515"/>
    <w:rsid w:val="009349C5"/>
    <w:rsid w:val="00935689"/>
    <w:rsid w:val="00936E0F"/>
    <w:rsid w:val="0093791E"/>
    <w:rsid w:val="00942A5A"/>
    <w:rsid w:val="00944D2E"/>
    <w:rsid w:val="00946E09"/>
    <w:rsid w:val="00947370"/>
    <w:rsid w:val="00951867"/>
    <w:rsid w:val="00951C52"/>
    <w:rsid w:val="00952737"/>
    <w:rsid w:val="0095303B"/>
    <w:rsid w:val="00960ADF"/>
    <w:rsid w:val="009663B6"/>
    <w:rsid w:val="00973801"/>
    <w:rsid w:val="00974A47"/>
    <w:rsid w:val="0097567B"/>
    <w:rsid w:val="00980286"/>
    <w:rsid w:val="00980505"/>
    <w:rsid w:val="00984986"/>
    <w:rsid w:val="00990DCF"/>
    <w:rsid w:val="009A0ACD"/>
    <w:rsid w:val="009A27E2"/>
    <w:rsid w:val="009A4CD6"/>
    <w:rsid w:val="009A537C"/>
    <w:rsid w:val="009B03E0"/>
    <w:rsid w:val="009B287F"/>
    <w:rsid w:val="009B77E9"/>
    <w:rsid w:val="009C0886"/>
    <w:rsid w:val="009C19EE"/>
    <w:rsid w:val="009C28D0"/>
    <w:rsid w:val="009C35F2"/>
    <w:rsid w:val="009C7782"/>
    <w:rsid w:val="009D1ED5"/>
    <w:rsid w:val="009D4C13"/>
    <w:rsid w:val="009D5C29"/>
    <w:rsid w:val="009E21A7"/>
    <w:rsid w:val="009E2444"/>
    <w:rsid w:val="009F45AD"/>
    <w:rsid w:val="009F79D2"/>
    <w:rsid w:val="00A043AE"/>
    <w:rsid w:val="00A103ED"/>
    <w:rsid w:val="00A10952"/>
    <w:rsid w:val="00A11DCE"/>
    <w:rsid w:val="00A12C5E"/>
    <w:rsid w:val="00A13C60"/>
    <w:rsid w:val="00A15134"/>
    <w:rsid w:val="00A223F6"/>
    <w:rsid w:val="00A25AEC"/>
    <w:rsid w:val="00A32459"/>
    <w:rsid w:val="00A341A3"/>
    <w:rsid w:val="00A35800"/>
    <w:rsid w:val="00A43536"/>
    <w:rsid w:val="00A43991"/>
    <w:rsid w:val="00A47630"/>
    <w:rsid w:val="00A52918"/>
    <w:rsid w:val="00A547B3"/>
    <w:rsid w:val="00A54B1A"/>
    <w:rsid w:val="00A70E82"/>
    <w:rsid w:val="00A74F0A"/>
    <w:rsid w:val="00A8163E"/>
    <w:rsid w:val="00A84CAD"/>
    <w:rsid w:val="00A85DF6"/>
    <w:rsid w:val="00A87DEC"/>
    <w:rsid w:val="00A90E50"/>
    <w:rsid w:val="00A91D6D"/>
    <w:rsid w:val="00A943B1"/>
    <w:rsid w:val="00A94561"/>
    <w:rsid w:val="00A95FA5"/>
    <w:rsid w:val="00A96D92"/>
    <w:rsid w:val="00A973BB"/>
    <w:rsid w:val="00AA2C27"/>
    <w:rsid w:val="00AA6BD1"/>
    <w:rsid w:val="00AA7629"/>
    <w:rsid w:val="00AA7770"/>
    <w:rsid w:val="00AB199C"/>
    <w:rsid w:val="00AB3733"/>
    <w:rsid w:val="00AB50C9"/>
    <w:rsid w:val="00AB56C7"/>
    <w:rsid w:val="00AB588C"/>
    <w:rsid w:val="00AB7897"/>
    <w:rsid w:val="00AC26D6"/>
    <w:rsid w:val="00AC5054"/>
    <w:rsid w:val="00AE4BAC"/>
    <w:rsid w:val="00AE553A"/>
    <w:rsid w:val="00AE6D71"/>
    <w:rsid w:val="00AE7E9E"/>
    <w:rsid w:val="00AF432F"/>
    <w:rsid w:val="00AF6AA0"/>
    <w:rsid w:val="00B0035B"/>
    <w:rsid w:val="00B01EBA"/>
    <w:rsid w:val="00B034FC"/>
    <w:rsid w:val="00B037CF"/>
    <w:rsid w:val="00B05310"/>
    <w:rsid w:val="00B10A0B"/>
    <w:rsid w:val="00B17DDF"/>
    <w:rsid w:val="00B22296"/>
    <w:rsid w:val="00B231E1"/>
    <w:rsid w:val="00B255F9"/>
    <w:rsid w:val="00B27ABF"/>
    <w:rsid w:val="00B27C4F"/>
    <w:rsid w:val="00B30759"/>
    <w:rsid w:val="00B30D85"/>
    <w:rsid w:val="00B34018"/>
    <w:rsid w:val="00B34872"/>
    <w:rsid w:val="00B35A4A"/>
    <w:rsid w:val="00B44D87"/>
    <w:rsid w:val="00B453CF"/>
    <w:rsid w:val="00B45A47"/>
    <w:rsid w:val="00B45F04"/>
    <w:rsid w:val="00B549B6"/>
    <w:rsid w:val="00B563B9"/>
    <w:rsid w:val="00B63FD7"/>
    <w:rsid w:val="00B640D1"/>
    <w:rsid w:val="00B64B2B"/>
    <w:rsid w:val="00B65492"/>
    <w:rsid w:val="00B736C9"/>
    <w:rsid w:val="00B7400C"/>
    <w:rsid w:val="00B80A40"/>
    <w:rsid w:val="00B816D9"/>
    <w:rsid w:val="00B82250"/>
    <w:rsid w:val="00B85651"/>
    <w:rsid w:val="00B90E76"/>
    <w:rsid w:val="00B9120F"/>
    <w:rsid w:val="00B9216C"/>
    <w:rsid w:val="00B924A4"/>
    <w:rsid w:val="00B95441"/>
    <w:rsid w:val="00B96BB6"/>
    <w:rsid w:val="00BA102C"/>
    <w:rsid w:val="00BA1F09"/>
    <w:rsid w:val="00BA36FD"/>
    <w:rsid w:val="00BA7B64"/>
    <w:rsid w:val="00BB0D1A"/>
    <w:rsid w:val="00BB1D3B"/>
    <w:rsid w:val="00BB26D0"/>
    <w:rsid w:val="00BB675F"/>
    <w:rsid w:val="00BC3100"/>
    <w:rsid w:val="00BC35ED"/>
    <w:rsid w:val="00BD02A4"/>
    <w:rsid w:val="00BD364A"/>
    <w:rsid w:val="00BE0CA1"/>
    <w:rsid w:val="00BE205A"/>
    <w:rsid w:val="00BE3802"/>
    <w:rsid w:val="00BF0584"/>
    <w:rsid w:val="00BF238E"/>
    <w:rsid w:val="00BF2F4A"/>
    <w:rsid w:val="00BF544D"/>
    <w:rsid w:val="00C0076F"/>
    <w:rsid w:val="00C02B69"/>
    <w:rsid w:val="00C02CED"/>
    <w:rsid w:val="00C0301C"/>
    <w:rsid w:val="00C050B6"/>
    <w:rsid w:val="00C05E17"/>
    <w:rsid w:val="00C102E6"/>
    <w:rsid w:val="00C10F12"/>
    <w:rsid w:val="00C10F2C"/>
    <w:rsid w:val="00C1159C"/>
    <w:rsid w:val="00C11A65"/>
    <w:rsid w:val="00C13E2D"/>
    <w:rsid w:val="00C14069"/>
    <w:rsid w:val="00C170BE"/>
    <w:rsid w:val="00C245EA"/>
    <w:rsid w:val="00C24752"/>
    <w:rsid w:val="00C256F6"/>
    <w:rsid w:val="00C27184"/>
    <w:rsid w:val="00C3097E"/>
    <w:rsid w:val="00C31975"/>
    <w:rsid w:val="00C34BD8"/>
    <w:rsid w:val="00C35ECC"/>
    <w:rsid w:val="00C361A8"/>
    <w:rsid w:val="00C36339"/>
    <w:rsid w:val="00C41246"/>
    <w:rsid w:val="00C422BF"/>
    <w:rsid w:val="00C4418E"/>
    <w:rsid w:val="00C45E5F"/>
    <w:rsid w:val="00C46291"/>
    <w:rsid w:val="00C542F0"/>
    <w:rsid w:val="00C622D3"/>
    <w:rsid w:val="00C63412"/>
    <w:rsid w:val="00C65331"/>
    <w:rsid w:val="00C67FD3"/>
    <w:rsid w:val="00C714D0"/>
    <w:rsid w:val="00C71B07"/>
    <w:rsid w:val="00C80BCF"/>
    <w:rsid w:val="00C839E7"/>
    <w:rsid w:val="00C8512C"/>
    <w:rsid w:val="00C8654E"/>
    <w:rsid w:val="00C90E0F"/>
    <w:rsid w:val="00C90EF4"/>
    <w:rsid w:val="00C90FB1"/>
    <w:rsid w:val="00C954EA"/>
    <w:rsid w:val="00CA015A"/>
    <w:rsid w:val="00CA4B11"/>
    <w:rsid w:val="00CA7228"/>
    <w:rsid w:val="00CB0245"/>
    <w:rsid w:val="00CB1F76"/>
    <w:rsid w:val="00CB292B"/>
    <w:rsid w:val="00CC1AA3"/>
    <w:rsid w:val="00CC6723"/>
    <w:rsid w:val="00CD00DC"/>
    <w:rsid w:val="00CD0309"/>
    <w:rsid w:val="00CD2BCE"/>
    <w:rsid w:val="00CD4486"/>
    <w:rsid w:val="00CD7E24"/>
    <w:rsid w:val="00CE424C"/>
    <w:rsid w:val="00CE6425"/>
    <w:rsid w:val="00CE700D"/>
    <w:rsid w:val="00CE7AA8"/>
    <w:rsid w:val="00CF2510"/>
    <w:rsid w:val="00CF5E22"/>
    <w:rsid w:val="00D03602"/>
    <w:rsid w:val="00D06A44"/>
    <w:rsid w:val="00D1472A"/>
    <w:rsid w:val="00D151EB"/>
    <w:rsid w:val="00D16F45"/>
    <w:rsid w:val="00D202F5"/>
    <w:rsid w:val="00D20666"/>
    <w:rsid w:val="00D22CD3"/>
    <w:rsid w:val="00D24815"/>
    <w:rsid w:val="00D25204"/>
    <w:rsid w:val="00D25B17"/>
    <w:rsid w:val="00D27B64"/>
    <w:rsid w:val="00D300E0"/>
    <w:rsid w:val="00D30E48"/>
    <w:rsid w:val="00D374CD"/>
    <w:rsid w:val="00D50186"/>
    <w:rsid w:val="00D54715"/>
    <w:rsid w:val="00D54A28"/>
    <w:rsid w:val="00D55C14"/>
    <w:rsid w:val="00D57909"/>
    <w:rsid w:val="00D62C6A"/>
    <w:rsid w:val="00D62F2C"/>
    <w:rsid w:val="00D650CE"/>
    <w:rsid w:val="00D70FEC"/>
    <w:rsid w:val="00D71719"/>
    <w:rsid w:val="00D72F46"/>
    <w:rsid w:val="00D73C46"/>
    <w:rsid w:val="00D776DA"/>
    <w:rsid w:val="00D8758B"/>
    <w:rsid w:val="00D87D40"/>
    <w:rsid w:val="00D92A6E"/>
    <w:rsid w:val="00D93750"/>
    <w:rsid w:val="00D942B3"/>
    <w:rsid w:val="00D94863"/>
    <w:rsid w:val="00DA6BC1"/>
    <w:rsid w:val="00DA71E6"/>
    <w:rsid w:val="00DA7D09"/>
    <w:rsid w:val="00DB391F"/>
    <w:rsid w:val="00DC0973"/>
    <w:rsid w:val="00DC2630"/>
    <w:rsid w:val="00DC49E9"/>
    <w:rsid w:val="00DC55E4"/>
    <w:rsid w:val="00DC7D71"/>
    <w:rsid w:val="00DD188C"/>
    <w:rsid w:val="00DD29A3"/>
    <w:rsid w:val="00DD48EE"/>
    <w:rsid w:val="00DE0B96"/>
    <w:rsid w:val="00DE10B9"/>
    <w:rsid w:val="00DE18D2"/>
    <w:rsid w:val="00DE2D0C"/>
    <w:rsid w:val="00DE3BAD"/>
    <w:rsid w:val="00DF04B7"/>
    <w:rsid w:val="00DF0B13"/>
    <w:rsid w:val="00DF2EB8"/>
    <w:rsid w:val="00DF4A94"/>
    <w:rsid w:val="00DF5A24"/>
    <w:rsid w:val="00DF6003"/>
    <w:rsid w:val="00E00095"/>
    <w:rsid w:val="00E02228"/>
    <w:rsid w:val="00E03030"/>
    <w:rsid w:val="00E0421D"/>
    <w:rsid w:val="00E066C3"/>
    <w:rsid w:val="00E10D8C"/>
    <w:rsid w:val="00E12D35"/>
    <w:rsid w:val="00E1353A"/>
    <w:rsid w:val="00E1564B"/>
    <w:rsid w:val="00E208A0"/>
    <w:rsid w:val="00E209F7"/>
    <w:rsid w:val="00E253B8"/>
    <w:rsid w:val="00E25B49"/>
    <w:rsid w:val="00E36C96"/>
    <w:rsid w:val="00E371EA"/>
    <w:rsid w:val="00E40E0C"/>
    <w:rsid w:val="00E43433"/>
    <w:rsid w:val="00E52426"/>
    <w:rsid w:val="00E55ED9"/>
    <w:rsid w:val="00E56E61"/>
    <w:rsid w:val="00E57CA8"/>
    <w:rsid w:val="00E606B4"/>
    <w:rsid w:val="00E614B4"/>
    <w:rsid w:val="00E64429"/>
    <w:rsid w:val="00E677DD"/>
    <w:rsid w:val="00E71087"/>
    <w:rsid w:val="00E75428"/>
    <w:rsid w:val="00E7594B"/>
    <w:rsid w:val="00E82009"/>
    <w:rsid w:val="00E84960"/>
    <w:rsid w:val="00E8586B"/>
    <w:rsid w:val="00E8685E"/>
    <w:rsid w:val="00E86E36"/>
    <w:rsid w:val="00E9576A"/>
    <w:rsid w:val="00E97713"/>
    <w:rsid w:val="00EA2C12"/>
    <w:rsid w:val="00EA2FA7"/>
    <w:rsid w:val="00EA4F7B"/>
    <w:rsid w:val="00EB023B"/>
    <w:rsid w:val="00EB2F14"/>
    <w:rsid w:val="00EB4688"/>
    <w:rsid w:val="00EB5C58"/>
    <w:rsid w:val="00EB6C07"/>
    <w:rsid w:val="00EB6E1D"/>
    <w:rsid w:val="00EC028D"/>
    <w:rsid w:val="00EC1717"/>
    <w:rsid w:val="00EC2A9B"/>
    <w:rsid w:val="00EC2ECE"/>
    <w:rsid w:val="00ED16F5"/>
    <w:rsid w:val="00ED633B"/>
    <w:rsid w:val="00EE088D"/>
    <w:rsid w:val="00EE2BBB"/>
    <w:rsid w:val="00EE478C"/>
    <w:rsid w:val="00EE55B3"/>
    <w:rsid w:val="00EF0D94"/>
    <w:rsid w:val="00EF45A0"/>
    <w:rsid w:val="00EF5390"/>
    <w:rsid w:val="00F0768B"/>
    <w:rsid w:val="00F1132C"/>
    <w:rsid w:val="00F12383"/>
    <w:rsid w:val="00F14252"/>
    <w:rsid w:val="00F15D68"/>
    <w:rsid w:val="00F15DD5"/>
    <w:rsid w:val="00F17D4B"/>
    <w:rsid w:val="00F214D6"/>
    <w:rsid w:val="00F22231"/>
    <w:rsid w:val="00F22BB8"/>
    <w:rsid w:val="00F23139"/>
    <w:rsid w:val="00F2537B"/>
    <w:rsid w:val="00F255EE"/>
    <w:rsid w:val="00F4269F"/>
    <w:rsid w:val="00F43C0C"/>
    <w:rsid w:val="00F46C4E"/>
    <w:rsid w:val="00F66CD5"/>
    <w:rsid w:val="00F67A9A"/>
    <w:rsid w:val="00F70F4E"/>
    <w:rsid w:val="00F73113"/>
    <w:rsid w:val="00F75FC4"/>
    <w:rsid w:val="00F76501"/>
    <w:rsid w:val="00F779CE"/>
    <w:rsid w:val="00F8356C"/>
    <w:rsid w:val="00F85108"/>
    <w:rsid w:val="00F85981"/>
    <w:rsid w:val="00F86F41"/>
    <w:rsid w:val="00F86FC7"/>
    <w:rsid w:val="00F87263"/>
    <w:rsid w:val="00F93725"/>
    <w:rsid w:val="00FA1124"/>
    <w:rsid w:val="00FA3449"/>
    <w:rsid w:val="00FA4890"/>
    <w:rsid w:val="00FA4D56"/>
    <w:rsid w:val="00FA5715"/>
    <w:rsid w:val="00FB3A94"/>
    <w:rsid w:val="00FB77FA"/>
    <w:rsid w:val="00FC3C70"/>
    <w:rsid w:val="00FC4A73"/>
    <w:rsid w:val="00FC559C"/>
    <w:rsid w:val="00FC7740"/>
    <w:rsid w:val="00FC7F0D"/>
    <w:rsid w:val="00FD1B7F"/>
    <w:rsid w:val="00FD3C8A"/>
    <w:rsid w:val="00FD6C51"/>
    <w:rsid w:val="00FE44C4"/>
    <w:rsid w:val="00FE4A2A"/>
    <w:rsid w:val="00FE645A"/>
    <w:rsid w:val="00FF1C9B"/>
    <w:rsid w:val="00FF6102"/>
    <w:rsid w:val="00FF6A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3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Table Legend,BulletPoints,Numbered para,#List Paragraph,Recommendation,List Paragraph1,List Paragraph11,L,Bullet Level 1,Bullet Point,Bullet point,Bulletr List Paragraph,Content descriptions,FooterText,List Bullet 1,List Paragraph2,列"/>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customStyle="1" w:styleId="form-strength">
    <w:name w:val="form-strength"/>
    <w:basedOn w:val="DefaultParagraphFont"/>
    <w:rsid w:val="00CE6425"/>
  </w:style>
  <w:style w:type="paragraph" w:styleId="NormalWeb">
    <w:name w:val="Normal (Web)"/>
    <w:basedOn w:val="Normal"/>
    <w:uiPriority w:val="99"/>
    <w:unhideWhenUsed/>
    <w:rsid w:val="00276160"/>
    <w:pPr>
      <w:spacing w:before="100" w:beforeAutospacing="1" w:after="100" w:afterAutospacing="1"/>
    </w:pPr>
    <w:rPr>
      <w:rFonts w:ascii="Times New Roman" w:eastAsia="Times New Roman" w:hAnsi="Times New Roman" w:cs="Times New Roman"/>
    </w:rPr>
  </w:style>
  <w:style w:type="table" w:customStyle="1" w:styleId="TableGrid1">
    <w:name w:val="Table Grid1"/>
    <w:basedOn w:val="TableNormal"/>
    <w:next w:val="TableGrid"/>
    <w:uiPriority w:val="59"/>
    <w:rsid w:val="003841B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3841B1"/>
    <w:rPr>
      <w:rFonts w:ascii="Times New Roman" w:eastAsia="Times New Roman" w:hAnsi="Times New Roman" w:cs="Times New Roman"/>
      <w:b/>
      <w:bCs/>
      <w:color w:val="4F81BD" w:themeColor="accent1"/>
      <w:sz w:val="18"/>
      <w:szCs w:val="18"/>
    </w:rPr>
  </w:style>
  <w:style w:type="table" w:customStyle="1" w:styleId="TableGrid11">
    <w:name w:val="Table Grid11"/>
    <w:basedOn w:val="TableNormal"/>
    <w:next w:val="TableGrid"/>
    <w:uiPriority w:val="59"/>
    <w:rsid w:val="003841B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basedOn w:val="DefaultParagraphFont"/>
    <w:link w:val="Caption"/>
    <w:uiPriority w:val="35"/>
    <w:locked/>
    <w:rsid w:val="003841B1"/>
    <w:rPr>
      <w:rFonts w:ascii="Times New Roman" w:eastAsia="Times New Roman" w:hAnsi="Times New Roman" w:cs="Times New Roman"/>
      <w:b/>
      <w:bCs/>
      <w:color w:val="4F81BD" w:themeColor="accent1"/>
      <w:sz w:val="18"/>
      <w:szCs w:val="18"/>
    </w:rPr>
  </w:style>
  <w:style w:type="paragraph" w:customStyle="1" w:styleId="PBACHeading1">
    <w:name w:val="PBAC Heading 1"/>
    <w:qFormat/>
    <w:rsid w:val="009D5C29"/>
    <w:pPr>
      <w:numPr>
        <w:numId w:val="14"/>
      </w:numPr>
      <w:spacing w:after="0" w:line="240" w:lineRule="auto"/>
    </w:pPr>
    <w:rPr>
      <w:rFonts w:ascii="Arial" w:eastAsia="Times New Roman" w:hAnsi="Arial" w:cs="Arial"/>
      <w:b/>
      <w:snapToGrid w:val="0"/>
      <w:lang w:eastAsia="en-US"/>
    </w:rPr>
  </w:style>
  <w:style w:type="character" w:customStyle="1" w:styleId="ListParagraphChar">
    <w:name w:val="List Paragraph Char"/>
    <w:aliases w:val="Table Legend Char,BulletPoints Char,Numbered para Char,#List Paragraph Char,Recommendation Char,List Paragraph1 Char,List Paragraph11 Char,L Char,Bullet Level 1 Char,Bullet Point Char,Bullet point Char,Bulletr List Paragraph Char"/>
    <w:link w:val="ListParagraph"/>
    <w:uiPriority w:val="34"/>
    <w:rsid w:val="009D5C29"/>
    <w:rPr>
      <w:sz w:val="24"/>
      <w:szCs w:val="24"/>
    </w:rPr>
  </w:style>
  <w:style w:type="paragraph" w:customStyle="1" w:styleId="Bulletpoints">
    <w:name w:val="Bullet points"/>
    <w:basedOn w:val="ListParagraph"/>
    <w:qFormat/>
    <w:rsid w:val="00711990"/>
    <w:pPr>
      <w:widowControl w:val="0"/>
      <w:numPr>
        <w:numId w:val="16"/>
      </w:numPr>
      <w:spacing w:after="0"/>
      <w:contextualSpacing w:val="0"/>
      <w:jc w:val="both"/>
    </w:pPr>
    <w:rPr>
      <w:rFonts w:ascii="Calibri" w:eastAsia="Times New Roman" w:hAnsi="Calibri" w:cs="Arial"/>
      <w:snapToGrid w:val="0"/>
      <w:lang w:eastAsia="en-US"/>
    </w:rPr>
  </w:style>
  <w:style w:type="character" w:customStyle="1" w:styleId="UnresolvedMention1">
    <w:name w:val="Unresolved Mention1"/>
    <w:basedOn w:val="DefaultParagraphFont"/>
    <w:uiPriority w:val="99"/>
    <w:semiHidden/>
    <w:unhideWhenUsed/>
    <w:rsid w:val="009B28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470997">
      <w:bodyDiv w:val="1"/>
      <w:marLeft w:val="0"/>
      <w:marRight w:val="0"/>
      <w:marTop w:val="0"/>
      <w:marBottom w:val="0"/>
      <w:divBdr>
        <w:top w:val="none" w:sz="0" w:space="0" w:color="auto"/>
        <w:left w:val="none" w:sz="0" w:space="0" w:color="auto"/>
        <w:bottom w:val="none" w:sz="0" w:space="0" w:color="auto"/>
        <w:right w:val="none" w:sz="0" w:space="0" w:color="auto"/>
      </w:divBdr>
    </w:div>
    <w:div w:id="303580017">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57279181">
      <w:bodyDiv w:val="1"/>
      <w:marLeft w:val="0"/>
      <w:marRight w:val="0"/>
      <w:marTop w:val="0"/>
      <w:marBottom w:val="0"/>
      <w:divBdr>
        <w:top w:val="none" w:sz="0" w:space="0" w:color="auto"/>
        <w:left w:val="none" w:sz="0" w:space="0" w:color="auto"/>
        <w:bottom w:val="none" w:sz="0" w:space="0" w:color="auto"/>
        <w:right w:val="none" w:sz="0" w:space="0" w:color="auto"/>
      </w:divBdr>
    </w:div>
    <w:div w:id="605814900">
      <w:bodyDiv w:val="1"/>
      <w:marLeft w:val="0"/>
      <w:marRight w:val="0"/>
      <w:marTop w:val="0"/>
      <w:marBottom w:val="0"/>
      <w:divBdr>
        <w:top w:val="none" w:sz="0" w:space="0" w:color="auto"/>
        <w:left w:val="none" w:sz="0" w:space="0" w:color="auto"/>
        <w:bottom w:val="none" w:sz="0" w:space="0" w:color="auto"/>
        <w:right w:val="none" w:sz="0" w:space="0" w:color="auto"/>
      </w:divBdr>
    </w:div>
    <w:div w:id="737676707">
      <w:bodyDiv w:val="1"/>
      <w:marLeft w:val="120"/>
      <w:marRight w:val="120"/>
      <w:marTop w:val="0"/>
      <w:marBottom w:val="0"/>
      <w:divBdr>
        <w:top w:val="none" w:sz="0" w:space="0" w:color="auto"/>
        <w:left w:val="none" w:sz="0" w:space="0" w:color="auto"/>
        <w:bottom w:val="none" w:sz="0" w:space="0" w:color="auto"/>
        <w:right w:val="none" w:sz="0" w:space="0" w:color="auto"/>
      </w:divBdr>
    </w:div>
    <w:div w:id="803499990">
      <w:bodyDiv w:val="1"/>
      <w:marLeft w:val="0"/>
      <w:marRight w:val="0"/>
      <w:marTop w:val="0"/>
      <w:marBottom w:val="0"/>
      <w:divBdr>
        <w:top w:val="none" w:sz="0" w:space="0" w:color="auto"/>
        <w:left w:val="none" w:sz="0" w:space="0" w:color="auto"/>
        <w:bottom w:val="none" w:sz="0" w:space="0" w:color="auto"/>
        <w:right w:val="none" w:sz="0" w:space="0" w:color="auto"/>
      </w:divBdr>
    </w:div>
    <w:div w:id="814227145">
      <w:bodyDiv w:val="1"/>
      <w:marLeft w:val="0"/>
      <w:marRight w:val="0"/>
      <w:marTop w:val="0"/>
      <w:marBottom w:val="0"/>
      <w:divBdr>
        <w:top w:val="none" w:sz="0" w:space="0" w:color="auto"/>
        <w:left w:val="none" w:sz="0" w:space="0" w:color="auto"/>
        <w:bottom w:val="none" w:sz="0" w:space="0" w:color="auto"/>
        <w:right w:val="none" w:sz="0" w:space="0" w:color="auto"/>
      </w:divBdr>
    </w:div>
    <w:div w:id="833758703">
      <w:bodyDiv w:val="1"/>
      <w:marLeft w:val="0"/>
      <w:marRight w:val="0"/>
      <w:marTop w:val="0"/>
      <w:marBottom w:val="0"/>
      <w:divBdr>
        <w:top w:val="none" w:sz="0" w:space="0" w:color="auto"/>
        <w:left w:val="none" w:sz="0" w:space="0" w:color="auto"/>
        <w:bottom w:val="none" w:sz="0" w:space="0" w:color="auto"/>
        <w:right w:val="none" w:sz="0" w:space="0" w:color="auto"/>
      </w:divBdr>
    </w:div>
    <w:div w:id="843012982">
      <w:bodyDiv w:val="1"/>
      <w:marLeft w:val="0"/>
      <w:marRight w:val="0"/>
      <w:marTop w:val="0"/>
      <w:marBottom w:val="0"/>
      <w:divBdr>
        <w:top w:val="none" w:sz="0" w:space="0" w:color="auto"/>
        <w:left w:val="none" w:sz="0" w:space="0" w:color="auto"/>
        <w:bottom w:val="none" w:sz="0" w:space="0" w:color="auto"/>
        <w:right w:val="none" w:sz="0" w:space="0" w:color="auto"/>
      </w:divBdr>
    </w:div>
    <w:div w:id="850608323">
      <w:bodyDiv w:val="1"/>
      <w:marLeft w:val="0"/>
      <w:marRight w:val="0"/>
      <w:marTop w:val="0"/>
      <w:marBottom w:val="0"/>
      <w:divBdr>
        <w:top w:val="none" w:sz="0" w:space="0" w:color="auto"/>
        <w:left w:val="none" w:sz="0" w:space="0" w:color="auto"/>
        <w:bottom w:val="none" w:sz="0" w:space="0" w:color="auto"/>
        <w:right w:val="none" w:sz="0" w:space="0" w:color="auto"/>
      </w:divBdr>
    </w:div>
    <w:div w:id="866411231">
      <w:bodyDiv w:val="1"/>
      <w:marLeft w:val="0"/>
      <w:marRight w:val="0"/>
      <w:marTop w:val="0"/>
      <w:marBottom w:val="0"/>
      <w:divBdr>
        <w:top w:val="none" w:sz="0" w:space="0" w:color="auto"/>
        <w:left w:val="none" w:sz="0" w:space="0" w:color="auto"/>
        <w:bottom w:val="none" w:sz="0" w:space="0" w:color="auto"/>
        <w:right w:val="none" w:sz="0" w:space="0" w:color="auto"/>
      </w:divBdr>
    </w:div>
    <w:div w:id="879978383">
      <w:bodyDiv w:val="1"/>
      <w:marLeft w:val="120"/>
      <w:marRight w:val="120"/>
      <w:marTop w:val="0"/>
      <w:marBottom w:val="0"/>
      <w:divBdr>
        <w:top w:val="none" w:sz="0" w:space="0" w:color="auto"/>
        <w:left w:val="none" w:sz="0" w:space="0" w:color="auto"/>
        <w:bottom w:val="none" w:sz="0" w:space="0" w:color="auto"/>
        <w:right w:val="none" w:sz="0" w:space="0" w:color="auto"/>
      </w:divBdr>
    </w:div>
    <w:div w:id="920259138">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24931511">
      <w:bodyDiv w:val="1"/>
      <w:marLeft w:val="120"/>
      <w:marRight w:val="120"/>
      <w:marTop w:val="0"/>
      <w:marBottom w:val="0"/>
      <w:divBdr>
        <w:top w:val="none" w:sz="0" w:space="0" w:color="auto"/>
        <w:left w:val="none" w:sz="0" w:space="0" w:color="auto"/>
        <w:bottom w:val="none" w:sz="0" w:space="0" w:color="auto"/>
        <w:right w:val="none" w:sz="0" w:space="0" w:color="auto"/>
      </w:divBdr>
    </w:div>
    <w:div w:id="1134442387">
      <w:bodyDiv w:val="1"/>
      <w:marLeft w:val="0"/>
      <w:marRight w:val="0"/>
      <w:marTop w:val="0"/>
      <w:marBottom w:val="0"/>
      <w:divBdr>
        <w:top w:val="none" w:sz="0" w:space="0" w:color="auto"/>
        <w:left w:val="none" w:sz="0" w:space="0" w:color="auto"/>
        <w:bottom w:val="none" w:sz="0" w:space="0" w:color="auto"/>
        <w:right w:val="none" w:sz="0" w:space="0" w:color="auto"/>
      </w:divBdr>
    </w:div>
    <w:div w:id="1134832860">
      <w:bodyDiv w:val="1"/>
      <w:marLeft w:val="0"/>
      <w:marRight w:val="0"/>
      <w:marTop w:val="0"/>
      <w:marBottom w:val="0"/>
      <w:divBdr>
        <w:top w:val="none" w:sz="0" w:space="0" w:color="auto"/>
        <w:left w:val="none" w:sz="0" w:space="0" w:color="auto"/>
        <w:bottom w:val="none" w:sz="0" w:space="0" w:color="auto"/>
        <w:right w:val="none" w:sz="0" w:space="0" w:color="auto"/>
      </w:divBdr>
    </w:div>
    <w:div w:id="1140415479">
      <w:bodyDiv w:val="1"/>
      <w:marLeft w:val="0"/>
      <w:marRight w:val="0"/>
      <w:marTop w:val="0"/>
      <w:marBottom w:val="0"/>
      <w:divBdr>
        <w:top w:val="none" w:sz="0" w:space="0" w:color="auto"/>
        <w:left w:val="none" w:sz="0" w:space="0" w:color="auto"/>
        <w:bottom w:val="none" w:sz="0" w:space="0" w:color="auto"/>
        <w:right w:val="none" w:sz="0" w:space="0" w:color="auto"/>
      </w:divBdr>
    </w:div>
    <w:div w:id="1212809294">
      <w:bodyDiv w:val="1"/>
      <w:marLeft w:val="0"/>
      <w:marRight w:val="0"/>
      <w:marTop w:val="0"/>
      <w:marBottom w:val="0"/>
      <w:divBdr>
        <w:top w:val="none" w:sz="0" w:space="0" w:color="auto"/>
        <w:left w:val="none" w:sz="0" w:space="0" w:color="auto"/>
        <w:bottom w:val="none" w:sz="0" w:space="0" w:color="auto"/>
        <w:right w:val="none" w:sz="0" w:space="0" w:color="auto"/>
      </w:divBdr>
    </w:div>
    <w:div w:id="1242760615">
      <w:bodyDiv w:val="1"/>
      <w:marLeft w:val="0"/>
      <w:marRight w:val="0"/>
      <w:marTop w:val="0"/>
      <w:marBottom w:val="0"/>
      <w:divBdr>
        <w:top w:val="none" w:sz="0" w:space="0" w:color="auto"/>
        <w:left w:val="none" w:sz="0" w:space="0" w:color="auto"/>
        <w:bottom w:val="none" w:sz="0" w:space="0" w:color="auto"/>
        <w:right w:val="none" w:sz="0" w:space="0" w:color="auto"/>
      </w:divBdr>
    </w:div>
    <w:div w:id="1300458332">
      <w:bodyDiv w:val="1"/>
      <w:marLeft w:val="0"/>
      <w:marRight w:val="0"/>
      <w:marTop w:val="0"/>
      <w:marBottom w:val="0"/>
      <w:divBdr>
        <w:top w:val="none" w:sz="0" w:space="0" w:color="auto"/>
        <w:left w:val="none" w:sz="0" w:space="0" w:color="auto"/>
        <w:bottom w:val="none" w:sz="0" w:space="0" w:color="auto"/>
        <w:right w:val="none" w:sz="0" w:space="0" w:color="auto"/>
      </w:divBdr>
    </w:div>
    <w:div w:id="1371691237">
      <w:bodyDiv w:val="1"/>
      <w:marLeft w:val="0"/>
      <w:marRight w:val="0"/>
      <w:marTop w:val="0"/>
      <w:marBottom w:val="0"/>
      <w:divBdr>
        <w:top w:val="none" w:sz="0" w:space="0" w:color="auto"/>
        <w:left w:val="none" w:sz="0" w:space="0" w:color="auto"/>
        <w:bottom w:val="none" w:sz="0" w:space="0" w:color="auto"/>
        <w:right w:val="none" w:sz="0" w:space="0" w:color="auto"/>
      </w:divBdr>
    </w:div>
    <w:div w:id="1410620029">
      <w:bodyDiv w:val="1"/>
      <w:marLeft w:val="0"/>
      <w:marRight w:val="0"/>
      <w:marTop w:val="0"/>
      <w:marBottom w:val="0"/>
      <w:divBdr>
        <w:top w:val="none" w:sz="0" w:space="0" w:color="auto"/>
        <w:left w:val="none" w:sz="0" w:space="0" w:color="auto"/>
        <w:bottom w:val="none" w:sz="0" w:space="0" w:color="auto"/>
        <w:right w:val="none" w:sz="0" w:space="0" w:color="auto"/>
      </w:divBdr>
    </w:div>
    <w:div w:id="1456173940">
      <w:bodyDiv w:val="1"/>
      <w:marLeft w:val="0"/>
      <w:marRight w:val="0"/>
      <w:marTop w:val="0"/>
      <w:marBottom w:val="0"/>
      <w:divBdr>
        <w:top w:val="none" w:sz="0" w:space="0" w:color="auto"/>
        <w:left w:val="none" w:sz="0" w:space="0" w:color="auto"/>
        <w:bottom w:val="none" w:sz="0" w:space="0" w:color="auto"/>
        <w:right w:val="none" w:sz="0" w:space="0" w:color="auto"/>
      </w:divBdr>
    </w:div>
    <w:div w:id="1482575960">
      <w:bodyDiv w:val="1"/>
      <w:marLeft w:val="0"/>
      <w:marRight w:val="0"/>
      <w:marTop w:val="0"/>
      <w:marBottom w:val="0"/>
      <w:divBdr>
        <w:top w:val="none" w:sz="0" w:space="0" w:color="auto"/>
        <w:left w:val="none" w:sz="0" w:space="0" w:color="auto"/>
        <w:bottom w:val="none" w:sz="0" w:space="0" w:color="auto"/>
        <w:right w:val="none" w:sz="0" w:space="0" w:color="auto"/>
      </w:divBdr>
    </w:div>
    <w:div w:id="1484009340">
      <w:bodyDiv w:val="1"/>
      <w:marLeft w:val="0"/>
      <w:marRight w:val="0"/>
      <w:marTop w:val="0"/>
      <w:marBottom w:val="0"/>
      <w:divBdr>
        <w:top w:val="none" w:sz="0" w:space="0" w:color="auto"/>
        <w:left w:val="none" w:sz="0" w:space="0" w:color="auto"/>
        <w:bottom w:val="none" w:sz="0" w:space="0" w:color="auto"/>
        <w:right w:val="none" w:sz="0" w:space="0" w:color="auto"/>
      </w:divBdr>
    </w:div>
    <w:div w:id="1611622216">
      <w:bodyDiv w:val="1"/>
      <w:marLeft w:val="0"/>
      <w:marRight w:val="0"/>
      <w:marTop w:val="0"/>
      <w:marBottom w:val="0"/>
      <w:divBdr>
        <w:top w:val="none" w:sz="0" w:space="0" w:color="auto"/>
        <w:left w:val="none" w:sz="0" w:space="0" w:color="auto"/>
        <w:bottom w:val="none" w:sz="0" w:space="0" w:color="auto"/>
        <w:right w:val="none" w:sz="0" w:space="0" w:color="auto"/>
      </w:divBdr>
    </w:div>
    <w:div w:id="1698921057">
      <w:bodyDiv w:val="1"/>
      <w:marLeft w:val="0"/>
      <w:marRight w:val="0"/>
      <w:marTop w:val="0"/>
      <w:marBottom w:val="0"/>
      <w:divBdr>
        <w:top w:val="none" w:sz="0" w:space="0" w:color="auto"/>
        <w:left w:val="none" w:sz="0" w:space="0" w:color="auto"/>
        <w:bottom w:val="none" w:sz="0" w:space="0" w:color="auto"/>
        <w:right w:val="none" w:sz="0" w:space="0" w:color="auto"/>
      </w:divBdr>
    </w:div>
    <w:div w:id="1714454020">
      <w:bodyDiv w:val="1"/>
      <w:marLeft w:val="0"/>
      <w:marRight w:val="0"/>
      <w:marTop w:val="0"/>
      <w:marBottom w:val="0"/>
      <w:divBdr>
        <w:top w:val="none" w:sz="0" w:space="0" w:color="auto"/>
        <w:left w:val="none" w:sz="0" w:space="0" w:color="auto"/>
        <w:bottom w:val="none" w:sz="0" w:space="0" w:color="auto"/>
        <w:right w:val="none" w:sz="0" w:space="0" w:color="auto"/>
      </w:divBdr>
    </w:div>
    <w:div w:id="1819608476">
      <w:bodyDiv w:val="1"/>
      <w:marLeft w:val="0"/>
      <w:marRight w:val="0"/>
      <w:marTop w:val="0"/>
      <w:marBottom w:val="0"/>
      <w:divBdr>
        <w:top w:val="none" w:sz="0" w:space="0" w:color="auto"/>
        <w:left w:val="none" w:sz="0" w:space="0" w:color="auto"/>
        <w:bottom w:val="none" w:sz="0" w:space="0" w:color="auto"/>
        <w:right w:val="none" w:sz="0" w:space="0" w:color="auto"/>
      </w:divBdr>
    </w:div>
    <w:div w:id="1835490012">
      <w:bodyDiv w:val="1"/>
      <w:marLeft w:val="0"/>
      <w:marRight w:val="0"/>
      <w:marTop w:val="0"/>
      <w:marBottom w:val="0"/>
      <w:divBdr>
        <w:top w:val="none" w:sz="0" w:space="0" w:color="auto"/>
        <w:left w:val="none" w:sz="0" w:space="0" w:color="auto"/>
        <w:bottom w:val="none" w:sz="0" w:space="0" w:color="auto"/>
        <w:right w:val="none" w:sz="0" w:space="0" w:color="auto"/>
      </w:divBdr>
    </w:div>
    <w:div w:id="213864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ga.gov.au/hp/information-medicines-pi.htm" TargetMode="External"/><Relationship Id="rId13" Type="http://schemas.openxmlformats.org/officeDocument/2006/relationships/hyperlink" Target="https://www.pbs.gov.au/pbs/industry/listing/elements/pbac-meetings/psd/2017-03/tolvaptan-psd-march-2017" TargetMode="External"/><Relationship Id="rId18" Type="http://schemas.openxmlformats.org/officeDocument/2006/relationships/chart" Target="charts/chart2.xml"/><Relationship Id="rId26" Type="http://schemas.openxmlformats.org/officeDocument/2006/relationships/hyperlink" Target="https://doi.org/10.1371/journal.pone.0190430" TargetMode="Externa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entral.health\DFSGroupData\Sites\CO1\CO\PBD\PEB\EVAL\DUSC\DUSC%20Documents\Predicted%20vs%20actual%20usage\pbs.gov.au" TargetMode="External"/><Relationship Id="rId17" Type="http://schemas.openxmlformats.org/officeDocument/2006/relationships/chart" Target="charts/chart1.xml"/><Relationship Id="rId25" Type="http://schemas.openxmlformats.org/officeDocument/2006/relationships/hyperlink" Target="http://www.medicareaustralia.gov.au/provider/pbs/stats.js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bs.gov.au/pbs/industry/listing/elements/pbac-meetings/psd/2019-11/tolvaptan-tablets-15-mg-tablets-30-mg-pack-containing-28-tablets" TargetMode="External"/><Relationship Id="rId20" Type="http://schemas.openxmlformats.org/officeDocument/2006/relationships/chart" Target="charts/chart4.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entral.health\DFSGroupData\Sites\CO1\CO\PBD\PEB\EVAL\DUSC\DUSC%20Documents\Predicted%20vs%20actual%20usage\pbs.gov.au" TargetMode="External"/><Relationship Id="rId24" Type="http://schemas.openxmlformats.org/officeDocument/2006/relationships/hyperlink" Target="https://kidney.org.au/resources/factsheets-and-photosheets/polycystic-kidney-disease-factsheet"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pbs.gov.au/pbs/industry/listing/elements/pbac-meetings/psd/2018-07/Tolvaptan-psd-july-2018" TargetMode="External"/><Relationship Id="rId23" Type="http://schemas.openxmlformats.org/officeDocument/2006/relationships/hyperlink" Target="https://www.tga.gov.au/product-information-pi" TargetMode="External"/><Relationship Id="rId28" Type="http://schemas.openxmlformats.org/officeDocument/2006/relationships/header" Target="header2.xml"/><Relationship Id="rId10" Type="http://schemas.openxmlformats.org/officeDocument/2006/relationships/hyperlink" Target="http://www.pbs.gov.au/pbs/home" TargetMode="External"/><Relationship Id="rId19" Type="http://schemas.openxmlformats.org/officeDocument/2006/relationships/chart" Target="charts/chart3.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tga.gov.au/consumers/information-medicines-cmi.htm" TargetMode="External"/><Relationship Id="rId14" Type="http://schemas.openxmlformats.org/officeDocument/2006/relationships/hyperlink" Target="https://www.pbs.gov.au/pbs/industry/listing/elements/pbac-meetings/psd/2018-03/Tolvaptan-psd-march-2018" TargetMode="External"/><Relationship Id="rId22" Type="http://schemas.openxmlformats.org/officeDocument/2006/relationships/chart" Target="charts/chart5.xml"/><Relationship Id="rId27" Type="http://schemas.openxmlformats.org/officeDocument/2006/relationships/header" Target="header1.xml"/><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anzsnasm.com/11038" TargetMode="External"/><Relationship Id="rId2" Type="http://schemas.openxmlformats.org/officeDocument/2006/relationships/hyperlink" Target="http://www.medicareaustralia.gov.au/provider/pbs/stats.jsp" TargetMode="External"/><Relationship Id="rId1" Type="http://schemas.openxmlformats.org/officeDocument/2006/relationships/hyperlink" Target="https://www.tga.gov.au/product-information-pi"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entral.health\dfsuserenv\Users\User_04\HOMONI\Desktop\Tolvaptan\Tolvaptan%20review.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entral.health\dfsuserenv\Users\User_04\HOMONI\Desktop\Tolvaptan\Tolvaptan%20review.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userenv\Users\User_04\HOMONI\Desktop\Tolvaptan\Tolvaptan%20review.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entral.health\dfsuserenv\Users\User_04\HOMONI\Desktop\Tolvaptan\Tolvaptan%20review.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entral.health\dfsuserenv\Users\User_04\HOMONI\Desktop\Tolvaptan\Tolvaptan%20review.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[Tolvaptan review.xlsx]supp qtr!PivotTable1</c:name>
    <c:fmtId val="-1"/>
  </c:pivotSource>
  <c:chart>
    <c:autoTitleDeleted val="1"/>
    <c:pivotFmts>
      <c:pivotFmt>
        <c:idx val="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s>
    <c:plotArea>
      <c:layout/>
      <c:lineChart>
        <c:grouping val="standard"/>
        <c:varyColors val="0"/>
        <c:ser>
          <c:idx val="0"/>
          <c:order val="0"/>
          <c:tx>
            <c:strRef>
              <c:f>'supp qtr'!$U$1</c:f>
              <c:strCache>
                <c:ptCount val="1"/>
                <c:pt idx="0">
                  <c:v>Total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'supp qtr'!$T$2:$T$12</c:f>
              <c:strCache>
                <c:ptCount val="10"/>
                <c:pt idx="0">
                  <c:v>2019Q1</c:v>
                </c:pt>
                <c:pt idx="1">
                  <c:v>2019Q2</c:v>
                </c:pt>
                <c:pt idx="2">
                  <c:v>2019Q3</c:v>
                </c:pt>
                <c:pt idx="3">
                  <c:v>2019Q4</c:v>
                </c:pt>
                <c:pt idx="4">
                  <c:v>2020Q1</c:v>
                </c:pt>
                <c:pt idx="5">
                  <c:v>2020Q2</c:v>
                </c:pt>
                <c:pt idx="6">
                  <c:v>2020Q3</c:v>
                </c:pt>
                <c:pt idx="7">
                  <c:v>2020Q4</c:v>
                </c:pt>
                <c:pt idx="8">
                  <c:v>2021Q1</c:v>
                </c:pt>
                <c:pt idx="9">
                  <c:v>2021Q2</c:v>
                </c:pt>
              </c:strCache>
            </c:strRef>
          </c:cat>
          <c:val>
            <c:numRef>
              <c:f>'supp qtr'!$U$2:$U$12</c:f>
              <c:numCache>
                <c:formatCode>#,##0</c:formatCode>
                <c:ptCount val="10"/>
                <c:pt idx="0">
                  <c:v>168</c:v>
                </c:pt>
                <c:pt idx="1">
                  <c:v>524</c:v>
                </c:pt>
                <c:pt idx="2">
                  <c:v>735</c:v>
                </c:pt>
                <c:pt idx="3">
                  <c:v>896</c:v>
                </c:pt>
                <c:pt idx="4">
                  <c:v>932</c:v>
                </c:pt>
                <c:pt idx="5">
                  <c:v>1045</c:v>
                </c:pt>
                <c:pt idx="6">
                  <c:v>1171</c:v>
                </c:pt>
                <c:pt idx="7">
                  <c:v>1273</c:v>
                </c:pt>
                <c:pt idx="8">
                  <c:v>1253</c:v>
                </c:pt>
                <c:pt idx="9">
                  <c:v>1376</c:v>
                </c:pt>
              </c:numCache>
            </c:numRef>
          </c:val>
          <c:smooth val="0"/>
          <c:extLst>
            <c:ext xmlns:c16="http://schemas.microsoft.com/office/drawing/2014/chart" uri="{C3380CC4-5D6E-409C-BE32-E72D297353CC}">
              <c16:uniqueId val="{00000000-D43D-4270-800F-B02B3E5C6988}"/>
            </c:ext>
          </c:extLst>
        </c:ser>
        <c:dLbls>
          <c:showLegendKey val="0"/>
          <c:showVal val="0"/>
          <c:showCatName val="0"/>
          <c:showSerName val="0"/>
          <c:showPercent val="0"/>
          <c:showBubbleSize val="0"/>
        </c:dLbls>
        <c:marker val="1"/>
        <c:smooth val="0"/>
        <c:axId val="666298856"/>
        <c:axId val="666299512"/>
      </c:lineChart>
      <c:catAx>
        <c:axId val="666298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299512"/>
        <c:crosses val="autoZero"/>
        <c:auto val="1"/>
        <c:lblAlgn val="ctr"/>
        <c:lblOffset val="100"/>
        <c:noMultiLvlLbl val="0"/>
      </c:catAx>
      <c:valAx>
        <c:axId val="666299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298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[Tolvaptan review.xlsx]patients!PivotTable2</c:name>
    <c:fmtId val="-1"/>
  </c:pivotSource>
  <c:chart>
    <c:autoTitleDeleted val="0"/>
    <c:pivotFmts>
      <c:pivotFmt>
        <c:idx val="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3"/>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s>
    <c:plotArea>
      <c:layout/>
      <c:lineChart>
        <c:grouping val="standard"/>
        <c:varyColors val="0"/>
        <c:ser>
          <c:idx val="0"/>
          <c:order val="0"/>
          <c:tx>
            <c:strRef>
              <c:f>patients!$W$1</c:f>
              <c:strCache>
                <c:ptCount val="1"/>
                <c:pt idx="0">
                  <c:v>Initiating patients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patients!$V$2:$V$12</c:f>
              <c:strCache>
                <c:ptCount val="10"/>
                <c:pt idx="0">
                  <c:v>2019Q1</c:v>
                </c:pt>
                <c:pt idx="1">
                  <c:v>2019Q2</c:v>
                </c:pt>
                <c:pt idx="2">
                  <c:v>2019Q3</c:v>
                </c:pt>
                <c:pt idx="3">
                  <c:v>2019Q4</c:v>
                </c:pt>
                <c:pt idx="4">
                  <c:v>2020Q1</c:v>
                </c:pt>
                <c:pt idx="5">
                  <c:v>2020Q2</c:v>
                </c:pt>
                <c:pt idx="6">
                  <c:v>2020Q3</c:v>
                </c:pt>
                <c:pt idx="7">
                  <c:v>2020Q4</c:v>
                </c:pt>
                <c:pt idx="8">
                  <c:v>2021Q1</c:v>
                </c:pt>
                <c:pt idx="9">
                  <c:v>2021Q2</c:v>
                </c:pt>
              </c:strCache>
            </c:strRef>
          </c:cat>
          <c:val>
            <c:numRef>
              <c:f>patients!$W$2:$W$12</c:f>
              <c:numCache>
                <c:formatCode>General</c:formatCode>
                <c:ptCount val="10"/>
                <c:pt idx="0">
                  <c:v>100</c:v>
                </c:pt>
                <c:pt idx="1">
                  <c:v>115</c:v>
                </c:pt>
                <c:pt idx="2">
                  <c:v>86</c:v>
                </c:pt>
                <c:pt idx="3">
                  <c:v>61</c:v>
                </c:pt>
                <c:pt idx="4">
                  <c:v>51</c:v>
                </c:pt>
                <c:pt idx="5">
                  <c:v>43</c:v>
                </c:pt>
                <c:pt idx="6">
                  <c:v>51</c:v>
                </c:pt>
                <c:pt idx="7">
                  <c:v>59</c:v>
                </c:pt>
                <c:pt idx="8">
                  <c:v>48</c:v>
                </c:pt>
                <c:pt idx="9">
                  <c:v>60</c:v>
                </c:pt>
              </c:numCache>
            </c:numRef>
          </c:val>
          <c:smooth val="0"/>
          <c:extLst>
            <c:ext xmlns:c16="http://schemas.microsoft.com/office/drawing/2014/chart" uri="{C3380CC4-5D6E-409C-BE32-E72D297353CC}">
              <c16:uniqueId val="{00000000-78A7-4DED-8D28-C5CFC898A522}"/>
            </c:ext>
          </c:extLst>
        </c:ser>
        <c:ser>
          <c:idx val="1"/>
          <c:order val="1"/>
          <c:tx>
            <c:strRef>
              <c:f>patients!$X$1</c:f>
              <c:strCache>
                <c:ptCount val="1"/>
                <c:pt idx="0">
                  <c:v>Prevalent patients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patients!$V$2:$V$12</c:f>
              <c:strCache>
                <c:ptCount val="10"/>
                <c:pt idx="0">
                  <c:v>2019Q1</c:v>
                </c:pt>
                <c:pt idx="1">
                  <c:v>2019Q2</c:v>
                </c:pt>
                <c:pt idx="2">
                  <c:v>2019Q3</c:v>
                </c:pt>
                <c:pt idx="3">
                  <c:v>2019Q4</c:v>
                </c:pt>
                <c:pt idx="4">
                  <c:v>2020Q1</c:v>
                </c:pt>
                <c:pt idx="5">
                  <c:v>2020Q2</c:v>
                </c:pt>
                <c:pt idx="6">
                  <c:v>2020Q3</c:v>
                </c:pt>
                <c:pt idx="7">
                  <c:v>2020Q4</c:v>
                </c:pt>
                <c:pt idx="8">
                  <c:v>2021Q1</c:v>
                </c:pt>
                <c:pt idx="9">
                  <c:v>2021Q2</c:v>
                </c:pt>
              </c:strCache>
            </c:strRef>
          </c:cat>
          <c:val>
            <c:numRef>
              <c:f>patients!$X$2:$X$12</c:f>
              <c:numCache>
                <c:formatCode>General</c:formatCode>
                <c:ptCount val="10"/>
                <c:pt idx="0">
                  <c:v>100</c:v>
                </c:pt>
                <c:pt idx="1">
                  <c:v>205</c:v>
                </c:pt>
                <c:pt idx="2">
                  <c:v>271</c:v>
                </c:pt>
                <c:pt idx="3">
                  <c:v>318</c:v>
                </c:pt>
                <c:pt idx="4">
                  <c:v>341</c:v>
                </c:pt>
                <c:pt idx="5">
                  <c:v>365</c:v>
                </c:pt>
                <c:pt idx="6">
                  <c:v>396</c:v>
                </c:pt>
                <c:pt idx="7">
                  <c:v>438</c:v>
                </c:pt>
                <c:pt idx="8">
                  <c:v>448</c:v>
                </c:pt>
                <c:pt idx="9">
                  <c:v>491</c:v>
                </c:pt>
              </c:numCache>
            </c:numRef>
          </c:val>
          <c:smooth val="0"/>
          <c:extLst>
            <c:ext xmlns:c16="http://schemas.microsoft.com/office/drawing/2014/chart" uri="{C3380CC4-5D6E-409C-BE32-E72D297353CC}">
              <c16:uniqueId val="{00000001-78A7-4DED-8D28-C5CFC898A522}"/>
            </c:ext>
          </c:extLst>
        </c:ser>
        <c:dLbls>
          <c:showLegendKey val="0"/>
          <c:showVal val="0"/>
          <c:showCatName val="0"/>
          <c:showSerName val="0"/>
          <c:showPercent val="0"/>
          <c:showBubbleSize val="0"/>
        </c:dLbls>
        <c:marker val="1"/>
        <c:smooth val="0"/>
        <c:axId val="674446600"/>
        <c:axId val="674443320"/>
      </c:lineChart>
      <c:catAx>
        <c:axId val="674446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4443320"/>
        <c:crosses val="autoZero"/>
        <c:auto val="1"/>
        <c:lblAlgn val="ctr"/>
        <c:lblOffset val="100"/>
        <c:noMultiLvlLbl val="0"/>
      </c:catAx>
      <c:valAx>
        <c:axId val="674443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4446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[Tolvaptan review.xlsx]strenght!PivotTable6</c:name>
    <c:fmtId val="-1"/>
  </c:pivotSource>
  <c:chart>
    <c:autoTitleDeleted val="0"/>
    <c:pivotFmts>
      <c:pivotFmt>
        <c:idx val="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1"/>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2"/>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3"/>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5"/>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6"/>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7"/>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
        <c:idx val="8"/>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pivotFmt>
      <c:pivotFmt>
        <c:idx val="9"/>
        <c:spPr>
          <a:solidFill>
            <a:schemeClr val="accent1"/>
          </a:solidFill>
          <a:ln w="28575" cap="rnd">
            <a:solidFill>
              <a:schemeClr val="accent1"/>
            </a:solidFill>
            <a:round/>
          </a:ln>
          <a:effectLst/>
        </c:spPr>
        <c:marker>
          <c:symbol val="circle"/>
          <c:size val="5"/>
          <c:spPr>
            <a:solidFill>
              <a:schemeClr val="accent2"/>
            </a:solidFill>
            <a:ln w="9525">
              <a:solidFill>
                <a:schemeClr val="accent2"/>
              </a:solidFill>
            </a:ln>
            <a:effectLst/>
          </c:spPr>
        </c:marker>
      </c:pivotFmt>
      <c:pivotFmt>
        <c:idx val="10"/>
        <c:spPr>
          <a:solidFill>
            <a:schemeClr val="accent1"/>
          </a:solidFill>
          <a:ln w="28575" cap="rnd">
            <a:solidFill>
              <a:schemeClr val="accent1"/>
            </a:solidFill>
            <a:round/>
          </a:ln>
          <a:effectLst/>
        </c:spPr>
        <c:marker>
          <c:symbol val="circle"/>
          <c:size val="5"/>
          <c:spPr>
            <a:solidFill>
              <a:schemeClr val="accent3"/>
            </a:solidFill>
            <a:ln w="9525">
              <a:solidFill>
                <a:schemeClr val="accent3"/>
              </a:solidFill>
            </a:ln>
            <a:effectLst/>
          </c:spPr>
        </c:marker>
      </c:pivotFmt>
      <c:pivotFmt>
        <c:idx val="11"/>
        <c:spPr>
          <a:solidFill>
            <a:schemeClr val="accent1"/>
          </a:solidFill>
          <a:ln w="28575" cap="rnd">
            <a:solidFill>
              <a:schemeClr val="accent1"/>
            </a:solidFill>
            <a:round/>
          </a:ln>
          <a:effectLst/>
        </c:spPr>
        <c:marker>
          <c:symbol val="circle"/>
          <c:size val="5"/>
          <c:spPr>
            <a:solidFill>
              <a:schemeClr val="accent4"/>
            </a:solidFill>
            <a:ln w="9525">
              <a:solidFill>
                <a:schemeClr val="accent4"/>
              </a:solidFill>
            </a:ln>
            <a:effectLst/>
          </c:spPr>
        </c:marker>
      </c:pivotFmt>
    </c:pivotFmts>
    <c:plotArea>
      <c:layout/>
      <c:lineChart>
        <c:grouping val="standard"/>
        <c:varyColors val="0"/>
        <c:ser>
          <c:idx val="0"/>
          <c:order val="0"/>
          <c:tx>
            <c:strRef>
              <c:f>strenght!$AA$1:$AA$2</c:f>
              <c:strCache>
                <c:ptCount val="1"/>
                <c:pt idx="0">
                  <c:v>15 mg +  45 mg split dose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strenght!$Z$3:$Z$13</c:f>
              <c:strCache>
                <c:ptCount val="10"/>
                <c:pt idx="0">
                  <c:v>2019Q1</c:v>
                </c:pt>
                <c:pt idx="1">
                  <c:v>2019Q2</c:v>
                </c:pt>
                <c:pt idx="2">
                  <c:v>2019Q3</c:v>
                </c:pt>
                <c:pt idx="3">
                  <c:v>2019Q4</c:v>
                </c:pt>
                <c:pt idx="4">
                  <c:v>2020Q1</c:v>
                </c:pt>
                <c:pt idx="5">
                  <c:v>2020Q2</c:v>
                </c:pt>
                <c:pt idx="6">
                  <c:v>2020Q3</c:v>
                </c:pt>
                <c:pt idx="7">
                  <c:v>2020Q4</c:v>
                </c:pt>
                <c:pt idx="8">
                  <c:v>2021Q1</c:v>
                </c:pt>
                <c:pt idx="9">
                  <c:v>2021Q2</c:v>
                </c:pt>
              </c:strCache>
            </c:strRef>
          </c:cat>
          <c:val>
            <c:numRef>
              <c:f>strenght!$AA$3:$AA$13</c:f>
              <c:numCache>
                <c:formatCode>General</c:formatCode>
                <c:ptCount val="10"/>
                <c:pt idx="0">
                  <c:v>105</c:v>
                </c:pt>
                <c:pt idx="1">
                  <c:v>271</c:v>
                </c:pt>
                <c:pt idx="2">
                  <c:v>397</c:v>
                </c:pt>
                <c:pt idx="3">
                  <c:v>432</c:v>
                </c:pt>
                <c:pt idx="4">
                  <c:v>463</c:v>
                </c:pt>
                <c:pt idx="5">
                  <c:v>511</c:v>
                </c:pt>
                <c:pt idx="6">
                  <c:v>550</c:v>
                </c:pt>
                <c:pt idx="7">
                  <c:v>553</c:v>
                </c:pt>
                <c:pt idx="8">
                  <c:v>448</c:v>
                </c:pt>
                <c:pt idx="9">
                  <c:v>515</c:v>
                </c:pt>
              </c:numCache>
            </c:numRef>
          </c:val>
          <c:smooth val="0"/>
          <c:extLst>
            <c:ext xmlns:c16="http://schemas.microsoft.com/office/drawing/2014/chart" uri="{C3380CC4-5D6E-409C-BE32-E72D297353CC}">
              <c16:uniqueId val="{00000000-276C-4C45-9455-69F173FB12F2}"/>
            </c:ext>
          </c:extLst>
        </c:ser>
        <c:ser>
          <c:idx val="1"/>
          <c:order val="1"/>
          <c:tx>
            <c:strRef>
              <c:f>strenght!$AB$1:$AB$2</c:f>
              <c:strCache>
                <c:ptCount val="1"/>
                <c:pt idx="0">
                  <c:v>30 mg + 60 mg split dose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strenght!$Z$3:$Z$13</c:f>
              <c:strCache>
                <c:ptCount val="10"/>
                <c:pt idx="0">
                  <c:v>2019Q1</c:v>
                </c:pt>
                <c:pt idx="1">
                  <c:v>2019Q2</c:v>
                </c:pt>
                <c:pt idx="2">
                  <c:v>2019Q3</c:v>
                </c:pt>
                <c:pt idx="3">
                  <c:v>2019Q4</c:v>
                </c:pt>
                <c:pt idx="4">
                  <c:v>2020Q1</c:v>
                </c:pt>
                <c:pt idx="5">
                  <c:v>2020Q2</c:v>
                </c:pt>
                <c:pt idx="6">
                  <c:v>2020Q3</c:v>
                </c:pt>
                <c:pt idx="7">
                  <c:v>2020Q4</c:v>
                </c:pt>
                <c:pt idx="8">
                  <c:v>2021Q1</c:v>
                </c:pt>
                <c:pt idx="9">
                  <c:v>2021Q2</c:v>
                </c:pt>
              </c:strCache>
            </c:strRef>
          </c:cat>
          <c:val>
            <c:numRef>
              <c:f>strenght!$AB$3:$AB$13</c:f>
              <c:numCache>
                <c:formatCode>General</c:formatCode>
                <c:ptCount val="10"/>
                <c:pt idx="0">
                  <c:v>32</c:v>
                </c:pt>
                <c:pt idx="1">
                  <c:v>129</c:v>
                </c:pt>
                <c:pt idx="2">
                  <c:v>172</c:v>
                </c:pt>
                <c:pt idx="3">
                  <c:v>195</c:v>
                </c:pt>
                <c:pt idx="4">
                  <c:v>187</c:v>
                </c:pt>
                <c:pt idx="5">
                  <c:v>198</c:v>
                </c:pt>
                <c:pt idx="6">
                  <c:v>246</c:v>
                </c:pt>
                <c:pt idx="7">
                  <c:v>296</c:v>
                </c:pt>
                <c:pt idx="8">
                  <c:v>378</c:v>
                </c:pt>
                <c:pt idx="9">
                  <c:v>390</c:v>
                </c:pt>
              </c:numCache>
            </c:numRef>
          </c:val>
          <c:smooth val="0"/>
          <c:extLst>
            <c:ext xmlns:c16="http://schemas.microsoft.com/office/drawing/2014/chart" uri="{C3380CC4-5D6E-409C-BE32-E72D297353CC}">
              <c16:uniqueId val="{00000001-276C-4C45-9455-69F173FB12F2}"/>
            </c:ext>
          </c:extLst>
        </c:ser>
        <c:ser>
          <c:idx val="2"/>
          <c:order val="2"/>
          <c:tx>
            <c:strRef>
              <c:f>strenght!$AC$1:$AC$2</c:f>
              <c:strCache>
                <c:ptCount val="1"/>
                <c:pt idx="0">
                  <c:v>30 mg +  90 mg split dose </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strenght!$Z$3:$Z$13</c:f>
              <c:strCache>
                <c:ptCount val="10"/>
                <c:pt idx="0">
                  <c:v>2019Q1</c:v>
                </c:pt>
                <c:pt idx="1">
                  <c:v>2019Q2</c:v>
                </c:pt>
                <c:pt idx="2">
                  <c:v>2019Q3</c:v>
                </c:pt>
                <c:pt idx="3">
                  <c:v>2019Q4</c:v>
                </c:pt>
                <c:pt idx="4">
                  <c:v>2020Q1</c:v>
                </c:pt>
                <c:pt idx="5">
                  <c:v>2020Q2</c:v>
                </c:pt>
                <c:pt idx="6">
                  <c:v>2020Q3</c:v>
                </c:pt>
                <c:pt idx="7">
                  <c:v>2020Q4</c:v>
                </c:pt>
                <c:pt idx="8">
                  <c:v>2021Q1</c:v>
                </c:pt>
                <c:pt idx="9">
                  <c:v>2021Q2</c:v>
                </c:pt>
              </c:strCache>
            </c:strRef>
          </c:cat>
          <c:val>
            <c:numRef>
              <c:f>strenght!$AC$3:$AC$13</c:f>
              <c:numCache>
                <c:formatCode>General</c:formatCode>
                <c:ptCount val="10"/>
                <c:pt idx="0">
                  <c:v>31</c:v>
                </c:pt>
                <c:pt idx="1">
                  <c:v>124</c:v>
                </c:pt>
                <c:pt idx="2">
                  <c:v>166</c:v>
                </c:pt>
                <c:pt idx="3">
                  <c:v>269</c:v>
                </c:pt>
                <c:pt idx="4">
                  <c:v>282</c:v>
                </c:pt>
                <c:pt idx="5">
                  <c:v>336</c:v>
                </c:pt>
                <c:pt idx="6">
                  <c:v>375</c:v>
                </c:pt>
                <c:pt idx="7">
                  <c:v>424</c:v>
                </c:pt>
                <c:pt idx="8">
                  <c:v>427</c:v>
                </c:pt>
                <c:pt idx="9">
                  <c:v>469</c:v>
                </c:pt>
              </c:numCache>
            </c:numRef>
          </c:val>
          <c:smooth val="0"/>
          <c:extLst>
            <c:ext xmlns:c16="http://schemas.microsoft.com/office/drawing/2014/chart" uri="{C3380CC4-5D6E-409C-BE32-E72D297353CC}">
              <c16:uniqueId val="{00000002-276C-4C45-9455-69F173FB12F2}"/>
            </c:ext>
          </c:extLst>
        </c:ser>
        <c:ser>
          <c:idx val="3"/>
          <c:order val="3"/>
          <c:tx>
            <c:strRef>
              <c:f>strenght!$AD$1:$AD$2</c:f>
              <c:strCache>
                <c:ptCount val="1"/>
                <c:pt idx="0">
                  <c:v>Tablet 15 mg</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strenght!$Z$3:$Z$13</c:f>
              <c:strCache>
                <c:ptCount val="10"/>
                <c:pt idx="0">
                  <c:v>2019Q1</c:v>
                </c:pt>
                <c:pt idx="1">
                  <c:v>2019Q2</c:v>
                </c:pt>
                <c:pt idx="2">
                  <c:v>2019Q3</c:v>
                </c:pt>
                <c:pt idx="3">
                  <c:v>2019Q4</c:v>
                </c:pt>
                <c:pt idx="4">
                  <c:v>2020Q1</c:v>
                </c:pt>
                <c:pt idx="5">
                  <c:v>2020Q2</c:v>
                </c:pt>
                <c:pt idx="6">
                  <c:v>2020Q3</c:v>
                </c:pt>
                <c:pt idx="7">
                  <c:v>2020Q4</c:v>
                </c:pt>
                <c:pt idx="8">
                  <c:v>2021Q1</c:v>
                </c:pt>
                <c:pt idx="9">
                  <c:v>2021Q2</c:v>
                </c:pt>
              </c:strCache>
            </c:strRef>
          </c:cat>
          <c:val>
            <c:numRef>
              <c:f>strenght!$AD$3:$AD$13</c:f>
              <c:numCache>
                <c:formatCode>General</c:formatCode>
                <c:ptCount val="10"/>
                <c:pt idx="9">
                  <c:v>5</c:v>
                </c:pt>
              </c:numCache>
            </c:numRef>
          </c:val>
          <c:smooth val="0"/>
          <c:extLst>
            <c:ext xmlns:c16="http://schemas.microsoft.com/office/drawing/2014/chart" uri="{C3380CC4-5D6E-409C-BE32-E72D297353CC}">
              <c16:uniqueId val="{00000003-276C-4C45-9455-69F173FB12F2}"/>
            </c:ext>
          </c:extLst>
        </c:ser>
        <c:dLbls>
          <c:showLegendKey val="0"/>
          <c:showVal val="0"/>
          <c:showCatName val="0"/>
          <c:showSerName val="0"/>
          <c:showPercent val="0"/>
          <c:showBubbleSize val="0"/>
        </c:dLbls>
        <c:marker val="1"/>
        <c:smooth val="0"/>
        <c:axId val="665227416"/>
        <c:axId val="665229056"/>
      </c:lineChart>
      <c:catAx>
        <c:axId val="665227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5229056"/>
        <c:crosses val="autoZero"/>
        <c:auto val="1"/>
        <c:lblAlgn val="ctr"/>
        <c:lblOffset val="100"/>
        <c:noMultiLvlLbl val="0"/>
      </c:catAx>
      <c:valAx>
        <c:axId val="665229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5227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[Tolvaptan review.xlsx]age!PivotTable3</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s>
    <c:plotArea>
      <c:layout/>
      <c:barChart>
        <c:barDir val="col"/>
        <c:grouping val="clustered"/>
        <c:varyColors val="0"/>
        <c:ser>
          <c:idx val="0"/>
          <c:order val="0"/>
          <c:tx>
            <c:strRef>
              <c:f>age!$W$1:$W$2</c:f>
              <c:strCache>
                <c:ptCount val="1"/>
                <c:pt idx="0">
                  <c:v>Female</c:v>
                </c:pt>
              </c:strCache>
            </c:strRef>
          </c:tx>
          <c:spPr>
            <a:solidFill>
              <a:schemeClr val="accent2"/>
            </a:solidFill>
            <a:ln>
              <a:noFill/>
            </a:ln>
            <a:effectLst/>
          </c:spPr>
          <c:invertIfNegative val="0"/>
          <c:cat>
            <c:strRef>
              <c:f>age!$V$3:$V$14</c:f>
              <c:strCache>
                <c:ptCount val="11"/>
                <c:pt idx="0">
                  <c:v>15-29 yrs</c:v>
                </c:pt>
                <c:pt idx="1">
                  <c:v>30-34 yrs</c:v>
                </c:pt>
                <c:pt idx="2">
                  <c:v>35-39 yrs</c:v>
                </c:pt>
                <c:pt idx="3">
                  <c:v>40-44 yrs</c:v>
                </c:pt>
                <c:pt idx="4">
                  <c:v>45-49 yrs</c:v>
                </c:pt>
                <c:pt idx="5">
                  <c:v>50-54 yrs</c:v>
                </c:pt>
                <c:pt idx="6">
                  <c:v>55-59 yrs</c:v>
                </c:pt>
                <c:pt idx="7">
                  <c:v>60-64 yrs</c:v>
                </c:pt>
                <c:pt idx="8">
                  <c:v>65-69 yrs</c:v>
                </c:pt>
                <c:pt idx="9">
                  <c:v>70-74 yrs</c:v>
                </c:pt>
                <c:pt idx="10">
                  <c:v>75-89 yrs</c:v>
                </c:pt>
              </c:strCache>
            </c:strRef>
          </c:cat>
          <c:val>
            <c:numRef>
              <c:f>age!$W$3:$W$14</c:f>
              <c:numCache>
                <c:formatCode>General</c:formatCode>
                <c:ptCount val="11"/>
                <c:pt idx="0">
                  <c:v>6</c:v>
                </c:pt>
                <c:pt idx="1">
                  <c:v>12</c:v>
                </c:pt>
                <c:pt idx="2">
                  <c:v>29</c:v>
                </c:pt>
                <c:pt idx="3">
                  <c:v>38</c:v>
                </c:pt>
                <c:pt idx="4">
                  <c:v>59</c:v>
                </c:pt>
                <c:pt idx="5">
                  <c:v>42</c:v>
                </c:pt>
                <c:pt idx="6">
                  <c:v>55</c:v>
                </c:pt>
                <c:pt idx="7">
                  <c:v>27</c:v>
                </c:pt>
                <c:pt idx="8">
                  <c:v>29</c:v>
                </c:pt>
                <c:pt idx="9">
                  <c:v>14</c:v>
                </c:pt>
                <c:pt idx="10">
                  <c:v>5</c:v>
                </c:pt>
              </c:numCache>
            </c:numRef>
          </c:val>
          <c:extLst>
            <c:ext xmlns:c16="http://schemas.microsoft.com/office/drawing/2014/chart" uri="{C3380CC4-5D6E-409C-BE32-E72D297353CC}">
              <c16:uniqueId val="{00000000-54F1-4D1A-A1DD-3B965B3876AA}"/>
            </c:ext>
          </c:extLst>
        </c:ser>
        <c:ser>
          <c:idx val="1"/>
          <c:order val="1"/>
          <c:tx>
            <c:strRef>
              <c:f>age!$X$1:$X$2</c:f>
              <c:strCache>
                <c:ptCount val="1"/>
                <c:pt idx="0">
                  <c:v>Male</c:v>
                </c:pt>
              </c:strCache>
            </c:strRef>
          </c:tx>
          <c:spPr>
            <a:solidFill>
              <a:schemeClr val="accent1"/>
            </a:solidFill>
            <a:ln>
              <a:noFill/>
            </a:ln>
            <a:effectLst/>
          </c:spPr>
          <c:invertIfNegative val="0"/>
          <c:cat>
            <c:strRef>
              <c:f>age!$V$3:$V$14</c:f>
              <c:strCache>
                <c:ptCount val="11"/>
                <c:pt idx="0">
                  <c:v>15-29 yrs</c:v>
                </c:pt>
                <c:pt idx="1">
                  <c:v>30-34 yrs</c:v>
                </c:pt>
                <c:pt idx="2">
                  <c:v>35-39 yrs</c:v>
                </c:pt>
                <c:pt idx="3">
                  <c:v>40-44 yrs</c:v>
                </c:pt>
                <c:pt idx="4">
                  <c:v>45-49 yrs</c:v>
                </c:pt>
                <c:pt idx="5">
                  <c:v>50-54 yrs</c:v>
                </c:pt>
                <c:pt idx="6">
                  <c:v>55-59 yrs</c:v>
                </c:pt>
                <c:pt idx="7">
                  <c:v>60-64 yrs</c:v>
                </c:pt>
                <c:pt idx="8">
                  <c:v>65-69 yrs</c:v>
                </c:pt>
                <c:pt idx="9">
                  <c:v>70-74 yrs</c:v>
                </c:pt>
                <c:pt idx="10">
                  <c:v>75-89 yrs</c:v>
                </c:pt>
              </c:strCache>
            </c:strRef>
          </c:cat>
          <c:val>
            <c:numRef>
              <c:f>age!$X$3:$X$14</c:f>
              <c:numCache>
                <c:formatCode>General</c:formatCode>
                <c:ptCount val="11"/>
                <c:pt idx="0">
                  <c:v>9</c:v>
                </c:pt>
                <c:pt idx="1">
                  <c:v>28</c:v>
                </c:pt>
                <c:pt idx="2">
                  <c:v>53</c:v>
                </c:pt>
                <c:pt idx="3">
                  <c:v>58</c:v>
                </c:pt>
                <c:pt idx="4">
                  <c:v>60</c:v>
                </c:pt>
                <c:pt idx="5">
                  <c:v>43</c:v>
                </c:pt>
                <c:pt idx="6">
                  <c:v>46</c:v>
                </c:pt>
                <c:pt idx="7">
                  <c:v>18</c:v>
                </c:pt>
                <c:pt idx="8">
                  <c:v>23</c:v>
                </c:pt>
                <c:pt idx="9">
                  <c:v>12</c:v>
                </c:pt>
                <c:pt idx="10">
                  <c:v>8</c:v>
                </c:pt>
              </c:numCache>
            </c:numRef>
          </c:val>
          <c:extLst>
            <c:ext xmlns:c16="http://schemas.microsoft.com/office/drawing/2014/chart" uri="{C3380CC4-5D6E-409C-BE32-E72D297353CC}">
              <c16:uniqueId val="{00000001-54F1-4D1A-A1DD-3B965B3876AA}"/>
            </c:ext>
          </c:extLst>
        </c:ser>
        <c:dLbls>
          <c:showLegendKey val="0"/>
          <c:showVal val="0"/>
          <c:showCatName val="0"/>
          <c:showSerName val="0"/>
          <c:showPercent val="0"/>
          <c:showBubbleSize val="0"/>
        </c:dLbls>
        <c:gapWidth val="219"/>
        <c:overlap val="-27"/>
        <c:axId val="666230448"/>
        <c:axId val="666230776"/>
      </c:barChart>
      <c:catAx>
        <c:axId val="666230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230776"/>
        <c:crosses val="autoZero"/>
        <c:auto val="1"/>
        <c:lblAlgn val="ctr"/>
        <c:lblOffset val="100"/>
        <c:noMultiLvlLbl val="0"/>
      </c:catAx>
      <c:valAx>
        <c:axId val="666230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initiating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6230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[Tolvaptan review.xlsx]prescriber!PivotTable1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s>
    <c:plotArea>
      <c:layout/>
      <c:barChart>
        <c:barDir val="bar"/>
        <c:grouping val="percentStacked"/>
        <c:varyColors val="0"/>
        <c:ser>
          <c:idx val="0"/>
          <c:order val="0"/>
          <c:tx>
            <c:strRef>
              <c:f>prescriber!$W$1:$W$2</c:f>
              <c:strCache>
                <c:ptCount val="1"/>
                <c:pt idx="0">
                  <c:v>GP</c:v>
                </c:pt>
              </c:strCache>
            </c:strRef>
          </c:tx>
          <c:spPr>
            <a:solidFill>
              <a:schemeClr val="accent1"/>
            </a:solidFill>
            <a:ln>
              <a:noFill/>
            </a:ln>
            <a:effectLst/>
          </c:spPr>
          <c:invertIfNegative val="0"/>
          <c:cat>
            <c:strRef>
              <c:f>prescriber!$V$3</c:f>
              <c:strCache>
                <c:ptCount val="1"/>
                <c:pt idx="0">
                  <c:v>Total</c:v>
                </c:pt>
              </c:strCache>
            </c:strRef>
          </c:cat>
          <c:val>
            <c:numRef>
              <c:f>prescriber!$W$3</c:f>
              <c:numCache>
                <c:formatCode>General</c:formatCode>
                <c:ptCount val="1"/>
                <c:pt idx="0">
                  <c:v>421</c:v>
                </c:pt>
              </c:numCache>
            </c:numRef>
          </c:val>
          <c:extLst>
            <c:ext xmlns:c16="http://schemas.microsoft.com/office/drawing/2014/chart" uri="{C3380CC4-5D6E-409C-BE32-E72D297353CC}">
              <c16:uniqueId val="{00000000-7B99-428C-BA0E-DD53734D49E8}"/>
            </c:ext>
          </c:extLst>
        </c:ser>
        <c:ser>
          <c:idx val="1"/>
          <c:order val="1"/>
          <c:tx>
            <c:strRef>
              <c:f>prescriber!$X$1:$X$2</c:f>
              <c:strCache>
                <c:ptCount val="1"/>
                <c:pt idx="0">
                  <c:v>Immunology and Allergy</c:v>
                </c:pt>
              </c:strCache>
            </c:strRef>
          </c:tx>
          <c:spPr>
            <a:solidFill>
              <a:schemeClr val="accent2"/>
            </a:solidFill>
            <a:ln>
              <a:noFill/>
            </a:ln>
            <a:effectLst/>
          </c:spPr>
          <c:invertIfNegative val="0"/>
          <c:cat>
            <c:strRef>
              <c:f>prescriber!$V$3</c:f>
              <c:strCache>
                <c:ptCount val="1"/>
                <c:pt idx="0">
                  <c:v>Total</c:v>
                </c:pt>
              </c:strCache>
            </c:strRef>
          </c:cat>
          <c:val>
            <c:numRef>
              <c:f>prescriber!$X$3</c:f>
              <c:numCache>
                <c:formatCode>General</c:formatCode>
                <c:ptCount val="1"/>
                <c:pt idx="0">
                  <c:v>35</c:v>
                </c:pt>
              </c:numCache>
            </c:numRef>
          </c:val>
          <c:extLst>
            <c:ext xmlns:c16="http://schemas.microsoft.com/office/drawing/2014/chart" uri="{C3380CC4-5D6E-409C-BE32-E72D297353CC}">
              <c16:uniqueId val="{00000001-7B99-428C-BA0E-DD53734D49E8}"/>
            </c:ext>
          </c:extLst>
        </c:ser>
        <c:ser>
          <c:idx val="2"/>
          <c:order val="2"/>
          <c:tx>
            <c:strRef>
              <c:f>prescriber!$Y$1:$Y$2</c:f>
              <c:strCache>
                <c:ptCount val="1"/>
                <c:pt idx="0">
                  <c:v>Intensive Care</c:v>
                </c:pt>
              </c:strCache>
            </c:strRef>
          </c:tx>
          <c:spPr>
            <a:solidFill>
              <a:schemeClr val="accent3"/>
            </a:solidFill>
            <a:ln>
              <a:noFill/>
            </a:ln>
            <a:effectLst/>
          </c:spPr>
          <c:invertIfNegative val="0"/>
          <c:cat>
            <c:strRef>
              <c:f>prescriber!$V$3</c:f>
              <c:strCache>
                <c:ptCount val="1"/>
                <c:pt idx="0">
                  <c:v>Total</c:v>
                </c:pt>
              </c:strCache>
            </c:strRef>
          </c:cat>
          <c:val>
            <c:numRef>
              <c:f>prescriber!$Y$3</c:f>
              <c:numCache>
                <c:formatCode>General</c:formatCode>
                <c:ptCount val="1"/>
                <c:pt idx="0">
                  <c:v>47</c:v>
                </c:pt>
              </c:numCache>
            </c:numRef>
          </c:val>
          <c:extLst>
            <c:ext xmlns:c16="http://schemas.microsoft.com/office/drawing/2014/chart" uri="{C3380CC4-5D6E-409C-BE32-E72D297353CC}">
              <c16:uniqueId val="{00000002-7B99-428C-BA0E-DD53734D49E8}"/>
            </c:ext>
          </c:extLst>
        </c:ser>
        <c:ser>
          <c:idx val="3"/>
          <c:order val="3"/>
          <c:tx>
            <c:strRef>
              <c:f>prescriber!$Z$1:$Z$2</c:f>
              <c:strCache>
                <c:ptCount val="1"/>
                <c:pt idx="0">
                  <c:v>Internal Medicine</c:v>
                </c:pt>
              </c:strCache>
            </c:strRef>
          </c:tx>
          <c:spPr>
            <a:solidFill>
              <a:schemeClr val="accent4"/>
            </a:solidFill>
            <a:ln>
              <a:noFill/>
            </a:ln>
            <a:effectLst/>
          </c:spPr>
          <c:invertIfNegative val="0"/>
          <c:cat>
            <c:strRef>
              <c:f>prescriber!$V$3</c:f>
              <c:strCache>
                <c:ptCount val="1"/>
                <c:pt idx="0">
                  <c:v>Total</c:v>
                </c:pt>
              </c:strCache>
            </c:strRef>
          </c:cat>
          <c:val>
            <c:numRef>
              <c:f>prescriber!$Z$3</c:f>
              <c:numCache>
                <c:formatCode>General</c:formatCode>
                <c:ptCount val="1"/>
                <c:pt idx="0">
                  <c:v>1398</c:v>
                </c:pt>
              </c:numCache>
            </c:numRef>
          </c:val>
          <c:extLst>
            <c:ext xmlns:c16="http://schemas.microsoft.com/office/drawing/2014/chart" uri="{C3380CC4-5D6E-409C-BE32-E72D297353CC}">
              <c16:uniqueId val="{00000003-7B99-428C-BA0E-DD53734D49E8}"/>
            </c:ext>
          </c:extLst>
        </c:ser>
        <c:ser>
          <c:idx val="4"/>
          <c:order val="4"/>
          <c:tx>
            <c:strRef>
              <c:f>prescriber!$AA$1:$AA$2</c:f>
              <c:strCache>
                <c:ptCount val="1"/>
                <c:pt idx="0">
                  <c:v>Other specialist</c:v>
                </c:pt>
              </c:strCache>
            </c:strRef>
          </c:tx>
          <c:spPr>
            <a:solidFill>
              <a:schemeClr val="accent5"/>
            </a:solidFill>
            <a:ln>
              <a:noFill/>
            </a:ln>
            <a:effectLst/>
          </c:spPr>
          <c:invertIfNegative val="0"/>
          <c:cat>
            <c:strRef>
              <c:f>prescriber!$V$3</c:f>
              <c:strCache>
                <c:ptCount val="1"/>
                <c:pt idx="0">
                  <c:v>Total</c:v>
                </c:pt>
              </c:strCache>
            </c:strRef>
          </c:cat>
          <c:val>
            <c:numRef>
              <c:f>prescriber!$AA$3</c:f>
              <c:numCache>
                <c:formatCode>General</c:formatCode>
                <c:ptCount val="1"/>
                <c:pt idx="0">
                  <c:v>11</c:v>
                </c:pt>
              </c:numCache>
            </c:numRef>
          </c:val>
          <c:extLst>
            <c:ext xmlns:c16="http://schemas.microsoft.com/office/drawing/2014/chart" uri="{C3380CC4-5D6E-409C-BE32-E72D297353CC}">
              <c16:uniqueId val="{00000004-7B99-428C-BA0E-DD53734D49E8}"/>
            </c:ext>
          </c:extLst>
        </c:ser>
        <c:ser>
          <c:idx val="5"/>
          <c:order val="5"/>
          <c:tx>
            <c:strRef>
              <c:f>prescriber!$AB$1:$AB$2</c:f>
              <c:strCache>
                <c:ptCount val="1"/>
                <c:pt idx="0">
                  <c:v>Nephrology</c:v>
                </c:pt>
              </c:strCache>
            </c:strRef>
          </c:tx>
          <c:spPr>
            <a:solidFill>
              <a:schemeClr val="accent6"/>
            </a:solidFill>
            <a:ln>
              <a:noFill/>
            </a:ln>
            <a:effectLst/>
          </c:spPr>
          <c:invertIfNegative val="0"/>
          <c:cat>
            <c:strRef>
              <c:f>prescriber!$V$3</c:f>
              <c:strCache>
                <c:ptCount val="1"/>
                <c:pt idx="0">
                  <c:v>Total</c:v>
                </c:pt>
              </c:strCache>
            </c:strRef>
          </c:cat>
          <c:val>
            <c:numRef>
              <c:f>prescriber!$AB$3</c:f>
              <c:numCache>
                <c:formatCode>General</c:formatCode>
                <c:ptCount val="1"/>
                <c:pt idx="0">
                  <c:v>6998</c:v>
                </c:pt>
              </c:numCache>
            </c:numRef>
          </c:val>
          <c:extLst>
            <c:ext xmlns:c16="http://schemas.microsoft.com/office/drawing/2014/chart" uri="{C3380CC4-5D6E-409C-BE32-E72D297353CC}">
              <c16:uniqueId val="{00000005-7B99-428C-BA0E-DD53734D49E8}"/>
            </c:ext>
          </c:extLst>
        </c:ser>
        <c:dLbls>
          <c:showLegendKey val="0"/>
          <c:showVal val="0"/>
          <c:showCatName val="0"/>
          <c:showSerName val="0"/>
          <c:showPercent val="0"/>
          <c:showBubbleSize val="0"/>
        </c:dLbls>
        <c:gapWidth val="150"/>
        <c:overlap val="100"/>
        <c:axId val="674043912"/>
        <c:axId val="674038008"/>
      </c:barChart>
      <c:catAx>
        <c:axId val="674043912"/>
        <c:scaling>
          <c:orientation val="minMax"/>
        </c:scaling>
        <c:delete val="1"/>
        <c:axPos val="l"/>
        <c:numFmt formatCode="General" sourceLinked="1"/>
        <c:majorTickMark val="none"/>
        <c:minorTickMark val="none"/>
        <c:tickLblPos val="nextTo"/>
        <c:crossAx val="674038008"/>
        <c:crosses val="autoZero"/>
        <c:auto val="1"/>
        <c:lblAlgn val="ctr"/>
        <c:lblOffset val="100"/>
        <c:noMultiLvlLbl val="0"/>
      </c:catAx>
      <c:valAx>
        <c:axId val="67403800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4043912"/>
        <c:crosses val="autoZero"/>
        <c:crossBetween val="between"/>
      </c:valAx>
      <c:spPr>
        <a:noFill/>
        <a:ln>
          <a:noFill/>
        </a:ln>
        <a:effectLst/>
      </c:spPr>
    </c:plotArea>
    <c:legend>
      <c:legendPos val="b"/>
      <c:layout>
        <c:manualLayout>
          <c:xMode val="edge"/>
          <c:yMode val="edge"/>
          <c:x val="0.14027634418244364"/>
          <c:y val="0.85854202581186223"/>
          <c:w val="0.77275479891400778"/>
          <c:h val="0.119268625075711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FB3F4-3194-4A3D-9CF0-65055C92D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6893</Words>
  <Characters>39292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2022-03-11T00:38:00Z</dcterms:created>
  <dcterms:modified xsi:type="dcterms:W3CDTF">2022-03-11T03:03:00Z</dcterms:modified>
</cp:coreProperties>
</file>