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76B9A" w14:textId="7CE18097" w:rsidR="00023FA5" w:rsidRDefault="00023FA5" w:rsidP="00023FA5">
      <w:pPr>
        <w:pStyle w:val="Title"/>
      </w:pPr>
      <w:r w:rsidRPr="006F028B">
        <w:t>Cladribine for relapsing remitting multiple sclerosis: predicted versus actual analysis</w:t>
      </w:r>
      <w:r>
        <w:t xml:space="preserve"> </w:t>
      </w:r>
    </w:p>
    <w:p w14:paraId="2667CC90" w14:textId="77777777" w:rsidR="00023FA5" w:rsidRDefault="00023FA5" w:rsidP="00023FA5">
      <w:pPr>
        <w:pStyle w:val="Title2"/>
      </w:pPr>
      <w:r>
        <w:t>D</w:t>
      </w:r>
      <w:r w:rsidRPr="0063631C">
        <w:t xml:space="preserve">rug utilisation sub-committee </w:t>
      </w:r>
      <w:r>
        <w:t>(DUSC)</w:t>
      </w:r>
    </w:p>
    <w:p w14:paraId="771F6D14" w14:textId="77777777" w:rsidR="00023FA5" w:rsidRPr="00F73113" w:rsidRDefault="00023FA5" w:rsidP="00023FA5">
      <w:pPr>
        <w:pStyle w:val="Meetingdate"/>
      </w:pPr>
      <w:r>
        <w:t>February 2022</w:t>
      </w:r>
    </w:p>
    <w:p w14:paraId="0BA87E06" w14:textId="77777777" w:rsidR="00023FA5" w:rsidRPr="00CF5E22" w:rsidRDefault="00023FA5" w:rsidP="00023FA5">
      <w:pPr>
        <w:pStyle w:val="Heading2"/>
      </w:pPr>
      <w:r w:rsidRPr="00CF5E22">
        <w:t>Abstract</w:t>
      </w:r>
    </w:p>
    <w:p w14:paraId="59F75311" w14:textId="77777777" w:rsidR="00023FA5" w:rsidRPr="00CF5E22" w:rsidRDefault="00023FA5" w:rsidP="00023FA5">
      <w:pPr>
        <w:pStyle w:val="Heading3"/>
      </w:pPr>
      <w:r w:rsidRPr="00CF5E22">
        <w:t>Purpose</w:t>
      </w:r>
    </w:p>
    <w:p w14:paraId="003A976F" w14:textId="77777777" w:rsidR="00023FA5" w:rsidRDefault="00023FA5" w:rsidP="00023FA5">
      <w:r>
        <w:t xml:space="preserve">To review the utilisation of PBS listed medicines for relapsing-remitting multiple sclerosis (RRMS), including an assessment of the predicted versus actual use of cladribine. </w:t>
      </w:r>
    </w:p>
    <w:p w14:paraId="62D03226" w14:textId="77777777" w:rsidR="00023FA5" w:rsidRDefault="00023FA5" w:rsidP="00023FA5">
      <w:pPr>
        <w:pStyle w:val="Heading3"/>
      </w:pPr>
      <w:r>
        <w:t>Date of listing on the Pharmaceutical Benefits Scheme (PBS)</w:t>
      </w:r>
    </w:p>
    <w:p w14:paraId="6820B7D1" w14:textId="77777777" w:rsidR="00023FA5" w:rsidRPr="002D144A" w:rsidRDefault="00023FA5" w:rsidP="00023FA5">
      <w:r>
        <w:t xml:space="preserve">Cladribine was PBS listed for the treatment of RRMS on 1 January 2019. </w:t>
      </w:r>
    </w:p>
    <w:p w14:paraId="4A38B740" w14:textId="77777777" w:rsidR="00023FA5" w:rsidRDefault="00023FA5" w:rsidP="00023FA5">
      <w:pPr>
        <w:pStyle w:val="Heading3"/>
      </w:pPr>
      <w:r>
        <w:t>Data Source / methodology</w:t>
      </w:r>
    </w:p>
    <w:p w14:paraId="7CDAE26B" w14:textId="77777777" w:rsidR="00023FA5" w:rsidRPr="00C11A65" w:rsidRDefault="00023FA5" w:rsidP="00023FA5">
      <w:r>
        <w:t xml:space="preserve">Data extracted from the PBS database maintained by Department of Health, processed by Services Australia were used for analyses. </w:t>
      </w:r>
    </w:p>
    <w:p w14:paraId="742D30B5" w14:textId="77777777" w:rsidR="00023FA5" w:rsidRDefault="00023FA5" w:rsidP="00023FA5">
      <w:pPr>
        <w:pStyle w:val="Heading3"/>
      </w:pPr>
      <w:r>
        <w:t>Key Findings</w:t>
      </w:r>
    </w:p>
    <w:p w14:paraId="647E46CA" w14:textId="77777777" w:rsidR="0034679F" w:rsidRDefault="0034679F" w:rsidP="0034679F">
      <w:pPr>
        <w:pStyle w:val="ListParagraph"/>
        <w:numPr>
          <w:ilvl w:val="0"/>
          <w:numId w:val="26"/>
        </w:numPr>
      </w:pPr>
      <w:r>
        <w:t>In 2019, 179,907 RRMS prescriptions were supplied to 22,153 patients.</w:t>
      </w:r>
    </w:p>
    <w:p w14:paraId="5B6E98FC" w14:textId="77777777" w:rsidR="0034679F" w:rsidRPr="0034679F" w:rsidRDefault="0034679F" w:rsidP="0034679F">
      <w:pPr>
        <w:pStyle w:val="ListParagraph"/>
        <w:numPr>
          <w:ilvl w:val="0"/>
          <w:numId w:val="26"/>
        </w:numPr>
      </w:pPr>
      <w:r w:rsidRPr="0034679F">
        <w:t xml:space="preserve">In 2020, 177,884 RRMS prescriptions were supplied to 22,714 patients. </w:t>
      </w:r>
    </w:p>
    <w:p w14:paraId="3CEFE113" w14:textId="54390FBD" w:rsidR="0034679F" w:rsidRPr="0034679F" w:rsidRDefault="0034679F" w:rsidP="0034679F">
      <w:pPr>
        <w:pStyle w:val="ListParagraph"/>
        <w:numPr>
          <w:ilvl w:val="0"/>
          <w:numId w:val="26"/>
        </w:numPr>
      </w:pPr>
      <w:r w:rsidRPr="0034679F">
        <w:t xml:space="preserve">There were 1,130 and 1,407 patients treated with cladribine during the first and second year of listing respectively, which was </w:t>
      </w:r>
      <w:r w:rsidR="00DA1687" w:rsidRPr="00DA1687">
        <w:rPr>
          <w:color w:val="000000"/>
          <w:shd w:val="solid" w:color="000000" w:fill="000000"/>
          <w14:textFill>
            <w14:solidFill>
              <w14:srgbClr w14:val="000000">
                <w14:alpha w14:val="100000"/>
              </w14:srgbClr>
            </w14:solidFill>
          </w14:textFill>
        </w:rPr>
        <w:t>|</w:t>
      </w:r>
      <w:r w:rsidRPr="0034679F">
        <w:t xml:space="preserve"> than estimated.  </w:t>
      </w:r>
    </w:p>
    <w:p w14:paraId="599A7476" w14:textId="45A5A3DA" w:rsidR="0034679F" w:rsidRPr="0034679F" w:rsidRDefault="0034679F" w:rsidP="0034679F">
      <w:pPr>
        <w:pStyle w:val="ListParagraph"/>
        <w:numPr>
          <w:ilvl w:val="0"/>
          <w:numId w:val="26"/>
        </w:numPr>
      </w:pPr>
      <w:r w:rsidRPr="0034679F">
        <w:t xml:space="preserve">There were 3,295 cladribine prescriptions dispensed during the first year of listing which was </w:t>
      </w:r>
      <w:r w:rsidR="00FF0FD6" w:rsidRPr="00FF0FD6">
        <w:rPr>
          <w:shd w:val="solid" w:color="000000" w:fill="000000"/>
          <w14:textFill>
            <w14:solidFill>
              <w14:srgbClr w14:val="000000">
                <w14:alpha w14:val="100000"/>
              </w14:srgbClr>
            </w14:solidFill>
          </w14:textFill>
        </w:rPr>
        <w:t>|</w:t>
      </w:r>
      <w:r w:rsidR="00FF0FD6">
        <w:t xml:space="preserve"> </w:t>
      </w:r>
      <w:r w:rsidRPr="0034679F">
        <w:t xml:space="preserve">than estimated. There were 4,147 cladribine prescriptions dispensed during the second year of listing, which was </w:t>
      </w:r>
      <w:r w:rsidR="00FF0FD6" w:rsidRPr="00FF0FD6">
        <w:rPr>
          <w:shd w:val="solid" w:color="000000" w:fill="000000"/>
          <w14:textFill>
            <w14:solidFill>
              <w14:srgbClr w14:val="000000">
                <w14:alpha w14:val="100000"/>
              </w14:srgbClr>
            </w14:solidFill>
          </w14:textFill>
        </w:rPr>
        <w:t>|</w:t>
      </w:r>
      <w:r w:rsidR="00FF0FD6">
        <w:t xml:space="preserve"> </w:t>
      </w:r>
      <w:r w:rsidRPr="0034679F">
        <w:t>than estimated.</w:t>
      </w:r>
    </w:p>
    <w:p w14:paraId="1572B58D" w14:textId="77777777" w:rsidR="0034679F" w:rsidRPr="0034679F" w:rsidRDefault="0034679F" w:rsidP="0034679F">
      <w:pPr>
        <w:pStyle w:val="ListParagraph"/>
        <w:numPr>
          <w:ilvl w:val="0"/>
          <w:numId w:val="26"/>
        </w:numPr>
      </w:pPr>
      <w:r w:rsidRPr="0034679F">
        <w:t xml:space="preserve">The most common age group initiating any RRMS treatment from 2014 onwards was 40-44 years. Overall, there was a greater proportion of females initiating RRMS treatment compared to males (73.4%). </w:t>
      </w:r>
    </w:p>
    <w:p w14:paraId="6CAB9E2A" w14:textId="77777777" w:rsidR="0034679F" w:rsidRPr="0034679F" w:rsidRDefault="0034679F" w:rsidP="0034679F">
      <w:pPr>
        <w:pStyle w:val="ListParagraph"/>
        <w:numPr>
          <w:ilvl w:val="0"/>
          <w:numId w:val="26"/>
        </w:numPr>
      </w:pPr>
      <w:r w:rsidRPr="0034679F">
        <w:t xml:space="preserve">The most common age group of patients initiating cladribine treatment was 45-49 years old (15.8% of patients). Overall, there was a greater proportion of females initiating cladribine treatment compared to males (73.9%). </w:t>
      </w:r>
    </w:p>
    <w:p w14:paraId="0EDF9717" w14:textId="77777777" w:rsidR="0034679F" w:rsidRPr="0034679F" w:rsidRDefault="0034679F" w:rsidP="0034679F">
      <w:pPr>
        <w:pStyle w:val="ListParagraph"/>
        <w:numPr>
          <w:ilvl w:val="0"/>
          <w:numId w:val="26"/>
        </w:numPr>
      </w:pPr>
      <w:r w:rsidRPr="0034679F">
        <w:t>There is a shift in the RRMS market away from the older generation RRMS treatments.</w:t>
      </w:r>
    </w:p>
    <w:p w14:paraId="1C6361C0" w14:textId="77777777" w:rsidR="00023FA5" w:rsidRDefault="00023FA5" w:rsidP="00023FA5">
      <w:pPr>
        <w:spacing w:line="276" w:lineRule="auto"/>
        <w:rPr>
          <w:rFonts w:eastAsiaTheme="majorEastAsia" w:cstheme="majorBidi"/>
          <w:b/>
          <w:bCs/>
          <w:sz w:val="32"/>
          <w:szCs w:val="26"/>
        </w:rPr>
      </w:pPr>
    </w:p>
    <w:p w14:paraId="2BA9D5D9" w14:textId="77777777" w:rsidR="00023FA5" w:rsidRDefault="00023FA5" w:rsidP="00023FA5">
      <w:pPr>
        <w:pStyle w:val="Heading1"/>
      </w:pPr>
      <w:r w:rsidRPr="00CF5E22">
        <w:lastRenderedPageBreak/>
        <w:t>Purpose of analysis</w:t>
      </w:r>
    </w:p>
    <w:p w14:paraId="2D7DAA2B" w14:textId="77777777" w:rsidR="00023FA5" w:rsidRDefault="00023FA5" w:rsidP="00023FA5">
      <w:pPr>
        <w:pStyle w:val="NoSpacing"/>
      </w:pPr>
      <w:r>
        <w:t xml:space="preserve">To assess the utilisation of PBS listed medicines for relapsing-remitting multiple sclerosis (RRMS), including an assessment to compare predicted versus actual utilisation of cladribine, as requested by DUSC at its June 2021 meeting. </w:t>
      </w:r>
    </w:p>
    <w:p w14:paraId="48F60046" w14:textId="77777777" w:rsidR="00023FA5" w:rsidRPr="005E22C2" w:rsidRDefault="00023FA5" w:rsidP="00023FA5">
      <w:pPr>
        <w:pStyle w:val="Heading1"/>
      </w:pPr>
      <w:r w:rsidRPr="005E22C2">
        <w:t>Background</w:t>
      </w:r>
    </w:p>
    <w:p w14:paraId="2075504D" w14:textId="77777777" w:rsidR="00023FA5" w:rsidRPr="007247B9" w:rsidRDefault="00023FA5" w:rsidP="00023FA5">
      <w:pPr>
        <w:pStyle w:val="Heading2"/>
      </w:pPr>
      <w:r w:rsidRPr="007247B9">
        <w:t>Clinical situation</w:t>
      </w:r>
    </w:p>
    <w:p w14:paraId="4F966FC4" w14:textId="77777777" w:rsidR="00023FA5" w:rsidRPr="00F96752" w:rsidRDefault="00023FA5" w:rsidP="00023FA5">
      <w:pPr>
        <w:rPr>
          <w:vertAlign w:val="superscript"/>
        </w:rPr>
      </w:pPr>
      <w:r>
        <w:t>Multiple sclerosis (MS) is a chronic and progressive autoimmune disease of the central nervous system. The immune system attacks and damages the myelin sheath on the nerve axon. Myelin sheath are responsible for insulating axons allowing impulse propagation, which is important for normal neural function.</w:t>
      </w:r>
      <w:r>
        <w:rPr>
          <w:rStyle w:val="FootnoteReference"/>
        </w:rPr>
        <w:footnoteReference w:id="1"/>
      </w:r>
      <w:r>
        <w:rPr>
          <w:vertAlign w:val="superscript"/>
        </w:rPr>
        <w:t>,</w:t>
      </w:r>
      <w:r>
        <w:rPr>
          <w:rStyle w:val="FootnoteReference"/>
        </w:rPr>
        <w:footnoteReference w:id="2"/>
      </w:r>
    </w:p>
    <w:p w14:paraId="594A8B37" w14:textId="77777777" w:rsidR="00023FA5" w:rsidRPr="001274E2" w:rsidRDefault="00023FA5" w:rsidP="00023FA5">
      <w:pPr>
        <w:rPr>
          <w:sz w:val="28"/>
        </w:rPr>
      </w:pPr>
      <w:r w:rsidRPr="001274E2">
        <w:rPr>
          <w:szCs w:val="23"/>
        </w:rPr>
        <w:t>MS affects over 25,600 people in Australia with more than two million diagnosed worldwide. Most people are diagnosed between the ages of 20-40</w:t>
      </w:r>
      <w:r>
        <w:rPr>
          <w:szCs w:val="23"/>
        </w:rPr>
        <w:t xml:space="preserve"> years</w:t>
      </w:r>
      <w:r w:rsidRPr="001274E2">
        <w:rPr>
          <w:szCs w:val="23"/>
        </w:rPr>
        <w:t>, but it can also affect younger and older people. Three quarters of all people with MS are women. RRMS is the most common MS disease course, characterised by clearly defined attacks followed by periods of complete or partial recovery. RRMS can be characterised as either active or non-active disease activity, as well as worsening (a confirmed increase in disability over a specified period following a relapse) or non-worsening. Approximately 85% of people with MS are initially diagnosed with RRMS and 15% with a progressive form of MS, known as primary progressive MS (PPMS).</w:t>
      </w:r>
      <w:r>
        <w:rPr>
          <w:rStyle w:val="FootnoteReference"/>
          <w:szCs w:val="23"/>
        </w:rPr>
        <w:footnoteReference w:id="3"/>
      </w:r>
      <w:r>
        <w:rPr>
          <w:szCs w:val="23"/>
          <w:vertAlign w:val="superscript"/>
        </w:rPr>
        <w:t>,</w:t>
      </w:r>
      <w:r>
        <w:rPr>
          <w:rStyle w:val="FootnoteReference"/>
          <w:szCs w:val="23"/>
        </w:rPr>
        <w:footnoteReference w:id="4"/>
      </w:r>
      <w:r>
        <w:rPr>
          <w:szCs w:val="23"/>
          <w:vertAlign w:val="superscript"/>
        </w:rPr>
        <w:t>,</w:t>
      </w:r>
      <w:r>
        <w:rPr>
          <w:rStyle w:val="FootnoteReference"/>
          <w:szCs w:val="23"/>
        </w:rPr>
        <w:footnoteReference w:id="5"/>
      </w:r>
      <w:r w:rsidRPr="001274E2">
        <w:rPr>
          <w:szCs w:val="23"/>
        </w:rPr>
        <w:t xml:space="preserve"> </w:t>
      </w:r>
    </w:p>
    <w:p w14:paraId="1BCBB518" w14:textId="77777777" w:rsidR="00023FA5" w:rsidRDefault="00023FA5" w:rsidP="00023FA5">
      <w:pPr>
        <w:pStyle w:val="Heading2"/>
      </w:pPr>
      <w:r>
        <w:t>Pharmacology</w:t>
      </w:r>
    </w:p>
    <w:p w14:paraId="70EF13B6" w14:textId="333E8558" w:rsidR="00023FA5" w:rsidRDefault="00023FA5" w:rsidP="00023FA5">
      <w:r>
        <w:t>In MS, certain types of white blood cells called lymphocytes play a role in destroying myelin, the protective sheath that surrounds nerve fibres and helps with the efficient flow of nerve signals or messages to and from the brain and various parts of the body.</w:t>
      </w:r>
      <w:r>
        <w:fldChar w:fldCharType="begin"/>
      </w:r>
      <w:r>
        <w:instrText xml:space="preserve"> NOTEREF _Ref25841725 \f \h  \* MERGEFORMAT </w:instrText>
      </w:r>
      <w:r>
        <w:fldChar w:fldCharType="separate"/>
      </w:r>
      <w:r w:rsidR="00FF0FD6">
        <w:rPr>
          <w:b/>
          <w:bCs/>
          <w:lang w:val="en-US"/>
        </w:rPr>
        <w:t>Error! Bookmark not defined.</w:t>
      </w:r>
      <w:r>
        <w:fldChar w:fldCharType="end"/>
      </w:r>
      <w:r>
        <w:t xml:space="preserve"> </w:t>
      </w:r>
    </w:p>
    <w:p w14:paraId="1ED41D96" w14:textId="77777777" w:rsidR="00023FA5" w:rsidRPr="007247B9" w:rsidRDefault="00023FA5" w:rsidP="00023FA5">
      <w:r>
        <w:lastRenderedPageBreak/>
        <w:t xml:space="preserve">Cladribine is a nucleotide analogue of deoxyadenosine. It </w:t>
      </w:r>
      <w:r w:rsidRPr="00BC6757">
        <w:t>acts on B and T lymphocytes to interrupt the cascade of immune events central to MS.</w:t>
      </w:r>
      <w:r>
        <w:t xml:space="preserve"> This results in fewer relapses, less disease activity in the brain and less progression of disability.</w:t>
      </w:r>
      <w:r w:rsidRPr="00BC6757">
        <w:rPr>
          <w:rStyle w:val="FootnoteReference"/>
        </w:rPr>
        <w:footnoteReference w:id="6"/>
      </w:r>
    </w:p>
    <w:p w14:paraId="4A7FCFB2" w14:textId="77777777" w:rsidR="00023FA5" w:rsidRPr="005E22C2" w:rsidRDefault="00023FA5" w:rsidP="00023FA5">
      <w:pPr>
        <w:pStyle w:val="Heading2"/>
      </w:pPr>
      <w:r w:rsidRPr="00A52918">
        <w:t xml:space="preserve">Therapeutic Goods Administration </w:t>
      </w:r>
      <w:r>
        <w:t>(</w:t>
      </w:r>
      <w:r w:rsidRPr="005E22C2">
        <w:t>TGA</w:t>
      </w:r>
      <w:r>
        <w:t>)</w:t>
      </w:r>
      <w:r w:rsidRPr="005E22C2">
        <w:t xml:space="preserve"> approved </w:t>
      </w:r>
      <w:r>
        <w:t>i</w:t>
      </w:r>
      <w:r w:rsidRPr="005E22C2">
        <w:t>ndications</w:t>
      </w:r>
    </w:p>
    <w:p w14:paraId="244FAF17" w14:textId="77777777" w:rsidR="00023FA5" w:rsidRDefault="00023FA5" w:rsidP="00023FA5">
      <w:r>
        <w:t>Cladribine</w:t>
      </w:r>
      <w:r w:rsidRPr="00CB56DF">
        <w:t xml:space="preserve"> is indicated for the </w:t>
      </w:r>
      <w:r>
        <w:t>t</w:t>
      </w:r>
      <w:r w:rsidRPr="00CB56DF">
        <w:t xml:space="preserve">reatment of RRMS to reduce the frequency of clinical relapses and to delay the progression of physical disability. Following completion of </w:t>
      </w:r>
      <w:r>
        <w:t>two</w:t>
      </w:r>
      <w:r w:rsidRPr="00CB56DF">
        <w:t xml:space="preserve"> trea</w:t>
      </w:r>
      <w:r>
        <w:t>tment courses, no further cladribine</w:t>
      </w:r>
      <w:r w:rsidRPr="00CB56DF">
        <w:t xml:space="preserve"> treatment is required in years 3 and 4. Re-initiation of therapy after year 4 has not been studied.</w:t>
      </w:r>
    </w:p>
    <w:p w14:paraId="1FFCCD84" w14:textId="77777777" w:rsidR="00023FA5" w:rsidRDefault="00023FA5" w:rsidP="00023FA5">
      <w:r>
        <w:t xml:space="preserve">Cladribine is also indicated for: </w:t>
      </w:r>
    </w:p>
    <w:p w14:paraId="4064F15B" w14:textId="77777777" w:rsidR="00023FA5" w:rsidRDefault="00023FA5" w:rsidP="00023FA5">
      <w:pPr>
        <w:pStyle w:val="ListParagraph"/>
        <w:numPr>
          <w:ilvl w:val="0"/>
          <w:numId w:val="18"/>
        </w:numPr>
      </w:pPr>
      <w:r>
        <w:t xml:space="preserve">Treatment of patients with Hairy Cell Leukaemia. </w:t>
      </w:r>
    </w:p>
    <w:p w14:paraId="7B8C16EF" w14:textId="77777777" w:rsidR="00023FA5" w:rsidRPr="00CB56DF" w:rsidRDefault="00023FA5" w:rsidP="00023FA5">
      <w:pPr>
        <w:pStyle w:val="ListParagraph"/>
        <w:numPr>
          <w:ilvl w:val="0"/>
          <w:numId w:val="18"/>
        </w:numPr>
      </w:pPr>
      <w:r>
        <w:t xml:space="preserve">Treatment of patients with B-cell chronic lymphocytic leukaemia in whom treatment with alkylating agents has failed. </w:t>
      </w:r>
    </w:p>
    <w:p w14:paraId="4858B7B9" w14:textId="77777777" w:rsidR="00023FA5" w:rsidRDefault="00023FA5" w:rsidP="00023FA5">
      <w:pPr>
        <w:pStyle w:val="Heading2"/>
      </w:pPr>
      <w:r>
        <w:t>Dosage and administration</w:t>
      </w:r>
    </w:p>
    <w:p w14:paraId="0E8D1970" w14:textId="77777777" w:rsidR="00023FA5" w:rsidRPr="000E4DA6" w:rsidRDefault="00023FA5" w:rsidP="00023FA5">
      <w:pPr>
        <w:pStyle w:val="Tabletitle"/>
      </w:pPr>
      <w:r>
        <w:t>Table 1</w:t>
      </w:r>
      <w:r w:rsidRPr="001420B3" w:rsidDel="00EE2BBB">
        <w:t xml:space="preserve">: </w:t>
      </w:r>
      <w:r>
        <w:t xml:space="preserve">Dosage and administration summary of </w:t>
      </w:r>
      <w:r w:rsidDel="00EE2BBB">
        <w:t>PB</w:t>
      </w:r>
      <w:r>
        <w:t xml:space="preserve">S listed RRMS drugs as at November 2021 </w:t>
      </w:r>
    </w:p>
    <w:tbl>
      <w:tblPr>
        <w:tblStyle w:val="TableGrid"/>
        <w:tblW w:w="0" w:type="auto"/>
        <w:tblLook w:val="04A0" w:firstRow="1" w:lastRow="0" w:firstColumn="1" w:lastColumn="0" w:noHBand="0" w:noVBand="1"/>
      </w:tblPr>
      <w:tblGrid>
        <w:gridCol w:w="2972"/>
        <w:gridCol w:w="2693"/>
        <w:gridCol w:w="3282"/>
      </w:tblGrid>
      <w:tr w:rsidR="00023FA5" w:rsidRPr="00405246" w14:paraId="19237A96" w14:textId="77777777" w:rsidTr="00023FA5">
        <w:tc>
          <w:tcPr>
            <w:tcW w:w="2972" w:type="dxa"/>
            <w:shd w:val="clear" w:color="auto" w:fill="BFBFBF" w:themeFill="background1" w:themeFillShade="BF"/>
          </w:tcPr>
          <w:p w14:paraId="5615A05F" w14:textId="77777777" w:rsidR="00023FA5" w:rsidRPr="00405246" w:rsidRDefault="00023FA5" w:rsidP="00023FA5">
            <w:pPr>
              <w:rPr>
                <w:rFonts w:cstheme="minorHAnsi"/>
                <w:b/>
                <w:sz w:val="20"/>
                <w:szCs w:val="20"/>
              </w:rPr>
            </w:pPr>
            <w:r w:rsidRPr="00405246">
              <w:rPr>
                <w:rFonts w:cstheme="minorHAnsi"/>
                <w:b/>
                <w:sz w:val="20"/>
                <w:szCs w:val="20"/>
              </w:rPr>
              <w:t>Product (Brand name)</w:t>
            </w:r>
          </w:p>
        </w:tc>
        <w:tc>
          <w:tcPr>
            <w:tcW w:w="2693" w:type="dxa"/>
            <w:shd w:val="clear" w:color="auto" w:fill="BFBFBF" w:themeFill="background1" w:themeFillShade="BF"/>
          </w:tcPr>
          <w:p w14:paraId="16B64FAE" w14:textId="77777777" w:rsidR="00023FA5" w:rsidRPr="00405246" w:rsidRDefault="00023FA5" w:rsidP="00023FA5">
            <w:pPr>
              <w:rPr>
                <w:rFonts w:cstheme="minorHAnsi"/>
                <w:b/>
                <w:sz w:val="20"/>
                <w:szCs w:val="20"/>
              </w:rPr>
            </w:pPr>
            <w:r w:rsidRPr="00405246">
              <w:rPr>
                <w:rFonts w:cstheme="minorHAnsi"/>
                <w:b/>
                <w:sz w:val="20"/>
                <w:szCs w:val="20"/>
              </w:rPr>
              <w:t>Dosage</w:t>
            </w:r>
          </w:p>
        </w:tc>
        <w:tc>
          <w:tcPr>
            <w:tcW w:w="3282" w:type="dxa"/>
            <w:shd w:val="clear" w:color="auto" w:fill="BFBFBF" w:themeFill="background1" w:themeFillShade="BF"/>
          </w:tcPr>
          <w:p w14:paraId="6B1B80A7" w14:textId="77777777" w:rsidR="00023FA5" w:rsidRPr="00405246" w:rsidRDefault="00023FA5" w:rsidP="00023FA5">
            <w:pPr>
              <w:rPr>
                <w:rFonts w:cstheme="minorHAnsi"/>
                <w:b/>
                <w:sz w:val="20"/>
                <w:szCs w:val="20"/>
              </w:rPr>
            </w:pPr>
            <w:r w:rsidRPr="00405246">
              <w:rPr>
                <w:rFonts w:cstheme="minorHAnsi"/>
                <w:b/>
                <w:sz w:val="20"/>
                <w:szCs w:val="20"/>
              </w:rPr>
              <w:t>Frequency</w:t>
            </w:r>
          </w:p>
        </w:tc>
      </w:tr>
      <w:tr w:rsidR="00023FA5" w:rsidRPr="00405246" w14:paraId="23941EC5" w14:textId="77777777" w:rsidTr="00023FA5">
        <w:tc>
          <w:tcPr>
            <w:tcW w:w="8947" w:type="dxa"/>
            <w:gridSpan w:val="3"/>
            <w:shd w:val="clear" w:color="auto" w:fill="BFBFBF" w:themeFill="background1" w:themeFillShade="BF"/>
          </w:tcPr>
          <w:p w14:paraId="01227FF9" w14:textId="77777777" w:rsidR="00023FA5" w:rsidRPr="00405246" w:rsidRDefault="00023FA5" w:rsidP="00023FA5">
            <w:pPr>
              <w:rPr>
                <w:rFonts w:cstheme="minorHAnsi"/>
                <w:b/>
                <w:sz w:val="20"/>
                <w:szCs w:val="20"/>
              </w:rPr>
            </w:pPr>
            <w:r w:rsidRPr="00405246">
              <w:rPr>
                <w:rFonts w:cstheme="minorHAnsi"/>
                <w:b/>
                <w:sz w:val="20"/>
                <w:szCs w:val="20"/>
              </w:rPr>
              <w:t>Infusion</w:t>
            </w:r>
          </w:p>
        </w:tc>
      </w:tr>
      <w:tr w:rsidR="00023FA5" w:rsidRPr="00405246" w14:paraId="520F0BDA" w14:textId="77777777" w:rsidTr="00023FA5">
        <w:tc>
          <w:tcPr>
            <w:tcW w:w="2972" w:type="dxa"/>
          </w:tcPr>
          <w:p w14:paraId="046D1E99" w14:textId="77777777" w:rsidR="00023FA5" w:rsidRPr="00405246" w:rsidRDefault="00023FA5" w:rsidP="00023FA5">
            <w:pPr>
              <w:rPr>
                <w:rFonts w:cstheme="minorHAnsi"/>
                <w:b/>
                <w:sz w:val="20"/>
                <w:szCs w:val="20"/>
              </w:rPr>
            </w:pPr>
            <w:r w:rsidRPr="00405246">
              <w:rPr>
                <w:rFonts w:cstheme="minorHAnsi"/>
                <w:sz w:val="20"/>
                <w:szCs w:val="20"/>
              </w:rPr>
              <w:t>alemtuzumab (Lemtrada®)</w:t>
            </w:r>
          </w:p>
        </w:tc>
        <w:tc>
          <w:tcPr>
            <w:tcW w:w="2693" w:type="dxa"/>
          </w:tcPr>
          <w:p w14:paraId="693B86F1" w14:textId="77777777" w:rsidR="00023FA5" w:rsidRPr="00405246" w:rsidRDefault="00023FA5" w:rsidP="00023FA5">
            <w:pPr>
              <w:rPr>
                <w:rFonts w:cstheme="minorHAnsi"/>
                <w:b/>
                <w:sz w:val="20"/>
                <w:szCs w:val="20"/>
              </w:rPr>
            </w:pPr>
            <w:r w:rsidRPr="00405246">
              <w:rPr>
                <w:rFonts w:cstheme="minorHAnsi"/>
                <w:sz w:val="20"/>
                <w:szCs w:val="20"/>
              </w:rPr>
              <w:t xml:space="preserve">12 mg </w:t>
            </w:r>
          </w:p>
        </w:tc>
        <w:tc>
          <w:tcPr>
            <w:tcW w:w="3282" w:type="dxa"/>
          </w:tcPr>
          <w:p w14:paraId="2BB4CC51" w14:textId="77777777" w:rsidR="00023FA5" w:rsidRPr="00405246" w:rsidRDefault="00023FA5" w:rsidP="00023FA5">
            <w:pPr>
              <w:rPr>
                <w:rFonts w:cstheme="minorHAnsi"/>
                <w:b/>
                <w:sz w:val="20"/>
                <w:szCs w:val="20"/>
              </w:rPr>
            </w:pPr>
            <w:r w:rsidRPr="00405246">
              <w:rPr>
                <w:rFonts w:cstheme="minorHAnsi"/>
                <w:sz w:val="20"/>
                <w:szCs w:val="20"/>
              </w:rPr>
              <w:t>Two treatment courses.  Over 5 days for initial treatment and over 3 days 12 months after initial treatment.</w:t>
            </w:r>
          </w:p>
        </w:tc>
      </w:tr>
      <w:tr w:rsidR="00023FA5" w:rsidRPr="00405246" w14:paraId="39DBB43D" w14:textId="77777777" w:rsidTr="00023FA5">
        <w:tc>
          <w:tcPr>
            <w:tcW w:w="2972" w:type="dxa"/>
          </w:tcPr>
          <w:p w14:paraId="26468E87" w14:textId="77777777" w:rsidR="00023FA5" w:rsidRPr="00405246" w:rsidRDefault="00023FA5" w:rsidP="00023FA5">
            <w:pPr>
              <w:rPr>
                <w:rFonts w:cstheme="minorHAnsi"/>
                <w:b/>
                <w:sz w:val="20"/>
                <w:szCs w:val="20"/>
              </w:rPr>
            </w:pPr>
            <w:r w:rsidRPr="00405246">
              <w:rPr>
                <w:rFonts w:cstheme="minorHAnsi"/>
                <w:sz w:val="20"/>
                <w:szCs w:val="20"/>
              </w:rPr>
              <w:t>natalizumab (Tysabri®)</w:t>
            </w:r>
          </w:p>
        </w:tc>
        <w:tc>
          <w:tcPr>
            <w:tcW w:w="2693" w:type="dxa"/>
          </w:tcPr>
          <w:p w14:paraId="7BD68CD5" w14:textId="77777777" w:rsidR="00023FA5" w:rsidRPr="00405246" w:rsidRDefault="00023FA5" w:rsidP="00023FA5">
            <w:pPr>
              <w:rPr>
                <w:rFonts w:cstheme="minorHAnsi"/>
                <w:b/>
                <w:sz w:val="20"/>
                <w:szCs w:val="20"/>
              </w:rPr>
            </w:pPr>
            <w:r w:rsidRPr="00405246">
              <w:rPr>
                <w:rFonts w:cstheme="minorHAnsi"/>
                <w:sz w:val="20"/>
                <w:szCs w:val="20"/>
              </w:rPr>
              <w:t xml:space="preserve">300 mg </w:t>
            </w:r>
          </w:p>
        </w:tc>
        <w:tc>
          <w:tcPr>
            <w:tcW w:w="3282" w:type="dxa"/>
          </w:tcPr>
          <w:p w14:paraId="70E5C5A1" w14:textId="77777777" w:rsidR="00023FA5" w:rsidRPr="00405246" w:rsidRDefault="00023FA5" w:rsidP="00023FA5">
            <w:pPr>
              <w:rPr>
                <w:rFonts w:cstheme="minorHAnsi"/>
                <w:b/>
                <w:sz w:val="20"/>
                <w:szCs w:val="20"/>
              </w:rPr>
            </w:pPr>
            <w:r w:rsidRPr="00405246">
              <w:rPr>
                <w:rFonts w:cstheme="minorHAnsi"/>
                <w:sz w:val="20"/>
                <w:szCs w:val="20"/>
              </w:rPr>
              <w:t>every 4 weeks</w:t>
            </w:r>
          </w:p>
        </w:tc>
      </w:tr>
      <w:tr w:rsidR="00023FA5" w:rsidRPr="00405246" w14:paraId="4C7781F3" w14:textId="77777777" w:rsidTr="00023FA5">
        <w:tc>
          <w:tcPr>
            <w:tcW w:w="2972" w:type="dxa"/>
          </w:tcPr>
          <w:p w14:paraId="3C9E60A7" w14:textId="77777777" w:rsidR="00023FA5" w:rsidRPr="00405246" w:rsidRDefault="00023FA5" w:rsidP="00023FA5">
            <w:pPr>
              <w:rPr>
                <w:rFonts w:cstheme="minorHAnsi"/>
                <w:sz w:val="20"/>
                <w:szCs w:val="20"/>
              </w:rPr>
            </w:pPr>
            <w:r>
              <w:rPr>
                <w:rFonts w:cstheme="minorHAnsi"/>
                <w:sz w:val="20"/>
                <w:szCs w:val="20"/>
              </w:rPr>
              <w:t>o</w:t>
            </w:r>
            <w:r w:rsidRPr="00405246">
              <w:rPr>
                <w:rFonts w:cstheme="minorHAnsi"/>
                <w:sz w:val="20"/>
                <w:szCs w:val="20"/>
              </w:rPr>
              <w:t>crelizumab (Ocrevus®)</w:t>
            </w:r>
          </w:p>
        </w:tc>
        <w:tc>
          <w:tcPr>
            <w:tcW w:w="2693" w:type="dxa"/>
          </w:tcPr>
          <w:p w14:paraId="22EEAE00" w14:textId="77777777" w:rsidR="00023FA5" w:rsidRPr="00405246" w:rsidRDefault="00023FA5" w:rsidP="00023FA5">
            <w:pPr>
              <w:rPr>
                <w:rFonts w:cstheme="minorHAnsi"/>
                <w:sz w:val="20"/>
                <w:szCs w:val="20"/>
              </w:rPr>
            </w:pPr>
            <w:r w:rsidRPr="00405246">
              <w:rPr>
                <w:rFonts w:cstheme="minorHAnsi"/>
                <w:sz w:val="20"/>
                <w:szCs w:val="20"/>
              </w:rPr>
              <w:t xml:space="preserve">600 mg </w:t>
            </w:r>
          </w:p>
        </w:tc>
        <w:tc>
          <w:tcPr>
            <w:tcW w:w="3282" w:type="dxa"/>
          </w:tcPr>
          <w:p w14:paraId="39960CD8" w14:textId="77777777" w:rsidR="00023FA5" w:rsidRPr="00405246" w:rsidRDefault="00023FA5" w:rsidP="00023FA5">
            <w:pPr>
              <w:rPr>
                <w:rFonts w:cstheme="minorHAnsi"/>
                <w:sz w:val="20"/>
                <w:szCs w:val="20"/>
              </w:rPr>
            </w:pPr>
            <w:r w:rsidRPr="00405246">
              <w:rPr>
                <w:rFonts w:cstheme="minorHAnsi"/>
                <w:sz w:val="20"/>
                <w:szCs w:val="20"/>
              </w:rPr>
              <w:t>Initial dose split into 2 infusions over 2 weeks</w:t>
            </w:r>
            <w:r>
              <w:rPr>
                <w:rFonts w:cstheme="minorHAnsi"/>
                <w:sz w:val="20"/>
                <w:szCs w:val="20"/>
              </w:rPr>
              <w:t xml:space="preserve"> and e</w:t>
            </w:r>
            <w:r w:rsidRPr="00405246">
              <w:rPr>
                <w:rFonts w:cstheme="minorHAnsi"/>
                <w:sz w:val="20"/>
                <w:szCs w:val="20"/>
              </w:rPr>
              <w:t xml:space="preserve">very </w:t>
            </w:r>
            <w:r>
              <w:rPr>
                <w:rFonts w:cstheme="minorHAnsi"/>
                <w:sz w:val="20"/>
                <w:szCs w:val="20"/>
              </w:rPr>
              <w:t xml:space="preserve">6 months afterwards. </w:t>
            </w:r>
          </w:p>
        </w:tc>
      </w:tr>
      <w:tr w:rsidR="00023FA5" w:rsidRPr="00405246" w14:paraId="50C3FAB0" w14:textId="77777777" w:rsidTr="00023FA5">
        <w:tc>
          <w:tcPr>
            <w:tcW w:w="8947" w:type="dxa"/>
            <w:gridSpan w:val="3"/>
            <w:shd w:val="clear" w:color="auto" w:fill="BFBFBF" w:themeFill="background1" w:themeFillShade="BF"/>
          </w:tcPr>
          <w:p w14:paraId="1FC12C0F" w14:textId="77777777" w:rsidR="00023FA5" w:rsidRPr="00405246" w:rsidRDefault="00023FA5" w:rsidP="00023FA5">
            <w:pPr>
              <w:rPr>
                <w:rFonts w:cstheme="minorHAnsi"/>
                <w:b/>
                <w:sz w:val="20"/>
                <w:szCs w:val="20"/>
              </w:rPr>
            </w:pPr>
            <w:r>
              <w:rPr>
                <w:rFonts w:cstheme="minorHAnsi"/>
                <w:b/>
                <w:sz w:val="20"/>
                <w:szCs w:val="20"/>
              </w:rPr>
              <w:t xml:space="preserve">Injection </w:t>
            </w:r>
          </w:p>
        </w:tc>
      </w:tr>
      <w:tr w:rsidR="00023FA5" w:rsidRPr="00405246" w14:paraId="022FCE33" w14:textId="77777777" w:rsidTr="00023FA5">
        <w:tc>
          <w:tcPr>
            <w:tcW w:w="2972" w:type="dxa"/>
          </w:tcPr>
          <w:p w14:paraId="09751778" w14:textId="77777777" w:rsidR="00023FA5" w:rsidRPr="00405246" w:rsidRDefault="00023FA5" w:rsidP="00023FA5">
            <w:pPr>
              <w:rPr>
                <w:rFonts w:cstheme="minorHAnsi"/>
                <w:b/>
                <w:sz w:val="20"/>
                <w:szCs w:val="20"/>
              </w:rPr>
            </w:pPr>
            <w:r w:rsidRPr="00DE131C">
              <w:rPr>
                <w:rFonts w:cstheme="minorHAnsi"/>
                <w:sz w:val="20"/>
                <w:szCs w:val="20"/>
              </w:rPr>
              <w:t>glatiramer acetate (Copaxone®)</w:t>
            </w:r>
          </w:p>
        </w:tc>
        <w:tc>
          <w:tcPr>
            <w:tcW w:w="2693" w:type="dxa"/>
          </w:tcPr>
          <w:p w14:paraId="6C120ECA" w14:textId="77777777" w:rsidR="00023FA5" w:rsidRPr="00405246" w:rsidRDefault="00023FA5" w:rsidP="00023FA5">
            <w:pPr>
              <w:rPr>
                <w:rFonts w:cstheme="minorHAnsi"/>
                <w:b/>
                <w:sz w:val="20"/>
                <w:szCs w:val="20"/>
              </w:rPr>
            </w:pPr>
            <w:r>
              <w:rPr>
                <w:rFonts w:cstheme="minorHAnsi"/>
                <w:sz w:val="20"/>
                <w:szCs w:val="20"/>
              </w:rPr>
              <w:t xml:space="preserve">40 mg </w:t>
            </w:r>
          </w:p>
        </w:tc>
        <w:tc>
          <w:tcPr>
            <w:tcW w:w="3282" w:type="dxa"/>
          </w:tcPr>
          <w:p w14:paraId="0BCE3E11" w14:textId="77777777" w:rsidR="00023FA5" w:rsidRPr="009F149C" w:rsidRDefault="00023FA5" w:rsidP="00023FA5">
            <w:pPr>
              <w:rPr>
                <w:rFonts w:cstheme="minorHAnsi"/>
                <w:sz w:val="20"/>
                <w:szCs w:val="20"/>
              </w:rPr>
            </w:pPr>
            <w:r>
              <w:rPr>
                <w:rFonts w:cstheme="minorHAnsi"/>
                <w:sz w:val="20"/>
                <w:szCs w:val="20"/>
              </w:rPr>
              <w:t xml:space="preserve">3 times a week  </w:t>
            </w:r>
          </w:p>
        </w:tc>
      </w:tr>
      <w:tr w:rsidR="00023FA5" w:rsidRPr="00405246" w14:paraId="494D3D66" w14:textId="77777777" w:rsidTr="00023FA5">
        <w:tc>
          <w:tcPr>
            <w:tcW w:w="2972" w:type="dxa"/>
          </w:tcPr>
          <w:p w14:paraId="7F061A98" w14:textId="77777777" w:rsidR="00023FA5" w:rsidRPr="00DE131C" w:rsidRDefault="00023FA5" w:rsidP="00023FA5">
            <w:pPr>
              <w:rPr>
                <w:rFonts w:cstheme="minorHAnsi"/>
                <w:sz w:val="20"/>
                <w:szCs w:val="20"/>
              </w:rPr>
            </w:pPr>
            <w:r w:rsidRPr="00DE131C">
              <w:rPr>
                <w:rFonts w:cstheme="minorHAnsi"/>
                <w:sz w:val="20"/>
                <w:szCs w:val="20"/>
              </w:rPr>
              <w:t>interferon beta-1a (Avonex®)</w:t>
            </w:r>
          </w:p>
        </w:tc>
        <w:tc>
          <w:tcPr>
            <w:tcW w:w="2693" w:type="dxa"/>
          </w:tcPr>
          <w:p w14:paraId="28372F89" w14:textId="77777777" w:rsidR="00023FA5" w:rsidRPr="00405246" w:rsidRDefault="00023FA5" w:rsidP="00023FA5">
            <w:pPr>
              <w:rPr>
                <w:rFonts w:cstheme="minorHAnsi"/>
                <w:b/>
                <w:sz w:val="20"/>
                <w:szCs w:val="20"/>
              </w:rPr>
            </w:pPr>
            <w:r w:rsidRPr="00DE131C">
              <w:rPr>
                <w:rFonts w:cstheme="minorHAnsi"/>
                <w:sz w:val="20"/>
                <w:szCs w:val="20"/>
              </w:rPr>
              <w:t>6 million IU</w:t>
            </w:r>
            <w:r>
              <w:rPr>
                <w:rFonts w:cstheme="minorHAnsi"/>
                <w:sz w:val="20"/>
                <w:szCs w:val="20"/>
              </w:rPr>
              <w:t xml:space="preserve">= 30 </w:t>
            </w:r>
            <w:r w:rsidRPr="00DE131C">
              <w:rPr>
                <w:rFonts w:cstheme="minorHAnsi"/>
                <w:sz w:val="20"/>
                <w:szCs w:val="20"/>
              </w:rPr>
              <w:t>µg</w:t>
            </w:r>
          </w:p>
        </w:tc>
        <w:tc>
          <w:tcPr>
            <w:tcW w:w="3282" w:type="dxa"/>
          </w:tcPr>
          <w:p w14:paraId="68275DFA" w14:textId="77777777" w:rsidR="00023FA5" w:rsidRPr="009F149C" w:rsidRDefault="00023FA5" w:rsidP="00023FA5">
            <w:pPr>
              <w:rPr>
                <w:rFonts w:cstheme="minorHAnsi"/>
                <w:sz w:val="20"/>
                <w:szCs w:val="20"/>
              </w:rPr>
            </w:pPr>
            <w:r w:rsidRPr="009F149C">
              <w:rPr>
                <w:rFonts w:cstheme="minorHAnsi"/>
                <w:sz w:val="20"/>
                <w:szCs w:val="20"/>
              </w:rPr>
              <w:t>Weekly</w:t>
            </w:r>
          </w:p>
        </w:tc>
      </w:tr>
      <w:tr w:rsidR="00023FA5" w:rsidRPr="00405246" w14:paraId="38EA8BAF" w14:textId="77777777" w:rsidTr="00023FA5">
        <w:tc>
          <w:tcPr>
            <w:tcW w:w="2972" w:type="dxa"/>
          </w:tcPr>
          <w:p w14:paraId="33395C61" w14:textId="77777777" w:rsidR="00023FA5" w:rsidRPr="00DE131C" w:rsidRDefault="00023FA5" w:rsidP="00023FA5">
            <w:pPr>
              <w:rPr>
                <w:rFonts w:cstheme="minorHAnsi"/>
                <w:sz w:val="20"/>
                <w:szCs w:val="20"/>
              </w:rPr>
            </w:pPr>
            <w:r w:rsidRPr="00DE131C">
              <w:rPr>
                <w:rFonts w:cstheme="minorHAnsi"/>
                <w:sz w:val="20"/>
                <w:szCs w:val="20"/>
              </w:rPr>
              <w:t>interferon beta-1a (Rebif®)</w:t>
            </w:r>
          </w:p>
        </w:tc>
        <w:tc>
          <w:tcPr>
            <w:tcW w:w="2693" w:type="dxa"/>
          </w:tcPr>
          <w:p w14:paraId="3A99C56A" w14:textId="77777777" w:rsidR="00023FA5" w:rsidRPr="00405246" w:rsidRDefault="00023FA5" w:rsidP="00023FA5">
            <w:pPr>
              <w:rPr>
                <w:rFonts w:cstheme="minorHAnsi"/>
                <w:b/>
                <w:sz w:val="20"/>
                <w:szCs w:val="20"/>
              </w:rPr>
            </w:pPr>
            <w:r w:rsidRPr="00DE131C">
              <w:rPr>
                <w:rFonts w:cstheme="minorHAnsi"/>
                <w:sz w:val="20"/>
                <w:szCs w:val="20"/>
              </w:rPr>
              <w:t>12 million IU</w:t>
            </w:r>
            <w:r>
              <w:rPr>
                <w:rFonts w:cstheme="minorHAnsi"/>
                <w:sz w:val="20"/>
                <w:szCs w:val="20"/>
              </w:rPr>
              <w:t xml:space="preserve">= 44 </w:t>
            </w:r>
            <w:r w:rsidRPr="00DE131C">
              <w:rPr>
                <w:rFonts w:cstheme="minorHAnsi"/>
                <w:sz w:val="20"/>
                <w:szCs w:val="20"/>
              </w:rPr>
              <w:t>µg</w:t>
            </w:r>
          </w:p>
        </w:tc>
        <w:tc>
          <w:tcPr>
            <w:tcW w:w="3282" w:type="dxa"/>
          </w:tcPr>
          <w:p w14:paraId="3837349F" w14:textId="77777777" w:rsidR="00023FA5" w:rsidRPr="009F149C" w:rsidRDefault="00023FA5" w:rsidP="00023FA5">
            <w:pPr>
              <w:rPr>
                <w:rFonts w:cstheme="minorHAnsi"/>
                <w:sz w:val="20"/>
                <w:szCs w:val="20"/>
              </w:rPr>
            </w:pPr>
            <w:r w:rsidRPr="009F149C">
              <w:rPr>
                <w:rFonts w:cstheme="minorHAnsi"/>
                <w:sz w:val="20"/>
                <w:szCs w:val="20"/>
              </w:rPr>
              <w:t>3 times</w:t>
            </w:r>
            <w:r>
              <w:rPr>
                <w:rFonts w:cstheme="minorHAnsi"/>
                <w:sz w:val="20"/>
                <w:szCs w:val="20"/>
              </w:rPr>
              <w:t xml:space="preserve"> a week</w:t>
            </w:r>
          </w:p>
        </w:tc>
      </w:tr>
      <w:tr w:rsidR="00023FA5" w:rsidRPr="00405246" w14:paraId="5D07AD46" w14:textId="77777777" w:rsidTr="00023FA5">
        <w:tc>
          <w:tcPr>
            <w:tcW w:w="2972" w:type="dxa"/>
          </w:tcPr>
          <w:p w14:paraId="18FD7CD6" w14:textId="77777777" w:rsidR="00023FA5" w:rsidRPr="00DE131C" w:rsidRDefault="00023FA5" w:rsidP="00023FA5">
            <w:pPr>
              <w:rPr>
                <w:rFonts w:cstheme="minorHAnsi"/>
                <w:sz w:val="20"/>
                <w:szCs w:val="20"/>
              </w:rPr>
            </w:pPr>
            <w:r w:rsidRPr="00DE131C">
              <w:rPr>
                <w:rFonts w:cstheme="minorHAnsi"/>
                <w:sz w:val="20"/>
                <w:szCs w:val="20"/>
              </w:rPr>
              <w:t>interferon beta-1b (Betaferon®)</w:t>
            </w:r>
          </w:p>
        </w:tc>
        <w:tc>
          <w:tcPr>
            <w:tcW w:w="2693" w:type="dxa"/>
          </w:tcPr>
          <w:p w14:paraId="4FAAE36D" w14:textId="77777777" w:rsidR="00023FA5" w:rsidRPr="00405246" w:rsidRDefault="00023FA5" w:rsidP="00023FA5">
            <w:pPr>
              <w:rPr>
                <w:rFonts w:cstheme="minorHAnsi"/>
                <w:b/>
                <w:sz w:val="20"/>
                <w:szCs w:val="20"/>
              </w:rPr>
            </w:pPr>
            <w:r w:rsidRPr="00DE131C">
              <w:rPr>
                <w:rFonts w:cstheme="minorHAnsi"/>
                <w:sz w:val="20"/>
                <w:szCs w:val="20"/>
              </w:rPr>
              <w:t>8 million IU</w:t>
            </w:r>
            <w:r>
              <w:rPr>
                <w:rFonts w:cstheme="minorHAnsi"/>
                <w:sz w:val="20"/>
                <w:szCs w:val="20"/>
              </w:rPr>
              <w:t xml:space="preserve"> = 0.25 mg= 250 </w:t>
            </w:r>
            <w:r w:rsidRPr="00DE131C">
              <w:rPr>
                <w:rFonts w:cstheme="minorHAnsi"/>
                <w:sz w:val="20"/>
                <w:szCs w:val="20"/>
              </w:rPr>
              <w:t>µg</w:t>
            </w:r>
          </w:p>
        </w:tc>
        <w:tc>
          <w:tcPr>
            <w:tcW w:w="3282" w:type="dxa"/>
          </w:tcPr>
          <w:p w14:paraId="69E3A396" w14:textId="77777777" w:rsidR="00023FA5" w:rsidRPr="009F149C" w:rsidRDefault="00023FA5" w:rsidP="00023FA5">
            <w:pPr>
              <w:rPr>
                <w:rFonts w:cstheme="minorHAnsi"/>
                <w:sz w:val="20"/>
                <w:szCs w:val="20"/>
              </w:rPr>
            </w:pPr>
            <w:r w:rsidRPr="009F149C">
              <w:rPr>
                <w:rFonts w:cstheme="minorHAnsi"/>
                <w:sz w:val="20"/>
                <w:szCs w:val="20"/>
              </w:rPr>
              <w:t xml:space="preserve">On alternate days </w:t>
            </w:r>
          </w:p>
        </w:tc>
      </w:tr>
      <w:tr w:rsidR="00023FA5" w:rsidRPr="00405246" w14:paraId="64495C3F" w14:textId="77777777" w:rsidTr="00023FA5">
        <w:tc>
          <w:tcPr>
            <w:tcW w:w="2972" w:type="dxa"/>
          </w:tcPr>
          <w:p w14:paraId="0A8F32F8" w14:textId="77777777" w:rsidR="00023FA5" w:rsidRPr="00DE131C" w:rsidRDefault="00023FA5" w:rsidP="00023FA5">
            <w:pPr>
              <w:rPr>
                <w:rFonts w:cstheme="minorHAnsi"/>
                <w:sz w:val="20"/>
                <w:szCs w:val="20"/>
              </w:rPr>
            </w:pPr>
            <w:r w:rsidRPr="00DE131C">
              <w:rPr>
                <w:rFonts w:cstheme="minorHAnsi"/>
                <w:sz w:val="20"/>
                <w:szCs w:val="20"/>
              </w:rPr>
              <w:t>ofatumumab (Kesimpta®)</w:t>
            </w:r>
          </w:p>
        </w:tc>
        <w:tc>
          <w:tcPr>
            <w:tcW w:w="2693" w:type="dxa"/>
          </w:tcPr>
          <w:p w14:paraId="32A31415" w14:textId="77777777" w:rsidR="00023FA5" w:rsidRPr="00405246" w:rsidRDefault="00023FA5" w:rsidP="00023FA5">
            <w:pPr>
              <w:rPr>
                <w:rFonts w:cstheme="minorHAnsi"/>
                <w:b/>
                <w:sz w:val="20"/>
                <w:szCs w:val="20"/>
              </w:rPr>
            </w:pPr>
            <w:r w:rsidRPr="00DE131C">
              <w:rPr>
                <w:rFonts w:cstheme="minorHAnsi"/>
                <w:sz w:val="20"/>
                <w:szCs w:val="20"/>
              </w:rPr>
              <w:t xml:space="preserve">20 mg </w:t>
            </w:r>
          </w:p>
        </w:tc>
        <w:tc>
          <w:tcPr>
            <w:tcW w:w="3282" w:type="dxa"/>
          </w:tcPr>
          <w:p w14:paraId="3546481D" w14:textId="77777777" w:rsidR="00023FA5" w:rsidRPr="009F149C" w:rsidRDefault="00023FA5" w:rsidP="00023FA5">
            <w:pPr>
              <w:rPr>
                <w:rFonts w:cstheme="minorHAnsi"/>
                <w:sz w:val="20"/>
                <w:szCs w:val="20"/>
              </w:rPr>
            </w:pPr>
            <w:r w:rsidRPr="009F149C">
              <w:rPr>
                <w:rFonts w:cstheme="minorHAnsi"/>
                <w:sz w:val="20"/>
                <w:szCs w:val="20"/>
              </w:rPr>
              <w:t xml:space="preserve">Weekly for week 0, 1, </w:t>
            </w:r>
            <w:r>
              <w:rPr>
                <w:rFonts w:cstheme="minorHAnsi"/>
                <w:sz w:val="20"/>
                <w:szCs w:val="20"/>
              </w:rPr>
              <w:t>2, followed by subsequent monthly dosing starting at week 4.</w:t>
            </w:r>
          </w:p>
        </w:tc>
      </w:tr>
      <w:tr w:rsidR="00023FA5" w:rsidRPr="00405246" w14:paraId="254E7F0A" w14:textId="77777777" w:rsidTr="00023FA5">
        <w:tc>
          <w:tcPr>
            <w:tcW w:w="2972" w:type="dxa"/>
          </w:tcPr>
          <w:p w14:paraId="6D64C350" w14:textId="77777777" w:rsidR="00023FA5" w:rsidRPr="00DE131C" w:rsidRDefault="00023FA5" w:rsidP="00023FA5">
            <w:pPr>
              <w:rPr>
                <w:rFonts w:cstheme="minorHAnsi"/>
                <w:sz w:val="20"/>
                <w:szCs w:val="20"/>
              </w:rPr>
            </w:pPr>
            <w:r w:rsidRPr="00DE131C">
              <w:rPr>
                <w:rFonts w:cstheme="minorHAnsi"/>
                <w:sz w:val="20"/>
                <w:szCs w:val="20"/>
              </w:rPr>
              <w:t>peginterferon beta-1a (Plegridy®)</w:t>
            </w:r>
          </w:p>
        </w:tc>
        <w:tc>
          <w:tcPr>
            <w:tcW w:w="2693" w:type="dxa"/>
          </w:tcPr>
          <w:p w14:paraId="4DA5B984" w14:textId="77777777" w:rsidR="00023FA5" w:rsidRPr="00405246" w:rsidRDefault="00023FA5" w:rsidP="00023FA5">
            <w:pPr>
              <w:rPr>
                <w:rFonts w:cstheme="minorHAnsi"/>
                <w:b/>
                <w:sz w:val="20"/>
                <w:szCs w:val="20"/>
              </w:rPr>
            </w:pPr>
            <w:r w:rsidRPr="00DE131C">
              <w:rPr>
                <w:rFonts w:cstheme="minorHAnsi"/>
                <w:sz w:val="20"/>
                <w:szCs w:val="20"/>
              </w:rPr>
              <w:t>125 µg</w:t>
            </w:r>
          </w:p>
        </w:tc>
        <w:tc>
          <w:tcPr>
            <w:tcW w:w="3282" w:type="dxa"/>
          </w:tcPr>
          <w:p w14:paraId="69CAD4B1" w14:textId="77777777" w:rsidR="00023FA5" w:rsidRPr="009F149C" w:rsidRDefault="00023FA5" w:rsidP="00023FA5">
            <w:pPr>
              <w:rPr>
                <w:rFonts w:cstheme="minorHAnsi"/>
                <w:sz w:val="20"/>
                <w:szCs w:val="20"/>
              </w:rPr>
            </w:pPr>
            <w:r w:rsidRPr="009F149C">
              <w:rPr>
                <w:rFonts w:cstheme="minorHAnsi"/>
                <w:sz w:val="20"/>
                <w:szCs w:val="20"/>
              </w:rPr>
              <w:t xml:space="preserve">Every 2 weeks </w:t>
            </w:r>
          </w:p>
        </w:tc>
      </w:tr>
      <w:tr w:rsidR="00023FA5" w:rsidRPr="00405246" w14:paraId="0FEA3FE4" w14:textId="77777777" w:rsidTr="00023FA5">
        <w:tc>
          <w:tcPr>
            <w:tcW w:w="8947" w:type="dxa"/>
            <w:gridSpan w:val="3"/>
            <w:shd w:val="clear" w:color="auto" w:fill="BFBFBF" w:themeFill="background1" w:themeFillShade="BF"/>
          </w:tcPr>
          <w:p w14:paraId="4F6C7C52" w14:textId="77777777" w:rsidR="00023FA5" w:rsidRPr="009F149C" w:rsidRDefault="00023FA5" w:rsidP="00023FA5">
            <w:pPr>
              <w:rPr>
                <w:rFonts w:cstheme="minorHAnsi"/>
                <w:b/>
                <w:sz w:val="20"/>
                <w:szCs w:val="20"/>
              </w:rPr>
            </w:pPr>
            <w:r w:rsidRPr="009F149C">
              <w:rPr>
                <w:rFonts w:cstheme="minorHAnsi"/>
                <w:b/>
                <w:sz w:val="20"/>
                <w:szCs w:val="20"/>
              </w:rPr>
              <w:t xml:space="preserve">Oral </w:t>
            </w:r>
          </w:p>
        </w:tc>
      </w:tr>
      <w:tr w:rsidR="00023FA5" w:rsidRPr="00405246" w14:paraId="3340FFC1" w14:textId="77777777" w:rsidTr="00023FA5">
        <w:tc>
          <w:tcPr>
            <w:tcW w:w="2972" w:type="dxa"/>
          </w:tcPr>
          <w:p w14:paraId="28A1C919" w14:textId="77777777" w:rsidR="00023FA5" w:rsidRPr="00DE131C" w:rsidRDefault="00023FA5" w:rsidP="00023FA5">
            <w:pPr>
              <w:rPr>
                <w:rFonts w:cstheme="minorHAnsi"/>
                <w:sz w:val="20"/>
                <w:szCs w:val="20"/>
              </w:rPr>
            </w:pPr>
            <w:r w:rsidRPr="00DE131C">
              <w:rPr>
                <w:rFonts w:cstheme="minorHAnsi"/>
                <w:sz w:val="20"/>
                <w:szCs w:val="20"/>
              </w:rPr>
              <w:t>cladribine (Mavenclad®)</w:t>
            </w:r>
          </w:p>
        </w:tc>
        <w:tc>
          <w:tcPr>
            <w:tcW w:w="2693" w:type="dxa"/>
          </w:tcPr>
          <w:p w14:paraId="61AC918E" w14:textId="77777777" w:rsidR="00023FA5" w:rsidRPr="00DE131C" w:rsidRDefault="00023FA5" w:rsidP="00023FA5">
            <w:pPr>
              <w:rPr>
                <w:rFonts w:cstheme="minorHAnsi"/>
                <w:sz w:val="20"/>
                <w:szCs w:val="20"/>
              </w:rPr>
            </w:pPr>
            <w:r>
              <w:rPr>
                <w:rFonts w:cstheme="minorHAnsi"/>
                <w:sz w:val="20"/>
                <w:szCs w:val="20"/>
              </w:rPr>
              <w:t xml:space="preserve">3.5 mg/kg body weight </w:t>
            </w:r>
          </w:p>
        </w:tc>
        <w:tc>
          <w:tcPr>
            <w:tcW w:w="3282" w:type="dxa"/>
          </w:tcPr>
          <w:p w14:paraId="3458EDBF" w14:textId="77777777" w:rsidR="00023FA5" w:rsidRPr="009F149C" w:rsidRDefault="00023FA5" w:rsidP="00023FA5">
            <w:pPr>
              <w:rPr>
                <w:rFonts w:cstheme="minorHAnsi"/>
                <w:sz w:val="20"/>
                <w:szCs w:val="20"/>
              </w:rPr>
            </w:pPr>
            <w:r w:rsidRPr="009F149C">
              <w:rPr>
                <w:rFonts w:cstheme="minorHAnsi"/>
                <w:sz w:val="20"/>
                <w:szCs w:val="20"/>
              </w:rPr>
              <w:t xml:space="preserve">Two treatment courses over 2 years. </w:t>
            </w:r>
          </w:p>
          <w:p w14:paraId="52A58736" w14:textId="77777777" w:rsidR="00023FA5" w:rsidRPr="009F149C" w:rsidRDefault="00023FA5" w:rsidP="00023FA5">
            <w:pPr>
              <w:rPr>
                <w:rFonts w:cstheme="minorHAnsi"/>
                <w:sz w:val="20"/>
                <w:szCs w:val="20"/>
              </w:rPr>
            </w:pPr>
            <w:r w:rsidRPr="009F149C">
              <w:rPr>
                <w:rFonts w:cstheme="minorHAnsi"/>
                <w:sz w:val="20"/>
                <w:szCs w:val="20"/>
              </w:rPr>
              <w:t>Each course consists of 2 treatment weeks, one at the beginning of the first month and one at the beginning of the second month</w:t>
            </w:r>
            <w:r>
              <w:rPr>
                <w:rFonts w:cstheme="minorHAnsi"/>
                <w:sz w:val="20"/>
                <w:szCs w:val="20"/>
              </w:rPr>
              <w:t xml:space="preserve"> of the respective year</w:t>
            </w:r>
            <w:r w:rsidRPr="009F149C">
              <w:rPr>
                <w:rFonts w:cstheme="minorHAnsi"/>
                <w:sz w:val="20"/>
                <w:szCs w:val="20"/>
              </w:rPr>
              <w:t xml:space="preserve">. </w:t>
            </w:r>
            <w:r>
              <w:rPr>
                <w:rFonts w:cstheme="minorHAnsi"/>
                <w:sz w:val="20"/>
                <w:szCs w:val="20"/>
              </w:rPr>
              <w:t xml:space="preserve">Each treatment week consists of 4-5 days where patient receives 10 mg or 20 mg (1 or </w:t>
            </w:r>
            <w:r>
              <w:rPr>
                <w:rFonts w:cstheme="minorHAnsi"/>
                <w:sz w:val="20"/>
                <w:szCs w:val="20"/>
              </w:rPr>
              <w:lastRenderedPageBreak/>
              <w:t>2 tablets) as a single daily dose, depending on body weight</w:t>
            </w:r>
          </w:p>
        </w:tc>
      </w:tr>
      <w:tr w:rsidR="00023FA5" w:rsidRPr="00405246" w14:paraId="48051934" w14:textId="77777777" w:rsidTr="00023FA5">
        <w:tc>
          <w:tcPr>
            <w:tcW w:w="2972" w:type="dxa"/>
          </w:tcPr>
          <w:p w14:paraId="5FA0607C" w14:textId="77777777" w:rsidR="00023FA5" w:rsidRPr="00DE131C" w:rsidRDefault="00023FA5" w:rsidP="00023FA5">
            <w:pPr>
              <w:rPr>
                <w:rFonts w:cstheme="minorHAnsi"/>
                <w:sz w:val="20"/>
                <w:szCs w:val="20"/>
              </w:rPr>
            </w:pPr>
            <w:r w:rsidRPr="00DE131C">
              <w:rPr>
                <w:rFonts w:cstheme="minorHAnsi"/>
                <w:sz w:val="20"/>
                <w:szCs w:val="20"/>
              </w:rPr>
              <w:lastRenderedPageBreak/>
              <w:t>dimethyl fumarate (Tecfidera®)</w:t>
            </w:r>
          </w:p>
        </w:tc>
        <w:tc>
          <w:tcPr>
            <w:tcW w:w="2693" w:type="dxa"/>
          </w:tcPr>
          <w:p w14:paraId="26A258EE" w14:textId="77777777" w:rsidR="00023FA5" w:rsidRDefault="00023FA5" w:rsidP="00023FA5">
            <w:pPr>
              <w:rPr>
                <w:rFonts w:cstheme="minorHAnsi"/>
                <w:sz w:val="20"/>
                <w:szCs w:val="20"/>
              </w:rPr>
            </w:pPr>
            <w:r>
              <w:rPr>
                <w:rFonts w:cstheme="minorHAnsi"/>
                <w:sz w:val="20"/>
                <w:szCs w:val="20"/>
              </w:rPr>
              <w:t>120 mg starting dose for first 7 days</w:t>
            </w:r>
          </w:p>
          <w:p w14:paraId="3D3A5ACF" w14:textId="77777777" w:rsidR="00023FA5" w:rsidRPr="00DE131C" w:rsidRDefault="00023FA5" w:rsidP="00023FA5">
            <w:pPr>
              <w:rPr>
                <w:rFonts w:cstheme="minorHAnsi"/>
                <w:sz w:val="20"/>
                <w:szCs w:val="20"/>
              </w:rPr>
            </w:pPr>
            <w:r>
              <w:rPr>
                <w:rFonts w:cstheme="minorHAnsi"/>
                <w:sz w:val="20"/>
                <w:szCs w:val="20"/>
              </w:rPr>
              <w:t xml:space="preserve">240 mg maintenance dose </w:t>
            </w:r>
          </w:p>
        </w:tc>
        <w:tc>
          <w:tcPr>
            <w:tcW w:w="3282" w:type="dxa"/>
          </w:tcPr>
          <w:p w14:paraId="02BA8175" w14:textId="77777777" w:rsidR="00023FA5" w:rsidRPr="009F149C" w:rsidRDefault="00023FA5" w:rsidP="00023FA5">
            <w:pPr>
              <w:rPr>
                <w:rFonts w:cstheme="minorHAnsi"/>
                <w:sz w:val="20"/>
                <w:szCs w:val="20"/>
              </w:rPr>
            </w:pPr>
            <w:r w:rsidRPr="009F149C">
              <w:rPr>
                <w:rFonts w:cstheme="minorHAnsi"/>
                <w:sz w:val="20"/>
                <w:szCs w:val="20"/>
              </w:rPr>
              <w:t xml:space="preserve">Twice a day </w:t>
            </w:r>
          </w:p>
        </w:tc>
      </w:tr>
      <w:tr w:rsidR="00023FA5" w:rsidRPr="00405246" w14:paraId="70BE334E" w14:textId="77777777" w:rsidTr="00023FA5">
        <w:tc>
          <w:tcPr>
            <w:tcW w:w="2972" w:type="dxa"/>
          </w:tcPr>
          <w:p w14:paraId="06A4C679" w14:textId="77777777" w:rsidR="00023FA5" w:rsidRPr="00DE131C" w:rsidRDefault="00023FA5" w:rsidP="00023FA5">
            <w:pPr>
              <w:rPr>
                <w:rFonts w:cstheme="minorHAnsi"/>
                <w:sz w:val="20"/>
                <w:szCs w:val="20"/>
              </w:rPr>
            </w:pPr>
            <w:r w:rsidRPr="00DE131C">
              <w:rPr>
                <w:rFonts w:cstheme="minorHAnsi"/>
                <w:sz w:val="20"/>
                <w:szCs w:val="20"/>
              </w:rPr>
              <w:t>fingolimod (Gilenya®)</w:t>
            </w:r>
          </w:p>
        </w:tc>
        <w:tc>
          <w:tcPr>
            <w:tcW w:w="2693" w:type="dxa"/>
          </w:tcPr>
          <w:p w14:paraId="7A5ECD9F" w14:textId="77777777" w:rsidR="00023FA5" w:rsidRPr="00DE131C" w:rsidRDefault="00023FA5" w:rsidP="00023FA5">
            <w:pPr>
              <w:rPr>
                <w:rFonts w:cstheme="minorHAnsi"/>
                <w:sz w:val="20"/>
                <w:szCs w:val="20"/>
              </w:rPr>
            </w:pPr>
            <w:r>
              <w:rPr>
                <w:rFonts w:cstheme="minorHAnsi"/>
                <w:sz w:val="20"/>
                <w:szCs w:val="20"/>
              </w:rPr>
              <w:t xml:space="preserve">0.5 mg </w:t>
            </w:r>
          </w:p>
        </w:tc>
        <w:tc>
          <w:tcPr>
            <w:tcW w:w="3282" w:type="dxa"/>
          </w:tcPr>
          <w:p w14:paraId="22033969" w14:textId="77777777" w:rsidR="00023FA5" w:rsidRPr="009F149C" w:rsidRDefault="00023FA5" w:rsidP="00023FA5">
            <w:pPr>
              <w:rPr>
                <w:rFonts w:cstheme="minorHAnsi"/>
                <w:sz w:val="20"/>
                <w:szCs w:val="20"/>
              </w:rPr>
            </w:pPr>
            <w:r w:rsidRPr="009F149C">
              <w:rPr>
                <w:rFonts w:cstheme="minorHAnsi"/>
                <w:sz w:val="20"/>
                <w:szCs w:val="20"/>
              </w:rPr>
              <w:t xml:space="preserve">Daily </w:t>
            </w:r>
          </w:p>
        </w:tc>
      </w:tr>
      <w:tr w:rsidR="00023FA5" w:rsidRPr="00405246" w14:paraId="183E7A46" w14:textId="77777777" w:rsidTr="00023FA5">
        <w:tc>
          <w:tcPr>
            <w:tcW w:w="2972" w:type="dxa"/>
          </w:tcPr>
          <w:p w14:paraId="4BC32016" w14:textId="77777777" w:rsidR="00023FA5" w:rsidRPr="00DE131C" w:rsidRDefault="00023FA5" w:rsidP="00023FA5">
            <w:pPr>
              <w:rPr>
                <w:rFonts w:cstheme="minorHAnsi"/>
                <w:sz w:val="20"/>
                <w:szCs w:val="20"/>
              </w:rPr>
            </w:pPr>
            <w:r w:rsidRPr="00DE131C">
              <w:rPr>
                <w:rFonts w:cstheme="minorHAnsi"/>
                <w:sz w:val="20"/>
                <w:szCs w:val="20"/>
              </w:rPr>
              <w:t>ozanimod (Zeposia®)</w:t>
            </w:r>
          </w:p>
        </w:tc>
        <w:tc>
          <w:tcPr>
            <w:tcW w:w="2693" w:type="dxa"/>
          </w:tcPr>
          <w:p w14:paraId="17B2C370" w14:textId="77777777" w:rsidR="00023FA5" w:rsidRDefault="00023FA5" w:rsidP="00023FA5">
            <w:pPr>
              <w:rPr>
                <w:rFonts w:cstheme="minorHAnsi"/>
                <w:sz w:val="20"/>
                <w:szCs w:val="20"/>
              </w:rPr>
            </w:pPr>
            <w:r>
              <w:rPr>
                <w:rFonts w:cstheme="minorHAnsi"/>
                <w:sz w:val="20"/>
                <w:szCs w:val="20"/>
              </w:rPr>
              <w:t xml:space="preserve">230 </w:t>
            </w:r>
            <w:r w:rsidRPr="00DE131C">
              <w:rPr>
                <w:rFonts w:cstheme="minorHAnsi"/>
                <w:sz w:val="20"/>
                <w:szCs w:val="20"/>
              </w:rPr>
              <w:t>µg</w:t>
            </w:r>
            <w:r>
              <w:rPr>
                <w:rFonts w:cstheme="minorHAnsi"/>
                <w:sz w:val="20"/>
                <w:szCs w:val="20"/>
              </w:rPr>
              <w:t xml:space="preserve"> starting dose for first 4 days, 460 </w:t>
            </w:r>
            <w:r w:rsidRPr="00DE131C">
              <w:rPr>
                <w:rFonts w:cstheme="minorHAnsi"/>
                <w:sz w:val="20"/>
                <w:szCs w:val="20"/>
              </w:rPr>
              <w:t>µg</w:t>
            </w:r>
            <w:r>
              <w:rPr>
                <w:rFonts w:cstheme="minorHAnsi"/>
                <w:sz w:val="20"/>
                <w:szCs w:val="20"/>
              </w:rPr>
              <w:t xml:space="preserve"> dose over next 3 days. </w:t>
            </w:r>
          </w:p>
          <w:p w14:paraId="40005231" w14:textId="77777777" w:rsidR="00023FA5" w:rsidRDefault="00023FA5" w:rsidP="00023FA5">
            <w:pPr>
              <w:rPr>
                <w:rFonts w:cstheme="minorHAnsi"/>
                <w:sz w:val="20"/>
                <w:szCs w:val="20"/>
              </w:rPr>
            </w:pPr>
            <w:r>
              <w:rPr>
                <w:rFonts w:cstheme="minorHAnsi"/>
                <w:sz w:val="20"/>
                <w:szCs w:val="20"/>
              </w:rPr>
              <w:t xml:space="preserve">920 </w:t>
            </w:r>
            <w:r w:rsidRPr="00DE131C">
              <w:rPr>
                <w:rFonts w:cstheme="minorHAnsi"/>
                <w:sz w:val="20"/>
                <w:szCs w:val="20"/>
              </w:rPr>
              <w:t>µg</w:t>
            </w:r>
            <w:r>
              <w:rPr>
                <w:rFonts w:cstheme="minorHAnsi"/>
                <w:sz w:val="20"/>
                <w:szCs w:val="20"/>
              </w:rPr>
              <w:t xml:space="preserve"> maintenance dose </w:t>
            </w:r>
          </w:p>
        </w:tc>
        <w:tc>
          <w:tcPr>
            <w:tcW w:w="3282" w:type="dxa"/>
          </w:tcPr>
          <w:p w14:paraId="675DE59C" w14:textId="77777777" w:rsidR="00023FA5" w:rsidRPr="009F149C" w:rsidRDefault="00023FA5" w:rsidP="00023FA5">
            <w:pPr>
              <w:rPr>
                <w:rFonts w:cstheme="minorHAnsi"/>
                <w:sz w:val="20"/>
                <w:szCs w:val="20"/>
              </w:rPr>
            </w:pPr>
            <w:r w:rsidRPr="009F149C">
              <w:rPr>
                <w:rFonts w:cstheme="minorHAnsi"/>
                <w:sz w:val="20"/>
                <w:szCs w:val="20"/>
              </w:rPr>
              <w:t xml:space="preserve">Daily </w:t>
            </w:r>
          </w:p>
        </w:tc>
      </w:tr>
      <w:tr w:rsidR="00023FA5" w:rsidRPr="00405246" w14:paraId="32D52DDA" w14:textId="77777777" w:rsidTr="00023FA5">
        <w:tc>
          <w:tcPr>
            <w:tcW w:w="2972" w:type="dxa"/>
          </w:tcPr>
          <w:p w14:paraId="2FE598C9" w14:textId="77777777" w:rsidR="00023FA5" w:rsidRPr="00DE131C" w:rsidRDefault="00023FA5" w:rsidP="00023FA5">
            <w:pPr>
              <w:rPr>
                <w:rFonts w:cstheme="minorHAnsi"/>
                <w:sz w:val="20"/>
                <w:szCs w:val="20"/>
              </w:rPr>
            </w:pPr>
            <w:r w:rsidRPr="00DE131C">
              <w:rPr>
                <w:rFonts w:cstheme="minorHAnsi"/>
                <w:sz w:val="20"/>
                <w:szCs w:val="20"/>
              </w:rPr>
              <w:t>siponimod (Mayzent®)</w:t>
            </w:r>
          </w:p>
        </w:tc>
        <w:tc>
          <w:tcPr>
            <w:tcW w:w="2693" w:type="dxa"/>
          </w:tcPr>
          <w:p w14:paraId="16232A31" w14:textId="77777777" w:rsidR="00023FA5" w:rsidRDefault="00023FA5" w:rsidP="00023FA5">
            <w:pPr>
              <w:rPr>
                <w:rFonts w:cstheme="minorHAnsi"/>
                <w:sz w:val="20"/>
                <w:szCs w:val="20"/>
              </w:rPr>
            </w:pPr>
            <w:r>
              <w:rPr>
                <w:rFonts w:cstheme="minorHAnsi"/>
                <w:sz w:val="20"/>
                <w:szCs w:val="20"/>
              </w:rPr>
              <w:t xml:space="preserve">0.25 mg starting dose and uptitrated for the first 5 days (1 up to 5 tablets daily). </w:t>
            </w:r>
          </w:p>
          <w:p w14:paraId="5E16651A" w14:textId="77777777" w:rsidR="00023FA5" w:rsidRDefault="00023FA5" w:rsidP="00023FA5">
            <w:pPr>
              <w:rPr>
                <w:rFonts w:cstheme="minorHAnsi"/>
                <w:sz w:val="20"/>
                <w:szCs w:val="20"/>
              </w:rPr>
            </w:pPr>
            <w:r>
              <w:rPr>
                <w:rFonts w:cstheme="minorHAnsi"/>
                <w:sz w:val="20"/>
                <w:szCs w:val="20"/>
              </w:rPr>
              <w:t xml:space="preserve">2 mg maintenance dose </w:t>
            </w:r>
          </w:p>
        </w:tc>
        <w:tc>
          <w:tcPr>
            <w:tcW w:w="3282" w:type="dxa"/>
          </w:tcPr>
          <w:p w14:paraId="1C318557" w14:textId="77777777" w:rsidR="00023FA5" w:rsidRPr="009F149C" w:rsidRDefault="00023FA5" w:rsidP="00023FA5">
            <w:pPr>
              <w:rPr>
                <w:rFonts w:cstheme="minorHAnsi"/>
                <w:sz w:val="20"/>
                <w:szCs w:val="20"/>
              </w:rPr>
            </w:pPr>
            <w:r w:rsidRPr="009F149C">
              <w:rPr>
                <w:rFonts w:cstheme="minorHAnsi"/>
                <w:sz w:val="20"/>
                <w:szCs w:val="20"/>
              </w:rPr>
              <w:t xml:space="preserve">Daily </w:t>
            </w:r>
          </w:p>
        </w:tc>
      </w:tr>
      <w:tr w:rsidR="00023FA5" w:rsidRPr="00405246" w14:paraId="1873F54D" w14:textId="77777777" w:rsidTr="00023FA5">
        <w:trPr>
          <w:trHeight w:val="60"/>
        </w:trPr>
        <w:tc>
          <w:tcPr>
            <w:tcW w:w="2972" w:type="dxa"/>
          </w:tcPr>
          <w:p w14:paraId="374CD678" w14:textId="77777777" w:rsidR="00023FA5" w:rsidRPr="00C44498" w:rsidRDefault="00023FA5" w:rsidP="00023FA5">
            <w:pPr>
              <w:pStyle w:val="Tablewriting"/>
            </w:pPr>
            <w:r w:rsidRPr="00DE131C">
              <w:rPr>
                <w:rFonts w:cstheme="minorHAnsi"/>
              </w:rPr>
              <w:t>teriflunomi</w:t>
            </w:r>
            <w:r>
              <w:rPr>
                <w:rFonts w:cstheme="minorHAnsi"/>
              </w:rPr>
              <w:t>de (</w:t>
            </w:r>
            <w:r>
              <w:t xml:space="preserve">APO- </w:t>
            </w:r>
            <w:r w:rsidRPr="00D16E94">
              <w:t xml:space="preserve">teriflunomide </w:t>
            </w:r>
            <w:r>
              <w:t xml:space="preserve">®, Pharmacor </w:t>
            </w:r>
            <w:r w:rsidRPr="00D16E94">
              <w:t xml:space="preserve">teriflunomide </w:t>
            </w:r>
            <w:r>
              <w:t xml:space="preserve">®, TERIFLAGIO®, </w:t>
            </w:r>
            <w:r w:rsidRPr="00D16E94">
              <w:t xml:space="preserve">teriflunomide </w:t>
            </w:r>
            <w:r>
              <w:t xml:space="preserve">Dr. Reddy’s ®, </w:t>
            </w:r>
            <w:r w:rsidRPr="00D16E94">
              <w:t xml:space="preserve">teriflunomide </w:t>
            </w:r>
            <w:r>
              <w:t xml:space="preserve">GH®, </w:t>
            </w:r>
            <w:r w:rsidRPr="00D16E94">
              <w:t xml:space="preserve">teriflunomide </w:t>
            </w:r>
            <w:r>
              <w:t>Sandoz® Terimide®)</w:t>
            </w:r>
          </w:p>
        </w:tc>
        <w:tc>
          <w:tcPr>
            <w:tcW w:w="2693" w:type="dxa"/>
          </w:tcPr>
          <w:p w14:paraId="19CC7E02" w14:textId="77777777" w:rsidR="00023FA5" w:rsidRDefault="00023FA5" w:rsidP="00023FA5">
            <w:pPr>
              <w:rPr>
                <w:rFonts w:cstheme="minorHAnsi"/>
                <w:sz w:val="20"/>
                <w:szCs w:val="20"/>
              </w:rPr>
            </w:pPr>
            <w:r w:rsidRPr="00DE131C">
              <w:rPr>
                <w:rFonts w:cstheme="minorHAnsi"/>
                <w:sz w:val="20"/>
                <w:szCs w:val="20"/>
              </w:rPr>
              <w:t>14 mg</w:t>
            </w:r>
          </w:p>
        </w:tc>
        <w:tc>
          <w:tcPr>
            <w:tcW w:w="3282" w:type="dxa"/>
          </w:tcPr>
          <w:p w14:paraId="550ABFFB" w14:textId="77777777" w:rsidR="00023FA5" w:rsidRPr="009F149C" w:rsidRDefault="00023FA5" w:rsidP="00023FA5">
            <w:pPr>
              <w:rPr>
                <w:rFonts w:cstheme="minorHAnsi"/>
                <w:sz w:val="20"/>
                <w:szCs w:val="20"/>
              </w:rPr>
            </w:pPr>
            <w:r w:rsidRPr="009F149C">
              <w:rPr>
                <w:rFonts w:cstheme="minorHAnsi"/>
                <w:sz w:val="20"/>
                <w:szCs w:val="20"/>
              </w:rPr>
              <w:t xml:space="preserve">Daily </w:t>
            </w:r>
          </w:p>
        </w:tc>
      </w:tr>
    </w:tbl>
    <w:p w14:paraId="33963AC7" w14:textId="77777777" w:rsidR="00023FA5" w:rsidRPr="00244F78" w:rsidRDefault="00023FA5" w:rsidP="00023FA5">
      <w:pPr>
        <w:pStyle w:val="Notes"/>
      </w:pPr>
      <w:r w:rsidRPr="00244F78">
        <w:t>Source: TGA Product Information</w:t>
      </w:r>
    </w:p>
    <w:p w14:paraId="2559B9CA" w14:textId="77777777" w:rsidR="00023FA5" w:rsidRPr="002F61CA" w:rsidRDefault="00023FA5" w:rsidP="00023FA5">
      <w:r w:rsidRPr="002F61CA">
        <w:t xml:space="preserve">The current Product Information (PI) and Consumer Medicine Information (CMI) are available from </w:t>
      </w:r>
      <w:hyperlink r:id="rId8" w:history="1">
        <w:r>
          <w:rPr>
            <w:rStyle w:val="Hyperlink"/>
          </w:rPr>
          <w:t>the TGA (Product Information)</w:t>
        </w:r>
      </w:hyperlink>
      <w:r>
        <w:t xml:space="preserve"> and </w:t>
      </w:r>
      <w:hyperlink r:id="rId9" w:history="1">
        <w:r>
          <w:rPr>
            <w:rStyle w:val="Hyperlink"/>
          </w:rPr>
          <w:t>the TGA (Consumer Medicines Information)</w:t>
        </w:r>
      </w:hyperlink>
      <w:r>
        <w:t>.</w:t>
      </w:r>
    </w:p>
    <w:p w14:paraId="7E393785" w14:textId="77777777" w:rsidR="00023FA5" w:rsidRDefault="00023FA5" w:rsidP="00023FA5">
      <w:pPr>
        <w:pStyle w:val="Heading2"/>
      </w:pPr>
      <w:r w:rsidRPr="007247B9" w:rsidDel="00EE2BBB">
        <w:t>PBS listing details</w:t>
      </w:r>
      <w:r>
        <w:t xml:space="preserve"> (as at November 2021</w:t>
      </w:r>
      <w:r w:rsidDel="00EE2BBB">
        <w:t>)</w:t>
      </w:r>
    </w:p>
    <w:p w14:paraId="7413F1E8" w14:textId="77777777" w:rsidR="00023FA5" w:rsidRPr="001420B3" w:rsidDel="00EE2BBB" w:rsidRDefault="00023FA5" w:rsidP="00023FA5">
      <w:pPr>
        <w:pStyle w:val="Tabletitle"/>
      </w:pPr>
      <w:r>
        <w:t>Table 2</w:t>
      </w:r>
      <w:r w:rsidRPr="001420B3" w:rsidDel="00EE2BBB">
        <w:t xml:space="preserve">: </w:t>
      </w:r>
      <w:r w:rsidDel="00EE2BBB">
        <w:t>PB</w:t>
      </w:r>
      <w:r>
        <w:t>S listing of cladribine as at November 2021</w:t>
      </w:r>
    </w:p>
    <w:tbl>
      <w:tblPr>
        <w:tblStyle w:val="TableGrid"/>
        <w:tblW w:w="9064" w:type="dxa"/>
        <w:tblLayout w:type="fixed"/>
        <w:tblLook w:val="04A0" w:firstRow="1" w:lastRow="0" w:firstColumn="1" w:lastColumn="0" w:noHBand="0" w:noVBand="1"/>
      </w:tblPr>
      <w:tblGrid>
        <w:gridCol w:w="969"/>
        <w:gridCol w:w="2400"/>
        <w:gridCol w:w="850"/>
        <w:gridCol w:w="851"/>
        <w:gridCol w:w="850"/>
        <w:gridCol w:w="1305"/>
        <w:gridCol w:w="1839"/>
      </w:tblGrid>
      <w:tr w:rsidR="00023FA5" w:rsidRPr="00A35800" w:rsidDel="00EE2BBB" w14:paraId="749ECF80" w14:textId="77777777" w:rsidTr="00023FA5">
        <w:trPr>
          <w:trHeight w:val="694"/>
          <w:tblHeader/>
        </w:trPr>
        <w:tc>
          <w:tcPr>
            <w:tcW w:w="969" w:type="dxa"/>
            <w:shd w:val="clear" w:color="auto" w:fill="BFBFBF" w:themeFill="background1" w:themeFillShade="BF"/>
          </w:tcPr>
          <w:p w14:paraId="3C345694" w14:textId="77777777" w:rsidR="00023FA5" w:rsidRPr="00A35800" w:rsidDel="00EE2BBB" w:rsidRDefault="00023FA5" w:rsidP="00023FA5">
            <w:pPr>
              <w:pStyle w:val="Tableheading"/>
              <w:rPr>
                <w:sz w:val="20"/>
                <w:szCs w:val="20"/>
              </w:rPr>
            </w:pPr>
            <w:r w:rsidRPr="00A35800" w:rsidDel="00EE2BBB">
              <w:rPr>
                <w:sz w:val="20"/>
                <w:szCs w:val="20"/>
              </w:rPr>
              <w:t>Item</w:t>
            </w:r>
          </w:p>
        </w:tc>
        <w:tc>
          <w:tcPr>
            <w:tcW w:w="2400" w:type="dxa"/>
            <w:shd w:val="clear" w:color="auto" w:fill="BFBFBF" w:themeFill="background1" w:themeFillShade="BF"/>
          </w:tcPr>
          <w:p w14:paraId="3EEA4B00" w14:textId="77777777" w:rsidR="00023FA5" w:rsidRPr="00A35800" w:rsidDel="00EE2BBB" w:rsidRDefault="00023FA5" w:rsidP="00023FA5">
            <w:pPr>
              <w:pStyle w:val="Tableheading"/>
              <w:rPr>
                <w:sz w:val="20"/>
                <w:szCs w:val="20"/>
              </w:rPr>
            </w:pPr>
            <w:r w:rsidRPr="00A35800" w:rsidDel="00EE2BBB">
              <w:rPr>
                <w:sz w:val="20"/>
                <w:szCs w:val="20"/>
              </w:rPr>
              <w:t>Name, form &amp; strength, pack size</w:t>
            </w:r>
          </w:p>
        </w:tc>
        <w:tc>
          <w:tcPr>
            <w:tcW w:w="850" w:type="dxa"/>
            <w:shd w:val="clear" w:color="auto" w:fill="BFBFBF" w:themeFill="background1" w:themeFillShade="BF"/>
          </w:tcPr>
          <w:p w14:paraId="3D4C13AB" w14:textId="77777777" w:rsidR="00023FA5" w:rsidRPr="00A35800" w:rsidDel="00EE2BBB" w:rsidRDefault="00023FA5" w:rsidP="00023FA5">
            <w:pPr>
              <w:pStyle w:val="Tableheading"/>
              <w:rPr>
                <w:sz w:val="20"/>
                <w:szCs w:val="20"/>
              </w:rPr>
            </w:pPr>
            <w:r w:rsidRPr="00A35800" w:rsidDel="00EE2BBB">
              <w:rPr>
                <w:sz w:val="20"/>
                <w:szCs w:val="20"/>
              </w:rPr>
              <w:t xml:space="preserve">Max. </w:t>
            </w:r>
            <w:r>
              <w:rPr>
                <w:sz w:val="20"/>
                <w:szCs w:val="20"/>
              </w:rPr>
              <w:t>qty</w:t>
            </w:r>
            <w:r w:rsidRPr="00A35800" w:rsidDel="00EE2BBB">
              <w:rPr>
                <w:sz w:val="20"/>
                <w:szCs w:val="20"/>
              </w:rPr>
              <w:t>.</w:t>
            </w:r>
            <w:r>
              <w:rPr>
                <w:sz w:val="20"/>
                <w:szCs w:val="20"/>
              </w:rPr>
              <w:t xml:space="preserve"> packs </w:t>
            </w:r>
            <w:r w:rsidRPr="00A35800" w:rsidDel="00EE2BBB">
              <w:rPr>
                <w:sz w:val="20"/>
                <w:szCs w:val="20"/>
              </w:rPr>
              <w:t xml:space="preserve"> </w:t>
            </w:r>
          </w:p>
        </w:tc>
        <w:tc>
          <w:tcPr>
            <w:tcW w:w="851" w:type="dxa"/>
            <w:shd w:val="clear" w:color="auto" w:fill="BFBFBF" w:themeFill="background1" w:themeFillShade="BF"/>
          </w:tcPr>
          <w:p w14:paraId="2A9B6AB4" w14:textId="77777777" w:rsidR="00023FA5" w:rsidRPr="00A35800" w:rsidDel="00EE2BBB" w:rsidRDefault="00023FA5" w:rsidP="00023FA5">
            <w:pPr>
              <w:pStyle w:val="Tableheading"/>
              <w:rPr>
                <w:sz w:val="20"/>
                <w:szCs w:val="20"/>
              </w:rPr>
            </w:pPr>
            <w:r>
              <w:rPr>
                <w:sz w:val="20"/>
                <w:szCs w:val="20"/>
              </w:rPr>
              <w:t xml:space="preserve">Max. qty. units </w:t>
            </w:r>
          </w:p>
        </w:tc>
        <w:tc>
          <w:tcPr>
            <w:tcW w:w="850" w:type="dxa"/>
            <w:shd w:val="clear" w:color="auto" w:fill="BFBFBF" w:themeFill="background1" w:themeFillShade="BF"/>
          </w:tcPr>
          <w:p w14:paraId="27593E3A" w14:textId="77777777" w:rsidR="00023FA5" w:rsidRPr="00A35800" w:rsidDel="00EE2BBB" w:rsidRDefault="00023FA5" w:rsidP="00023FA5">
            <w:pPr>
              <w:pStyle w:val="Tableheading"/>
              <w:rPr>
                <w:sz w:val="20"/>
                <w:szCs w:val="20"/>
              </w:rPr>
            </w:pPr>
            <w:r w:rsidRPr="00A35800" w:rsidDel="00EE2BBB">
              <w:rPr>
                <w:sz w:val="20"/>
                <w:szCs w:val="20"/>
              </w:rPr>
              <w:t xml:space="preserve">Rpts </w:t>
            </w:r>
          </w:p>
        </w:tc>
        <w:tc>
          <w:tcPr>
            <w:tcW w:w="1305" w:type="dxa"/>
            <w:shd w:val="clear" w:color="auto" w:fill="BFBFBF" w:themeFill="background1" w:themeFillShade="BF"/>
          </w:tcPr>
          <w:p w14:paraId="25B511CF" w14:textId="77777777" w:rsidR="00023FA5" w:rsidRPr="00A35800" w:rsidDel="00EE2BBB" w:rsidRDefault="00023FA5" w:rsidP="00023FA5">
            <w:pPr>
              <w:pStyle w:val="Tableheading"/>
              <w:rPr>
                <w:sz w:val="20"/>
                <w:szCs w:val="20"/>
              </w:rPr>
            </w:pPr>
            <w:r w:rsidRPr="00A35800" w:rsidDel="00EE2BBB">
              <w:rPr>
                <w:sz w:val="20"/>
                <w:szCs w:val="20"/>
              </w:rPr>
              <w:t>DPMQ</w:t>
            </w:r>
          </w:p>
        </w:tc>
        <w:tc>
          <w:tcPr>
            <w:tcW w:w="1839" w:type="dxa"/>
            <w:shd w:val="clear" w:color="auto" w:fill="BFBFBF" w:themeFill="background1" w:themeFillShade="BF"/>
          </w:tcPr>
          <w:p w14:paraId="2E790AC4" w14:textId="77777777" w:rsidR="00023FA5" w:rsidRPr="00A35800" w:rsidDel="00EE2BBB" w:rsidRDefault="00023FA5" w:rsidP="00023FA5">
            <w:pPr>
              <w:pStyle w:val="Tableheading"/>
              <w:rPr>
                <w:sz w:val="20"/>
                <w:szCs w:val="20"/>
              </w:rPr>
            </w:pPr>
            <w:r w:rsidRPr="00A35800" w:rsidDel="00EE2BBB">
              <w:rPr>
                <w:sz w:val="20"/>
                <w:szCs w:val="20"/>
              </w:rPr>
              <w:t>Brand name and manufacturer</w:t>
            </w:r>
          </w:p>
        </w:tc>
      </w:tr>
      <w:tr w:rsidR="00023FA5" w:rsidRPr="00A35800" w:rsidDel="00EE2BBB" w14:paraId="150A55A6" w14:textId="77777777" w:rsidTr="00023FA5">
        <w:trPr>
          <w:trHeight w:val="552"/>
          <w:tblHeader/>
        </w:trPr>
        <w:tc>
          <w:tcPr>
            <w:tcW w:w="969" w:type="dxa"/>
            <w:shd w:val="clear" w:color="auto" w:fill="auto"/>
          </w:tcPr>
          <w:p w14:paraId="0B8B5A96" w14:textId="77777777" w:rsidR="00023FA5" w:rsidRPr="00A35800" w:rsidDel="00EE2BBB" w:rsidRDefault="00023FA5" w:rsidP="00023FA5">
            <w:pPr>
              <w:pStyle w:val="Tablewriting"/>
            </w:pPr>
            <w:r>
              <w:t>11603Q</w:t>
            </w:r>
          </w:p>
        </w:tc>
        <w:tc>
          <w:tcPr>
            <w:tcW w:w="2400" w:type="dxa"/>
            <w:shd w:val="clear" w:color="auto" w:fill="auto"/>
          </w:tcPr>
          <w:p w14:paraId="7C1EF458" w14:textId="77777777" w:rsidR="00023FA5" w:rsidRPr="00A35800" w:rsidDel="00EE2BBB" w:rsidRDefault="00023FA5" w:rsidP="00023FA5">
            <w:pPr>
              <w:pStyle w:val="Tablewriting"/>
            </w:pPr>
            <w:r>
              <w:t>cladribine 10 mg tablet, 1</w:t>
            </w:r>
          </w:p>
        </w:tc>
        <w:tc>
          <w:tcPr>
            <w:tcW w:w="850" w:type="dxa"/>
            <w:shd w:val="clear" w:color="auto" w:fill="auto"/>
          </w:tcPr>
          <w:p w14:paraId="4A90DB97" w14:textId="77777777" w:rsidR="00023FA5" w:rsidRPr="00A35800" w:rsidDel="00EE2BBB" w:rsidRDefault="00023FA5" w:rsidP="00023FA5">
            <w:pPr>
              <w:pStyle w:val="Tablewriting"/>
              <w:jc w:val="center"/>
            </w:pPr>
            <w:r>
              <w:t>1</w:t>
            </w:r>
          </w:p>
        </w:tc>
        <w:tc>
          <w:tcPr>
            <w:tcW w:w="851" w:type="dxa"/>
            <w:shd w:val="clear" w:color="auto" w:fill="auto"/>
          </w:tcPr>
          <w:p w14:paraId="32450101" w14:textId="77777777" w:rsidR="00023FA5" w:rsidRPr="00A35800" w:rsidDel="00EE2BBB" w:rsidRDefault="00023FA5" w:rsidP="00023FA5">
            <w:pPr>
              <w:pStyle w:val="Tablewriting"/>
              <w:jc w:val="center"/>
            </w:pPr>
            <w:r>
              <w:t>1</w:t>
            </w:r>
          </w:p>
        </w:tc>
        <w:tc>
          <w:tcPr>
            <w:tcW w:w="850" w:type="dxa"/>
            <w:shd w:val="clear" w:color="auto" w:fill="auto"/>
          </w:tcPr>
          <w:p w14:paraId="1C445257" w14:textId="77777777" w:rsidR="00023FA5" w:rsidRPr="00A35800" w:rsidDel="00EE2BBB" w:rsidRDefault="00023FA5" w:rsidP="00023FA5">
            <w:pPr>
              <w:pStyle w:val="Tablewriting"/>
              <w:jc w:val="center"/>
            </w:pPr>
            <w:r>
              <w:t>1</w:t>
            </w:r>
          </w:p>
        </w:tc>
        <w:tc>
          <w:tcPr>
            <w:tcW w:w="1305" w:type="dxa"/>
            <w:shd w:val="clear" w:color="auto" w:fill="auto"/>
          </w:tcPr>
          <w:p w14:paraId="04179852" w14:textId="77777777" w:rsidR="00023FA5" w:rsidRPr="00A35800" w:rsidDel="00EE2BBB" w:rsidRDefault="00023FA5" w:rsidP="00023FA5">
            <w:pPr>
              <w:pStyle w:val="Tablewriting"/>
              <w:jc w:val="center"/>
            </w:pPr>
            <w:r>
              <w:t>$3,994.26</w:t>
            </w:r>
          </w:p>
        </w:tc>
        <w:tc>
          <w:tcPr>
            <w:tcW w:w="1839" w:type="dxa"/>
            <w:vMerge w:val="restart"/>
            <w:shd w:val="clear" w:color="auto" w:fill="auto"/>
          </w:tcPr>
          <w:p w14:paraId="183B248F" w14:textId="77777777" w:rsidR="00023FA5" w:rsidRDefault="00023FA5" w:rsidP="00023FA5">
            <w:pPr>
              <w:pStyle w:val="Tablewriting"/>
            </w:pPr>
            <w:r>
              <w:t xml:space="preserve">Mavenclad </w:t>
            </w:r>
          </w:p>
          <w:p w14:paraId="2FF64037" w14:textId="77777777" w:rsidR="00023FA5" w:rsidRPr="00A35800" w:rsidDel="00EE2BBB" w:rsidRDefault="00023FA5" w:rsidP="00023FA5">
            <w:pPr>
              <w:pStyle w:val="Tablewriting"/>
            </w:pPr>
            <w:r>
              <w:t xml:space="preserve">Merck Health care Pty Ltd </w:t>
            </w:r>
          </w:p>
        </w:tc>
      </w:tr>
      <w:tr w:rsidR="00023FA5" w:rsidRPr="00A35800" w:rsidDel="00EE2BBB" w14:paraId="1721275C" w14:textId="77777777" w:rsidTr="00023FA5">
        <w:trPr>
          <w:trHeight w:val="546"/>
          <w:tblHeader/>
        </w:trPr>
        <w:tc>
          <w:tcPr>
            <w:tcW w:w="969" w:type="dxa"/>
            <w:shd w:val="clear" w:color="auto" w:fill="auto"/>
          </w:tcPr>
          <w:p w14:paraId="488488B6" w14:textId="77777777" w:rsidR="00023FA5" w:rsidRPr="00A35800" w:rsidDel="00EE2BBB" w:rsidRDefault="00023FA5" w:rsidP="00023FA5">
            <w:pPr>
              <w:pStyle w:val="Tablewriting"/>
            </w:pPr>
            <w:r>
              <w:t>11604R</w:t>
            </w:r>
          </w:p>
        </w:tc>
        <w:tc>
          <w:tcPr>
            <w:tcW w:w="2400" w:type="dxa"/>
            <w:shd w:val="clear" w:color="auto" w:fill="auto"/>
          </w:tcPr>
          <w:p w14:paraId="1F7D8BEE" w14:textId="77777777" w:rsidR="00023FA5" w:rsidRPr="00A35800" w:rsidDel="00EE2BBB" w:rsidRDefault="00023FA5" w:rsidP="00023FA5">
            <w:pPr>
              <w:pStyle w:val="Tablewriting"/>
            </w:pPr>
            <w:r>
              <w:t xml:space="preserve">cladribine 10 mg tablet, 4 </w:t>
            </w:r>
          </w:p>
        </w:tc>
        <w:tc>
          <w:tcPr>
            <w:tcW w:w="850" w:type="dxa"/>
            <w:shd w:val="clear" w:color="auto" w:fill="auto"/>
          </w:tcPr>
          <w:p w14:paraId="2E6DECD3" w14:textId="77777777" w:rsidR="00023FA5" w:rsidRPr="00A35800" w:rsidDel="00EE2BBB" w:rsidRDefault="00023FA5" w:rsidP="00023FA5">
            <w:pPr>
              <w:pStyle w:val="Tablewriting"/>
              <w:jc w:val="center"/>
            </w:pPr>
            <w:r>
              <w:t>2</w:t>
            </w:r>
          </w:p>
        </w:tc>
        <w:tc>
          <w:tcPr>
            <w:tcW w:w="851" w:type="dxa"/>
            <w:shd w:val="clear" w:color="auto" w:fill="auto"/>
          </w:tcPr>
          <w:p w14:paraId="4A231971" w14:textId="77777777" w:rsidR="00023FA5" w:rsidRPr="00A35800" w:rsidDel="00EE2BBB" w:rsidRDefault="00023FA5" w:rsidP="00023FA5">
            <w:pPr>
              <w:pStyle w:val="Tablewriting"/>
              <w:jc w:val="center"/>
            </w:pPr>
            <w:r>
              <w:t>8</w:t>
            </w:r>
          </w:p>
        </w:tc>
        <w:tc>
          <w:tcPr>
            <w:tcW w:w="850" w:type="dxa"/>
            <w:shd w:val="clear" w:color="auto" w:fill="auto"/>
          </w:tcPr>
          <w:p w14:paraId="3F93E622" w14:textId="77777777" w:rsidR="00023FA5" w:rsidRPr="00A35800" w:rsidDel="00EE2BBB" w:rsidRDefault="00023FA5" w:rsidP="00023FA5">
            <w:pPr>
              <w:pStyle w:val="Tablewriting"/>
              <w:jc w:val="center"/>
            </w:pPr>
            <w:r>
              <w:t>1</w:t>
            </w:r>
          </w:p>
        </w:tc>
        <w:tc>
          <w:tcPr>
            <w:tcW w:w="1305" w:type="dxa"/>
            <w:shd w:val="clear" w:color="auto" w:fill="auto"/>
          </w:tcPr>
          <w:p w14:paraId="27F07747" w14:textId="77777777" w:rsidR="00023FA5" w:rsidRPr="00A35800" w:rsidDel="00EE2BBB" w:rsidRDefault="00023FA5" w:rsidP="00023FA5">
            <w:pPr>
              <w:pStyle w:val="Tablewriting"/>
              <w:jc w:val="center"/>
            </w:pPr>
            <w:r>
              <w:t>$30,825.54</w:t>
            </w:r>
          </w:p>
        </w:tc>
        <w:tc>
          <w:tcPr>
            <w:tcW w:w="1839" w:type="dxa"/>
            <w:vMerge/>
            <w:shd w:val="clear" w:color="auto" w:fill="auto"/>
          </w:tcPr>
          <w:p w14:paraId="4F1C98DD" w14:textId="77777777" w:rsidR="00023FA5" w:rsidRPr="00A35800" w:rsidDel="00EE2BBB" w:rsidRDefault="00023FA5" w:rsidP="00023FA5">
            <w:pPr>
              <w:pStyle w:val="Tablewriting"/>
            </w:pPr>
          </w:p>
        </w:tc>
      </w:tr>
      <w:tr w:rsidR="00023FA5" w:rsidRPr="00A35800" w:rsidDel="00EE2BBB" w14:paraId="73300233" w14:textId="77777777" w:rsidTr="00023FA5">
        <w:trPr>
          <w:trHeight w:val="546"/>
          <w:tblHeader/>
        </w:trPr>
        <w:tc>
          <w:tcPr>
            <w:tcW w:w="969" w:type="dxa"/>
            <w:shd w:val="clear" w:color="auto" w:fill="auto"/>
          </w:tcPr>
          <w:p w14:paraId="6DEFBC6D" w14:textId="77777777" w:rsidR="00023FA5" w:rsidRDefault="00023FA5" w:rsidP="00023FA5">
            <w:pPr>
              <w:pStyle w:val="Tablewriting"/>
            </w:pPr>
            <w:r>
              <w:t>11611D</w:t>
            </w:r>
          </w:p>
        </w:tc>
        <w:tc>
          <w:tcPr>
            <w:tcW w:w="2400" w:type="dxa"/>
            <w:shd w:val="clear" w:color="auto" w:fill="auto"/>
          </w:tcPr>
          <w:p w14:paraId="211C90CB" w14:textId="77777777" w:rsidR="00023FA5" w:rsidRDefault="00023FA5" w:rsidP="00023FA5">
            <w:pPr>
              <w:pStyle w:val="Tablewriting"/>
            </w:pPr>
            <w:r>
              <w:t>cladribine 10 mg tablet, 6</w:t>
            </w:r>
          </w:p>
        </w:tc>
        <w:tc>
          <w:tcPr>
            <w:tcW w:w="850" w:type="dxa"/>
            <w:shd w:val="clear" w:color="auto" w:fill="auto"/>
          </w:tcPr>
          <w:p w14:paraId="5FEB8480" w14:textId="77777777" w:rsidR="00023FA5" w:rsidRDefault="00023FA5" w:rsidP="00023FA5">
            <w:pPr>
              <w:pStyle w:val="Tablewriting"/>
              <w:jc w:val="center"/>
            </w:pPr>
            <w:r>
              <w:t>1</w:t>
            </w:r>
          </w:p>
        </w:tc>
        <w:tc>
          <w:tcPr>
            <w:tcW w:w="851" w:type="dxa"/>
            <w:shd w:val="clear" w:color="auto" w:fill="auto"/>
          </w:tcPr>
          <w:p w14:paraId="69470AA6" w14:textId="77777777" w:rsidR="00023FA5" w:rsidRDefault="00023FA5" w:rsidP="00023FA5">
            <w:pPr>
              <w:pStyle w:val="Tablewriting"/>
              <w:jc w:val="center"/>
            </w:pPr>
            <w:r>
              <w:t>6</w:t>
            </w:r>
          </w:p>
        </w:tc>
        <w:tc>
          <w:tcPr>
            <w:tcW w:w="850" w:type="dxa"/>
            <w:shd w:val="clear" w:color="auto" w:fill="auto"/>
          </w:tcPr>
          <w:p w14:paraId="65706E93" w14:textId="77777777" w:rsidR="00023FA5" w:rsidRDefault="00023FA5" w:rsidP="00023FA5">
            <w:pPr>
              <w:pStyle w:val="Tablewriting"/>
              <w:jc w:val="center"/>
            </w:pPr>
            <w:r>
              <w:t>1</w:t>
            </w:r>
          </w:p>
        </w:tc>
        <w:tc>
          <w:tcPr>
            <w:tcW w:w="1305" w:type="dxa"/>
            <w:shd w:val="clear" w:color="auto" w:fill="auto"/>
          </w:tcPr>
          <w:p w14:paraId="254EE94D" w14:textId="77777777" w:rsidR="00023FA5" w:rsidRDefault="00023FA5" w:rsidP="00023FA5">
            <w:pPr>
              <w:pStyle w:val="Tablewriting"/>
              <w:jc w:val="center"/>
            </w:pPr>
            <w:r>
              <w:t>$23,159.46</w:t>
            </w:r>
          </w:p>
        </w:tc>
        <w:tc>
          <w:tcPr>
            <w:tcW w:w="1839" w:type="dxa"/>
            <w:vMerge/>
            <w:shd w:val="clear" w:color="auto" w:fill="auto"/>
          </w:tcPr>
          <w:p w14:paraId="5F58F807" w14:textId="77777777" w:rsidR="00023FA5" w:rsidRPr="00A35800" w:rsidDel="00EE2BBB" w:rsidRDefault="00023FA5" w:rsidP="00023FA5">
            <w:pPr>
              <w:pStyle w:val="Tablewriting"/>
            </w:pPr>
          </w:p>
        </w:tc>
      </w:tr>
    </w:tbl>
    <w:p w14:paraId="13D160AE" w14:textId="77777777" w:rsidR="00023FA5" w:rsidRDefault="00023FA5" w:rsidP="00023FA5">
      <w:pPr>
        <w:pStyle w:val="Notes"/>
        <w:spacing w:after="0"/>
      </w:pPr>
      <w:r>
        <w:t xml:space="preserve">Note: No increase in the maximum number of repeats may be authorised. </w:t>
      </w:r>
    </w:p>
    <w:p w14:paraId="6276BA51" w14:textId="77777777" w:rsidR="00023FA5" w:rsidRDefault="00023FA5" w:rsidP="00023FA5">
      <w:pPr>
        <w:pStyle w:val="Notes"/>
        <w:spacing w:after="0"/>
      </w:pPr>
      <w:r>
        <w:t xml:space="preserve">Note: Special Pricing Arrangements apply. </w:t>
      </w:r>
    </w:p>
    <w:p w14:paraId="7FD69DB9" w14:textId="77777777" w:rsidR="00023FA5" w:rsidRDefault="00023FA5" w:rsidP="00023FA5">
      <w:pPr>
        <w:pStyle w:val="Notes"/>
        <w:spacing w:after="0"/>
      </w:pPr>
      <w:r w:rsidRPr="00A35800" w:rsidDel="00EE2BBB">
        <w:t xml:space="preserve">Source: </w:t>
      </w:r>
      <w:r w:rsidDel="00EE2BBB">
        <w:t xml:space="preserve">the </w:t>
      </w:r>
      <w:hyperlink r:id="rId10" w:history="1">
        <w:r w:rsidRPr="001624D7" w:rsidDel="00EE2BBB">
          <w:rPr>
            <w:rStyle w:val="Hyperlink"/>
          </w:rPr>
          <w:t>PBS website</w:t>
        </w:r>
      </w:hyperlink>
      <w:r w:rsidDel="00EE2BBB">
        <w:t>.</w:t>
      </w:r>
      <w:r>
        <w:t xml:space="preserve">  </w:t>
      </w:r>
    </w:p>
    <w:p w14:paraId="676DBC6A" w14:textId="77777777" w:rsidR="00023FA5" w:rsidRDefault="00023FA5" w:rsidP="00023FA5">
      <w:pPr>
        <w:pStyle w:val="Notes"/>
        <w:spacing w:after="0"/>
      </w:pPr>
    </w:p>
    <w:p w14:paraId="77E2123C" w14:textId="77777777" w:rsidR="00023FA5" w:rsidRPr="006263C5" w:rsidRDefault="00023FA5" w:rsidP="00023FA5">
      <w:pPr>
        <w:pStyle w:val="Notes"/>
        <w:spacing w:after="0"/>
        <w:rPr>
          <w:sz w:val="24"/>
        </w:rPr>
      </w:pPr>
      <w:r>
        <w:rPr>
          <w:sz w:val="24"/>
        </w:rPr>
        <w:t xml:space="preserve">A summary of all current PBS listings for RRMS is provided at Appendix A. A chronology of listings for RRMS is summarised in Appendix B. </w:t>
      </w:r>
    </w:p>
    <w:p w14:paraId="36E27EEF" w14:textId="77777777" w:rsidR="00023FA5" w:rsidDel="00EE2BBB" w:rsidRDefault="00023FA5" w:rsidP="00023FA5">
      <w:pPr>
        <w:pStyle w:val="Heading3"/>
      </w:pPr>
      <w:r>
        <w:t xml:space="preserve">Abridged </w:t>
      </w:r>
      <w:r w:rsidDel="00EE2BBB">
        <w:t>Restriction</w:t>
      </w:r>
      <w:r>
        <w:t xml:space="preserve">s for RRMS medicines </w:t>
      </w:r>
    </w:p>
    <w:p w14:paraId="2A2C6979" w14:textId="77777777" w:rsidR="00023FA5" w:rsidRDefault="00023FA5" w:rsidP="00023FA5">
      <w:pPr>
        <w:shd w:val="clear" w:color="auto" w:fill="FFFFFF"/>
        <w:spacing w:after="240"/>
      </w:pPr>
      <w:r>
        <w:t xml:space="preserve">Infusion treatments (alemtuzumab, natalizumab and ocrelizumab) are listed on Section 100 Highly Specialised Drugs Program (Private and Public Hospital). </w:t>
      </w:r>
    </w:p>
    <w:p w14:paraId="04D707D9" w14:textId="77777777" w:rsidR="00023FA5" w:rsidRDefault="00023FA5" w:rsidP="00023FA5">
      <w:pPr>
        <w:shd w:val="clear" w:color="auto" w:fill="FFFFFF"/>
        <w:spacing w:after="240"/>
      </w:pPr>
      <w:r>
        <w:lastRenderedPageBreak/>
        <w:t xml:space="preserve">Oral treatments (cladribine, dimethyl fumarate, fingolimod, ozanimod, siponimod, teriflunomide) and injection treatments (glatiramer acetate, interferon beta-1a, interferon beta-1b, ofatumumab and peginterferon beta-1a) are listed on Section 85 General Schedule. </w:t>
      </w:r>
    </w:p>
    <w:p w14:paraId="4854CED9" w14:textId="77777777" w:rsidR="00023FA5" w:rsidRDefault="00023FA5" w:rsidP="00023FA5">
      <w:pPr>
        <w:shd w:val="clear" w:color="auto" w:fill="FFFFFF"/>
        <w:spacing w:after="240"/>
      </w:pPr>
      <w:r>
        <w:t xml:space="preserve">All current PBS listings for RRMS are Authority Required (Streamlined) and require: </w:t>
      </w:r>
    </w:p>
    <w:p w14:paraId="78902B74" w14:textId="77777777" w:rsidR="00023FA5" w:rsidRDefault="00023FA5" w:rsidP="00023FA5">
      <w:pPr>
        <w:pStyle w:val="ListParagraph"/>
        <w:numPr>
          <w:ilvl w:val="0"/>
          <w:numId w:val="20"/>
        </w:numPr>
        <w:autoSpaceDE w:val="0"/>
        <w:autoSpaceDN w:val="0"/>
        <w:adjustRightInd w:val="0"/>
        <w:spacing w:after="0"/>
        <w:rPr>
          <w:rFonts w:ascii="Calibri" w:hAnsi="Calibri" w:cs="Calibri"/>
        </w:rPr>
      </w:pPr>
      <w:r w:rsidRPr="00291BA9">
        <w:rPr>
          <w:rFonts w:ascii="Calibri" w:hAnsi="Calibri" w:cs="Calibri"/>
        </w:rPr>
        <w:t>diagnosis confirmed by magnetic resonance imaging (MRI) of the brain and/or spinal cord and the date of the scan included in the authority application, unless the authority application is accompanied by written certification provided by a radiologist that an MRI scan is contraindicated because of the risk of physical (not psychological) injury to the patient;</w:t>
      </w:r>
    </w:p>
    <w:p w14:paraId="4DDFEC10" w14:textId="77777777" w:rsidR="00023FA5" w:rsidRDefault="00023FA5" w:rsidP="00023FA5">
      <w:pPr>
        <w:pStyle w:val="ListParagraph"/>
        <w:numPr>
          <w:ilvl w:val="0"/>
          <w:numId w:val="20"/>
        </w:numPr>
        <w:autoSpaceDE w:val="0"/>
        <w:autoSpaceDN w:val="0"/>
        <w:adjustRightInd w:val="0"/>
        <w:spacing w:after="0"/>
        <w:rPr>
          <w:rFonts w:ascii="Calibri" w:hAnsi="Calibri" w:cs="Calibri"/>
        </w:rPr>
      </w:pPr>
      <w:r w:rsidRPr="00291BA9">
        <w:rPr>
          <w:rFonts w:ascii="Calibri" w:hAnsi="Calibri" w:cs="Calibri"/>
        </w:rPr>
        <w:t>patients to be ambulatory, without assistance or support; and</w:t>
      </w:r>
    </w:p>
    <w:p w14:paraId="22700372" w14:textId="77777777" w:rsidR="00023FA5" w:rsidRPr="00291BA9" w:rsidRDefault="00023FA5" w:rsidP="00023FA5">
      <w:pPr>
        <w:pStyle w:val="ListParagraph"/>
        <w:numPr>
          <w:ilvl w:val="0"/>
          <w:numId w:val="20"/>
        </w:numPr>
        <w:autoSpaceDE w:val="0"/>
        <w:autoSpaceDN w:val="0"/>
        <w:adjustRightInd w:val="0"/>
        <w:spacing w:after="0"/>
        <w:rPr>
          <w:rFonts w:ascii="Calibri" w:hAnsi="Calibri" w:cs="Calibri"/>
        </w:rPr>
      </w:pPr>
      <w:r w:rsidRPr="00291BA9">
        <w:rPr>
          <w:rFonts w:ascii="Calibri" w:hAnsi="Calibri" w:cs="Calibri"/>
        </w:rPr>
        <w:t>access to continuing treatment requires that the patient does not show continuing progression of disability while on treatment and has demonstrated compliance with, and an ability to tolerate, the therapy.</w:t>
      </w:r>
    </w:p>
    <w:p w14:paraId="3E40F9E4" w14:textId="77777777" w:rsidR="00023FA5" w:rsidRPr="00291BA9" w:rsidRDefault="00023FA5" w:rsidP="00023FA5">
      <w:pPr>
        <w:autoSpaceDE w:val="0"/>
        <w:autoSpaceDN w:val="0"/>
        <w:adjustRightInd w:val="0"/>
        <w:spacing w:after="0"/>
        <w:rPr>
          <w:rFonts w:ascii="Calibri" w:hAnsi="Calibri" w:cs="Calibri"/>
        </w:rPr>
      </w:pPr>
    </w:p>
    <w:p w14:paraId="5DBF729F" w14:textId="77777777" w:rsidR="00023FA5" w:rsidRPr="006775F1" w:rsidDel="00EE2BBB" w:rsidRDefault="00023FA5" w:rsidP="00023FA5">
      <w:r w:rsidRPr="006775F1" w:rsidDel="00EE2BBB">
        <w:t xml:space="preserve">For </w:t>
      </w:r>
      <w:r w:rsidDel="00EE2BBB">
        <w:t>details of the current PBS listing</w:t>
      </w:r>
      <w:r>
        <w:t>s</w:t>
      </w:r>
      <w:r w:rsidDel="00EE2BBB">
        <w:t xml:space="preserve"> refer to the </w:t>
      </w:r>
      <w:hyperlink r:id="rId11" w:history="1">
        <w:r w:rsidRPr="00645D51" w:rsidDel="00EE2BBB">
          <w:rPr>
            <w:rStyle w:val="Hyperlink"/>
          </w:rPr>
          <w:t>PBS website</w:t>
        </w:r>
      </w:hyperlink>
      <w:r w:rsidDel="00EE2BBB">
        <w:rPr>
          <w:rStyle w:val="Hyperlink"/>
        </w:rPr>
        <w:t>.</w:t>
      </w:r>
    </w:p>
    <w:p w14:paraId="149D32F4" w14:textId="77777777" w:rsidR="00023FA5" w:rsidRDefault="00023FA5" w:rsidP="00023FA5">
      <w:pPr>
        <w:pStyle w:val="Heading3"/>
      </w:pPr>
      <w:r w:rsidRPr="00675BB1" w:rsidDel="00EE2BBB">
        <w:t>Date of listing on PBS</w:t>
      </w:r>
    </w:p>
    <w:p w14:paraId="6DB87169" w14:textId="77777777" w:rsidR="00023FA5" w:rsidRPr="00AB199C" w:rsidDel="00EE2BBB" w:rsidRDefault="00023FA5" w:rsidP="00023FA5">
      <w:r>
        <w:t xml:space="preserve">Cladribine was PBS listed for RRMS 1 January 2019. </w:t>
      </w:r>
    </w:p>
    <w:p w14:paraId="57E3C0E1" w14:textId="77777777" w:rsidR="00023FA5" w:rsidRPr="005E22C2" w:rsidRDefault="00023FA5" w:rsidP="00023FA5">
      <w:pPr>
        <w:pStyle w:val="Heading2"/>
      </w:pPr>
      <w:r>
        <w:t>Relevant aspects of</w:t>
      </w:r>
      <w:r w:rsidRPr="005E22C2">
        <w:t xml:space="preserve"> consideration</w:t>
      </w:r>
      <w:r>
        <w:t xml:space="preserve"> by the Pharmaceutical Benefits Advisory Committee (PBAC) of cladribine</w:t>
      </w:r>
    </w:p>
    <w:p w14:paraId="576B5BC4" w14:textId="77777777" w:rsidR="00023FA5" w:rsidRDefault="00023FA5" w:rsidP="00023FA5">
      <w:pPr>
        <w:rPr>
          <w:b/>
          <w:i/>
        </w:rPr>
      </w:pPr>
      <w:r w:rsidRPr="002B43DC">
        <w:rPr>
          <w:b/>
          <w:i/>
        </w:rPr>
        <w:t>March 2011</w:t>
      </w:r>
      <w:r w:rsidRPr="00720E96">
        <w:rPr>
          <w:b/>
          <w:i/>
        </w:rPr>
        <w:t xml:space="preserve"> </w:t>
      </w:r>
      <w:r>
        <w:rPr>
          <w:b/>
          <w:i/>
        </w:rPr>
        <w:t>PBAC meeting</w:t>
      </w:r>
    </w:p>
    <w:p w14:paraId="4CAC5AD9" w14:textId="77777777" w:rsidR="00023FA5" w:rsidRPr="00EE5BDD" w:rsidRDefault="00023FA5" w:rsidP="00023FA5">
      <w:pPr>
        <w:rPr>
          <w:rFonts w:cstheme="minorHAnsi"/>
          <w:color w:val="222222"/>
          <w:shd w:val="clear" w:color="auto" w:fill="FFFFFF"/>
        </w:rPr>
      </w:pPr>
      <w:r w:rsidRPr="00EE5BDD">
        <w:rPr>
          <w:rFonts w:cstheme="minorHAnsi"/>
          <w:color w:val="222222"/>
          <w:shd w:val="clear" w:color="auto" w:fill="FFFFFF"/>
        </w:rPr>
        <w:t xml:space="preserve">The PBAC did not recommended the listing of cladribine for the treatment of RRMS, </w:t>
      </w:r>
      <w:r>
        <w:rPr>
          <w:rFonts w:cstheme="minorHAnsi"/>
          <w:color w:val="222222"/>
          <w:shd w:val="clear" w:color="auto" w:fill="FFFFFF"/>
        </w:rPr>
        <w:t xml:space="preserve">on the basis of </w:t>
      </w:r>
      <w:r w:rsidRPr="00EE5BDD">
        <w:rPr>
          <w:rFonts w:cstheme="minorHAnsi"/>
          <w:color w:val="222222"/>
          <w:shd w:val="clear" w:color="auto" w:fill="FFFFFF"/>
        </w:rPr>
        <w:t>an inappropriate comparator, uncertain clinical benefit and uncertain and unacceptable cost effectiveness in comparison with the appropriate comparator.</w:t>
      </w:r>
    </w:p>
    <w:p w14:paraId="0B261F36" w14:textId="77777777" w:rsidR="00023FA5" w:rsidRPr="00EE5BDD" w:rsidRDefault="00023FA5" w:rsidP="00023FA5">
      <w:r w:rsidRPr="00EE5BDD">
        <w:rPr>
          <w:rFonts w:cstheme="minorHAnsi"/>
        </w:rPr>
        <w:t xml:space="preserve">For further details refer to the </w:t>
      </w:r>
      <w:hyperlink r:id="rId12" w:history="1">
        <w:r w:rsidRPr="00EE5BDD">
          <w:rPr>
            <w:rStyle w:val="Hyperlink"/>
            <w:rFonts w:cstheme="minorHAnsi"/>
          </w:rPr>
          <w:t>Public Summary Document</w:t>
        </w:r>
      </w:hyperlink>
      <w:r w:rsidRPr="00EE5BDD">
        <w:rPr>
          <w:rFonts w:cstheme="minorHAnsi"/>
        </w:rPr>
        <w:t xml:space="preserve"> from the </w:t>
      </w:r>
      <w:r>
        <w:rPr>
          <w:rFonts w:cstheme="minorHAnsi"/>
        </w:rPr>
        <w:t>March</w:t>
      </w:r>
      <w:r w:rsidRPr="00EE5BDD">
        <w:rPr>
          <w:rFonts w:cstheme="minorHAnsi"/>
        </w:rPr>
        <w:t xml:space="preserve"> 201</w:t>
      </w:r>
      <w:r>
        <w:rPr>
          <w:rFonts w:cstheme="minorHAnsi"/>
        </w:rPr>
        <w:t>1</w:t>
      </w:r>
      <w:r w:rsidRPr="00EE5BDD">
        <w:rPr>
          <w:rFonts w:cstheme="minorHAnsi"/>
        </w:rPr>
        <w:t xml:space="preserve"> PBAC meeting</w:t>
      </w:r>
      <w:r w:rsidRPr="00EE5BDD">
        <w:t>.</w:t>
      </w:r>
    </w:p>
    <w:p w14:paraId="50880F11" w14:textId="77777777" w:rsidR="00023FA5" w:rsidRPr="002B43DC" w:rsidRDefault="00023FA5" w:rsidP="00023FA5">
      <w:pPr>
        <w:rPr>
          <w:b/>
          <w:i/>
        </w:rPr>
      </w:pPr>
      <w:r w:rsidRPr="002B43DC">
        <w:rPr>
          <w:b/>
          <w:i/>
        </w:rPr>
        <w:t xml:space="preserve">November 2017 </w:t>
      </w:r>
      <w:r>
        <w:rPr>
          <w:b/>
          <w:i/>
        </w:rPr>
        <w:t>PBAC meeting</w:t>
      </w:r>
    </w:p>
    <w:p w14:paraId="0EB6DEB6" w14:textId="77777777" w:rsidR="00023FA5" w:rsidRDefault="00023FA5" w:rsidP="00023FA5">
      <w:pPr>
        <w:autoSpaceDE w:val="0"/>
        <w:autoSpaceDN w:val="0"/>
        <w:adjustRightInd w:val="0"/>
        <w:spacing w:after="0"/>
        <w:rPr>
          <w:rFonts w:cstheme="minorHAnsi"/>
          <w:color w:val="000000"/>
        </w:rPr>
      </w:pPr>
      <w:r w:rsidRPr="002B43DC">
        <w:rPr>
          <w:rFonts w:cstheme="minorHAnsi"/>
          <w:color w:val="000000"/>
        </w:rPr>
        <w:t>The PBAC did not recommend the listing of cladribine for the t</w:t>
      </w:r>
      <w:r>
        <w:rPr>
          <w:rFonts w:cstheme="minorHAnsi"/>
          <w:color w:val="000000"/>
        </w:rPr>
        <w:t>reatment of RRMS</w:t>
      </w:r>
      <w:r w:rsidRPr="002B43DC">
        <w:rPr>
          <w:rFonts w:cstheme="minorHAnsi"/>
          <w:color w:val="000000"/>
        </w:rPr>
        <w:t>, on the basis of uncertainty in the non-inferior efficacy claim of cladribine versus fingolimod over two and four years.</w:t>
      </w:r>
      <w:r>
        <w:rPr>
          <w:rFonts w:cstheme="minorHAnsi"/>
          <w:color w:val="000000"/>
        </w:rPr>
        <w:t xml:space="preserve"> </w:t>
      </w:r>
      <w:r w:rsidRPr="002B43DC">
        <w:rPr>
          <w:rFonts w:cstheme="minorHAnsi"/>
          <w:color w:val="000000"/>
        </w:rPr>
        <w:t xml:space="preserve">The PBAC noted that there were significant uncertainties in the financial analysis, including the persistence rates assumed by the resubmission. The PBAC further noted that the financial analysis estimated a significant net cost to the PBS, which undermines the first principles of a cost minimisation analysis. </w:t>
      </w:r>
    </w:p>
    <w:p w14:paraId="188AB64D" w14:textId="77777777" w:rsidR="00023FA5" w:rsidRPr="00720E96" w:rsidRDefault="00023FA5" w:rsidP="00023FA5">
      <w:pPr>
        <w:autoSpaceDE w:val="0"/>
        <w:autoSpaceDN w:val="0"/>
        <w:adjustRightInd w:val="0"/>
        <w:spacing w:after="0"/>
        <w:rPr>
          <w:rFonts w:cstheme="minorHAnsi"/>
          <w:color w:val="000000"/>
        </w:rPr>
      </w:pPr>
    </w:p>
    <w:p w14:paraId="1C8054B5" w14:textId="77777777" w:rsidR="00023FA5" w:rsidRDefault="00023FA5" w:rsidP="00023FA5">
      <w:r>
        <w:t xml:space="preserve">For further details refer to </w:t>
      </w:r>
      <w:r w:rsidRPr="00F65F0D">
        <w:t xml:space="preserve">the </w:t>
      </w:r>
      <w:hyperlink r:id="rId13" w:history="1">
        <w:r w:rsidRPr="004D56BA">
          <w:rPr>
            <w:rStyle w:val="Hyperlink"/>
          </w:rPr>
          <w:t>Public Summary Document</w:t>
        </w:r>
      </w:hyperlink>
      <w:r>
        <w:t xml:space="preserve"> from the November 2017 PBAC meeting.</w:t>
      </w:r>
    </w:p>
    <w:p w14:paraId="023E6818" w14:textId="77777777" w:rsidR="00023FA5" w:rsidRPr="002B43DC" w:rsidRDefault="00023FA5" w:rsidP="00023FA5">
      <w:pPr>
        <w:rPr>
          <w:b/>
          <w:i/>
        </w:rPr>
      </w:pPr>
      <w:r w:rsidRPr="002B43DC">
        <w:rPr>
          <w:b/>
          <w:i/>
        </w:rPr>
        <w:t xml:space="preserve">March 2018 </w:t>
      </w:r>
      <w:r>
        <w:rPr>
          <w:b/>
          <w:i/>
        </w:rPr>
        <w:t xml:space="preserve">PBAC meeting </w:t>
      </w:r>
    </w:p>
    <w:p w14:paraId="2F2C0702" w14:textId="77777777" w:rsidR="00023FA5" w:rsidRDefault="00023FA5" w:rsidP="00023FA5">
      <w:pPr>
        <w:autoSpaceDE w:val="0"/>
        <w:autoSpaceDN w:val="0"/>
        <w:adjustRightInd w:val="0"/>
        <w:spacing w:after="0"/>
        <w:rPr>
          <w:rFonts w:cstheme="minorHAnsi"/>
        </w:rPr>
      </w:pPr>
      <w:r w:rsidRPr="002B43DC">
        <w:rPr>
          <w:rFonts w:cstheme="minorHAnsi"/>
        </w:rPr>
        <w:lastRenderedPageBreak/>
        <w:t>The PBAC did not recommend the listing of cladribine</w:t>
      </w:r>
      <w:r>
        <w:rPr>
          <w:rFonts w:cstheme="minorHAnsi"/>
        </w:rPr>
        <w:t xml:space="preserve"> for the treatment of RRMS</w:t>
      </w:r>
      <w:r w:rsidRPr="002B43DC">
        <w:rPr>
          <w:rFonts w:cstheme="minorHAnsi"/>
        </w:rPr>
        <w:t xml:space="preserve">, on the basis of </w:t>
      </w:r>
      <w:r>
        <w:rPr>
          <w:rFonts w:cstheme="minorHAnsi"/>
        </w:rPr>
        <w:t xml:space="preserve">uncertainty in the non-inferior </w:t>
      </w:r>
      <w:r w:rsidRPr="002B43DC">
        <w:rPr>
          <w:rFonts w:cstheme="minorHAnsi"/>
        </w:rPr>
        <w:t>efficacy claim of cladribine versus fingolimod ov</w:t>
      </w:r>
      <w:r>
        <w:rPr>
          <w:rFonts w:cstheme="minorHAnsi"/>
        </w:rPr>
        <w:t>er two and four years</w:t>
      </w:r>
      <w:r w:rsidRPr="002B43DC">
        <w:rPr>
          <w:rFonts w:cstheme="minorHAnsi"/>
        </w:rPr>
        <w:t>. The PBAC noted that</w:t>
      </w:r>
      <w:r>
        <w:rPr>
          <w:rFonts w:cstheme="minorHAnsi"/>
        </w:rPr>
        <w:t xml:space="preserve"> the minor resubmission did not </w:t>
      </w:r>
      <w:r w:rsidRPr="002B43DC">
        <w:rPr>
          <w:rFonts w:cstheme="minorHAnsi"/>
        </w:rPr>
        <w:t>provide additional clinical evidence to address it</w:t>
      </w:r>
      <w:r>
        <w:rPr>
          <w:rFonts w:cstheme="minorHAnsi"/>
        </w:rPr>
        <w:t xml:space="preserve">s concerns. </w:t>
      </w:r>
      <w:r w:rsidRPr="002B43DC">
        <w:rPr>
          <w:rFonts w:cstheme="minorHAnsi"/>
        </w:rPr>
        <w:t>The PBAC noted that there remain</w:t>
      </w:r>
      <w:r>
        <w:rPr>
          <w:rFonts w:cstheme="minorHAnsi"/>
        </w:rPr>
        <w:t xml:space="preserve">ed significant uncertainties in </w:t>
      </w:r>
      <w:r w:rsidRPr="002B43DC">
        <w:rPr>
          <w:rFonts w:cstheme="minorHAnsi"/>
        </w:rPr>
        <w:t>the financial analysis, including the persistence rat</w:t>
      </w:r>
      <w:r>
        <w:rPr>
          <w:rFonts w:cstheme="minorHAnsi"/>
        </w:rPr>
        <w:t xml:space="preserve">es assumed by the resubmission. </w:t>
      </w:r>
      <w:r w:rsidRPr="002B43DC">
        <w:rPr>
          <w:rFonts w:cstheme="minorHAnsi"/>
        </w:rPr>
        <w:t>The PBAC further noted that the financial analysis esti</w:t>
      </w:r>
      <w:r>
        <w:rPr>
          <w:rFonts w:cstheme="minorHAnsi"/>
        </w:rPr>
        <w:t xml:space="preserve">mated a significant net cost to </w:t>
      </w:r>
      <w:r w:rsidRPr="002B43DC">
        <w:rPr>
          <w:rFonts w:cstheme="minorHAnsi"/>
        </w:rPr>
        <w:t>the PBS, which undermines the first principles of a cost minimisation analysis.</w:t>
      </w:r>
    </w:p>
    <w:p w14:paraId="4715AA99" w14:textId="77777777" w:rsidR="00023FA5" w:rsidRDefault="00023FA5" w:rsidP="00023FA5">
      <w:pPr>
        <w:autoSpaceDE w:val="0"/>
        <w:autoSpaceDN w:val="0"/>
        <w:adjustRightInd w:val="0"/>
        <w:spacing w:after="0"/>
        <w:rPr>
          <w:rFonts w:cstheme="minorHAnsi"/>
        </w:rPr>
      </w:pPr>
    </w:p>
    <w:p w14:paraId="253E9C61" w14:textId="77777777" w:rsidR="00023FA5" w:rsidRPr="00720E96" w:rsidRDefault="00023FA5" w:rsidP="00023FA5">
      <w:r>
        <w:t xml:space="preserve">For further details refer to </w:t>
      </w:r>
      <w:r w:rsidRPr="00F65F0D">
        <w:t xml:space="preserve">the </w:t>
      </w:r>
      <w:hyperlink r:id="rId14" w:history="1">
        <w:r w:rsidRPr="004D56BA">
          <w:rPr>
            <w:rStyle w:val="Hyperlink"/>
          </w:rPr>
          <w:t>Public Summary Document</w:t>
        </w:r>
      </w:hyperlink>
      <w:r>
        <w:t xml:space="preserve"> f</w:t>
      </w:r>
      <w:r w:rsidRPr="00F65F0D">
        <w:t xml:space="preserve">rom the </w:t>
      </w:r>
      <w:r>
        <w:t>March 2018 PBAC meeting.</w:t>
      </w:r>
    </w:p>
    <w:p w14:paraId="6E02052F" w14:textId="77777777" w:rsidR="00023FA5" w:rsidRPr="002B43DC" w:rsidRDefault="00023FA5" w:rsidP="00023FA5">
      <w:pPr>
        <w:rPr>
          <w:b/>
          <w:i/>
        </w:rPr>
      </w:pPr>
      <w:r w:rsidRPr="002B43DC">
        <w:rPr>
          <w:b/>
          <w:i/>
        </w:rPr>
        <w:t xml:space="preserve">July 2018 </w:t>
      </w:r>
      <w:r>
        <w:rPr>
          <w:b/>
          <w:i/>
        </w:rPr>
        <w:t>PBAC meeting</w:t>
      </w:r>
    </w:p>
    <w:p w14:paraId="5E8DD502" w14:textId="77777777" w:rsidR="00023FA5" w:rsidRDefault="00023FA5" w:rsidP="00023FA5">
      <w:pPr>
        <w:autoSpaceDE w:val="0"/>
        <w:autoSpaceDN w:val="0"/>
        <w:adjustRightInd w:val="0"/>
        <w:spacing w:after="0"/>
        <w:rPr>
          <w:rFonts w:cstheme="minorHAnsi"/>
        </w:rPr>
      </w:pPr>
      <w:r w:rsidRPr="002B43DC">
        <w:rPr>
          <w:rFonts w:cstheme="minorHAnsi"/>
        </w:rPr>
        <w:t>The PBAC recommended the Authority Require</w:t>
      </w:r>
      <w:r>
        <w:rPr>
          <w:rFonts w:cstheme="minorHAnsi"/>
        </w:rPr>
        <w:t xml:space="preserve">d listing of cladribine for the </w:t>
      </w:r>
      <w:r w:rsidRPr="002B43DC">
        <w:rPr>
          <w:rFonts w:cstheme="minorHAnsi"/>
        </w:rPr>
        <w:t>treatm</w:t>
      </w:r>
      <w:r>
        <w:rPr>
          <w:rFonts w:cstheme="minorHAnsi"/>
        </w:rPr>
        <w:t xml:space="preserve">ent of RRMS. The PBAC’s </w:t>
      </w:r>
      <w:r w:rsidRPr="002B43DC">
        <w:rPr>
          <w:rFonts w:cstheme="minorHAnsi"/>
        </w:rPr>
        <w:t>recommendation for listing was based on, amongst other</w:t>
      </w:r>
      <w:r>
        <w:rPr>
          <w:rFonts w:cstheme="minorHAnsi"/>
        </w:rPr>
        <w:t xml:space="preserve"> matters, its assessment than the </w:t>
      </w:r>
      <w:r w:rsidRPr="002B43DC">
        <w:rPr>
          <w:rFonts w:cstheme="minorHAnsi"/>
        </w:rPr>
        <w:t>cost-effectiveness of cladribine would be acce</w:t>
      </w:r>
      <w:r>
        <w:rPr>
          <w:rFonts w:cstheme="minorHAnsi"/>
        </w:rPr>
        <w:t xml:space="preserve">ptable if it were cost minimised </w:t>
      </w:r>
      <w:r w:rsidRPr="002B43DC">
        <w:rPr>
          <w:rFonts w:cstheme="minorHAnsi"/>
        </w:rPr>
        <w:t>against fingolimod based on a cla</w:t>
      </w:r>
      <w:r>
        <w:rPr>
          <w:rFonts w:cstheme="minorHAnsi"/>
        </w:rPr>
        <w:t xml:space="preserve">im that two years of cladribine </w:t>
      </w:r>
      <w:r w:rsidRPr="002B43DC">
        <w:rPr>
          <w:rFonts w:cstheme="minorHAnsi"/>
        </w:rPr>
        <w:t>treatment is non-inferior in efficacy to two years’ of fingolimod treatment.</w:t>
      </w:r>
    </w:p>
    <w:p w14:paraId="02318E2A" w14:textId="77777777" w:rsidR="00023FA5" w:rsidRDefault="00023FA5" w:rsidP="00023FA5">
      <w:pPr>
        <w:autoSpaceDE w:val="0"/>
        <w:autoSpaceDN w:val="0"/>
        <w:adjustRightInd w:val="0"/>
        <w:spacing w:after="0"/>
        <w:rPr>
          <w:rFonts w:cstheme="minorHAnsi"/>
        </w:rPr>
      </w:pPr>
    </w:p>
    <w:p w14:paraId="42278BF8" w14:textId="1528015B" w:rsidR="00023FA5" w:rsidRDefault="00023FA5" w:rsidP="00023FA5">
      <w:pPr>
        <w:autoSpaceDE w:val="0"/>
        <w:autoSpaceDN w:val="0"/>
        <w:adjustRightInd w:val="0"/>
        <w:spacing w:after="0"/>
      </w:pPr>
      <w:r>
        <w:t>The PBAC noted that the estimated total financial impact was reduced substantially from the March 2018 and November 2017 resubmissions from net cost of $</w:t>
      </w:r>
      <w:r w:rsidR="0034679F">
        <w:t>41</w:t>
      </w:r>
      <w:r>
        <w:t xml:space="preserve"> million over six years to a net save of $</w:t>
      </w:r>
      <w:r w:rsidR="0034679F">
        <w:t xml:space="preserve">154.6 </w:t>
      </w:r>
      <w:r>
        <w:t xml:space="preserve">million over six years. The PBAC considered the estimated magnitude of cost savings to be uncertain as: </w:t>
      </w:r>
    </w:p>
    <w:p w14:paraId="0231711B" w14:textId="77777777" w:rsidR="00023FA5" w:rsidRPr="004D56BA" w:rsidRDefault="00023FA5" w:rsidP="00023FA5">
      <w:pPr>
        <w:pStyle w:val="ListParagraph"/>
        <w:numPr>
          <w:ilvl w:val="0"/>
          <w:numId w:val="21"/>
        </w:numPr>
        <w:autoSpaceDE w:val="0"/>
        <w:autoSpaceDN w:val="0"/>
        <w:adjustRightInd w:val="0"/>
        <w:spacing w:after="0"/>
        <w:rPr>
          <w:rFonts w:cstheme="minorHAnsi"/>
        </w:rPr>
      </w:pPr>
      <w:r>
        <w:t xml:space="preserve">The financial estimates assumed the listing of cladribine tablets would only displace fingolimod. The PBAC considered that cladribine may replace or displace all PBS listed RRMS treatments (many of which are lower cost) to some extent; </w:t>
      </w:r>
    </w:p>
    <w:p w14:paraId="3DCCD247" w14:textId="77777777" w:rsidR="00023FA5" w:rsidRPr="004D56BA" w:rsidRDefault="00023FA5" w:rsidP="00023FA5">
      <w:pPr>
        <w:pStyle w:val="ListParagraph"/>
        <w:numPr>
          <w:ilvl w:val="0"/>
          <w:numId w:val="21"/>
        </w:numPr>
        <w:autoSpaceDE w:val="0"/>
        <w:autoSpaceDN w:val="0"/>
        <w:adjustRightInd w:val="0"/>
        <w:spacing w:after="0"/>
        <w:rPr>
          <w:rFonts w:cstheme="minorHAnsi"/>
        </w:rPr>
      </w:pPr>
      <w:r>
        <w:t xml:space="preserve">The financial estimates did not account for costs in Years 3 and 4 from patients who do not persist on therapy due to relapse and switch to other treatments; and </w:t>
      </w:r>
    </w:p>
    <w:p w14:paraId="75ABD3D8" w14:textId="77777777" w:rsidR="00023FA5" w:rsidRPr="0022450F" w:rsidRDefault="00023FA5" w:rsidP="00023FA5">
      <w:pPr>
        <w:pStyle w:val="ListParagraph"/>
        <w:numPr>
          <w:ilvl w:val="0"/>
          <w:numId w:val="21"/>
        </w:numPr>
        <w:autoSpaceDE w:val="0"/>
        <w:autoSpaceDN w:val="0"/>
        <w:adjustRightInd w:val="0"/>
        <w:spacing w:after="0"/>
        <w:rPr>
          <w:rFonts w:cstheme="minorHAnsi"/>
        </w:rPr>
      </w:pPr>
      <w:r>
        <w:t>The assumed cladribine persistence rates were based on a Prospection analysis of Medicare prescription data to determine the persistence rates of fingolimod.</w:t>
      </w:r>
    </w:p>
    <w:p w14:paraId="5BEB0572" w14:textId="3FAFA727" w:rsidR="00023FA5" w:rsidRPr="0022450F" w:rsidRDefault="00023FA5" w:rsidP="00023FA5">
      <w:pPr>
        <w:pStyle w:val="ListParagraph"/>
        <w:numPr>
          <w:ilvl w:val="0"/>
          <w:numId w:val="21"/>
        </w:numPr>
        <w:autoSpaceDE w:val="0"/>
        <w:autoSpaceDN w:val="0"/>
        <w:adjustRightInd w:val="0"/>
        <w:spacing w:after="0"/>
        <w:rPr>
          <w:rFonts w:cstheme="minorHAnsi"/>
        </w:rPr>
      </w:pPr>
      <w:r>
        <w:t>Further, the PBAC considered that the</w:t>
      </w:r>
      <w:r w:rsidR="0034679F">
        <w:t xml:space="preserve"> large</w:t>
      </w:r>
      <w:r>
        <w:rPr>
          <w:rFonts w:cs="Helv"/>
          <w:bCs/>
          <w:color w:val="000000"/>
          <w:sz w:val="22"/>
          <w:szCs w:val="22"/>
        </w:rPr>
        <w:t xml:space="preserve"> </w:t>
      </w:r>
      <w:r>
        <w:t>difference in estimated financial impact between the current, March 2018 and November 2017 resubmissions was also indicative of the uncertainty in the estimates.</w:t>
      </w:r>
    </w:p>
    <w:p w14:paraId="623CC98B" w14:textId="77777777" w:rsidR="00023FA5" w:rsidRPr="0022450F" w:rsidRDefault="00023FA5" w:rsidP="00023FA5">
      <w:pPr>
        <w:pStyle w:val="ListParagraph"/>
        <w:autoSpaceDE w:val="0"/>
        <w:autoSpaceDN w:val="0"/>
        <w:adjustRightInd w:val="0"/>
        <w:spacing w:after="0"/>
        <w:rPr>
          <w:rFonts w:cstheme="minorHAnsi"/>
        </w:rPr>
      </w:pPr>
    </w:p>
    <w:p w14:paraId="510CBF3F" w14:textId="77777777" w:rsidR="00023FA5" w:rsidRPr="00E961F1" w:rsidRDefault="00023FA5" w:rsidP="00023FA5">
      <w:r>
        <w:t xml:space="preserve">For further details refer to </w:t>
      </w:r>
      <w:r w:rsidRPr="00F65F0D">
        <w:t xml:space="preserve">the </w:t>
      </w:r>
      <w:hyperlink r:id="rId15" w:history="1">
        <w:r w:rsidRPr="004D56BA">
          <w:rPr>
            <w:rStyle w:val="Hyperlink"/>
          </w:rPr>
          <w:t>Public Summary Document</w:t>
        </w:r>
      </w:hyperlink>
      <w:r>
        <w:t xml:space="preserve"> </w:t>
      </w:r>
      <w:r w:rsidRPr="00F65F0D">
        <w:t xml:space="preserve">from the </w:t>
      </w:r>
      <w:r>
        <w:t>July 2018 PBAC meeting.</w:t>
      </w:r>
    </w:p>
    <w:p w14:paraId="7111C759" w14:textId="77777777" w:rsidR="00023FA5" w:rsidRDefault="00023FA5" w:rsidP="00023FA5">
      <w:pPr>
        <w:pStyle w:val="Heading2"/>
      </w:pPr>
      <w:r>
        <w:t>Previous reviews by the DUSC</w:t>
      </w:r>
    </w:p>
    <w:p w14:paraId="52199E03" w14:textId="77777777" w:rsidR="00023FA5" w:rsidRPr="003D1E71" w:rsidRDefault="00023FA5" w:rsidP="00023FA5">
      <w:pPr>
        <w:pStyle w:val="Heading3"/>
        <w:keepNext/>
      </w:pPr>
      <w:r w:rsidRPr="003D1E71">
        <w:t>June 2013</w:t>
      </w:r>
    </w:p>
    <w:p w14:paraId="3BCFBC85" w14:textId="77777777" w:rsidR="00023FA5" w:rsidRPr="002957DC" w:rsidRDefault="00023FA5" w:rsidP="00023FA5">
      <w:pPr>
        <w:jc w:val="both"/>
        <w:rPr>
          <w:rFonts w:cstheme="minorHAnsi"/>
          <w:b/>
        </w:rPr>
      </w:pPr>
      <w:r w:rsidRPr="002957DC">
        <w:rPr>
          <w:rFonts w:cstheme="minorHAnsi"/>
          <w:b/>
        </w:rPr>
        <w:t>Disease modifying treatments</w:t>
      </w:r>
      <w:r>
        <w:rPr>
          <w:rFonts w:cstheme="minorHAnsi"/>
          <w:b/>
        </w:rPr>
        <w:t xml:space="preserve"> (DMT)</w:t>
      </w:r>
      <w:r w:rsidRPr="002957DC">
        <w:rPr>
          <w:rFonts w:cstheme="minorHAnsi"/>
          <w:b/>
        </w:rPr>
        <w:t xml:space="preserve"> for multiple sclerosis</w:t>
      </w:r>
    </w:p>
    <w:p w14:paraId="2B801595" w14:textId="77777777" w:rsidR="00023FA5" w:rsidRPr="002957DC" w:rsidRDefault="00023FA5" w:rsidP="00023FA5">
      <w:r w:rsidRPr="002957DC">
        <w:t xml:space="preserve">The utilisation analysis included the disease modifying treatments: the interferons, fingolimod and natalizumab. DUSC noted that the number of people supplied with a </w:t>
      </w:r>
      <w:r>
        <w:t>DMT</w:t>
      </w:r>
      <w:r w:rsidRPr="002957DC">
        <w:t xml:space="preserve"> for </w:t>
      </w:r>
      <w:r>
        <w:t>RRMS appeared</w:t>
      </w:r>
      <w:r w:rsidRPr="002957DC">
        <w:t xml:space="preserve"> to have increased with the introduction of the oral agent fingolimod. DUSC considered that revisions to the diagnostic criteria and the availability of oral </w:t>
      </w:r>
      <w:r w:rsidRPr="002957DC">
        <w:lastRenderedPageBreak/>
        <w:t xml:space="preserve">treatment will potentially increase the number of people with multiple sclerosis treated with a </w:t>
      </w:r>
      <w:r>
        <w:t>DMT</w:t>
      </w:r>
      <w:r w:rsidRPr="002957DC">
        <w:t>.</w:t>
      </w:r>
    </w:p>
    <w:p w14:paraId="6BC8B1BE" w14:textId="77777777" w:rsidR="00023FA5" w:rsidRPr="002957DC" w:rsidRDefault="00023FA5" w:rsidP="00023FA5">
      <w:r w:rsidRPr="002957DC">
        <w:t xml:space="preserve">DUSC commented that the natural history of multiple sclerosis can result in patients having long periods of stability between attacks. It was noted that lifestyle is important in managing multiple sclerosis and that patients may choose to have a treatment break for various reasons, including pregnancy or adverse events. DUSC considered that a better understanding of the patient experience would assist in understanding how </w:t>
      </w:r>
      <w:r>
        <w:t>DMT</w:t>
      </w:r>
      <w:r w:rsidRPr="002957DC">
        <w:t>s are used in practice.</w:t>
      </w:r>
    </w:p>
    <w:p w14:paraId="0D57C435" w14:textId="77777777" w:rsidR="00023FA5" w:rsidRDefault="00023FA5" w:rsidP="00023FA5">
      <w:r w:rsidRPr="002957DC">
        <w:t>DUSC recommended a mechanism be developed through which additional consumer input to DUSC analyses can be received and considered in the future. Patient experience is likely to inform use in practice including uptake ra</w:t>
      </w:r>
      <w:r>
        <w:t>tes and duration of treatment.</w:t>
      </w:r>
    </w:p>
    <w:p w14:paraId="7B0ED43B" w14:textId="77777777" w:rsidR="00023FA5" w:rsidRDefault="00023FA5" w:rsidP="00023FA5">
      <w:r w:rsidRPr="002957DC">
        <w:t>For details of the DUSC con</w:t>
      </w:r>
      <w:r>
        <w:t>siderations</w:t>
      </w:r>
      <w:r w:rsidRPr="002957DC">
        <w:t xml:space="preserve"> refer to the </w:t>
      </w:r>
      <w:hyperlink r:id="rId16" w:history="1">
        <w:r w:rsidRPr="002957DC">
          <w:rPr>
            <w:rStyle w:val="Hyperlink"/>
            <w:rFonts w:cstheme="minorHAnsi"/>
          </w:rPr>
          <w:t>Outcome Statement</w:t>
        </w:r>
      </w:hyperlink>
      <w:r>
        <w:t xml:space="preserve"> from the June 2013 DUSC meeting.</w:t>
      </w:r>
    </w:p>
    <w:p w14:paraId="02F0D75E" w14:textId="77777777" w:rsidR="00023FA5" w:rsidRDefault="00023FA5" w:rsidP="00023FA5">
      <w:pPr>
        <w:pStyle w:val="Heading3"/>
      </w:pPr>
      <w:r w:rsidRPr="009E6991">
        <w:t>October 2015</w:t>
      </w:r>
    </w:p>
    <w:p w14:paraId="6C82F568" w14:textId="77777777" w:rsidR="00023FA5" w:rsidRPr="009E6991" w:rsidRDefault="00023FA5" w:rsidP="00023FA5">
      <w:pPr>
        <w:jc w:val="both"/>
        <w:rPr>
          <w:b/>
        </w:rPr>
      </w:pPr>
      <w:r w:rsidRPr="008B5CB5">
        <w:rPr>
          <w:b/>
        </w:rPr>
        <w:t>Multiple sclerosis: predicted versus actual analysis</w:t>
      </w:r>
    </w:p>
    <w:p w14:paraId="770D82D4" w14:textId="77777777" w:rsidR="00023FA5" w:rsidRDefault="00023FA5" w:rsidP="00023FA5">
      <w:r>
        <w:t>The review considered the utilisation of PBS listed medicines for RRMS, including an assessment of the predicted versus actual use of the oral therapies, dimethyl fumarate, teriflunomide and fingolimod.</w:t>
      </w:r>
    </w:p>
    <w:p w14:paraId="5C60ED15" w14:textId="77777777" w:rsidR="00023FA5" w:rsidRDefault="00023FA5" w:rsidP="00023FA5">
      <w:r>
        <w:t>DUSC noted that the usage of medicines for RRMS had increased with the availability of oral therapy. DUSC considered that this indicated a greater willingness of patients to receive treatment with oral medicines. Patients appeared to persist longer on oral compared to injectable therapy based on a length of treatment analysis of fingolimod.</w:t>
      </w:r>
    </w:p>
    <w:p w14:paraId="0D743864" w14:textId="77777777" w:rsidR="00023FA5" w:rsidRDefault="00023FA5" w:rsidP="00023FA5">
      <w:r>
        <w:t>In its first year of listing the utilisation of dimethyl fumarate had been higher than predicted. DUSC considered that this could relate to the broadening of the McDonald criteria for the diagnosis of multiple sclerosis, concerns over the cardiac side effects for fingolimod and an underestimation of the growth in the RRMS market. The usage of teriflunomide in its first listing year was substantially lower than expected.</w:t>
      </w:r>
    </w:p>
    <w:p w14:paraId="3EA40E2C" w14:textId="77777777" w:rsidR="00023FA5" w:rsidRPr="00977DE6" w:rsidRDefault="00023FA5" w:rsidP="00023FA5">
      <w:pPr>
        <w:rPr>
          <w:b/>
          <w:sz w:val="28"/>
          <w:szCs w:val="28"/>
        </w:rPr>
      </w:pPr>
      <w:r>
        <w:t xml:space="preserve">For details of the DUSC consideration of multiple sclerosis refer to the </w:t>
      </w:r>
      <w:hyperlink r:id="rId17" w:history="1">
        <w:r w:rsidRPr="008B5CB5">
          <w:rPr>
            <w:rStyle w:val="Hyperlink"/>
          </w:rPr>
          <w:t>Public Release Document</w:t>
        </w:r>
      </w:hyperlink>
      <w:r>
        <w:t xml:space="preserve"> from the October 2015 DUSC meeting.</w:t>
      </w:r>
    </w:p>
    <w:p w14:paraId="36C09084" w14:textId="77777777" w:rsidR="00023FA5" w:rsidRDefault="00023FA5" w:rsidP="00023FA5">
      <w:pPr>
        <w:pStyle w:val="Heading3"/>
      </w:pPr>
      <w:r>
        <w:t xml:space="preserve">February </w:t>
      </w:r>
      <w:r w:rsidRPr="009E6991">
        <w:t>20</w:t>
      </w:r>
      <w:r>
        <w:t>20</w:t>
      </w:r>
    </w:p>
    <w:p w14:paraId="1474EC53" w14:textId="77777777" w:rsidR="00023FA5" w:rsidRPr="009E6991" w:rsidRDefault="00023FA5" w:rsidP="00023FA5">
      <w:pPr>
        <w:jc w:val="both"/>
        <w:rPr>
          <w:b/>
        </w:rPr>
      </w:pPr>
      <w:r w:rsidRPr="006D7BFE">
        <w:rPr>
          <w:b/>
        </w:rPr>
        <w:t xml:space="preserve">Alemtuzumab for </w:t>
      </w:r>
      <w:r>
        <w:rPr>
          <w:b/>
        </w:rPr>
        <w:t>RRMS</w:t>
      </w:r>
      <w:r w:rsidRPr="008B5CB5">
        <w:rPr>
          <w:b/>
        </w:rPr>
        <w:t>: predicted versus actual analysis</w:t>
      </w:r>
    </w:p>
    <w:p w14:paraId="649AF3DB" w14:textId="77777777" w:rsidR="00023FA5" w:rsidRDefault="00023FA5" w:rsidP="00023FA5">
      <w:r w:rsidRPr="006D7BFE">
        <w:t>DUSC considere</w:t>
      </w:r>
      <w:r>
        <w:t xml:space="preserve">d the PBS </w:t>
      </w:r>
      <w:r w:rsidRPr="006D7BFE">
        <w:t xml:space="preserve">listing of alemtuzumab in April 2015 had minimal effect on the overall RRMS market. In 2018, 18,715 patients were supplied a PBS-listed medicine for RRMS and, of these, 459 (2.5%) patients were supplied alemtuzumab. Alemtuzumab was used considerably less than the other RRMS biologics, natalizumab and ocrelizumab. The actual number of patients, prescriptions and the corresponding expenditure for alemtuzumab was higher than predicted in Year 1 of listing but declined in the three </w:t>
      </w:r>
      <w:r w:rsidRPr="006D7BFE">
        <w:lastRenderedPageBreak/>
        <w:t>subsequent years. DUSC considered the safety concerns with alemtuzumab and PBS listing of new medicines for RRMS may have contributed to the</w:t>
      </w:r>
      <w:r>
        <w:t xml:space="preserve"> declining use of alemtuzumab. </w:t>
      </w:r>
    </w:p>
    <w:p w14:paraId="278A123E" w14:textId="77777777" w:rsidR="00023FA5" w:rsidRPr="00FB6AFD" w:rsidRDefault="00023FA5" w:rsidP="00023FA5">
      <w:pPr>
        <w:jc w:val="both"/>
      </w:pPr>
      <w:r>
        <w:t xml:space="preserve">For details of the DUSC consideration of alemtuzumab refer to the </w:t>
      </w:r>
      <w:hyperlink r:id="rId18" w:history="1">
        <w:r w:rsidRPr="00A67CBA">
          <w:rPr>
            <w:rStyle w:val="Hyperlink"/>
          </w:rPr>
          <w:t>Public Release Document</w:t>
        </w:r>
      </w:hyperlink>
      <w:r>
        <w:t xml:space="preserve"> from </w:t>
      </w:r>
      <w:r w:rsidRPr="00A67CBA">
        <w:t>February 2020</w:t>
      </w:r>
      <w:r>
        <w:t xml:space="preserve"> DUSC meeting.</w:t>
      </w:r>
    </w:p>
    <w:p w14:paraId="76EAADC3" w14:textId="77777777" w:rsidR="00023FA5" w:rsidRDefault="00023FA5" w:rsidP="00023FA5">
      <w:pPr>
        <w:pStyle w:val="Heading3"/>
      </w:pPr>
      <w:r>
        <w:t xml:space="preserve">October </w:t>
      </w:r>
      <w:r w:rsidRPr="009E6991">
        <w:t>20</w:t>
      </w:r>
      <w:r>
        <w:t>20</w:t>
      </w:r>
    </w:p>
    <w:p w14:paraId="2418F87E" w14:textId="77777777" w:rsidR="00023FA5" w:rsidRPr="009E6991" w:rsidRDefault="00023FA5" w:rsidP="00023FA5">
      <w:pPr>
        <w:jc w:val="both"/>
        <w:rPr>
          <w:b/>
        </w:rPr>
      </w:pPr>
      <w:r>
        <w:rPr>
          <w:b/>
        </w:rPr>
        <w:t>Ocrelizu</w:t>
      </w:r>
      <w:r w:rsidRPr="006D7BFE">
        <w:rPr>
          <w:b/>
        </w:rPr>
        <w:t xml:space="preserve">mab for </w:t>
      </w:r>
      <w:r>
        <w:rPr>
          <w:b/>
        </w:rPr>
        <w:t>RRMS</w:t>
      </w:r>
      <w:r w:rsidRPr="008B5CB5">
        <w:rPr>
          <w:b/>
        </w:rPr>
        <w:t>: predicted versus actual analysis</w:t>
      </w:r>
    </w:p>
    <w:p w14:paraId="6D01CDEA" w14:textId="77777777" w:rsidR="00023FA5" w:rsidRDefault="00023FA5" w:rsidP="00023FA5">
      <w:pPr>
        <w:rPr>
          <w:szCs w:val="23"/>
        </w:rPr>
      </w:pPr>
      <w:r w:rsidRPr="00C8428E">
        <w:rPr>
          <w:szCs w:val="23"/>
        </w:rPr>
        <w:t>DUSC reviewed the predicted and actual utilisation of ocrelizumab for relapsing remitting multiple sclerosis (RRMS) since it was PBS listed for this indication. The number of patients treated with ocrelizumab was slightly less than predicted in the first year of listing and close to predicted in the second year of listing. The number of prescriptions was less than predicted in both years due to the number of scripts per patient being slightly less than predicted. The submission assumption that the listing of ocrelizumab would not increase the growth rate of the RRMS market was approximately correct.</w:t>
      </w:r>
    </w:p>
    <w:p w14:paraId="79458988" w14:textId="77777777" w:rsidR="00023FA5" w:rsidRPr="00C8428E" w:rsidRDefault="00023FA5" w:rsidP="00023FA5">
      <w:pPr>
        <w:rPr>
          <w:sz w:val="28"/>
        </w:rPr>
      </w:pPr>
      <w:r w:rsidRPr="00C8428E">
        <w:rPr>
          <w:szCs w:val="23"/>
        </w:rPr>
        <w:t>The mix of medicines within the RRMS market was dynamic with the more recently listed medicines, ocrelizumab (listed 1 February 2018) and cladribine (listed 1 January 2019), rapidly substituting for older medicines. The distribution of medicine form (i.e. injection, oral or infusion) varied between Very Remote, Remote and non-remote RRMS patients. It appeared that the frequency of dosing and accessibility to infusion services had an effect on the choice of medicine form depending on the remoteness of the patient.</w:t>
      </w:r>
    </w:p>
    <w:p w14:paraId="7BBA2C99" w14:textId="77777777" w:rsidR="00023FA5" w:rsidRPr="00ED633B" w:rsidRDefault="00023FA5" w:rsidP="00023FA5">
      <w:r>
        <w:t xml:space="preserve">For details of the DUSC consideration of ocrelizumab refer to the </w:t>
      </w:r>
      <w:hyperlink r:id="rId19" w:history="1">
        <w:r w:rsidRPr="004D56BA">
          <w:rPr>
            <w:rStyle w:val="Hyperlink"/>
          </w:rPr>
          <w:t>Public Release Document</w:t>
        </w:r>
      </w:hyperlink>
      <w:r>
        <w:t xml:space="preserve"> from the October 2020 DUSC meeting.</w:t>
      </w:r>
    </w:p>
    <w:p w14:paraId="304DF613" w14:textId="77777777" w:rsidR="00023FA5" w:rsidRDefault="00023FA5" w:rsidP="00023FA5">
      <w:pPr>
        <w:spacing w:line="276" w:lineRule="auto"/>
        <w:rPr>
          <w:rFonts w:eastAsiaTheme="majorEastAsia" w:cstheme="majorBidi"/>
          <w:b/>
          <w:bCs/>
          <w:sz w:val="32"/>
          <w:szCs w:val="32"/>
        </w:rPr>
      </w:pPr>
      <w:r>
        <w:br w:type="page"/>
      </w:r>
    </w:p>
    <w:p w14:paraId="39E6008F" w14:textId="77777777" w:rsidR="00023FA5" w:rsidRPr="005E22C2" w:rsidRDefault="00023FA5" w:rsidP="00023FA5">
      <w:pPr>
        <w:pStyle w:val="Heading1"/>
      </w:pPr>
      <w:r w:rsidRPr="005E22C2">
        <w:lastRenderedPageBreak/>
        <w:t>Methods</w:t>
      </w:r>
    </w:p>
    <w:p w14:paraId="47B036A1" w14:textId="77777777" w:rsidR="00023FA5" w:rsidRDefault="00023FA5" w:rsidP="00023FA5">
      <w:r>
        <w:t xml:space="preserve">Data extracted from the PBS claims database maintained by the Department of Health and processed by Services Australia were used for the analyses. Prescription data were extracted from 1 January 2014 up to and including 30 September 2021. Data were </w:t>
      </w:r>
      <w:r w:rsidRPr="00805455">
        <w:t xml:space="preserve">extracted </w:t>
      </w:r>
      <w:r w:rsidRPr="009D13D5">
        <w:t>on 29 November</w:t>
      </w:r>
      <w:r w:rsidRPr="00805455">
        <w:t xml:space="preserve"> 2021.</w:t>
      </w:r>
      <w:r>
        <w:t xml:space="preserve"> </w:t>
      </w:r>
    </w:p>
    <w:p w14:paraId="4E2C9FAB" w14:textId="77777777" w:rsidR="00023FA5" w:rsidRDefault="00023FA5" w:rsidP="00023FA5">
      <w:pPr>
        <w:rPr>
          <w:rFonts w:eastAsia="Calibri" w:cs="Times New Roman"/>
        </w:rPr>
      </w:pPr>
      <w:r>
        <w:t xml:space="preserve">An analysis start date of January 2014 was selected as the DHS prescriptions database for the Section 100 Highly Specialised Drugs Program first became available from July 2010 and was not fully complete until July 2013. As such, the total number of prevalent patients was under reported prior to July 2013 due to incomplete data for the Section 100 public hospital listing for natalizumab. </w:t>
      </w:r>
    </w:p>
    <w:p w14:paraId="20F65384" w14:textId="77777777" w:rsidR="00023FA5" w:rsidRDefault="00023FA5" w:rsidP="00023FA5">
      <w:r>
        <w:t xml:space="preserve">Drugs included in the analysis were: </w:t>
      </w:r>
    </w:p>
    <w:p w14:paraId="24EEB41D" w14:textId="77777777" w:rsidR="00023FA5" w:rsidRDefault="00023FA5" w:rsidP="00023FA5">
      <w:pPr>
        <w:pStyle w:val="ListParagraph"/>
        <w:numPr>
          <w:ilvl w:val="0"/>
          <w:numId w:val="22"/>
        </w:numPr>
      </w:pPr>
      <w:r>
        <w:t xml:space="preserve">Infusion DMTs: alemtuzumab, natalizumab and ocrelizumab </w:t>
      </w:r>
    </w:p>
    <w:p w14:paraId="7480891C" w14:textId="77777777" w:rsidR="00023FA5" w:rsidRDefault="00023FA5" w:rsidP="00023FA5">
      <w:pPr>
        <w:pStyle w:val="ListParagraph"/>
        <w:numPr>
          <w:ilvl w:val="0"/>
          <w:numId w:val="22"/>
        </w:numPr>
      </w:pPr>
      <w:r>
        <w:t>Injection DMTs: daclizumab, glatiramer acetate, interferon beta-1a, interferon beta-1b and peginterferon beta-1a</w:t>
      </w:r>
    </w:p>
    <w:p w14:paraId="0218E971" w14:textId="77777777" w:rsidR="00023FA5" w:rsidRDefault="00023FA5" w:rsidP="00023FA5">
      <w:pPr>
        <w:pStyle w:val="ListParagraph"/>
        <w:numPr>
          <w:ilvl w:val="0"/>
          <w:numId w:val="22"/>
        </w:numPr>
      </w:pPr>
      <w:r>
        <w:t>Oral DMTs: cladribine, dimethyl fumarate, fingolimod, ozanimod, siponimod and teriflunomide.</w:t>
      </w:r>
    </w:p>
    <w:p w14:paraId="10C047AE" w14:textId="77777777" w:rsidR="00023FA5" w:rsidRDefault="00023FA5" w:rsidP="00023FA5">
      <w:r>
        <w:t xml:space="preserve">Ofatumumab, an injection DMT was PBS listed on 1 October 2021 after the analysis end date and was not included in analyses. Daclizumab was PBS listed on 1 May 2017 and was delisted 1 June 2018. </w:t>
      </w:r>
    </w:p>
    <w:p w14:paraId="3B8A9776" w14:textId="77777777" w:rsidR="00023FA5" w:rsidRDefault="00023FA5" w:rsidP="00023FA5">
      <w:r>
        <w:t xml:space="preserve">These data were used to determine the prescription and patients counts, and the age and gender of initiating patients for the overall RRMS market. Prescription counts and the number of initiating patients was determined by drug. Prescription counts, prescriber type and a </w:t>
      </w:r>
      <w:r w:rsidRPr="00DC725F">
        <w:t>switching analysis were</w:t>
      </w:r>
      <w:r>
        <w:t xml:space="preserve"> conducted by RRMS DMT form. </w:t>
      </w:r>
    </w:p>
    <w:p w14:paraId="4EE14BA7" w14:textId="77777777" w:rsidR="00023FA5" w:rsidRDefault="00023FA5" w:rsidP="00023FA5">
      <w:r>
        <w:t xml:space="preserve">For cladribine, these data were used to determine the number of incident and prevalent patients, number of prescriptions supplied, and to analyse patient demographics such as age and gender. Initiating and prevalent patients were counted by quarter of supply. </w:t>
      </w:r>
      <w:r w:rsidRPr="00AA24D9">
        <w:t>An initiating patient was defined based on their first date of supply of cladribine.</w:t>
      </w:r>
      <w:r>
        <w:t xml:space="preserve"> </w:t>
      </w:r>
    </w:p>
    <w:p w14:paraId="342031F1" w14:textId="77777777" w:rsidR="00023FA5" w:rsidRDefault="00023FA5" w:rsidP="00023FA5">
      <w:r>
        <w:t xml:space="preserve">A coadministration analysis was conducted. If another RRMS drug was supplied within 12 months of the first supply of cladribine, and there was more than one occurrence of this supply, this was identified as a potential co-administration of cladribine with another drug. To exclude possible switching between drugs, co-administration was only counted if there were at least two occurrences where a patient received cladribine and another RRMS drug. Switching was defined as a patient being supplied another RRMS drug after 12 months of the date of supply of cladribine. </w:t>
      </w:r>
    </w:p>
    <w:p w14:paraId="5228B015" w14:textId="77777777" w:rsidR="00023FA5" w:rsidRDefault="00023FA5" w:rsidP="00023FA5">
      <w:r>
        <w:lastRenderedPageBreak/>
        <w:t>As this analysis uses date of supply prescription data, there may be small differences compared with publicly available Department of Human Services (DHS) Medicare date of processing data.</w:t>
      </w:r>
      <w:r>
        <w:rPr>
          <w:rStyle w:val="FootnoteReference"/>
        </w:rPr>
        <w:footnoteReference w:id="7"/>
      </w:r>
      <w:r>
        <w:t xml:space="preserve">  </w:t>
      </w:r>
    </w:p>
    <w:p w14:paraId="7DF8050B" w14:textId="77777777" w:rsidR="00023FA5" w:rsidRDefault="00023FA5" w:rsidP="00023FA5">
      <w:r>
        <w:t>Data manipulation was undertaken using SAS.</w:t>
      </w:r>
    </w:p>
    <w:p w14:paraId="2EE67B05" w14:textId="77777777" w:rsidR="00023FA5" w:rsidRDefault="00023FA5" w:rsidP="00023FA5">
      <w:pPr>
        <w:spacing w:line="276" w:lineRule="auto"/>
        <w:rPr>
          <w:rFonts w:eastAsiaTheme="majorEastAsia" w:cstheme="majorBidi"/>
          <w:b/>
          <w:bCs/>
          <w:sz w:val="32"/>
          <w:szCs w:val="32"/>
        </w:rPr>
      </w:pPr>
      <w:r>
        <w:br w:type="page"/>
      </w:r>
    </w:p>
    <w:p w14:paraId="5B0A4AC1" w14:textId="77777777" w:rsidR="00023FA5" w:rsidRPr="005E22C2" w:rsidRDefault="00023FA5" w:rsidP="00023FA5">
      <w:pPr>
        <w:pStyle w:val="Heading1"/>
      </w:pPr>
      <w:r w:rsidRPr="005E22C2">
        <w:lastRenderedPageBreak/>
        <w:t>Results</w:t>
      </w:r>
    </w:p>
    <w:p w14:paraId="34E2A315" w14:textId="77777777" w:rsidR="00023FA5" w:rsidRPr="005E22C2" w:rsidRDefault="00023FA5" w:rsidP="00023FA5">
      <w:pPr>
        <w:pStyle w:val="Heading2"/>
      </w:pPr>
      <w:r w:rsidRPr="005E22C2">
        <w:t xml:space="preserve">Analysis of </w:t>
      </w:r>
      <w:r>
        <w:t>d</w:t>
      </w:r>
      <w:r w:rsidRPr="005E22C2">
        <w:t xml:space="preserve">rug </w:t>
      </w:r>
      <w:r>
        <w:t>u</w:t>
      </w:r>
      <w:r w:rsidRPr="005E22C2">
        <w:t>tilisation</w:t>
      </w:r>
    </w:p>
    <w:p w14:paraId="759735B7" w14:textId="7AE8F96E" w:rsidR="00023FA5" w:rsidRPr="00F62490" w:rsidRDefault="00023FA5" w:rsidP="00023FA5">
      <w:pPr>
        <w:pStyle w:val="Heading3"/>
      </w:pPr>
      <w:r w:rsidRPr="005E22C2">
        <w:t>Overall utilisation</w:t>
      </w:r>
      <w:r>
        <w:t xml:space="preserve"> </w:t>
      </w:r>
    </w:p>
    <w:p w14:paraId="44F4AC8F" w14:textId="77777777" w:rsidR="00023FA5" w:rsidRDefault="00023FA5" w:rsidP="00023FA5">
      <w:pPr>
        <w:jc w:val="center"/>
      </w:pPr>
      <w:r>
        <w:rPr>
          <w:noProof/>
        </w:rPr>
        <w:drawing>
          <wp:inline distT="0" distB="0" distL="0" distR="0" wp14:anchorId="7A78C101" wp14:editId="482307E6">
            <wp:extent cx="5553075" cy="3695700"/>
            <wp:effectExtent l="0" t="0" r="9525" b="0"/>
            <wp:docPr id="10" name="Chart 10" descr="the overall utilisation of the RRMS market has remained relatively stable from 2014 onwards. An average of approximately 45,000 prescriptions were supplied for RRMS per supply quarter. "/>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98CC62F" w14:textId="77777777" w:rsidR="00023FA5" w:rsidRPr="003C3DA7" w:rsidRDefault="00023FA5" w:rsidP="00023FA5">
      <w:pPr>
        <w:pStyle w:val="Tabletitle"/>
      </w:pPr>
      <w:r w:rsidRPr="003C3DA7">
        <w:t>Figure 1: Number of total RRMS prescriptions supplied according to supply quarter</w:t>
      </w:r>
    </w:p>
    <w:p w14:paraId="289BE9EB" w14:textId="77777777" w:rsidR="00023FA5" w:rsidRDefault="00023FA5" w:rsidP="00023FA5"/>
    <w:p w14:paraId="0069A521" w14:textId="77777777" w:rsidR="00023FA5" w:rsidRDefault="00023FA5" w:rsidP="00023FA5">
      <w:r>
        <w:t xml:space="preserve">From Figure 1, the overall utilisation of the RRMS market has remained relatively stable from 2014 onwards. An average of approximately 45,000 prescriptions were supplied for RRMS per supply quarter. </w:t>
      </w:r>
    </w:p>
    <w:p w14:paraId="6FF0A4C6" w14:textId="77777777" w:rsidR="00023FA5" w:rsidRDefault="00023FA5" w:rsidP="00023FA5">
      <w:pPr>
        <w:jc w:val="center"/>
      </w:pPr>
    </w:p>
    <w:p w14:paraId="7DEE2C33" w14:textId="77777777" w:rsidR="00023FA5" w:rsidRDefault="00023FA5" w:rsidP="00023FA5">
      <w:pPr>
        <w:jc w:val="center"/>
      </w:pPr>
      <w:r>
        <w:rPr>
          <w:noProof/>
        </w:rPr>
        <w:lastRenderedPageBreak/>
        <w:drawing>
          <wp:inline distT="0" distB="0" distL="0" distR="0" wp14:anchorId="2E5BC022" wp14:editId="288D8521">
            <wp:extent cx="5460521" cy="3795623"/>
            <wp:effectExtent l="0" t="0" r="6985" b="14605"/>
            <wp:docPr id="11" name="Chart 11" descr="In Figure 2, the most common RRMS DMT since 2014 was fingolimod with an average of approximately 15,000 prescriptions supplied per quarter. "/>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5229AE3" w14:textId="77777777" w:rsidR="00023FA5" w:rsidRPr="003C3DA7" w:rsidRDefault="00023FA5" w:rsidP="00023FA5">
      <w:pPr>
        <w:pStyle w:val="Tabletitle"/>
      </w:pPr>
      <w:r w:rsidRPr="003C3DA7">
        <w:t xml:space="preserve">Figure 2: Number of RRMS prescriptions supplied according to drug and supply quarter </w:t>
      </w:r>
    </w:p>
    <w:p w14:paraId="0B9CC1C5" w14:textId="77777777" w:rsidR="00023FA5" w:rsidRDefault="00023FA5" w:rsidP="00023FA5">
      <w:pPr>
        <w:spacing w:line="276" w:lineRule="auto"/>
      </w:pPr>
      <w:r w:rsidRPr="00AB11B1">
        <w:t xml:space="preserve">In Figure 2, </w:t>
      </w:r>
      <w:r>
        <w:t xml:space="preserve">the most common RRMS DMT since 2014 was fingolimod with an average of approximately 15,000 prescriptions supplied per quarter. </w:t>
      </w:r>
    </w:p>
    <w:p w14:paraId="17C26B1A" w14:textId="77777777" w:rsidR="00023FA5" w:rsidRPr="00FA49CF" w:rsidRDefault="00023FA5" w:rsidP="00023FA5">
      <w:pPr>
        <w:spacing w:line="276" w:lineRule="auto"/>
      </w:pPr>
      <w:r>
        <w:t xml:space="preserve">Although the number of alemtuzumab, cladribine and ocrelizumab prescriptions supplied appear to be low, this is due to patients not continuously being treated over time due to the time between administrations as described in Table 1.  </w:t>
      </w:r>
    </w:p>
    <w:p w14:paraId="18937155" w14:textId="77777777" w:rsidR="00023FA5" w:rsidRDefault="00023FA5" w:rsidP="00023FA5">
      <w:pPr>
        <w:pStyle w:val="Tabletitle"/>
      </w:pPr>
      <w:r>
        <w:t xml:space="preserve">Table 3: Number of RRMS prescriptions supplied according to calendar year  </w:t>
      </w:r>
    </w:p>
    <w:tbl>
      <w:tblPr>
        <w:tblStyle w:val="TableGrid"/>
        <w:tblW w:w="0" w:type="auto"/>
        <w:tblLook w:val="04A0" w:firstRow="1" w:lastRow="0" w:firstColumn="1" w:lastColumn="0" w:noHBand="0" w:noVBand="1"/>
      </w:tblPr>
      <w:tblGrid>
        <w:gridCol w:w="2122"/>
        <w:gridCol w:w="1365"/>
        <w:gridCol w:w="1365"/>
        <w:gridCol w:w="1365"/>
        <w:gridCol w:w="1365"/>
      </w:tblGrid>
      <w:tr w:rsidR="00023FA5" w:rsidRPr="006A3078" w14:paraId="756FC0E6" w14:textId="77777777" w:rsidTr="00023FA5">
        <w:tc>
          <w:tcPr>
            <w:tcW w:w="2122" w:type="dxa"/>
            <w:shd w:val="clear" w:color="auto" w:fill="BFBFBF" w:themeFill="background1" w:themeFillShade="BF"/>
          </w:tcPr>
          <w:p w14:paraId="6B6F75C9" w14:textId="77777777" w:rsidR="00023FA5" w:rsidRPr="006A3078" w:rsidRDefault="00023FA5" w:rsidP="00023FA5">
            <w:pPr>
              <w:rPr>
                <w:sz w:val="20"/>
              </w:rPr>
            </w:pPr>
            <w:r>
              <w:rPr>
                <w:b/>
                <w:sz w:val="20"/>
              </w:rPr>
              <w:t xml:space="preserve">Drug   </w:t>
            </w:r>
            <w:r w:rsidRPr="0073473B">
              <w:rPr>
                <w:b/>
                <w:sz w:val="20"/>
              </w:rPr>
              <w:t xml:space="preserve"> </w:t>
            </w:r>
          </w:p>
        </w:tc>
        <w:tc>
          <w:tcPr>
            <w:tcW w:w="1365" w:type="dxa"/>
            <w:shd w:val="clear" w:color="auto" w:fill="BFBFBF" w:themeFill="background1" w:themeFillShade="BF"/>
          </w:tcPr>
          <w:p w14:paraId="2E068ACB" w14:textId="77777777" w:rsidR="00023FA5" w:rsidRPr="006A3078" w:rsidRDefault="00023FA5" w:rsidP="00023FA5">
            <w:pPr>
              <w:jc w:val="center"/>
              <w:rPr>
                <w:sz w:val="20"/>
              </w:rPr>
            </w:pPr>
            <w:r>
              <w:rPr>
                <w:b/>
                <w:sz w:val="20"/>
              </w:rPr>
              <w:t xml:space="preserve">2019 </w:t>
            </w:r>
          </w:p>
        </w:tc>
        <w:tc>
          <w:tcPr>
            <w:tcW w:w="1365" w:type="dxa"/>
            <w:shd w:val="clear" w:color="auto" w:fill="BFBFBF" w:themeFill="background1" w:themeFillShade="BF"/>
          </w:tcPr>
          <w:p w14:paraId="4C076171" w14:textId="77777777" w:rsidR="00023FA5" w:rsidRPr="006A3078" w:rsidRDefault="00023FA5" w:rsidP="00023FA5">
            <w:pPr>
              <w:jc w:val="center"/>
              <w:rPr>
                <w:sz w:val="20"/>
              </w:rPr>
            </w:pPr>
            <w:r>
              <w:rPr>
                <w:b/>
                <w:sz w:val="20"/>
              </w:rPr>
              <w:t>2020</w:t>
            </w:r>
          </w:p>
        </w:tc>
        <w:tc>
          <w:tcPr>
            <w:tcW w:w="1365" w:type="dxa"/>
            <w:shd w:val="clear" w:color="auto" w:fill="BFBFBF" w:themeFill="background1" w:themeFillShade="BF"/>
          </w:tcPr>
          <w:p w14:paraId="523201C5" w14:textId="77777777" w:rsidR="00023FA5" w:rsidRPr="00636C27" w:rsidRDefault="00023FA5" w:rsidP="00023FA5">
            <w:pPr>
              <w:jc w:val="center"/>
              <w:rPr>
                <w:b/>
                <w:sz w:val="20"/>
              </w:rPr>
            </w:pPr>
            <w:r>
              <w:rPr>
                <w:b/>
                <w:sz w:val="20"/>
              </w:rPr>
              <w:t>2021</w:t>
            </w:r>
          </w:p>
        </w:tc>
        <w:tc>
          <w:tcPr>
            <w:tcW w:w="1365" w:type="dxa"/>
            <w:shd w:val="clear" w:color="auto" w:fill="BFBFBF" w:themeFill="background1" w:themeFillShade="BF"/>
          </w:tcPr>
          <w:p w14:paraId="637AB49C" w14:textId="77777777" w:rsidR="00023FA5" w:rsidRDefault="00023FA5" w:rsidP="00023FA5">
            <w:pPr>
              <w:jc w:val="center"/>
              <w:rPr>
                <w:b/>
                <w:sz w:val="20"/>
              </w:rPr>
            </w:pPr>
            <w:r>
              <w:rPr>
                <w:b/>
                <w:sz w:val="20"/>
              </w:rPr>
              <w:t xml:space="preserve">Annual growth: 2019 vs 2020 </w:t>
            </w:r>
          </w:p>
        </w:tc>
      </w:tr>
      <w:tr w:rsidR="00023FA5" w:rsidRPr="006A3078" w14:paraId="4768514E" w14:textId="77777777" w:rsidTr="00023FA5">
        <w:tc>
          <w:tcPr>
            <w:tcW w:w="2122" w:type="dxa"/>
          </w:tcPr>
          <w:p w14:paraId="5B483DE6" w14:textId="77777777" w:rsidR="00023FA5" w:rsidRPr="006A3078" w:rsidRDefault="00023FA5" w:rsidP="00023FA5">
            <w:pPr>
              <w:rPr>
                <w:sz w:val="20"/>
              </w:rPr>
            </w:pPr>
            <w:r>
              <w:rPr>
                <w:sz w:val="20"/>
              </w:rPr>
              <w:t xml:space="preserve">Alemtuzumab </w:t>
            </w:r>
          </w:p>
        </w:tc>
        <w:tc>
          <w:tcPr>
            <w:tcW w:w="1365" w:type="dxa"/>
            <w:shd w:val="clear" w:color="auto" w:fill="auto"/>
          </w:tcPr>
          <w:p w14:paraId="7D7B949D" w14:textId="77777777" w:rsidR="00023FA5" w:rsidRPr="006A3078" w:rsidRDefault="00023FA5" w:rsidP="00023FA5">
            <w:pPr>
              <w:jc w:val="right"/>
              <w:rPr>
                <w:sz w:val="20"/>
              </w:rPr>
            </w:pPr>
            <w:r>
              <w:rPr>
                <w:sz w:val="20"/>
              </w:rPr>
              <w:t>286</w:t>
            </w:r>
          </w:p>
        </w:tc>
        <w:tc>
          <w:tcPr>
            <w:tcW w:w="1365" w:type="dxa"/>
            <w:shd w:val="clear" w:color="auto" w:fill="auto"/>
          </w:tcPr>
          <w:p w14:paraId="0901591A" w14:textId="77777777" w:rsidR="00023FA5" w:rsidRPr="006A3078" w:rsidRDefault="00023FA5" w:rsidP="00023FA5">
            <w:pPr>
              <w:jc w:val="right"/>
              <w:rPr>
                <w:sz w:val="20"/>
              </w:rPr>
            </w:pPr>
            <w:r>
              <w:rPr>
                <w:sz w:val="20"/>
              </w:rPr>
              <w:t>175</w:t>
            </w:r>
          </w:p>
        </w:tc>
        <w:tc>
          <w:tcPr>
            <w:tcW w:w="1365" w:type="dxa"/>
            <w:shd w:val="clear" w:color="auto" w:fill="auto"/>
          </w:tcPr>
          <w:p w14:paraId="13C3FCE9" w14:textId="77777777" w:rsidR="00023FA5" w:rsidRPr="006A3078" w:rsidRDefault="00023FA5" w:rsidP="00023FA5">
            <w:pPr>
              <w:jc w:val="right"/>
              <w:rPr>
                <w:sz w:val="20"/>
              </w:rPr>
            </w:pPr>
            <w:r>
              <w:rPr>
                <w:sz w:val="20"/>
              </w:rPr>
              <w:t>75</w:t>
            </w:r>
          </w:p>
        </w:tc>
        <w:tc>
          <w:tcPr>
            <w:tcW w:w="1365" w:type="dxa"/>
          </w:tcPr>
          <w:p w14:paraId="60CA2E8A" w14:textId="77777777" w:rsidR="00023FA5" w:rsidRDefault="00023FA5" w:rsidP="00023FA5">
            <w:pPr>
              <w:jc w:val="right"/>
              <w:rPr>
                <w:sz w:val="20"/>
              </w:rPr>
            </w:pPr>
            <w:r>
              <w:rPr>
                <w:sz w:val="20"/>
              </w:rPr>
              <w:t>-38.8%</w:t>
            </w:r>
          </w:p>
        </w:tc>
      </w:tr>
      <w:tr w:rsidR="00023FA5" w:rsidRPr="006A3078" w14:paraId="00A20D6B" w14:textId="77777777" w:rsidTr="00023FA5">
        <w:tc>
          <w:tcPr>
            <w:tcW w:w="2122" w:type="dxa"/>
          </w:tcPr>
          <w:p w14:paraId="0803E9C4" w14:textId="77777777" w:rsidR="00023FA5" w:rsidRPr="006A3078" w:rsidRDefault="00023FA5" w:rsidP="00023FA5">
            <w:pPr>
              <w:rPr>
                <w:sz w:val="20"/>
              </w:rPr>
            </w:pPr>
            <w:r>
              <w:rPr>
                <w:sz w:val="20"/>
              </w:rPr>
              <w:t>Cladribine</w:t>
            </w:r>
          </w:p>
        </w:tc>
        <w:tc>
          <w:tcPr>
            <w:tcW w:w="1365" w:type="dxa"/>
            <w:shd w:val="clear" w:color="auto" w:fill="auto"/>
          </w:tcPr>
          <w:p w14:paraId="192BC22C" w14:textId="77777777" w:rsidR="00023FA5" w:rsidRPr="006A3078" w:rsidRDefault="00023FA5" w:rsidP="00023FA5">
            <w:pPr>
              <w:jc w:val="right"/>
              <w:rPr>
                <w:sz w:val="20"/>
              </w:rPr>
            </w:pPr>
            <w:r>
              <w:rPr>
                <w:sz w:val="20"/>
              </w:rPr>
              <w:t>3,295</w:t>
            </w:r>
          </w:p>
        </w:tc>
        <w:tc>
          <w:tcPr>
            <w:tcW w:w="1365" w:type="dxa"/>
            <w:shd w:val="clear" w:color="auto" w:fill="auto"/>
          </w:tcPr>
          <w:p w14:paraId="3EC4CDC7" w14:textId="77777777" w:rsidR="00023FA5" w:rsidRPr="006A3078" w:rsidRDefault="00023FA5" w:rsidP="00023FA5">
            <w:pPr>
              <w:jc w:val="right"/>
              <w:rPr>
                <w:sz w:val="20"/>
              </w:rPr>
            </w:pPr>
            <w:r>
              <w:rPr>
                <w:sz w:val="20"/>
              </w:rPr>
              <w:t>4,147</w:t>
            </w:r>
          </w:p>
        </w:tc>
        <w:tc>
          <w:tcPr>
            <w:tcW w:w="1365" w:type="dxa"/>
            <w:shd w:val="clear" w:color="auto" w:fill="auto"/>
          </w:tcPr>
          <w:p w14:paraId="1F172330" w14:textId="77777777" w:rsidR="00023FA5" w:rsidRPr="006A3078" w:rsidRDefault="00023FA5" w:rsidP="00023FA5">
            <w:pPr>
              <w:jc w:val="right"/>
              <w:rPr>
                <w:sz w:val="20"/>
              </w:rPr>
            </w:pPr>
            <w:r>
              <w:rPr>
                <w:sz w:val="20"/>
              </w:rPr>
              <w:t>2,672</w:t>
            </w:r>
          </w:p>
        </w:tc>
        <w:tc>
          <w:tcPr>
            <w:tcW w:w="1365" w:type="dxa"/>
          </w:tcPr>
          <w:p w14:paraId="55AD9E63" w14:textId="77777777" w:rsidR="00023FA5" w:rsidRDefault="00023FA5" w:rsidP="00023FA5">
            <w:pPr>
              <w:jc w:val="right"/>
              <w:rPr>
                <w:sz w:val="20"/>
              </w:rPr>
            </w:pPr>
            <w:r>
              <w:rPr>
                <w:sz w:val="20"/>
              </w:rPr>
              <w:t>25.9%</w:t>
            </w:r>
          </w:p>
        </w:tc>
      </w:tr>
      <w:tr w:rsidR="00023FA5" w:rsidRPr="006A3078" w14:paraId="08EC6717" w14:textId="77777777" w:rsidTr="00023FA5">
        <w:tc>
          <w:tcPr>
            <w:tcW w:w="2122" w:type="dxa"/>
          </w:tcPr>
          <w:p w14:paraId="63E95FFE" w14:textId="77777777" w:rsidR="00023FA5" w:rsidRDefault="00023FA5" w:rsidP="00023FA5">
            <w:pPr>
              <w:rPr>
                <w:sz w:val="20"/>
              </w:rPr>
            </w:pPr>
            <w:r>
              <w:rPr>
                <w:sz w:val="20"/>
              </w:rPr>
              <w:t xml:space="preserve">Dimethyl fumarate </w:t>
            </w:r>
          </w:p>
        </w:tc>
        <w:tc>
          <w:tcPr>
            <w:tcW w:w="1365" w:type="dxa"/>
            <w:shd w:val="clear" w:color="auto" w:fill="auto"/>
          </w:tcPr>
          <w:p w14:paraId="0B146DDE" w14:textId="77777777" w:rsidR="00023FA5" w:rsidRDefault="00023FA5" w:rsidP="00023FA5">
            <w:pPr>
              <w:jc w:val="right"/>
              <w:rPr>
                <w:sz w:val="20"/>
              </w:rPr>
            </w:pPr>
            <w:r>
              <w:rPr>
                <w:sz w:val="20"/>
              </w:rPr>
              <w:t>24,063</w:t>
            </w:r>
          </w:p>
        </w:tc>
        <w:tc>
          <w:tcPr>
            <w:tcW w:w="1365" w:type="dxa"/>
            <w:shd w:val="clear" w:color="auto" w:fill="auto"/>
          </w:tcPr>
          <w:p w14:paraId="29C78D61" w14:textId="77777777" w:rsidR="00023FA5" w:rsidRDefault="00023FA5" w:rsidP="00023FA5">
            <w:pPr>
              <w:jc w:val="right"/>
              <w:rPr>
                <w:sz w:val="20"/>
              </w:rPr>
            </w:pPr>
            <w:r>
              <w:rPr>
                <w:sz w:val="20"/>
              </w:rPr>
              <w:t>24,487</w:t>
            </w:r>
          </w:p>
        </w:tc>
        <w:tc>
          <w:tcPr>
            <w:tcW w:w="1365" w:type="dxa"/>
            <w:shd w:val="clear" w:color="auto" w:fill="auto"/>
          </w:tcPr>
          <w:p w14:paraId="678790C3" w14:textId="77777777" w:rsidR="00023FA5" w:rsidRPr="006A3078" w:rsidRDefault="00023FA5" w:rsidP="00023FA5">
            <w:pPr>
              <w:jc w:val="right"/>
              <w:rPr>
                <w:sz w:val="20"/>
              </w:rPr>
            </w:pPr>
            <w:r>
              <w:rPr>
                <w:sz w:val="20"/>
              </w:rPr>
              <w:t>17,940</w:t>
            </w:r>
          </w:p>
        </w:tc>
        <w:tc>
          <w:tcPr>
            <w:tcW w:w="1365" w:type="dxa"/>
          </w:tcPr>
          <w:p w14:paraId="56C97077" w14:textId="77777777" w:rsidR="00023FA5" w:rsidRDefault="00023FA5" w:rsidP="00023FA5">
            <w:pPr>
              <w:jc w:val="right"/>
              <w:rPr>
                <w:sz w:val="20"/>
              </w:rPr>
            </w:pPr>
            <w:r>
              <w:rPr>
                <w:sz w:val="20"/>
              </w:rPr>
              <w:t>1.8%</w:t>
            </w:r>
          </w:p>
        </w:tc>
      </w:tr>
      <w:tr w:rsidR="00023FA5" w:rsidRPr="006A3078" w14:paraId="462D4188" w14:textId="77777777" w:rsidTr="00023FA5">
        <w:tc>
          <w:tcPr>
            <w:tcW w:w="2122" w:type="dxa"/>
          </w:tcPr>
          <w:p w14:paraId="703B995F" w14:textId="77777777" w:rsidR="00023FA5" w:rsidRPr="006A3078" w:rsidRDefault="00023FA5" w:rsidP="00023FA5">
            <w:pPr>
              <w:rPr>
                <w:sz w:val="20"/>
              </w:rPr>
            </w:pPr>
            <w:r>
              <w:rPr>
                <w:sz w:val="20"/>
              </w:rPr>
              <w:t>Fingolimod</w:t>
            </w:r>
          </w:p>
        </w:tc>
        <w:tc>
          <w:tcPr>
            <w:tcW w:w="1365" w:type="dxa"/>
            <w:shd w:val="clear" w:color="auto" w:fill="auto"/>
          </w:tcPr>
          <w:p w14:paraId="3977BE4F" w14:textId="77777777" w:rsidR="00023FA5" w:rsidRPr="006A3078" w:rsidRDefault="00023FA5" w:rsidP="00023FA5">
            <w:pPr>
              <w:jc w:val="right"/>
              <w:rPr>
                <w:sz w:val="20"/>
              </w:rPr>
            </w:pPr>
            <w:r>
              <w:rPr>
                <w:sz w:val="20"/>
              </w:rPr>
              <w:t>58,955</w:t>
            </w:r>
          </w:p>
        </w:tc>
        <w:tc>
          <w:tcPr>
            <w:tcW w:w="1365" w:type="dxa"/>
            <w:shd w:val="clear" w:color="auto" w:fill="auto"/>
          </w:tcPr>
          <w:p w14:paraId="41CCACA6" w14:textId="77777777" w:rsidR="00023FA5" w:rsidRPr="006A3078" w:rsidRDefault="00023FA5" w:rsidP="00023FA5">
            <w:pPr>
              <w:jc w:val="right"/>
              <w:rPr>
                <w:sz w:val="20"/>
              </w:rPr>
            </w:pPr>
            <w:r>
              <w:rPr>
                <w:sz w:val="20"/>
              </w:rPr>
              <w:t>55,348</w:t>
            </w:r>
          </w:p>
        </w:tc>
        <w:tc>
          <w:tcPr>
            <w:tcW w:w="1365" w:type="dxa"/>
            <w:shd w:val="clear" w:color="auto" w:fill="auto"/>
          </w:tcPr>
          <w:p w14:paraId="64082EE0" w14:textId="77777777" w:rsidR="00023FA5" w:rsidRPr="006A3078" w:rsidRDefault="00023FA5" w:rsidP="00023FA5">
            <w:pPr>
              <w:jc w:val="right"/>
              <w:rPr>
                <w:sz w:val="20"/>
              </w:rPr>
            </w:pPr>
            <w:r>
              <w:rPr>
                <w:sz w:val="20"/>
              </w:rPr>
              <w:t>37,895</w:t>
            </w:r>
          </w:p>
        </w:tc>
        <w:tc>
          <w:tcPr>
            <w:tcW w:w="1365" w:type="dxa"/>
          </w:tcPr>
          <w:p w14:paraId="28FB27A9" w14:textId="77777777" w:rsidR="00023FA5" w:rsidRDefault="00023FA5" w:rsidP="00023FA5">
            <w:pPr>
              <w:jc w:val="right"/>
              <w:rPr>
                <w:sz w:val="20"/>
              </w:rPr>
            </w:pPr>
            <w:r>
              <w:rPr>
                <w:sz w:val="20"/>
              </w:rPr>
              <w:t>-6.1%</w:t>
            </w:r>
          </w:p>
        </w:tc>
      </w:tr>
      <w:tr w:rsidR="00023FA5" w:rsidRPr="006A3078" w14:paraId="578DF74E" w14:textId="77777777" w:rsidTr="00023FA5">
        <w:tc>
          <w:tcPr>
            <w:tcW w:w="2122" w:type="dxa"/>
          </w:tcPr>
          <w:p w14:paraId="5137CEA7" w14:textId="77777777" w:rsidR="00023FA5" w:rsidRPr="006A3078" w:rsidRDefault="00023FA5" w:rsidP="00023FA5">
            <w:pPr>
              <w:rPr>
                <w:sz w:val="20"/>
              </w:rPr>
            </w:pPr>
            <w:r>
              <w:rPr>
                <w:sz w:val="20"/>
              </w:rPr>
              <w:t>Glatiramer acetate</w:t>
            </w:r>
          </w:p>
        </w:tc>
        <w:tc>
          <w:tcPr>
            <w:tcW w:w="1365" w:type="dxa"/>
            <w:shd w:val="clear" w:color="auto" w:fill="auto"/>
          </w:tcPr>
          <w:p w14:paraId="64FFCB1C" w14:textId="77777777" w:rsidR="00023FA5" w:rsidRPr="006A3078" w:rsidRDefault="00023FA5" w:rsidP="00023FA5">
            <w:pPr>
              <w:jc w:val="right"/>
              <w:rPr>
                <w:sz w:val="20"/>
              </w:rPr>
            </w:pPr>
            <w:r>
              <w:rPr>
                <w:sz w:val="20"/>
              </w:rPr>
              <w:t>17,205</w:t>
            </w:r>
          </w:p>
        </w:tc>
        <w:tc>
          <w:tcPr>
            <w:tcW w:w="1365" w:type="dxa"/>
            <w:shd w:val="clear" w:color="auto" w:fill="auto"/>
          </w:tcPr>
          <w:p w14:paraId="441FE755" w14:textId="77777777" w:rsidR="00023FA5" w:rsidRPr="006A3078" w:rsidRDefault="00023FA5" w:rsidP="00023FA5">
            <w:pPr>
              <w:jc w:val="right"/>
              <w:rPr>
                <w:sz w:val="20"/>
              </w:rPr>
            </w:pPr>
            <w:r>
              <w:rPr>
                <w:sz w:val="20"/>
              </w:rPr>
              <w:t>15,573</w:t>
            </w:r>
          </w:p>
        </w:tc>
        <w:tc>
          <w:tcPr>
            <w:tcW w:w="1365" w:type="dxa"/>
            <w:shd w:val="clear" w:color="auto" w:fill="auto"/>
          </w:tcPr>
          <w:p w14:paraId="16FA92E1" w14:textId="77777777" w:rsidR="00023FA5" w:rsidRPr="006A3078" w:rsidRDefault="00023FA5" w:rsidP="00023FA5">
            <w:pPr>
              <w:jc w:val="right"/>
              <w:rPr>
                <w:sz w:val="20"/>
              </w:rPr>
            </w:pPr>
            <w:r>
              <w:rPr>
                <w:sz w:val="20"/>
              </w:rPr>
              <w:t>10,413</w:t>
            </w:r>
          </w:p>
        </w:tc>
        <w:tc>
          <w:tcPr>
            <w:tcW w:w="1365" w:type="dxa"/>
          </w:tcPr>
          <w:p w14:paraId="25E183E7" w14:textId="77777777" w:rsidR="00023FA5" w:rsidRDefault="00023FA5" w:rsidP="00023FA5">
            <w:pPr>
              <w:jc w:val="right"/>
              <w:rPr>
                <w:sz w:val="20"/>
              </w:rPr>
            </w:pPr>
            <w:r>
              <w:rPr>
                <w:sz w:val="20"/>
              </w:rPr>
              <w:t>-9.5%</w:t>
            </w:r>
          </w:p>
        </w:tc>
      </w:tr>
      <w:tr w:rsidR="00023FA5" w:rsidRPr="006A3078" w14:paraId="596192BC" w14:textId="77777777" w:rsidTr="00023FA5">
        <w:tc>
          <w:tcPr>
            <w:tcW w:w="2122" w:type="dxa"/>
          </w:tcPr>
          <w:p w14:paraId="7C5542A0" w14:textId="77777777" w:rsidR="00023FA5" w:rsidRPr="006A3078" w:rsidRDefault="00023FA5" w:rsidP="00023FA5">
            <w:pPr>
              <w:rPr>
                <w:sz w:val="20"/>
              </w:rPr>
            </w:pPr>
            <w:r>
              <w:rPr>
                <w:sz w:val="20"/>
              </w:rPr>
              <w:t xml:space="preserve">Interferon beta-1a </w:t>
            </w:r>
          </w:p>
        </w:tc>
        <w:tc>
          <w:tcPr>
            <w:tcW w:w="1365" w:type="dxa"/>
            <w:shd w:val="clear" w:color="auto" w:fill="auto"/>
          </w:tcPr>
          <w:p w14:paraId="6DE9E56A" w14:textId="77777777" w:rsidR="00023FA5" w:rsidRPr="006A3078" w:rsidRDefault="00023FA5" w:rsidP="00023FA5">
            <w:pPr>
              <w:jc w:val="right"/>
              <w:rPr>
                <w:sz w:val="20"/>
              </w:rPr>
            </w:pPr>
            <w:r>
              <w:rPr>
                <w:sz w:val="20"/>
              </w:rPr>
              <w:t>9,312</w:t>
            </w:r>
          </w:p>
        </w:tc>
        <w:tc>
          <w:tcPr>
            <w:tcW w:w="1365" w:type="dxa"/>
            <w:shd w:val="clear" w:color="auto" w:fill="auto"/>
          </w:tcPr>
          <w:p w14:paraId="411305EC" w14:textId="77777777" w:rsidR="00023FA5" w:rsidRPr="006A3078" w:rsidRDefault="00023FA5" w:rsidP="00023FA5">
            <w:pPr>
              <w:jc w:val="right"/>
              <w:rPr>
                <w:sz w:val="20"/>
              </w:rPr>
            </w:pPr>
            <w:r>
              <w:rPr>
                <w:sz w:val="20"/>
              </w:rPr>
              <w:t>8,130</w:t>
            </w:r>
          </w:p>
        </w:tc>
        <w:tc>
          <w:tcPr>
            <w:tcW w:w="1365" w:type="dxa"/>
            <w:shd w:val="clear" w:color="auto" w:fill="auto"/>
          </w:tcPr>
          <w:p w14:paraId="11D716AA" w14:textId="77777777" w:rsidR="00023FA5" w:rsidRPr="006A3078" w:rsidRDefault="00023FA5" w:rsidP="00023FA5">
            <w:pPr>
              <w:jc w:val="right"/>
              <w:rPr>
                <w:sz w:val="20"/>
              </w:rPr>
            </w:pPr>
            <w:r>
              <w:rPr>
                <w:sz w:val="20"/>
              </w:rPr>
              <w:t>5,102</w:t>
            </w:r>
          </w:p>
        </w:tc>
        <w:tc>
          <w:tcPr>
            <w:tcW w:w="1365" w:type="dxa"/>
          </w:tcPr>
          <w:p w14:paraId="038D28C4" w14:textId="77777777" w:rsidR="00023FA5" w:rsidRDefault="00023FA5" w:rsidP="00023FA5">
            <w:pPr>
              <w:jc w:val="right"/>
              <w:rPr>
                <w:sz w:val="20"/>
              </w:rPr>
            </w:pPr>
            <w:r>
              <w:rPr>
                <w:sz w:val="20"/>
              </w:rPr>
              <w:t>-12.7%</w:t>
            </w:r>
          </w:p>
        </w:tc>
      </w:tr>
      <w:tr w:rsidR="00023FA5" w:rsidRPr="006A3078" w14:paraId="41D6F2DE" w14:textId="77777777" w:rsidTr="00023FA5">
        <w:tc>
          <w:tcPr>
            <w:tcW w:w="2122" w:type="dxa"/>
          </w:tcPr>
          <w:p w14:paraId="0F472498" w14:textId="77777777" w:rsidR="00023FA5" w:rsidRDefault="00023FA5" w:rsidP="00023FA5">
            <w:pPr>
              <w:rPr>
                <w:sz w:val="20"/>
              </w:rPr>
            </w:pPr>
            <w:r>
              <w:rPr>
                <w:sz w:val="20"/>
              </w:rPr>
              <w:t xml:space="preserve">Interferon beta-1b </w:t>
            </w:r>
          </w:p>
        </w:tc>
        <w:tc>
          <w:tcPr>
            <w:tcW w:w="1365" w:type="dxa"/>
            <w:shd w:val="clear" w:color="auto" w:fill="auto"/>
          </w:tcPr>
          <w:p w14:paraId="37539D15" w14:textId="77777777" w:rsidR="00023FA5" w:rsidRPr="006A3078" w:rsidRDefault="00023FA5" w:rsidP="00023FA5">
            <w:pPr>
              <w:jc w:val="right"/>
              <w:rPr>
                <w:sz w:val="20"/>
              </w:rPr>
            </w:pPr>
            <w:r>
              <w:rPr>
                <w:sz w:val="20"/>
              </w:rPr>
              <w:t>5,575</w:t>
            </w:r>
          </w:p>
        </w:tc>
        <w:tc>
          <w:tcPr>
            <w:tcW w:w="1365" w:type="dxa"/>
            <w:shd w:val="clear" w:color="auto" w:fill="auto"/>
          </w:tcPr>
          <w:p w14:paraId="1DBDFB82" w14:textId="77777777" w:rsidR="00023FA5" w:rsidRPr="006A3078" w:rsidRDefault="00023FA5" w:rsidP="00023FA5">
            <w:pPr>
              <w:jc w:val="right"/>
              <w:rPr>
                <w:sz w:val="20"/>
              </w:rPr>
            </w:pPr>
            <w:r>
              <w:rPr>
                <w:sz w:val="20"/>
              </w:rPr>
              <w:t>4,657</w:t>
            </w:r>
          </w:p>
        </w:tc>
        <w:tc>
          <w:tcPr>
            <w:tcW w:w="1365" w:type="dxa"/>
            <w:shd w:val="clear" w:color="auto" w:fill="auto"/>
          </w:tcPr>
          <w:p w14:paraId="1C666BA4" w14:textId="77777777" w:rsidR="00023FA5" w:rsidRPr="006A3078" w:rsidRDefault="00023FA5" w:rsidP="00023FA5">
            <w:pPr>
              <w:jc w:val="right"/>
              <w:rPr>
                <w:sz w:val="20"/>
              </w:rPr>
            </w:pPr>
            <w:r>
              <w:rPr>
                <w:sz w:val="20"/>
              </w:rPr>
              <w:t>2,889</w:t>
            </w:r>
          </w:p>
        </w:tc>
        <w:tc>
          <w:tcPr>
            <w:tcW w:w="1365" w:type="dxa"/>
          </w:tcPr>
          <w:p w14:paraId="203C3C03" w14:textId="77777777" w:rsidR="00023FA5" w:rsidRDefault="00023FA5" w:rsidP="00023FA5">
            <w:pPr>
              <w:jc w:val="right"/>
              <w:rPr>
                <w:sz w:val="20"/>
              </w:rPr>
            </w:pPr>
            <w:r>
              <w:rPr>
                <w:sz w:val="20"/>
              </w:rPr>
              <w:t>-16.5%</w:t>
            </w:r>
          </w:p>
        </w:tc>
      </w:tr>
      <w:tr w:rsidR="00023FA5" w:rsidRPr="006A3078" w14:paraId="3FDAD93A" w14:textId="77777777" w:rsidTr="00023FA5">
        <w:tc>
          <w:tcPr>
            <w:tcW w:w="2122" w:type="dxa"/>
          </w:tcPr>
          <w:p w14:paraId="6E2FF5D4" w14:textId="77777777" w:rsidR="00023FA5" w:rsidRDefault="00023FA5" w:rsidP="00023FA5">
            <w:pPr>
              <w:rPr>
                <w:sz w:val="20"/>
              </w:rPr>
            </w:pPr>
            <w:r>
              <w:rPr>
                <w:sz w:val="20"/>
              </w:rPr>
              <w:t xml:space="preserve">Natalizumab </w:t>
            </w:r>
          </w:p>
        </w:tc>
        <w:tc>
          <w:tcPr>
            <w:tcW w:w="1365" w:type="dxa"/>
            <w:shd w:val="clear" w:color="auto" w:fill="auto"/>
          </w:tcPr>
          <w:p w14:paraId="40F6B549" w14:textId="77777777" w:rsidR="00023FA5" w:rsidRPr="006A3078" w:rsidRDefault="00023FA5" w:rsidP="00023FA5">
            <w:pPr>
              <w:jc w:val="right"/>
              <w:rPr>
                <w:sz w:val="20"/>
              </w:rPr>
            </w:pPr>
            <w:r>
              <w:rPr>
                <w:sz w:val="20"/>
              </w:rPr>
              <w:t>28,236</w:t>
            </w:r>
          </w:p>
        </w:tc>
        <w:tc>
          <w:tcPr>
            <w:tcW w:w="1365" w:type="dxa"/>
            <w:shd w:val="clear" w:color="auto" w:fill="auto"/>
          </w:tcPr>
          <w:p w14:paraId="53958151" w14:textId="77777777" w:rsidR="00023FA5" w:rsidRPr="006A3078" w:rsidRDefault="00023FA5" w:rsidP="00023FA5">
            <w:pPr>
              <w:jc w:val="right"/>
              <w:rPr>
                <w:sz w:val="20"/>
              </w:rPr>
            </w:pPr>
            <w:r>
              <w:rPr>
                <w:sz w:val="20"/>
              </w:rPr>
              <w:t>30,915</w:t>
            </w:r>
          </w:p>
        </w:tc>
        <w:tc>
          <w:tcPr>
            <w:tcW w:w="1365" w:type="dxa"/>
            <w:shd w:val="clear" w:color="auto" w:fill="auto"/>
          </w:tcPr>
          <w:p w14:paraId="298EEB6D" w14:textId="77777777" w:rsidR="00023FA5" w:rsidRPr="006A3078" w:rsidRDefault="00023FA5" w:rsidP="00023FA5">
            <w:pPr>
              <w:jc w:val="right"/>
              <w:rPr>
                <w:sz w:val="20"/>
              </w:rPr>
            </w:pPr>
            <w:r>
              <w:rPr>
                <w:sz w:val="20"/>
              </w:rPr>
              <w:t>24,971</w:t>
            </w:r>
          </w:p>
        </w:tc>
        <w:tc>
          <w:tcPr>
            <w:tcW w:w="1365" w:type="dxa"/>
          </w:tcPr>
          <w:p w14:paraId="6AEA76C2" w14:textId="77777777" w:rsidR="00023FA5" w:rsidRDefault="00023FA5" w:rsidP="00023FA5">
            <w:pPr>
              <w:jc w:val="right"/>
              <w:rPr>
                <w:sz w:val="20"/>
              </w:rPr>
            </w:pPr>
            <w:r>
              <w:rPr>
                <w:sz w:val="20"/>
              </w:rPr>
              <w:t>9.5%</w:t>
            </w:r>
          </w:p>
        </w:tc>
      </w:tr>
      <w:tr w:rsidR="00023FA5" w:rsidRPr="006A3078" w14:paraId="12957EB6" w14:textId="77777777" w:rsidTr="00023FA5">
        <w:tc>
          <w:tcPr>
            <w:tcW w:w="2122" w:type="dxa"/>
          </w:tcPr>
          <w:p w14:paraId="49CC5D83" w14:textId="77777777" w:rsidR="00023FA5" w:rsidRDefault="00023FA5" w:rsidP="00023FA5">
            <w:pPr>
              <w:rPr>
                <w:sz w:val="20"/>
              </w:rPr>
            </w:pPr>
            <w:r>
              <w:rPr>
                <w:sz w:val="20"/>
              </w:rPr>
              <w:t xml:space="preserve">Ocrelizumab </w:t>
            </w:r>
          </w:p>
        </w:tc>
        <w:tc>
          <w:tcPr>
            <w:tcW w:w="1365" w:type="dxa"/>
            <w:shd w:val="clear" w:color="auto" w:fill="auto"/>
          </w:tcPr>
          <w:p w14:paraId="402C4375" w14:textId="77777777" w:rsidR="00023FA5" w:rsidRPr="006A3078" w:rsidRDefault="00023FA5" w:rsidP="00023FA5">
            <w:pPr>
              <w:jc w:val="right"/>
              <w:rPr>
                <w:sz w:val="20"/>
              </w:rPr>
            </w:pPr>
            <w:r>
              <w:rPr>
                <w:sz w:val="20"/>
              </w:rPr>
              <w:t>7,421</w:t>
            </w:r>
          </w:p>
        </w:tc>
        <w:tc>
          <w:tcPr>
            <w:tcW w:w="1365" w:type="dxa"/>
            <w:shd w:val="clear" w:color="auto" w:fill="auto"/>
          </w:tcPr>
          <w:p w14:paraId="7D24A350" w14:textId="77777777" w:rsidR="00023FA5" w:rsidRPr="006A3078" w:rsidRDefault="00023FA5" w:rsidP="00023FA5">
            <w:pPr>
              <w:jc w:val="right"/>
              <w:rPr>
                <w:sz w:val="20"/>
              </w:rPr>
            </w:pPr>
            <w:r>
              <w:rPr>
                <w:sz w:val="20"/>
              </w:rPr>
              <w:t>9,024</w:t>
            </w:r>
          </w:p>
        </w:tc>
        <w:tc>
          <w:tcPr>
            <w:tcW w:w="1365" w:type="dxa"/>
            <w:shd w:val="clear" w:color="auto" w:fill="auto"/>
          </w:tcPr>
          <w:p w14:paraId="019A1CAB" w14:textId="77777777" w:rsidR="00023FA5" w:rsidRPr="006A3078" w:rsidRDefault="00023FA5" w:rsidP="00023FA5">
            <w:pPr>
              <w:jc w:val="right"/>
              <w:rPr>
                <w:sz w:val="20"/>
              </w:rPr>
            </w:pPr>
            <w:r>
              <w:rPr>
                <w:sz w:val="20"/>
              </w:rPr>
              <w:t>7,895</w:t>
            </w:r>
          </w:p>
        </w:tc>
        <w:tc>
          <w:tcPr>
            <w:tcW w:w="1365" w:type="dxa"/>
          </w:tcPr>
          <w:p w14:paraId="104A6F1E" w14:textId="77777777" w:rsidR="00023FA5" w:rsidRDefault="00023FA5" w:rsidP="00023FA5">
            <w:pPr>
              <w:jc w:val="right"/>
              <w:rPr>
                <w:sz w:val="20"/>
              </w:rPr>
            </w:pPr>
            <w:r>
              <w:rPr>
                <w:sz w:val="20"/>
              </w:rPr>
              <w:t>21.6%</w:t>
            </w:r>
          </w:p>
        </w:tc>
      </w:tr>
      <w:tr w:rsidR="00023FA5" w:rsidRPr="006A3078" w14:paraId="19EE53B4" w14:textId="77777777" w:rsidTr="00023FA5">
        <w:tc>
          <w:tcPr>
            <w:tcW w:w="2122" w:type="dxa"/>
          </w:tcPr>
          <w:p w14:paraId="0C2ABC90" w14:textId="77777777" w:rsidR="00023FA5" w:rsidRDefault="00023FA5" w:rsidP="00023FA5">
            <w:pPr>
              <w:rPr>
                <w:sz w:val="20"/>
              </w:rPr>
            </w:pPr>
            <w:r>
              <w:rPr>
                <w:sz w:val="20"/>
              </w:rPr>
              <w:t xml:space="preserve">Ozanimod </w:t>
            </w:r>
          </w:p>
        </w:tc>
        <w:tc>
          <w:tcPr>
            <w:tcW w:w="1365" w:type="dxa"/>
            <w:shd w:val="clear" w:color="auto" w:fill="auto"/>
          </w:tcPr>
          <w:p w14:paraId="5E909120" w14:textId="77777777" w:rsidR="00023FA5" w:rsidRPr="006A3078" w:rsidRDefault="00023FA5" w:rsidP="00023FA5">
            <w:pPr>
              <w:jc w:val="right"/>
              <w:rPr>
                <w:sz w:val="20"/>
              </w:rPr>
            </w:pPr>
            <w:r>
              <w:rPr>
                <w:sz w:val="20"/>
              </w:rPr>
              <w:t>n/a</w:t>
            </w:r>
          </w:p>
        </w:tc>
        <w:tc>
          <w:tcPr>
            <w:tcW w:w="1365" w:type="dxa"/>
            <w:shd w:val="clear" w:color="auto" w:fill="auto"/>
          </w:tcPr>
          <w:p w14:paraId="6B1C72A5" w14:textId="77777777" w:rsidR="00023FA5" w:rsidRPr="006A3078" w:rsidRDefault="00023FA5" w:rsidP="00023FA5">
            <w:pPr>
              <w:jc w:val="right"/>
              <w:rPr>
                <w:sz w:val="20"/>
              </w:rPr>
            </w:pPr>
            <w:r>
              <w:rPr>
                <w:sz w:val="20"/>
              </w:rPr>
              <w:t>n/a</w:t>
            </w:r>
          </w:p>
        </w:tc>
        <w:tc>
          <w:tcPr>
            <w:tcW w:w="1365" w:type="dxa"/>
            <w:shd w:val="clear" w:color="auto" w:fill="auto"/>
          </w:tcPr>
          <w:p w14:paraId="3D670965" w14:textId="77777777" w:rsidR="00023FA5" w:rsidRPr="006A3078" w:rsidRDefault="00023FA5" w:rsidP="00023FA5">
            <w:pPr>
              <w:jc w:val="right"/>
              <w:rPr>
                <w:sz w:val="20"/>
              </w:rPr>
            </w:pPr>
            <w:r>
              <w:rPr>
                <w:sz w:val="20"/>
              </w:rPr>
              <w:t>190</w:t>
            </w:r>
          </w:p>
        </w:tc>
        <w:tc>
          <w:tcPr>
            <w:tcW w:w="1365" w:type="dxa"/>
          </w:tcPr>
          <w:p w14:paraId="34E03F6F" w14:textId="77777777" w:rsidR="00023FA5" w:rsidRDefault="00023FA5" w:rsidP="00023FA5">
            <w:pPr>
              <w:jc w:val="right"/>
              <w:rPr>
                <w:sz w:val="20"/>
              </w:rPr>
            </w:pPr>
            <w:r>
              <w:rPr>
                <w:sz w:val="20"/>
              </w:rPr>
              <w:t>n/a</w:t>
            </w:r>
          </w:p>
        </w:tc>
      </w:tr>
      <w:tr w:rsidR="00023FA5" w:rsidRPr="006A3078" w14:paraId="3AD7A738" w14:textId="77777777" w:rsidTr="00023FA5">
        <w:tc>
          <w:tcPr>
            <w:tcW w:w="2122" w:type="dxa"/>
          </w:tcPr>
          <w:p w14:paraId="670DD3B7" w14:textId="77777777" w:rsidR="00023FA5" w:rsidRDefault="00023FA5" w:rsidP="00023FA5">
            <w:pPr>
              <w:rPr>
                <w:sz w:val="20"/>
              </w:rPr>
            </w:pPr>
            <w:r>
              <w:rPr>
                <w:sz w:val="20"/>
              </w:rPr>
              <w:t>Peginterferon beta-1a</w:t>
            </w:r>
          </w:p>
        </w:tc>
        <w:tc>
          <w:tcPr>
            <w:tcW w:w="1365" w:type="dxa"/>
            <w:shd w:val="clear" w:color="auto" w:fill="auto"/>
          </w:tcPr>
          <w:p w14:paraId="187FFD95" w14:textId="77777777" w:rsidR="00023FA5" w:rsidRPr="006A3078" w:rsidRDefault="00023FA5" w:rsidP="00023FA5">
            <w:pPr>
              <w:jc w:val="right"/>
              <w:rPr>
                <w:sz w:val="20"/>
              </w:rPr>
            </w:pPr>
            <w:r>
              <w:rPr>
                <w:sz w:val="20"/>
              </w:rPr>
              <w:t>6,853</w:t>
            </w:r>
          </w:p>
        </w:tc>
        <w:tc>
          <w:tcPr>
            <w:tcW w:w="1365" w:type="dxa"/>
            <w:shd w:val="clear" w:color="auto" w:fill="auto"/>
          </w:tcPr>
          <w:p w14:paraId="012FF867" w14:textId="77777777" w:rsidR="00023FA5" w:rsidRPr="006A3078" w:rsidRDefault="00023FA5" w:rsidP="00023FA5">
            <w:pPr>
              <w:jc w:val="right"/>
              <w:rPr>
                <w:sz w:val="20"/>
              </w:rPr>
            </w:pPr>
            <w:r>
              <w:rPr>
                <w:sz w:val="20"/>
              </w:rPr>
              <w:t>6,573</w:t>
            </w:r>
          </w:p>
        </w:tc>
        <w:tc>
          <w:tcPr>
            <w:tcW w:w="1365" w:type="dxa"/>
            <w:shd w:val="clear" w:color="auto" w:fill="auto"/>
          </w:tcPr>
          <w:p w14:paraId="28592E88" w14:textId="77777777" w:rsidR="00023FA5" w:rsidRPr="006A3078" w:rsidRDefault="00023FA5" w:rsidP="00023FA5">
            <w:pPr>
              <w:jc w:val="right"/>
              <w:rPr>
                <w:sz w:val="20"/>
              </w:rPr>
            </w:pPr>
            <w:r>
              <w:rPr>
                <w:sz w:val="20"/>
              </w:rPr>
              <w:t>4,295</w:t>
            </w:r>
          </w:p>
        </w:tc>
        <w:tc>
          <w:tcPr>
            <w:tcW w:w="1365" w:type="dxa"/>
          </w:tcPr>
          <w:p w14:paraId="005AEA35" w14:textId="77777777" w:rsidR="00023FA5" w:rsidRDefault="00023FA5" w:rsidP="00023FA5">
            <w:pPr>
              <w:jc w:val="right"/>
              <w:rPr>
                <w:sz w:val="20"/>
              </w:rPr>
            </w:pPr>
            <w:r>
              <w:rPr>
                <w:sz w:val="20"/>
              </w:rPr>
              <w:t>-4.1%</w:t>
            </w:r>
          </w:p>
        </w:tc>
      </w:tr>
      <w:tr w:rsidR="00023FA5" w:rsidRPr="006A3078" w14:paraId="5E2B4C9E" w14:textId="77777777" w:rsidTr="00023FA5">
        <w:tc>
          <w:tcPr>
            <w:tcW w:w="2122" w:type="dxa"/>
          </w:tcPr>
          <w:p w14:paraId="7E36D4C3" w14:textId="77777777" w:rsidR="00023FA5" w:rsidRDefault="00023FA5" w:rsidP="00023FA5">
            <w:pPr>
              <w:rPr>
                <w:sz w:val="20"/>
              </w:rPr>
            </w:pPr>
            <w:r>
              <w:rPr>
                <w:sz w:val="20"/>
              </w:rPr>
              <w:t>Siponimod</w:t>
            </w:r>
          </w:p>
        </w:tc>
        <w:tc>
          <w:tcPr>
            <w:tcW w:w="1365" w:type="dxa"/>
            <w:shd w:val="clear" w:color="auto" w:fill="auto"/>
          </w:tcPr>
          <w:p w14:paraId="188D4357" w14:textId="77777777" w:rsidR="00023FA5" w:rsidRPr="006A3078" w:rsidRDefault="00023FA5" w:rsidP="00023FA5">
            <w:pPr>
              <w:jc w:val="right"/>
              <w:rPr>
                <w:sz w:val="20"/>
              </w:rPr>
            </w:pPr>
            <w:r>
              <w:rPr>
                <w:sz w:val="20"/>
              </w:rPr>
              <w:t>n/a</w:t>
            </w:r>
          </w:p>
        </w:tc>
        <w:tc>
          <w:tcPr>
            <w:tcW w:w="1365" w:type="dxa"/>
            <w:shd w:val="clear" w:color="auto" w:fill="auto"/>
          </w:tcPr>
          <w:p w14:paraId="7E5D15E0" w14:textId="77777777" w:rsidR="00023FA5" w:rsidRPr="006A3078" w:rsidRDefault="00023FA5" w:rsidP="00023FA5">
            <w:pPr>
              <w:jc w:val="right"/>
              <w:rPr>
                <w:sz w:val="20"/>
              </w:rPr>
            </w:pPr>
            <w:r>
              <w:rPr>
                <w:sz w:val="20"/>
              </w:rPr>
              <w:t>235</w:t>
            </w:r>
          </w:p>
        </w:tc>
        <w:tc>
          <w:tcPr>
            <w:tcW w:w="1365" w:type="dxa"/>
            <w:shd w:val="clear" w:color="auto" w:fill="auto"/>
          </w:tcPr>
          <w:p w14:paraId="541D3832" w14:textId="77777777" w:rsidR="00023FA5" w:rsidRPr="006A3078" w:rsidRDefault="00023FA5" w:rsidP="00023FA5">
            <w:pPr>
              <w:jc w:val="right"/>
              <w:rPr>
                <w:sz w:val="20"/>
              </w:rPr>
            </w:pPr>
            <w:r>
              <w:rPr>
                <w:sz w:val="20"/>
              </w:rPr>
              <w:t>3,524</w:t>
            </w:r>
          </w:p>
        </w:tc>
        <w:tc>
          <w:tcPr>
            <w:tcW w:w="1365" w:type="dxa"/>
          </w:tcPr>
          <w:p w14:paraId="0001BFE4" w14:textId="77777777" w:rsidR="00023FA5" w:rsidRDefault="00023FA5" w:rsidP="00023FA5">
            <w:pPr>
              <w:jc w:val="right"/>
              <w:rPr>
                <w:sz w:val="20"/>
              </w:rPr>
            </w:pPr>
            <w:r>
              <w:rPr>
                <w:sz w:val="20"/>
              </w:rPr>
              <w:t>n/a</w:t>
            </w:r>
          </w:p>
        </w:tc>
      </w:tr>
      <w:tr w:rsidR="00023FA5" w:rsidRPr="006A3078" w14:paraId="7C1AC372" w14:textId="77777777" w:rsidTr="00023FA5">
        <w:tc>
          <w:tcPr>
            <w:tcW w:w="2122" w:type="dxa"/>
          </w:tcPr>
          <w:p w14:paraId="3E272B7B" w14:textId="77777777" w:rsidR="00023FA5" w:rsidRDefault="00023FA5" w:rsidP="00023FA5">
            <w:pPr>
              <w:rPr>
                <w:sz w:val="20"/>
              </w:rPr>
            </w:pPr>
            <w:r>
              <w:rPr>
                <w:sz w:val="20"/>
              </w:rPr>
              <w:t xml:space="preserve">Teriflunomide </w:t>
            </w:r>
          </w:p>
        </w:tc>
        <w:tc>
          <w:tcPr>
            <w:tcW w:w="1365" w:type="dxa"/>
            <w:shd w:val="clear" w:color="auto" w:fill="auto"/>
          </w:tcPr>
          <w:p w14:paraId="7FBBEC77" w14:textId="77777777" w:rsidR="00023FA5" w:rsidRPr="006A3078" w:rsidRDefault="00023FA5" w:rsidP="00023FA5">
            <w:pPr>
              <w:jc w:val="right"/>
              <w:rPr>
                <w:sz w:val="20"/>
              </w:rPr>
            </w:pPr>
            <w:r>
              <w:rPr>
                <w:sz w:val="20"/>
              </w:rPr>
              <w:t>18,706</w:t>
            </w:r>
          </w:p>
        </w:tc>
        <w:tc>
          <w:tcPr>
            <w:tcW w:w="1365" w:type="dxa"/>
            <w:shd w:val="clear" w:color="auto" w:fill="auto"/>
          </w:tcPr>
          <w:p w14:paraId="676B88D0" w14:textId="77777777" w:rsidR="00023FA5" w:rsidRPr="006A3078" w:rsidRDefault="00023FA5" w:rsidP="00023FA5">
            <w:pPr>
              <w:jc w:val="right"/>
              <w:rPr>
                <w:sz w:val="20"/>
              </w:rPr>
            </w:pPr>
            <w:r>
              <w:rPr>
                <w:sz w:val="20"/>
              </w:rPr>
              <w:t>18,620</w:t>
            </w:r>
          </w:p>
        </w:tc>
        <w:tc>
          <w:tcPr>
            <w:tcW w:w="1365" w:type="dxa"/>
            <w:shd w:val="clear" w:color="auto" w:fill="auto"/>
          </w:tcPr>
          <w:p w14:paraId="236C8FDF" w14:textId="77777777" w:rsidR="00023FA5" w:rsidRPr="006A3078" w:rsidRDefault="00023FA5" w:rsidP="00023FA5">
            <w:pPr>
              <w:jc w:val="right"/>
              <w:rPr>
                <w:sz w:val="20"/>
              </w:rPr>
            </w:pPr>
            <w:r>
              <w:rPr>
                <w:sz w:val="20"/>
              </w:rPr>
              <w:t>13,856</w:t>
            </w:r>
          </w:p>
        </w:tc>
        <w:tc>
          <w:tcPr>
            <w:tcW w:w="1365" w:type="dxa"/>
          </w:tcPr>
          <w:p w14:paraId="16D81E9A" w14:textId="77777777" w:rsidR="00023FA5" w:rsidRDefault="00023FA5" w:rsidP="00023FA5">
            <w:pPr>
              <w:jc w:val="right"/>
              <w:rPr>
                <w:sz w:val="20"/>
              </w:rPr>
            </w:pPr>
            <w:r>
              <w:rPr>
                <w:sz w:val="20"/>
              </w:rPr>
              <w:t>-0.5%</w:t>
            </w:r>
          </w:p>
        </w:tc>
      </w:tr>
      <w:tr w:rsidR="00023FA5" w:rsidRPr="006A3078" w14:paraId="7A466533" w14:textId="77777777" w:rsidTr="00023FA5">
        <w:tc>
          <w:tcPr>
            <w:tcW w:w="2122" w:type="dxa"/>
          </w:tcPr>
          <w:p w14:paraId="29C8F3E3" w14:textId="77777777" w:rsidR="00023FA5" w:rsidRDefault="00023FA5" w:rsidP="00023FA5">
            <w:pPr>
              <w:rPr>
                <w:sz w:val="20"/>
              </w:rPr>
            </w:pPr>
            <w:r>
              <w:rPr>
                <w:sz w:val="20"/>
              </w:rPr>
              <w:t xml:space="preserve">All RRMS drugs </w:t>
            </w:r>
          </w:p>
        </w:tc>
        <w:tc>
          <w:tcPr>
            <w:tcW w:w="1365" w:type="dxa"/>
            <w:shd w:val="clear" w:color="auto" w:fill="auto"/>
          </w:tcPr>
          <w:p w14:paraId="1D410E87" w14:textId="77777777" w:rsidR="00023FA5" w:rsidRDefault="00023FA5" w:rsidP="00023FA5">
            <w:pPr>
              <w:jc w:val="right"/>
              <w:rPr>
                <w:sz w:val="20"/>
              </w:rPr>
            </w:pPr>
            <w:r>
              <w:rPr>
                <w:sz w:val="20"/>
              </w:rPr>
              <w:t>179,907</w:t>
            </w:r>
          </w:p>
        </w:tc>
        <w:tc>
          <w:tcPr>
            <w:tcW w:w="1365" w:type="dxa"/>
            <w:shd w:val="clear" w:color="auto" w:fill="auto"/>
          </w:tcPr>
          <w:p w14:paraId="63D71A52" w14:textId="77777777" w:rsidR="00023FA5" w:rsidRDefault="00023FA5" w:rsidP="00023FA5">
            <w:pPr>
              <w:jc w:val="right"/>
              <w:rPr>
                <w:sz w:val="20"/>
              </w:rPr>
            </w:pPr>
            <w:r>
              <w:rPr>
                <w:sz w:val="20"/>
              </w:rPr>
              <w:t>177,884</w:t>
            </w:r>
          </w:p>
        </w:tc>
        <w:tc>
          <w:tcPr>
            <w:tcW w:w="1365" w:type="dxa"/>
            <w:shd w:val="clear" w:color="auto" w:fill="auto"/>
          </w:tcPr>
          <w:p w14:paraId="4E19AE5B" w14:textId="77777777" w:rsidR="00023FA5" w:rsidRDefault="00023FA5" w:rsidP="00023FA5">
            <w:pPr>
              <w:jc w:val="right"/>
              <w:rPr>
                <w:sz w:val="20"/>
              </w:rPr>
            </w:pPr>
            <w:r>
              <w:rPr>
                <w:sz w:val="20"/>
              </w:rPr>
              <w:t>131717</w:t>
            </w:r>
          </w:p>
        </w:tc>
        <w:tc>
          <w:tcPr>
            <w:tcW w:w="1365" w:type="dxa"/>
          </w:tcPr>
          <w:p w14:paraId="4A42A87B" w14:textId="77777777" w:rsidR="00023FA5" w:rsidRDefault="00023FA5" w:rsidP="00023FA5">
            <w:pPr>
              <w:jc w:val="right"/>
              <w:rPr>
                <w:sz w:val="20"/>
              </w:rPr>
            </w:pPr>
            <w:r>
              <w:rPr>
                <w:sz w:val="20"/>
              </w:rPr>
              <w:t>-1.1%</w:t>
            </w:r>
          </w:p>
        </w:tc>
      </w:tr>
    </w:tbl>
    <w:p w14:paraId="79A552A8" w14:textId="77777777" w:rsidR="00023FA5" w:rsidRPr="00DF0F0E" w:rsidRDefault="00023FA5" w:rsidP="00023FA5">
      <w:pPr>
        <w:spacing w:line="276" w:lineRule="auto"/>
        <w:rPr>
          <w:sz w:val="20"/>
          <w:szCs w:val="20"/>
        </w:rPr>
      </w:pPr>
      <w:r w:rsidRPr="00DF0F0E">
        <w:rPr>
          <w:sz w:val="20"/>
          <w:szCs w:val="20"/>
        </w:rPr>
        <w:t>Note: 2021 figures are year-to-date 30 September.</w:t>
      </w:r>
    </w:p>
    <w:p w14:paraId="5660DE0E" w14:textId="77777777" w:rsidR="00023FA5" w:rsidRDefault="00023FA5" w:rsidP="00023FA5">
      <w:pPr>
        <w:spacing w:line="276" w:lineRule="auto"/>
      </w:pPr>
    </w:p>
    <w:p w14:paraId="5D33B5FF" w14:textId="77777777" w:rsidR="00023FA5" w:rsidRDefault="00023FA5" w:rsidP="00023FA5">
      <w:pPr>
        <w:spacing w:line="276" w:lineRule="auto"/>
        <w:jc w:val="center"/>
      </w:pPr>
      <w:r>
        <w:rPr>
          <w:noProof/>
        </w:rPr>
        <w:drawing>
          <wp:inline distT="0" distB="0" distL="0" distR="0" wp14:anchorId="7D68B24E" wp14:editId="65C95E74">
            <wp:extent cx="5662246" cy="4325815"/>
            <wp:effectExtent l="0" t="0" r="15240" b="17780"/>
            <wp:docPr id="7" name="Chart 7" descr="From Figure 3, fingolimod had the greatest market share over time, accounting for 29% of the RRMS market in 2021. "/>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3D9DB98" w14:textId="77777777" w:rsidR="00023FA5" w:rsidRPr="003C3DA7" w:rsidRDefault="00023FA5" w:rsidP="00023FA5">
      <w:pPr>
        <w:pStyle w:val="Tabletitle"/>
      </w:pPr>
      <w:r w:rsidRPr="003C3DA7">
        <w:t xml:space="preserve">Figure 3: Market share RRMS prescriptions supplied according to drug </w:t>
      </w:r>
    </w:p>
    <w:p w14:paraId="77CA1588" w14:textId="77777777" w:rsidR="00023FA5" w:rsidRPr="00DF0F0E" w:rsidRDefault="00023FA5" w:rsidP="00023FA5">
      <w:pPr>
        <w:spacing w:line="276" w:lineRule="auto"/>
        <w:rPr>
          <w:sz w:val="20"/>
          <w:szCs w:val="20"/>
        </w:rPr>
      </w:pPr>
      <w:r w:rsidRPr="00DF0F0E">
        <w:rPr>
          <w:sz w:val="20"/>
          <w:szCs w:val="20"/>
        </w:rPr>
        <w:t>Note: 2021 figures are year-to-date 30 September.</w:t>
      </w:r>
    </w:p>
    <w:p w14:paraId="1EA8EEE8" w14:textId="77777777" w:rsidR="00023FA5" w:rsidRDefault="00023FA5" w:rsidP="00023FA5">
      <w:pPr>
        <w:spacing w:line="276" w:lineRule="auto"/>
      </w:pPr>
      <w:r>
        <w:t xml:space="preserve">From Figure 3, fingolimod had the greatest market share over time, accounting for 29% of the RRMS market in 2021. </w:t>
      </w:r>
    </w:p>
    <w:p w14:paraId="51E1EE5B" w14:textId="77777777" w:rsidR="00023FA5" w:rsidRDefault="00023FA5" w:rsidP="00023FA5">
      <w:pPr>
        <w:spacing w:line="276" w:lineRule="auto"/>
      </w:pPr>
      <w:r>
        <w:t xml:space="preserve">Based on the prescription count, cladribine has accounted for 2% of the market. </w:t>
      </w:r>
    </w:p>
    <w:p w14:paraId="6381FC1D" w14:textId="77777777" w:rsidR="00023FA5" w:rsidRPr="00AB11B1" w:rsidRDefault="00023FA5" w:rsidP="00023FA5">
      <w:pPr>
        <w:spacing w:line="276" w:lineRule="auto"/>
        <w:rPr>
          <w:b/>
        </w:rPr>
      </w:pPr>
      <w:r w:rsidRPr="00AB11B1">
        <w:br w:type="page"/>
      </w:r>
    </w:p>
    <w:p w14:paraId="0CB1C353" w14:textId="77777777" w:rsidR="00023FA5" w:rsidRDefault="00023FA5" w:rsidP="00023FA5">
      <w:pPr>
        <w:jc w:val="center"/>
        <w:rPr>
          <w:sz w:val="22"/>
        </w:rPr>
      </w:pPr>
      <w:r>
        <w:rPr>
          <w:noProof/>
        </w:rPr>
        <w:lastRenderedPageBreak/>
        <w:drawing>
          <wp:inline distT="0" distB="0" distL="0" distR="0" wp14:anchorId="2DF6D089" wp14:editId="3676249F">
            <wp:extent cx="5295900" cy="3905250"/>
            <wp:effectExtent l="0" t="0" r="0" b="0"/>
            <wp:docPr id="12" name="Chart 12" descr="From Figure 4, oral therapies were the most common DMT. In 2014, injection therapies were the second most common therapy and infusions were the least common DMT with natalizumab being the only infusion therapy PBS listed at the time. Over time, prescriptions supplied for infusion therapies have been gradually increasing whereas injection therapies have been decreasing. Infusion therapies overtook injection therapies as the second most common therapy in the third quarter of 2020. "/>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A9EF204" w14:textId="77777777" w:rsidR="00023FA5" w:rsidRDefault="00023FA5" w:rsidP="00023FA5">
      <w:pPr>
        <w:pStyle w:val="Tabletitle"/>
        <w:rPr>
          <w:sz w:val="22"/>
        </w:rPr>
      </w:pPr>
      <w:r>
        <w:rPr>
          <w:sz w:val="22"/>
        </w:rPr>
        <w:t xml:space="preserve">Figure 4: Number of RRMS prescriptions supplied according to form and supply quarter </w:t>
      </w:r>
    </w:p>
    <w:p w14:paraId="5EB73308" w14:textId="77777777" w:rsidR="00023FA5" w:rsidRDefault="00023FA5" w:rsidP="00023FA5">
      <w:pPr>
        <w:spacing w:after="0"/>
        <w:rPr>
          <w:sz w:val="20"/>
          <w:szCs w:val="20"/>
        </w:rPr>
      </w:pPr>
      <w:r w:rsidRPr="00EC1EE8">
        <w:rPr>
          <w:sz w:val="20"/>
          <w:szCs w:val="20"/>
        </w:rPr>
        <w:t xml:space="preserve">Note: Infusion DMTs include </w:t>
      </w:r>
      <w:r>
        <w:rPr>
          <w:sz w:val="20"/>
          <w:szCs w:val="20"/>
        </w:rPr>
        <w:t>alemtuzumab, natalizumab and ocrelizumab. Oral DMTs include</w:t>
      </w:r>
      <w:r w:rsidRPr="00EC1EE8">
        <w:rPr>
          <w:sz w:val="20"/>
          <w:szCs w:val="20"/>
        </w:rPr>
        <w:t xml:space="preserve"> cladribine, dimethyl fumerate, </w:t>
      </w:r>
      <w:r>
        <w:rPr>
          <w:sz w:val="20"/>
          <w:szCs w:val="20"/>
        </w:rPr>
        <w:t xml:space="preserve">fingolimod, ozanimod, siponmiod and teriflunomide. Injection DMTs include daclizumab, </w:t>
      </w:r>
      <w:r w:rsidRPr="00EC1EE8">
        <w:rPr>
          <w:sz w:val="20"/>
          <w:szCs w:val="20"/>
        </w:rPr>
        <w:t>glatiramer acetate, interfero</w:t>
      </w:r>
      <w:r>
        <w:rPr>
          <w:sz w:val="20"/>
          <w:szCs w:val="20"/>
        </w:rPr>
        <w:t xml:space="preserve">n beta-1a, interferon beta-1b, ofatumumab and peginterferon beta-1a. </w:t>
      </w:r>
    </w:p>
    <w:p w14:paraId="352DA0DC" w14:textId="77777777" w:rsidR="00023FA5" w:rsidRPr="00EC1EE8" w:rsidRDefault="00023FA5" w:rsidP="00023FA5">
      <w:pPr>
        <w:spacing w:after="0"/>
        <w:rPr>
          <w:sz w:val="20"/>
          <w:szCs w:val="20"/>
        </w:rPr>
      </w:pPr>
    </w:p>
    <w:p w14:paraId="3280E16D" w14:textId="77777777" w:rsidR="00023FA5" w:rsidRDefault="00023FA5" w:rsidP="00023FA5">
      <w:pPr>
        <w:spacing w:line="276" w:lineRule="auto"/>
      </w:pPr>
      <w:r>
        <w:t xml:space="preserve">From Figure 4, oral therapies were the most common DMT. In 2014, injection therapies were the second most common therapy and infusions were the least common DMT with natalizumab being the only infusion therapy PBS listed at the time. Over time, prescriptions supplied for infusion therapies have been gradually increasing whereas injection therapies have been decreasing. Infusion therapies overtook injection therapies as the second most common therapy in the third quarter of 2020. </w:t>
      </w:r>
      <w:r>
        <w:br w:type="page"/>
      </w:r>
    </w:p>
    <w:p w14:paraId="1554F3B5" w14:textId="77777777" w:rsidR="00023FA5" w:rsidRPr="00B06383" w:rsidRDefault="00023FA5" w:rsidP="00023FA5">
      <w:pPr>
        <w:jc w:val="center"/>
      </w:pPr>
      <w:r>
        <w:rPr>
          <w:noProof/>
        </w:rPr>
        <w:lastRenderedPageBreak/>
        <w:drawing>
          <wp:inline distT="0" distB="0" distL="0" distR="0" wp14:anchorId="643E164E" wp14:editId="4A172403">
            <wp:extent cx="5687695" cy="4017779"/>
            <wp:effectExtent l="0" t="0" r="8255" b="1905"/>
            <wp:docPr id="14" name="Chart 14" descr="Based on the quarterly patient counts in Figure 5, the number of treated RRMS patients remained relatively stable from 2017 with an average of approximately 21,000 patients treated per calendar yea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71629D0" w14:textId="77777777" w:rsidR="00023FA5" w:rsidRDefault="00023FA5" w:rsidP="00023FA5">
      <w:pPr>
        <w:pStyle w:val="Tabletitle"/>
        <w:rPr>
          <w:sz w:val="22"/>
        </w:rPr>
      </w:pPr>
      <w:r>
        <w:rPr>
          <w:sz w:val="22"/>
        </w:rPr>
        <w:t xml:space="preserve">Figure 5: Number of treated RRMS patients by drug </w:t>
      </w:r>
      <w:r w:rsidRPr="003D5F66">
        <w:rPr>
          <w:sz w:val="22"/>
        </w:rPr>
        <w:t xml:space="preserve">according to </w:t>
      </w:r>
      <w:r>
        <w:rPr>
          <w:sz w:val="22"/>
        </w:rPr>
        <w:t>calendar year</w:t>
      </w:r>
    </w:p>
    <w:p w14:paraId="284F0035" w14:textId="77777777" w:rsidR="00023FA5" w:rsidRPr="004903E0" w:rsidRDefault="00023FA5" w:rsidP="00023FA5">
      <w:pPr>
        <w:spacing w:line="276" w:lineRule="auto"/>
        <w:rPr>
          <w:sz w:val="20"/>
          <w:szCs w:val="20"/>
        </w:rPr>
      </w:pPr>
      <w:r w:rsidRPr="00DF0F0E">
        <w:rPr>
          <w:sz w:val="20"/>
          <w:szCs w:val="20"/>
        </w:rPr>
        <w:t>Note: 2021 figures</w:t>
      </w:r>
      <w:r>
        <w:rPr>
          <w:sz w:val="20"/>
          <w:szCs w:val="20"/>
        </w:rPr>
        <w:t xml:space="preserve"> are year-to-date 30 September.</w:t>
      </w:r>
    </w:p>
    <w:p w14:paraId="79C7BD9A" w14:textId="77777777" w:rsidR="00023FA5" w:rsidRDefault="00023FA5" w:rsidP="00023FA5">
      <w:pPr>
        <w:spacing w:line="276" w:lineRule="auto"/>
      </w:pPr>
      <w:r>
        <w:t>Based on the quarterly patient counts in Figure 5, the number of treated RRMS patients remained relatively stable from 2017 with an average of approximately 21,000 patients treated per calendar year.</w:t>
      </w:r>
    </w:p>
    <w:p w14:paraId="7EC1C0AA" w14:textId="77777777" w:rsidR="00023FA5" w:rsidRDefault="00023FA5" w:rsidP="00023FA5">
      <w:pPr>
        <w:pStyle w:val="Tabletitle"/>
      </w:pPr>
      <w:r>
        <w:t xml:space="preserve">Table 3: Number of RRMS treated patients according to calendar year    </w:t>
      </w:r>
    </w:p>
    <w:tbl>
      <w:tblPr>
        <w:tblStyle w:val="TableGrid"/>
        <w:tblW w:w="0" w:type="auto"/>
        <w:tblLook w:val="04A0" w:firstRow="1" w:lastRow="0" w:firstColumn="1" w:lastColumn="0" w:noHBand="0" w:noVBand="1"/>
      </w:tblPr>
      <w:tblGrid>
        <w:gridCol w:w="2122"/>
        <w:gridCol w:w="1365"/>
        <w:gridCol w:w="1365"/>
        <w:gridCol w:w="1365"/>
        <w:gridCol w:w="1365"/>
      </w:tblGrid>
      <w:tr w:rsidR="00023FA5" w:rsidRPr="006A3078" w14:paraId="351FD19D" w14:textId="77777777" w:rsidTr="00023FA5">
        <w:tc>
          <w:tcPr>
            <w:tcW w:w="2122" w:type="dxa"/>
            <w:shd w:val="clear" w:color="auto" w:fill="BFBFBF" w:themeFill="background1" w:themeFillShade="BF"/>
          </w:tcPr>
          <w:p w14:paraId="6A09468C" w14:textId="77777777" w:rsidR="00023FA5" w:rsidRPr="006A3078" w:rsidRDefault="00023FA5" w:rsidP="00023FA5">
            <w:pPr>
              <w:rPr>
                <w:sz w:val="20"/>
              </w:rPr>
            </w:pPr>
            <w:r>
              <w:rPr>
                <w:b/>
                <w:sz w:val="20"/>
              </w:rPr>
              <w:t xml:space="preserve">Drug   </w:t>
            </w:r>
            <w:r w:rsidRPr="0073473B">
              <w:rPr>
                <w:b/>
                <w:sz w:val="20"/>
              </w:rPr>
              <w:t xml:space="preserve"> </w:t>
            </w:r>
          </w:p>
        </w:tc>
        <w:tc>
          <w:tcPr>
            <w:tcW w:w="1365" w:type="dxa"/>
            <w:shd w:val="clear" w:color="auto" w:fill="BFBFBF" w:themeFill="background1" w:themeFillShade="BF"/>
          </w:tcPr>
          <w:p w14:paraId="00E44E64" w14:textId="77777777" w:rsidR="00023FA5" w:rsidRPr="006A3078" w:rsidRDefault="00023FA5" w:rsidP="00023FA5">
            <w:pPr>
              <w:jc w:val="center"/>
              <w:rPr>
                <w:sz w:val="20"/>
              </w:rPr>
            </w:pPr>
            <w:r>
              <w:rPr>
                <w:b/>
                <w:sz w:val="20"/>
              </w:rPr>
              <w:t>2019</w:t>
            </w:r>
          </w:p>
        </w:tc>
        <w:tc>
          <w:tcPr>
            <w:tcW w:w="1365" w:type="dxa"/>
            <w:shd w:val="clear" w:color="auto" w:fill="BFBFBF" w:themeFill="background1" w:themeFillShade="BF"/>
          </w:tcPr>
          <w:p w14:paraId="51A00A86" w14:textId="77777777" w:rsidR="00023FA5" w:rsidRPr="006A3078" w:rsidRDefault="00023FA5" w:rsidP="00023FA5">
            <w:pPr>
              <w:jc w:val="center"/>
              <w:rPr>
                <w:sz w:val="20"/>
              </w:rPr>
            </w:pPr>
            <w:r>
              <w:rPr>
                <w:b/>
                <w:sz w:val="20"/>
              </w:rPr>
              <w:t>2020</w:t>
            </w:r>
          </w:p>
        </w:tc>
        <w:tc>
          <w:tcPr>
            <w:tcW w:w="1365" w:type="dxa"/>
            <w:shd w:val="clear" w:color="auto" w:fill="BFBFBF" w:themeFill="background1" w:themeFillShade="BF"/>
          </w:tcPr>
          <w:p w14:paraId="03C0995E" w14:textId="77777777" w:rsidR="00023FA5" w:rsidRPr="00636C27" w:rsidRDefault="00023FA5" w:rsidP="00023FA5">
            <w:pPr>
              <w:jc w:val="center"/>
              <w:rPr>
                <w:b/>
                <w:sz w:val="20"/>
              </w:rPr>
            </w:pPr>
            <w:r>
              <w:rPr>
                <w:b/>
                <w:sz w:val="20"/>
              </w:rPr>
              <w:t>2021</w:t>
            </w:r>
          </w:p>
        </w:tc>
        <w:tc>
          <w:tcPr>
            <w:tcW w:w="1365" w:type="dxa"/>
            <w:shd w:val="clear" w:color="auto" w:fill="BFBFBF" w:themeFill="background1" w:themeFillShade="BF"/>
          </w:tcPr>
          <w:p w14:paraId="0EC84C32" w14:textId="77777777" w:rsidR="00023FA5" w:rsidRDefault="00023FA5" w:rsidP="00023FA5">
            <w:pPr>
              <w:jc w:val="center"/>
              <w:rPr>
                <w:b/>
                <w:sz w:val="20"/>
              </w:rPr>
            </w:pPr>
            <w:r>
              <w:rPr>
                <w:b/>
                <w:sz w:val="20"/>
              </w:rPr>
              <w:t xml:space="preserve">Annual growth 2019 vs 2020 </w:t>
            </w:r>
          </w:p>
        </w:tc>
      </w:tr>
      <w:tr w:rsidR="00023FA5" w:rsidRPr="006A3078" w14:paraId="22C98F57" w14:textId="77777777" w:rsidTr="00023FA5">
        <w:tc>
          <w:tcPr>
            <w:tcW w:w="2122" w:type="dxa"/>
          </w:tcPr>
          <w:p w14:paraId="20B93766" w14:textId="77777777" w:rsidR="00023FA5" w:rsidRPr="006A3078" w:rsidRDefault="00023FA5" w:rsidP="00023FA5">
            <w:pPr>
              <w:rPr>
                <w:sz w:val="20"/>
              </w:rPr>
            </w:pPr>
            <w:r>
              <w:rPr>
                <w:sz w:val="20"/>
              </w:rPr>
              <w:t xml:space="preserve">Alemtuzumab </w:t>
            </w:r>
          </w:p>
        </w:tc>
        <w:tc>
          <w:tcPr>
            <w:tcW w:w="1365" w:type="dxa"/>
            <w:shd w:val="clear" w:color="auto" w:fill="auto"/>
          </w:tcPr>
          <w:p w14:paraId="7C8F02D7" w14:textId="77777777" w:rsidR="00023FA5" w:rsidRPr="006A3078" w:rsidRDefault="00023FA5" w:rsidP="00023FA5">
            <w:pPr>
              <w:jc w:val="right"/>
              <w:rPr>
                <w:sz w:val="20"/>
              </w:rPr>
            </w:pPr>
            <w:r>
              <w:rPr>
                <w:sz w:val="20"/>
              </w:rPr>
              <w:t>277</w:t>
            </w:r>
          </w:p>
        </w:tc>
        <w:tc>
          <w:tcPr>
            <w:tcW w:w="1365" w:type="dxa"/>
            <w:shd w:val="clear" w:color="auto" w:fill="auto"/>
          </w:tcPr>
          <w:p w14:paraId="156CFA8E" w14:textId="77777777" w:rsidR="00023FA5" w:rsidRPr="006A3078" w:rsidRDefault="00023FA5" w:rsidP="00023FA5">
            <w:pPr>
              <w:jc w:val="right"/>
              <w:rPr>
                <w:sz w:val="20"/>
              </w:rPr>
            </w:pPr>
            <w:r>
              <w:rPr>
                <w:sz w:val="20"/>
              </w:rPr>
              <w:t>173</w:t>
            </w:r>
          </w:p>
        </w:tc>
        <w:tc>
          <w:tcPr>
            <w:tcW w:w="1365" w:type="dxa"/>
            <w:shd w:val="clear" w:color="auto" w:fill="auto"/>
          </w:tcPr>
          <w:p w14:paraId="10D4C439" w14:textId="77777777" w:rsidR="00023FA5" w:rsidRPr="006A3078" w:rsidRDefault="00023FA5" w:rsidP="00023FA5">
            <w:pPr>
              <w:jc w:val="right"/>
              <w:rPr>
                <w:sz w:val="20"/>
              </w:rPr>
            </w:pPr>
            <w:r>
              <w:rPr>
                <w:sz w:val="20"/>
              </w:rPr>
              <w:t>73</w:t>
            </w:r>
          </w:p>
        </w:tc>
        <w:tc>
          <w:tcPr>
            <w:tcW w:w="1365" w:type="dxa"/>
          </w:tcPr>
          <w:p w14:paraId="4D787FBF" w14:textId="77777777" w:rsidR="00023FA5" w:rsidRDefault="00023FA5" w:rsidP="00023FA5">
            <w:pPr>
              <w:jc w:val="right"/>
              <w:rPr>
                <w:sz w:val="20"/>
              </w:rPr>
            </w:pPr>
            <w:r>
              <w:rPr>
                <w:sz w:val="20"/>
              </w:rPr>
              <w:t>-37.5%</w:t>
            </w:r>
          </w:p>
        </w:tc>
      </w:tr>
      <w:tr w:rsidR="00023FA5" w:rsidRPr="006A3078" w14:paraId="10A34F59" w14:textId="77777777" w:rsidTr="00023FA5">
        <w:tc>
          <w:tcPr>
            <w:tcW w:w="2122" w:type="dxa"/>
          </w:tcPr>
          <w:p w14:paraId="298CC4FD" w14:textId="77777777" w:rsidR="00023FA5" w:rsidRPr="006A3078" w:rsidRDefault="00023FA5" w:rsidP="00023FA5">
            <w:pPr>
              <w:rPr>
                <w:sz w:val="20"/>
              </w:rPr>
            </w:pPr>
            <w:r>
              <w:rPr>
                <w:sz w:val="20"/>
              </w:rPr>
              <w:t>Cladribine</w:t>
            </w:r>
          </w:p>
        </w:tc>
        <w:tc>
          <w:tcPr>
            <w:tcW w:w="1365" w:type="dxa"/>
            <w:shd w:val="clear" w:color="auto" w:fill="auto"/>
          </w:tcPr>
          <w:p w14:paraId="186DE339" w14:textId="77777777" w:rsidR="00023FA5" w:rsidRPr="006A3078" w:rsidRDefault="00023FA5" w:rsidP="00023FA5">
            <w:pPr>
              <w:jc w:val="right"/>
              <w:rPr>
                <w:sz w:val="20"/>
              </w:rPr>
            </w:pPr>
            <w:r>
              <w:rPr>
                <w:sz w:val="20"/>
              </w:rPr>
              <w:t>1,130</w:t>
            </w:r>
          </w:p>
        </w:tc>
        <w:tc>
          <w:tcPr>
            <w:tcW w:w="1365" w:type="dxa"/>
            <w:shd w:val="clear" w:color="auto" w:fill="auto"/>
          </w:tcPr>
          <w:p w14:paraId="4AB2B5DB" w14:textId="77777777" w:rsidR="00023FA5" w:rsidRPr="006A3078" w:rsidRDefault="00023FA5" w:rsidP="00023FA5">
            <w:pPr>
              <w:jc w:val="right"/>
              <w:rPr>
                <w:sz w:val="20"/>
              </w:rPr>
            </w:pPr>
            <w:r>
              <w:rPr>
                <w:sz w:val="20"/>
              </w:rPr>
              <w:t>1,407</w:t>
            </w:r>
          </w:p>
        </w:tc>
        <w:tc>
          <w:tcPr>
            <w:tcW w:w="1365" w:type="dxa"/>
            <w:shd w:val="clear" w:color="auto" w:fill="auto"/>
          </w:tcPr>
          <w:p w14:paraId="44F77C95" w14:textId="77777777" w:rsidR="00023FA5" w:rsidRPr="006A3078" w:rsidRDefault="00023FA5" w:rsidP="00023FA5">
            <w:pPr>
              <w:jc w:val="right"/>
              <w:rPr>
                <w:sz w:val="20"/>
              </w:rPr>
            </w:pPr>
            <w:r>
              <w:rPr>
                <w:sz w:val="20"/>
              </w:rPr>
              <w:t>974</w:t>
            </w:r>
          </w:p>
        </w:tc>
        <w:tc>
          <w:tcPr>
            <w:tcW w:w="1365" w:type="dxa"/>
          </w:tcPr>
          <w:p w14:paraId="65733ACA" w14:textId="77777777" w:rsidR="00023FA5" w:rsidRDefault="00023FA5" w:rsidP="00023FA5">
            <w:pPr>
              <w:jc w:val="right"/>
              <w:rPr>
                <w:sz w:val="20"/>
              </w:rPr>
            </w:pPr>
            <w:r>
              <w:rPr>
                <w:sz w:val="20"/>
              </w:rPr>
              <w:t>24.5%</w:t>
            </w:r>
          </w:p>
        </w:tc>
      </w:tr>
      <w:tr w:rsidR="00023FA5" w:rsidRPr="006A3078" w14:paraId="28F3E4E8" w14:textId="77777777" w:rsidTr="00023FA5">
        <w:tc>
          <w:tcPr>
            <w:tcW w:w="2122" w:type="dxa"/>
          </w:tcPr>
          <w:p w14:paraId="6427B563" w14:textId="77777777" w:rsidR="00023FA5" w:rsidRDefault="00023FA5" w:rsidP="00023FA5">
            <w:pPr>
              <w:rPr>
                <w:sz w:val="20"/>
              </w:rPr>
            </w:pPr>
            <w:r>
              <w:rPr>
                <w:sz w:val="20"/>
              </w:rPr>
              <w:t xml:space="preserve">Dimethyl fumarate </w:t>
            </w:r>
          </w:p>
        </w:tc>
        <w:tc>
          <w:tcPr>
            <w:tcW w:w="1365" w:type="dxa"/>
            <w:shd w:val="clear" w:color="auto" w:fill="auto"/>
          </w:tcPr>
          <w:p w14:paraId="62668FAC" w14:textId="77777777" w:rsidR="00023FA5" w:rsidRDefault="00023FA5" w:rsidP="00023FA5">
            <w:pPr>
              <w:jc w:val="right"/>
              <w:rPr>
                <w:sz w:val="20"/>
              </w:rPr>
            </w:pPr>
            <w:r>
              <w:rPr>
                <w:sz w:val="20"/>
              </w:rPr>
              <w:t>2,466</w:t>
            </w:r>
          </w:p>
        </w:tc>
        <w:tc>
          <w:tcPr>
            <w:tcW w:w="1365" w:type="dxa"/>
            <w:shd w:val="clear" w:color="auto" w:fill="auto"/>
          </w:tcPr>
          <w:p w14:paraId="13A2AB3B" w14:textId="77777777" w:rsidR="00023FA5" w:rsidRDefault="00023FA5" w:rsidP="00023FA5">
            <w:pPr>
              <w:jc w:val="right"/>
              <w:rPr>
                <w:sz w:val="20"/>
              </w:rPr>
            </w:pPr>
            <w:r>
              <w:rPr>
                <w:sz w:val="20"/>
              </w:rPr>
              <w:t>2,509</w:t>
            </w:r>
          </w:p>
        </w:tc>
        <w:tc>
          <w:tcPr>
            <w:tcW w:w="1365" w:type="dxa"/>
            <w:shd w:val="clear" w:color="auto" w:fill="auto"/>
          </w:tcPr>
          <w:p w14:paraId="628F9F91" w14:textId="77777777" w:rsidR="00023FA5" w:rsidRPr="006A3078" w:rsidRDefault="00023FA5" w:rsidP="00023FA5">
            <w:pPr>
              <w:jc w:val="right"/>
              <w:rPr>
                <w:sz w:val="20"/>
              </w:rPr>
            </w:pPr>
            <w:r>
              <w:rPr>
                <w:sz w:val="20"/>
              </w:rPr>
              <w:t>2,307</w:t>
            </w:r>
          </w:p>
        </w:tc>
        <w:tc>
          <w:tcPr>
            <w:tcW w:w="1365" w:type="dxa"/>
          </w:tcPr>
          <w:p w14:paraId="3AE9732A" w14:textId="77777777" w:rsidR="00023FA5" w:rsidRDefault="00023FA5" w:rsidP="00023FA5">
            <w:pPr>
              <w:jc w:val="right"/>
              <w:rPr>
                <w:sz w:val="20"/>
              </w:rPr>
            </w:pPr>
            <w:r>
              <w:rPr>
                <w:sz w:val="20"/>
              </w:rPr>
              <w:t>1.7%</w:t>
            </w:r>
          </w:p>
        </w:tc>
      </w:tr>
      <w:tr w:rsidR="00023FA5" w:rsidRPr="006A3078" w14:paraId="48AE57DC" w14:textId="77777777" w:rsidTr="00023FA5">
        <w:tc>
          <w:tcPr>
            <w:tcW w:w="2122" w:type="dxa"/>
          </w:tcPr>
          <w:p w14:paraId="2FA1592C" w14:textId="77777777" w:rsidR="00023FA5" w:rsidRPr="006A3078" w:rsidRDefault="00023FA5" w:rsidP="00023FA5">
            <w:pPr>
              <w:rPr>
                <w:sz w:val="20"/>
              </w:rPr>
            </w:pPr>
            <w:r>
              <w:rPr>
                <w:sz w:val="20"/>
              </w:rPr>
              <w:t>Fingolimod</w:t>
            </w:r>
          </w:p>
        </w:tc>
        <w:tc>
          <w:tcPr>
            <w:tcW w:w="1365" w:type="dxa"/>
            <w:shd w:val="clear" w:color="auto" w:fill="auto"/>
          </w:tcPr>
          <w:p w14:paraId="5BE6ABFF" w14:textId="77777777" w:rsidR="00023FA5" w:rsidRPr="006A3078" w:rsidRDefault="00023FA5" w:rsidP="00023FA5">
            <w:pPr>
              <w:jc w:val="right"/>
              <w:rPr>
                <w:sz w:val="20"/>
              </w:rPr>
            </w:pPr>
            <w:r>
              <w:rPr>
                <w:sz w:val="20"/>
              </w:rPr>
              <w:t>5,447</w:t>
            </w:r>
          </w:p>
        </w:tc>
        <w:tc>
          <w:tcPr>
            <w:tcW w:w="1365" w:type="dxa"/>
            <w:shd w:val="clear" w:color="auto" w:fill="auto"/>
          </w:tcPr>
          <w:p w14:paraId="3B614CA0" w14:textId="77777777" w:rsidR="00023FA5" w:rsidRPr="006A3078" w:rsidRDefault="00023FA5" w:rsidP="00023FA5">
            <w:pPr>
              <w:jc w:val="right"/>
              <w:rPr>
                <w:sz w:val="20"/>
              </w:rPr>
            </w:pPr>
            <w:r>
              <w:rPr>
                <w:sz w:val="20"/>
              </w:rPr>
              <w:t>5,037</w:t>
            </w:r>
          </w:p>
        </w:tc>
        <w:tc>
          <w:tcPr>
            <w:tcW w:w="1365" w:type="dxa"/>
            <w:shd w:val="clear" w:color="auto" w:fill="auto"/>
          </w:tcPr>
          <w:p w14:paraId="1EC55AB0" w14:textId="77777777" w:rsidR="00023FA5" w:rsidRPr="006A3078" w:rsidRDefault="00023FA5" w:rsidP="00023FA5">
            <w:pPr>
              <w:jc w:val="right"/>
              <w:rPr>
                <w:sz w:val="20"/>
              </w:rPr>
            </w:pPr>
            <w:r>
              <w:rPr>
                <w:sz w:val="20"/>
              </w:rPr>
              <w:t>4,586</w:t>
            </w:r>
          </w:p>
        </w:tc>
        <w:tc>
          <w:tcPr>
            <w:tcW w:w="1365" w:type="dxa"/>
          </w:tcPr>
          <w:p w14:paraId="1434CD22" w14:textId="77777777" w:rsidR="00023FA5" w:rsidRDefault="00023FA5" w:rsidP="00023FA5">
            <w:pPr>
              <w:jc w:val="right"/>
              <w:rPr>
                <w:sz w:val="20"/>
              </w:rPr>
            </w:pPr>
            <w:r>
              <w:rPr>
                <w:sz w:val="20"/>
              </w:rPr>
              <w:t>-7.5%</w:t>
            </w:r>
          </w:p>
        </w:tc>
      </w:tr>
      <w:tr w:rsidR="00023FA5" w:rsidRPr="006A3078" w14:paraId="0A0B7BF7" w14:textId="77777777" w:rsidTr="00023FA5">
        <w:tc>
          <w:tcPr>
            <w:tcW w:w="2122" w:type="dxa"/>
          </w:tcPr>
          <w:p w14:paraId="636D69D6" w14:textId="77777777" w:rsidR="00023FA5" w:rsidRPr="006A3078" w:rsidRDefault="00023FA5" w:rsidP="00023FA5">
            <w:pPr>
              <w:rPr>
                <w:sz w:val="20"/>
              </w:rPr>
            </w:pPr>
            <w:r>
              <w:rPr>
                <w:sz w:val="20"/>
              </w:rPr>
              <w:t>Glatiramer acetate</w:t>
            </w:r>
          </w:p>
        </w:tc>
        <w:tc>
          <w:tcPr>
            <w:tcW w:w="1365" w:type="dxa"/>
            <w:shd w:val="clear" w:color="auto" w:fill="auto"/>
          </w:tcPr>
          <w:p w14:paraId="77822B8D" w14:textId="77777777" w:rsidR="00023FA5" w:rsidRPr="006A3078" w:rsidRDefault="00023FA5" w:rsidP="00023FA5">
            <w:pPr>
              <w:jc w:val="right"/>
              <w:rPr>
                <w:sz w:val="20"/>
              </w:rPr>
            </w:pPr>
            <w:r>
              <w:rPr>
                <w:sz w:val="20"/>
              </w:rPr>
              <w:t>1,866</w:t>
            </w:r>
          </w:p>
        </w:tc>
        <w:tc>
          <w:tcPr>
            <w:tcW w:w="1365" w:type="dxa"/>
            <w:shd w:val="clear" w:color="auto" w:fill="auto"/>
          </w:tcPr>
          <w:p w14:paraId="57CDC73E" w14:textId="77777777" w:rsidR="00023FA5" w:rsidRPr="006A3078" w:rsidRDefault="00023FA5" w:rsidP="00023FA5">
            <w:pPr>
              <w:jc w:val="right"/>
              <w:rPr>
                <w:sz w:val="20"/>
              </w:rPr>
            </w:pPr>
            <w:r>
              <w:rPr>
                <w:sz w:val="20"/>
              </w:rPr>
              <w:t>1,675</w:t>
            </w:r>
          </w:p>
        </w:tc>
        <w:tc>
          <w:tcPr>
            <w:tcW w:w="1365" w:type="dxa"/>
            <w:shd w:val="clear" w:color="auto" w:fill="auto"/>
          </w:tcPr>
          <w:p w14:paraId="0C617BA7" w14:textId="77777777" w:rsidR="00023FA5" w:rsidRPr="006A3078" w:rsidRDefault="00023FA5" w:rsidP="00023FA5">
            <w:pPr>
              <w:jc w:val="right"/>
              <w:rPr>
                <w:sz w:val="20"/>
              </w:rPr>
            </w:pPr>
            <w:r>
              <w:rPr>
                <w:sz w:val="20"/>
              </w:rPr>
              <w:t>1,414</w:t>
            </w:r>
          </w:p>
        </w:tc>
        <w:tc>
          <w:tcPr>
            <w:tcW w:w="1365" w:type="dxa"/>
          </w:tcPr>
          <w:p w14:paraId="12D17F40" w14:textId="77777777" w:rsidR="00023FA5" w:rsidRDefault="00023FA5" w:rsidP="00023FA5">
            <w:pPr>
              <w:jc w:val="right"/>
              <w:rPr>
                <w:sz w:val="20"/>
              </w:rPr>
            </w:pPr>
            <w:r>
              <w:rPr>
                <w:sz w:val="20"/>
              </w:rPr>
              <w:t>-10.2%</w:t>
            </w:r>
          </w:p>
        </w:tc>
      </w:tr>
      <w:tr w:rsidR="00023FA5" w:rsidRPr="006A3078" w14:paraId="08260926" w14:textId="77777777" w:rsidTr="00023FA5">
        <w:tc>
          <w:tcPr>
            <w:tcW w:w="2122" w:type="dxa"/>
          </w:tcPr>
          <w:p w14:paraId="759F71AB" w14:textId="77777777" w:rsidR="00023FA5" w:rsidRPr="006A3078" w:rsidRDefault="00023FA5" w:rsidP="00023FA5">
            <w:pPr>
              <w:rPr>
                <w:sz w:val="20"/>
              </w:rPr>
            </w:pPr>
            <w:r>
              <w:rPr>
                <w:sz w:val="20"/>
              </w:rPr>
              <w:t xml:space="preserve">Interferon beta-1a </w:t>
            </w:r>
          </w:p>
        </w:tc>
        <w:tc>
          <w:tcPr>
            <w:tcW w:w="1365" w:type="dxa"/>
            <w:shd w:val="clear" w:color="auto" w:fill="auto"/>
          </w:tcPr>
          <w:p w14:paraId="00D89D25" w14:textId="77777777" w:rsidR="00023FA5" w:rsidRPr="006A3078" w:rsidRDefault="00023FA5" w:rsidP="00023FA5">
            <w:pPr>
              <w:jc w:val="right"/>
              <w:rPr>
                <w:sz w:val="20"/>
              </w:rPr>
            </w:pPr>
            <w:r>
              <w:rPr>
                <w:sz w:val="20"/>
              </w:rPr>
              <w:t>895</w:t>
            </w:r>
          </w:p>
        </w:tc>
        <w:tc>
          <w:tcPr>
            <w:tcW w:w="1365" w:type="dxa"/>
            <w:shd w:val="clear" w:color="auto" w:fill="auto"/>
          </w:tcPr>
          <w:p w14:paraId="111136D6" w14:textId="77777777" w:rsidR="00023FA5" w:rsidRPr="006A3078" w:rsidRDefault="00023FA5" w:rsidP="00023FA5">
            <w:pPr>
              <w:jc w:val="right"/>
              <w:rPr>
                <w:sz w:val="20"/>
              </w:rPr>
            </w:pPr>
            <w:r>
              <w:rPr>
                <w:sz w:val="20"/>
              </w:rPr>
              <w:t>761</w:t>
            </w:r>
          </w:p>
        </w:tc>
        <w:tc>
          <w:tcPr>
            <w:tcW w:w="1365" w:type="dxa"/>
            <w:shd w:val="clear" w:color="auto" w:fill="auto"/>
          </w:tcPr>
          <w:p w14:paraId="5C717187" w14:textId="77777777" w:rsidR="00023FA5" w:rsidRPr="006A3078" w:rsidRDefault="00023FA5" w:rsidP="00023FA5">
            <w:pPr>
              <w:jc w:val="right"/>
              <w:rPr>
                <w:sz w:val="20"/>
              </w:rPr>
            </w:pPr>
            <w:r>
              <w:rPr>
                <w:sz w:val="20"/>
              </w:rPr>
              <w:t>647</w:t>
            </w:r>
          </w:p>
        </w:tc>
        <w:tc>
          <w:tcPr>
            <w:tcW w:w="1365" w:type="dxa"/>
          </w:tcPr>
          <w:p w14:paraId="071D3FD2" w14:textId="77777777" w:rsidR="00023FA5" w:rsidRDefault="00023FA5" w:rsidP="00023FA5">
            <w:pPr>
              <w:jc w:val="right"/>
              <w:rPr>
                <w:sz w:val="20"/>
              </w:rPr>
            </w:pPr>
            <w:r>
              <w:rPr>
                <w:sz w:val="20"/>
              </w:rPr>
              <w:t>-15.0%</w:t>
            </w:r>
          </w:p>
        </w:tc>
      </w:tr>
      <w:tr w:rsidR="00023FA5" w:rsidRPr="006A3078" w14:paraId="30496DCE" w14:textId="77777777" w:rsidTr="00023FA5">
        <w:tc>
          <w:tcPr>
            <w:tcW w:w="2122" w:type="dxa"/>
          </w:tcPr>
          <w:p w14:paraId="3639B093" w14:textId="77777777" w:rsidR="00023FA5" w:rsidRDefault="00023FA5" w:rsidP="00023FA5">
            <w:pPr>
              <w:rPr>
                <w:sz w:val="20"/>
              </w:rPr>
            </w:pPr>
            <w:r>
              <w:rPr>
                <w:sz w:val="20"/>
              </w:rPr>
              <w:t xml:space="preserve">Interferon beta-1b </w:t>
            </w:r>
          </w:p>
        </w:tc>
        <w:tc>
          <w:tcPr>
            <w:tcW w:w="1365" w:type="dxa"/>
            <w:shd w:val="clear" w:color="auto" w:fill="auto"/>
          </w:tcPr>
          <w:p w14:paraId="5E37D2F7" w14:textId="77777777" w:rsidR="00023FA5" w:rsidRPr="006A3078" w:rsidRDefault="00023FA5" w:rsidP="00023FA5">
            <w:pPr>
              <w:jc w:val="right"/>
              <w:rPr>
                <w:sz w:val="20"/>
              </w:rPr>
            </w:pPr>
            <w:r>
              <w:rPr>
                <w:sz w:val="20"/>
              </w:rPr>
              <w:t>624</w:t>
            </w:r>
          </w:p>
        </w:tc>
        <w:tc>
          <w:tcPr>
            <w:tcW w:w="1365" w:type="dxa"/>
            <w:shd w:val="clear" w:color="auto" w:fill="auto"/>
          </w:tcPr>
          <w:p w14:paraId="1EA52639" w14:textId="77777777" w:rsidR="00023FA5" w:rsidRPr="006A3078" w:rsidRDefault="00023FA5" w:rsidP="00023FA5">
            <w:pPr>
              <w:jc w:val="right"/>
              <w:rPr>
                <w:sz w:val="20"/>
              </w:rPr>
            </w:pPr>
            <w:r>
              <w:rPr>
                <w:sz w:val="20"/>
              </w:rPr>
              <w:t>494</w:t>
            </w:r>
          </w:p>
        </w:tc>
        <w:tc>
          <w:tcPr>
            <w:tcW w:w="1365" w:type="dxa"/>
            <w:shd w:val="clear" w:color="auto" w:fill="auto"/>
          </w:tcPr>
          <w:p w14:paraId="40B8200A" w14:textId="77777777" w:rsidR="00023FA5" w:rsidRPr="006A3078" w:rsidRDefault="00023FA5" w:rsidP="00023FA5">
            <w:pPr>
              <w:jc w:val="right"/>
              <w:rPr>
                <w:sz w:val="20"/>
              </w:rPr>
            </w:pPr>
            <w:r>
              <w:rPr>
                <w:sz w:val="20"/>
              </w:rPr>
              <w:t>420</w:t>
            </w:r>
          </w:p>
        </w:tc>
        <w:tc>
          <w:tcPr>
            <w:tcW w:w="1365" w:type="dxa"/>
          </w:tcPr>
          <w:p w14:paraId="72B1F679" w14:textId="77777777" w:rsidR="00023FA5" w:rsidRDefault="00023FA5" w:rsidP="00023FA5">
            <w:pPr>
              <w:jc w:val="right"/>
              <w:rPr>
                <w:sz w:val="20"/>
              </w:rPr>
            </w:pPr>
            <w:r>
              <w:rPr>
                <w:sz w:val="20"/>
              </w:rPr>
              <w:t>-20.8%</w:t>
            </w:r>
          </w:p>
        </w:tc>
      </w:tr>
      <w:tr w:rsidR="00023FA5" w:rsidRPr="006A3078" w14:paraId="225F7C39" w14:textId="77777777" w:rsidTr="00023FA5">
        <w:tc>
          <w:tcPr>
            <w:tcW w:w="2122" w:type="dxa"/>
          </w:tcPr>
          <w:p w14:paraId="0C063668" w14:textId="77777777" w:rsidR="00023FA5" w:rsidRDefault="00023FA5" w:rsidP="00023FA5">
            <w:pPr>
              <w:rPr>
                <w:sz w:val="20"/>
              </w:rPr>
            </w:pPr>
            <w:r>
              <w:rPr>
                <w:sz w:val="20"/>
              </w:rPr>
              <w:t xml:space="preserve">Natalizumab </w:t>
            </w:r>
          </w:p>
        </w:tc>
        <w:tc>
          <w:tcPr>
            <w:tcW w:w="1365" w:type="dxa"/>
            <w:shd w:val="clear" w:color="auto" w:fill="auto"/>
          </w:tcPr>
          <w:p w14:paraId="6561DA98" w14:textId="77777777" w:rsidR="00023FA5" w:rsidRPr="006A3078" w:rsidRDefault="00023FA5" w:rsidP="00023FA5">
            <w:pPr>
              <w:jc w:val="right"/>
              <w:rPr>
                <w:sz w:val="20"/>
              </w:rPr>
            </w:pPr>
            <w:r>
              <w:rPr>
                <w:sz w:val="20"/>
              </w:rPr>
              <w:t>2,807</w:t>
            </w:r>
          </w:p>
        </w:tc>
        <w:tc>
          <w:tcPr>
            <w:tcW w:w="1365" w:type="dxa"/>
            <w:shd w:val="clear" w:color="auto" w:fill="auto"/>
          </w:tcPr>
          <w:p w14:paraId="760BD680" w14:textId="77777777" w:rsidR="00023FA5" w:rsidRPr="006A3078" w:rsidRDefault="00023FA5" w:rsidP="00023FA5">
            <w:pPr>
              <w:jc w:val="right"/>
              <w:rPr>
                <w:sz w:val="20"/>
              </w:rPr>
            </w:pPr>
            <w:r>
              <w:rPr>
                <w:sz w:val="20"/>
              </w:rPr>
              <w:t>3,054</w:t>
            </w:r>
          </w:p>
        </w:tc>
        <w:tc>
          <w:tcPr>
            <w:tcW w:w="1365" w:type="dxa"/>
            <w:shd w:val="clear" w:color="auto" w:fill="auto"/>
          </w:tcPr>
          <w:p w14:paraId="3F30F22C" w14:textId="77777777" w:rsidR="00023FA5" w:rsidRPr="006A3078" w:rsidRDefault="00023FA5" w:rsidP="00023FA5">
            <w:pPr>
              <w:jc w:val="right"/>
              <w:rPr>
                <w:sz w:val="20"/>
              </w:rPr>
            </w:pPr>
            <w:r>
              <w:rPr>
                <w:sz w:val="20"/>
              </w:rPr>
              <w:t>3,243</w:t>
            </w:r>
          </w:p>
        </w:tc>
        <w:tc>
          <w:tcPr>
            <w:tcW w:w="1365" w:type="dxa"/>
          </w:tcPr>
          <w:p w14:paraId="53C75D9F" w14:textId="77777777" w:rsidR="00023FA5" w:rsidRDefault="00023FA5" w:rsidP="00023FA5">
            <w:pPr>
              <w:jc w:val="right"/>
              <w:rPr>
                <w:sz w:val="20"/>
              </w:rPr>
            </w:pPr>
            <w:r>
              <w:rPr>
                <w:sz w:val="20"/>
              </w:rPr>
              <w:t>8.8%</w:t>
            </w:r>
          </w:p>
        </w:tc>
      </w:tr>
      <w:tr w:rsidR="00023FA5" w:rsidRPr="006A3078" w14:paraId="7C9908DE" w14:textId="77777777" w:rsidTr="00023FA5">
        <w:tc>
          <w:tcPr>
            <w:tcW w:w="2122" w:type="dxa"/>
          </w:tcPr>
          <w:p w14:paraId="442D59EB" w14:textId="77777777" w:rsidR="00023FA5" w:rsidRDefault="00023FA5" w:rsidP="00023FA5">
            <w:pPr>
              <w:rPr>
                <w:sz w:val="20"/>
              </w:rPr>
            </w:pPr>
            <w:r>
              <w:rPr>
                <w:sz w:val="20"/>
              </w:rPr>
              <w:t xml:space="preserve">Ocrelizumab </w:t>
            </w:r>
          </w:p>
        </w:tc>
        <w:tc>
          <w:tcPr>
            <w:tcW w:w="1365" w:type="dxa"/>
            <w:shd w:val="clear" w:color="auto" w:fill="auto"/>
          </w:tcPr>
          <w:p w14:paraId="1ADF6397" w14:textId="77777777" w:rsidR="00023FA5" w:rsidRPr="006A3078" w:rsidRDefault="00023FA5" w:rsidP="00023FA5">
            <w:pPr>
              <w:jc w:val="right"/>
              <w:rPr>
                <w:sz w:val="20"/>
              </w:rPr>
            </w:pPr>
            <w:r>
              <w:rPr>
                <w:sz w:val="20"/>
              </w:rPr>
              <w:t>4,165</w:t>
            </w:r>
          </w:p>
        </w:tc>
        <w:tc>
          <w:tcPr>
            <w:tcW w:w="1365" w:type="dxa"/>
            <w:shd w:val="clear" w:color="auto" w:fill="auto"/>
          </w:tcPr>
          <w:p w14:paraId="06FC5BD2" w14:textId="77777777" w:rsidR="00023FA5" w:rsidRPr="006A3078" w:rsidRDefault="00023FA5" w:rsidP="00023FA5">
            <w:pPr>
              <w:jc w:val="right"/>
              <w:rPr>
                <w:sz w:val="20"/>
              </w:rPr>
            </w:pPr>
            <w:r>
              <w:rPr>
                <w:sz w:val="20"/>
              </w:rPr>
              <w:t>5,138</w:t>
            </w:r>
          </w:p>
        </w:tc>
        <w:tc>
          <w:tcPr>
            <w:tcW w:w="1365" w:type="dxa"/>
            <w:shd w:val="clear" w:color="auto" w:fill="auto"/>
          </w:tcPr>
          <w:p w14:paraId="1A5B311A" w14:textId="77777777" w:rsidR="00023FA5" w:rsidRPr="006A3078" w:rsidRDefault="00023FA5" w:rsidP="00023FA5">
            <w:pPr>
              <w:jc w:val="right"/>
              <w:rPr>
                <w:sz w:val="20"/>
              </w:rPr>
            </w:pPr>
            <w:r>
              <w:rPr>
                <w:sz w:val="20"/>
              </w:rPr>
              <w:t>5,645</w:t>
            </w:r>
          </w:p>
        </w:tc>
        <w:tc>
          <w:tcPr>
            <w:tcW w:w="1365" w:type="dxa"/>
          </w:tcPr>
          <w:p w14:paraId="3777738F" w14:textId="77777777" w:rsidR="00023FA5" w:rsidRDefault="00023FA5" w:rsidP="00023FA5">
            <w:pPr>
              <w:jc w:val="right"/>
              <w:rPr>
                <w:sz w:val="20"/>
              </w:rPr>
            </w:pPr>
            <w:r>
              <w:rPr>
                <w:sz w:val="20"/>
              </w:rPr>
              <w:t>23.4%</w:t>
            </w:r>
          </w:p>
        </w:tc>
      </w:tr>
      <w:tr w:rsidR="00023FA5" w:rsidRPr="006A3078" w14:paraId="64F80515" w14:textId="77777777" w:rsidTr="00023FA5">
        <w:tc>
          <w:tcPr>
            <w:tcW w:w="2122" w:type="dxa"/>
          </w:tcPr>
          <w:p w14:paraId="15F61746" w14:textId="77777777" w:rsidR="00023FA5" w:rsidRDefault="00023FA5" w:rsidP="00023FA5">
            <w:pPr>
              <w:rPr>
                <w:sz w:val="20"/>
              </w:rPr>
            </w:pPr>
            <w:r>
              <w:rPr>
                <w:sz w:val="20"/>
              </w:rPr>
              <w:t xml:space="preserve">Ozanimod </w:t>
            </w:r>
          </w:p>
        </w:tc>
        <w:tc>
          <w:tcPr>
            <w:tcW w:w="1365" w:type="dxa"/>
            <w:shd w:val="clear" w:color="auto" w:fill="auto"/>
          </w:tcPr>
          <w:p w14:paraId="1CE79E31" w14:textId="77777777" w:rsidR="00023FA5" w:rsidRPr="006A3078" w:rsidRDefault="00023FA5" w:rsidP="00023FA5">
            <w:pPr>
              <w:jc w:val="right"/>
              <w:rPr>
                <w:sz w:val="20"/>
              </w:rPr>
            </w:pPr>
            <w:r>
              <w:rPr>
                <w:sz w:val="20"/>
              </w:rPr>
              <w:t>n/a</w:t>
            </w:r>
          </w:p>
        </w:tc>
        <w:tc>
          <w:tcPr>
            <w:tcW w:w="1365" w:type="dxa"/>
            <w:shd w:val="clear" w:color="auto" w:fill="auto"/>
          </w:tcPr>
          <w:p w14:paraId="7CAC7565" w14:textId="77777777" w:rsidR="00023FA5" w:rsidRPr="006A3078" w:rsidRDefault="00023FA5" w:rsidP="00023FA5">
            <w:pPr>
              <w:jc w:val="right"/>
              <w:rPr>
                <w:sz w:val="20"/>
              </w:rPr>
            </w:pPr>
            <w:r>
              <w:rPr>
                <w:sz w:val="20"/>
              </w:rPr>
              <w:t>n/a</w:t>
            </w:r>
          </w:p>
        </w:tc>
        <w:tc>
          <w:tcPr>
            <w:tcW w:w="1365" w:type="dxa"/>
            <w:shd w:val="clear" w:color="auto" w:fill="auto"/>
          </w:tcPr>
          <w:p w14:paraId="7F209B59" w14:textId="77777777" w:rsidR="00023FA5" w:rsidRPr="006A3078" w:rsidRDefault="00023FA5" w:rsidP="00023FA5">
            <w:pPr>
              <w:jc w:val="right"/>
              <w:rPr>
                <w:sz w:val="20"/>
              </w:rPr>
            </w:pPr>
            <w:r>
              <w:rPr>
                <w:sz w:val="20"/>
              </w:rPr>
              <w:t>48</w:t>
            </w:r>
          </w:p>
        </w:tc>
        <w:tc>
          <w:tcPr>
            <w:tcW w:w="1365" w:type="dxa"/>
          </w:tcPr>
          <w:p w14:paraId="20F4A8AF" w14:textId="77777777" w:rsidR="00023FA5" w:rsidRDefault="00023FA5" w:rsidP="00023FA5">
            <w:pPr>
              <w:jc w:val="right"/>
              <w:rPr>
                <w:sz w:val="20"/>
              </w:rPr>
            </w:pPr>
            <w:r>
              <w:rPr>
                <w:sz w:val="20"/>
              </w:rPr>
              <w:t>n/a</w:t>
            </w:r>
          </w:p>
        </w:tc>
      </w:tr>
      <w:tr w:rsidR="00023FA5" w:rsidRPr="006A3078" w14:paraId="6ACAFB59" w14:textId="77777777" w:rsidTr="00023FA5">
        <w:tc>
          <w:tcPr>
            <w:tcW w:w="2122" w:type="dxa"/>
          </w:tcPr>
          <w:p w14:paraId="19E7E9B9" w14:textId="77777777" w:rsidR="00023FA5" w:rsidRDefault="00023FA5" w:rsidP="00023FA5">
            <w:pPr>
              <w:rPr>
                <w:sz w:val="20"/>
              </w:rPr>
            </w:pPr>
            <w:r>
              <w:rPr>
                <w:sz w:val="20"/>
              </w:rPr>
              <w:t>Peginterferon beta-1a</w:t>
            </w:r>
          </w:p>
        </w:tc>
        <w:tc>
          <w:tcPr>
            <w:tcW w:w="1365" w:type="dxa"/>
            <w:shd w:val="clear" w:color="auto" w:fill="auto"/>
          </w:tcPr>
          <w:p w14:paraId="70FE11AE" w14:textId="77777777" w:rsidR="00023FA5" w:rsidRPr="006A3078" w:rsidRDefault="00023FA5" w:rsidP="00023FA5">
            <w:pPr>
              <w:jc w:val="right"/>
              <w:rPr>
                <w:sz w:val="20"/>
              </w:rPr>
            </w:pPr>
            <w:r>
              <w:rPr>
                <w:sz w:val="20"/>
              </w:rPr>
              <w:t>662</w:t>
            </w:r>
          </w:p>
        </w:tc>
        <w:tc>
          <w:tcPr>
            <w:tcW w:w="1365" w:type="dxa"/>
            <w:shd w:val="clear" w:color="auto" w:fill="auto"/>
          </w:tcPr>
          <w:p w14:paraId="5DF9383F" w14:textId="77777777" w:rsidR="00023FA5" w:rsidRPr="006A3078" w:rsidRDefault="00023FA5" w:rsidP="00023FA5">
            <w:pPr>
              <w:jc w:val="right"/>
              <w:rPr>
                <w:sz w:val="20"/>
              </w:rPr>
            </w:pPr>
            <w:r>
              <w:rPr>
                <w:sz w:val="20"/>
              </w:rPr>
              <w:t>623</w:t>
            </w:r>
          </w:p>
        </w:tc>
        <w:tc>
          <w:tcPr>
            <w:tcW w:w="1365" w:type="dxa"/>
            <w:shd w:val="clear" w:color="auto" w:fill="auto"/>
          </w:tcPr>
          <w:p w14:paraId="3CEFA26D" w14:textId="77777777" w:rsidR="00023FA5" w:rsidRPr="006A3078" w:rsidRDefault="00023FA5" w:rsidP="00023FA5">
            <w:pPr>
              <w:jc w:val="right"/>
              <w:rPr>
                <w:sz w:val="20"/>
              </w:rPr>
            </w:pPr>
            <w:r>
              <w:rPr>
                <w:sz w:val="20"/>
              </w:rPr>
              <w:t>564</w:t>
            </w:r>
          </w:p>
        </w:tc>
        <w:tc>
          <w:tcPr>
            <w:tcW w:w="1365" w:type="dxa"/>
          </w:tcPr>
          <w:p w14:paraId="50370BC2" w14:textId="77777777" w:rsidR="00023FA5" w:rsidRDefault="00023FA5" w:rsidP="00023FA5">
            <w:pPr>
              <w:jc w:val="right"/>
              <w:rPr>
                <w:sz w:val="20"/>
              </w:rPr>
            </w:pPr>
            <w:r>
              <w:rPr>
                <w:sz w:val="20"/>
              </w:rPr>
              <w:t>-5.9%</w:t>
            </w:r>
          </w:p>
        </w:tc>
      </w:tr>
      <w:tr w:rsidR="00023FA5" w:rsidRPr="006A3078" w14:paraId="29465415" w14:textId="77777777" w:rsidTr="00023FA5">
        <w:tc>
          <w:tcPr>
            <w:tcW w:w="2122" w:type="dxa"/>
          </w:tcPr>
          <w:p w14:paraId="0819786D" w14:textId="77777777" w:rsidR="00023FA5" w:rsidRDefault="00023FA5" w:rsidP="00023FA5">
            <w:pPr>
              <w:rPr>
                <w:sz w:val="20"/>
              </w:rPr>
            </w:pPr>
            <w:r>
              <w:rPr>
                <w:sz w:val="20"/>
              </w:rPr>
              <w:t>Siponimod</w:t>
            </w:r>
          </w:p>
        </w:tc>
        <w:tc>
          <w:tcPr>
            <w:tcW w:w="1365" w:type="dxa"/>
            <w:shd w:val="clear" w:color="auto" w:fill="auto"/>
          </w:tcPr>
          <w:p w14:paraId="542DA113" w14:textId="77777777" w:rsidR="00023FA5" w:rsidRPr="006A3078" w:rsidRDefault="00023FA5" w:rsidP="00023FA5">
            <w:pPr>
              <w:jc w:val="right"/>
              <w:rPr>
                <w:sz w:val="20"/>
              </w:rPr>
            </w:pPr>
            <w:r>
              <w:rPr>
                <w:sz w:val="20"/>
              </w:rPr>
              <w:t>n/a</w:t>
            </w:r>
          </w:p>
        </w:tc>
        <w:tc>
          <w:tcPr>
            <w:tcW w:w="1365" w:type="dxa"/>
            <w:shd w:val="clear" w:color="auto" w:fill="auto"/>
          </w:tcPr>
          <w:p w14:paraId="75892792" w14:textId="77777777" w:rsidR="00023FA5" w:rsidRPr="006A3078" w:rsidRDefault="00023FA5" w:rsidP="00023FA5">
            <w:pPr>
              <w:jc w:val="right"/>
              <w:rPr>
                <w:sz w:val="20"/>
              </w:rPr>
            </w:pPr>
            <w:r>
              <w:rPr>
                <w:sz w:val="20"/>
              </w:rPr>
              <w:t>124</w:t>
            </w:r>
          </w:p>
        </w:tc>
        <w:tc>
          <w:tcPr>
            <w:tcW w:w="1365" w:type="dxa"/>
            <w:shd w:val="clear" w:color="auto" w:fill="auto"/>
          </w:tcPr>
          <w:p w14:paraId="29C00BCB" w14:textId="77777777" w:rsidR="00023FA5" w:rsidRPr="006A3078" w:rsidRDefault="00023FA5" w:rsidP="00023FA5">
            <w:pPr>
              <w:jc w:val="right"/>
              <w:rPr>
                <w:sz w:val="20"/>
              </w:rPr>
            </w:pPr>
            <w:r>
              <w:rPr>
                <w:sz w:val="20"/>
              </w:rPr>
              <w:t>558</w:t>
            </w:r>
          </w:p>
        </w:tc>
        <w:tc>
          <w:tcPr>
            <w:tcW w:w="1365" w:type="dxa"/>
          </w:tcPr>
          <w:p w14:paraId="4791390C" w14:textId="77777777" w:rsidR="00023FA5" w:rsidRDefault="00023FA5" w:rsidP="00023FA5">
            <w:pPr>
              <w:jc w:val="right"/>
              <w:rPr>
                <w:sz w:val="20"/>
              </w:rPr>
            </w:pPr>
            <w:r>
              <w:rPr>
                <w:sz w:val="20"/>
              </w:rPr>
              <w:t>n/a</w:t>
            </w:r>
          </w:p>
        </w:tc>
      </w:tr>
      <w:tr w:rsidR="00023FA5" w:rsidRPr="006A3078" w14:paraId="369711A1" w14:textId="77777777" w:rsidTr="00023FA5">
        <w:tc>
          <w:tcPr>
            <w:tcW w:w="2122" w:type="dxa"/>
          </w:tcPr>
          <w:p w14:paraId="0A14717D" w14:textId="77777777" w:rsidR="00023FA5" w:rsidRDefault="00023FA5" w:rsidP="00023FA5">
            <w:pPr>
              <w:rPr>
                <w:sz w:val="20"/>
              </w:rPr>
            </w:pPr>
            <w:r>
              <w:rPr>
                <w:sz w:val="20"/>
              </w:rPr>
              <w:t xml:space="preserve">Teriflunomide </w:t>
            </w:r>
          </w:p>
        </w:tc>
        <w:tc>
          <w:tcPr>
            <w:tcW w:w="1365" w:type="dxa"/>
            <w:shd w:val="clear" w:color="auto" w:fill="auto"/>
          </w:tcPr>
          <w:p w14:paraId="4D52834E" w14:textId="77777777" w:rsidR="00023FA5" w:rsidRPr="006A3078" w:rsidRDefault="00023FA5" w:rsidP="00023FA5">
            <w:pPr>
              <w:jc w:val="right"/>
              <w:rPr>
                <w:sz w:val="20"/>
              </w:rPr>
            </w:pPr>
            <w:r>
              <w:rPr>
                <w:sz w:val="20"/>
              </w:rPr>
              <w:t>1,814</w:t>
            </w:r>
          </w:p>
        </w:tc>
        <w:tc>
          <w:tcPr>
            <w:tcW w:w="1365" w:type="dxa"/>
            <w:shd w:val="clear" w:color="auto" w:fill="auto"/>
          </w:tcPr>
          <w:p w14:paraId="71841855" w14:textId="77777777" w:rsidR="00023FA5" w:rsidRPr="006A3078" w:rsidRDefault="00023FA5" w:rsidP="00023FA5">
            <w:pPr>
              <w:jc w:val="right"/>
              <w:rPr>
                <w:sz w:val="20"/>
              </w:rPr>
            </w:pPr>
            <w:r>
              <w:rPr>
                <w:sz w:val="20"/>
              </w:rPr>
              <w:t>1,719</w:t>
            </w:r>
          </w:p>
        </w:tc>
        <w:tc>
          <w:tcPr>
            <w:tcW w:w="1365" w:type="dxa"/>
            <w:shd w:val="clear" w:color="auto" w:fill="auto"/>
          </w:tcPr>
          <w:p w14:paraId="73A65C47" w14:textId="77777777" w:rsidR="00023FA5" w:rsidRPr="006A3078" w:rsidRDefault="00023FA5" w:rsidP="00023FA5">
            <w:pPr>
              <w:jc w:val="right"/>
              <w:rPr>
                <w:sz w:val="20"/>
              </w:rPr>
            </w:pPr>
            <w:r>
              <w:rPr>
                <w:sz w:val="20"/>
              </w:rPr>
              <w:t>1,641</w:t>
            </w:r>
          </w:p>
        </w:tc>
        <w:tc>
          <w:tcPr>
            <w:tcW w:w="1365" w:type="dxa"/>
          </w:tcPr>
          <w:p w14:paraId="502F031B" w14:textId="77777777" w:rsidR="00023FA5" w:rsidRDefault="00023FA5" w:rsidP="00023FA5">
            <w:pPr>
              <w:jc w:val="right"/>
              <w:rPr>
                <w:sz w:val="20"/>
              </w:rPr>
            </w:pPr>
            <w:r>
              <w:rPr>
                <w:sz w:val="20"/>
              </w:rPr>
              <w:t>-5.2%</w:t>
            </w:r>
          </w:p>
        </w:tc>
      </w:tr>
      <w:tr w:rsidR="00023FA5" w:rsidRPr="006A3078" w14:paraId="56CB9F93" w14:textId="77777777" w:rsidTr="00023FA5">
        <w:tc>
          <w:tcPr>
            <w:tcW w:w="2122" w:type="dxa"/>
          </w:tcPr>
          <w:p w14:paraId="5C8C19C4" w14:textId="77777777" w:rsidR="00023FA5" w:rsidRDefault="00023FA5" w:rsidP="00023FA5">
            <w:pPr>
              <w:rPr>
                <w:sz w:val="20"/>
              </w:rPr>
            </w:pPr>
            <w:r>
              <w:rPr>
                <w:sz w:val="20"/>
              </w:rPr>
              <w:t xml:space="preserve">All RRMS drugs </w:t>
            </w:r>
          </w:p>
        </w:tc>
        <w:tc>
          <w:tcPr>
            <w:tcW w:w="1365" w:type="dxa"/>
            <w:shd w:val="clear" w:color="auto" w:fill="auto"/>
          </w:tcPr>
          <w:p w14:paraId="05C54A99" w14:textId="77777777" w:rsidR="00023FA5" w:rsidRDefault="00023FA5" w:rsidP="00023FA5">
            <w:pPr>
              <w:jc w:val="right"/>
              <w:rPr>
                <w:sz w:val="20"/>
              </w:rPr>
            </w:pPr>
            <w:r>
              <w:rPr>
                <w:sz w:val="20"/>
              </w:rPr>
              <w:t>22,153</w:t>
            </w:r>
          </w:p>
        </w:tc>
        <w:tc>
          <w:tcPr>
            <w:tcW w:w="1365" w:type="dxa"/>
            <w:shd w:val="clear" w:color="auto" w:fill="auto"/>
          </w:tcPr>
          <w:p w14:paraId="7CCB939D" w14:textId="77777777" w:rsidR="00023FA5" w:rsidRDefault="00023FA5" w:rsidP="00023FA5">
            <w:pPr>
              <w:jc w:val="right"/>
              <w:rPr>
                <w:sz w:val="20"/>
              </w:rPr>
            </w:pPr>
            <w:r>
              <w:rPr>
                <w:sz w:val="20"/>
              </w:rPr>
              <w:t>22,714</w:t>
            </w:r>
          </w:p>
        </w:tc>
        <w:tc>
          <w:tcPr>
            <w:tcW w:w="1365" w:type="dxa"/>
            <w:shd w:val="clear" w:color="auto" w:fill="auto"/>
          </w:tcPr>
          <w:p w14:paraId="28EAEB8B" w14:textId="77777777" w:rsidR="00023FA5" w:rsidRDefault="00023FA5" w:rsidP="00023FA5">
            <w:pPr>
              <w:jc w:val="right"/>
              <w:rPr>
                <w:sz w:val="20"/>
              </w:rPr>
            </w:pPr>
            <w:r>
              <w:rPr>
                <w:sz w:val="20"/>
              </w:rPr>
              <w:t>22,120</w:t>
            </w:r>
          </w:p>
        </w:tc>
        <w:tc>
          <w:tcPr>
            <w:tcW w:w="1365" w:type="dxa"/>
          </w:tcPr>
          <w:p w14:paraId="575AF090" w14:textId="77777777" w:rsidR="00023FA5" w:rsidRDefault="00023FA5" w:rsidP="00023FA5">
            <w:pPr>
              <w:jc w:val="right"/>
              <w:rPr>
                <w:sz w:val="20"/>
              </w:rPr>
            </w:pPr>
            <w:r>
              <w:rPr>
                <w:sz w:val="20"/>
              </w:rPr>
              <w:t>2.5%</w:t>
            </w:r>
          </w:p>
        </w:tc>
      </w:tr>
    </w:tbl>
    <w:p w14:paraId="5CB5AD62" w14:textId="77777777" w:rsidR="00023FA5" w:rsidRPr="004903E0" w:rsidRDefault="00023FA5" w:rsidP="00023FA5">
      <w:pPr>
        <w:spacing w:line="276" w:lineRule="auto"/>
        <w:rPr>
          <w:sz w:val="20"/>
          <w:szCs w:val="20"/>
        </w:rPr>
      </w:pPr>
      <w:r w:rsidRPr="00DF0F0E">
        <w:rPr>
          <w:sz w:val="20"/>
          <w:szCs w:val="20"/>
        </w:rPr>
        <w:t>Note: 2021 figures are year-to-date 30 September.</w:t>
      </w:r>
    </w:p>
    <w:p w14:paraId="40C9606B" w14:textId="77777777" w:rsidR="00023FA5" w:rsidRDefault="00023FA5" w:rsidP="00023FA5">
      <w:pPr>
        <w:jc w:val="center"/>
        <w:rPr>
          <w:sz w:val="22"/>
        </w:rPr>
      </w:pPr>
      <w:r>
        <w:rPr>
          <w:noProof/>
        </w:rPr>
        <w:lastRenderedPageBreak/>
        <w:drawing>
          <wp:inline distT="0" distB="0" distL="0" distR="0" wp14:anchorId="102B8D58" wp14:editId="7F85F774">
            <wp:extent cx="5210354" cy="3709359"/>
            <wp:effectExtent l="0" t="0" r="9525" b="5715"/>
            <wp:docPr id="4" name="Chart 4" descr="From Figure 7, the number of patients initiating and treated with cladribine are yet to be stabilised. "/>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884BE38" w14:textId="77777777" w:rsidR="00023FA5" w:rsidRDefault="00023FA5" w:rsidP="00023FA5">
      <w:pPr>
        <w:pStyle w:val="Tabletitle"/>
        <w:rPr>
          <w:sz w:val="22"/>
        </w:rPr>
      </w:pPr>
      <w:r>
        <w:rPr>
          <w:sz w:val="22"/>
        </w:rPr>
        <w:t xml:space="preserve">Figure 7: Number of initiating and prevalent cladribine patients according to supply quarter </w:t>
      </w:r>
    </w:p>
    <w:p w14:paraId="6782198C" w14:textId="77777777" w:rsidR="00023FA5" w:rsidRDefault="00023FA5" w:rsidP="00023FA5">
      <w:pPr>
        <w:spacing w:line="276" w:lineRule="auto"/>
      </w:pPr>
    </w:p>
    <w:p w14:paraId="051AFA56" w14:textId="77777777" w:rsidR="00023FA5" w:rsidRDefault="00023FA5" w:rsidP="00023FA5">
      <w:pPr>
        <w:spacing w:line="276" w:lineRule="auto"/>
      </w:pPr>
      <w:r>
        <w:t xml:space="preserve">From Figure 7, the number of patients initiating and treated with cladribine are yet to be stabilised. </w:t>
      </w:r>
    </w:p>
    <w:p w14:paraId="77026CFC" w14:textId="77777777" w:rsidR="00023FA5" w:rsidRDefault="00023FA5" w:rsidP="00023FA5">
      <w:pPr>
        <w:spacing w:line="276" w:lineRule="auto"/>
        <w:rPr>
          <w:b/>
          <w:i/>
          <w:szCs w:val="28"/>
        </w:rPr>
      </w:pPr>
      <w:r>
        <w:br w:type="page"/>
      </w:r>
    </w:p>
    <w:p w14:paraId="331C0525" w14:textId="77777777" w:rsidR="00023FA5" w:rsidRDefault="00023FA5" w:rsidP="00023FA5">
      <w:pPr>
        <w:pStyle w:val="Heading3"/>
      </w:pPr>
      <w:r w:rsidRPr="005E22C2">
        <w:lastRenderedPageBreak/>
        <w:t>Utilisation by relevant sub-populations/regions or patient level analysis</w:t>
      </w:r>
    </w:p>
    <w:p w14:paraId="54FE312F" w14:textId="77777777" w:rsidR="00023FA5" w:rsidRDefault="00023FA5" w:rsidP="00023FA5">
      <w:pPr>
        <w:jc w:val="center"/>
      </w:pPr>
      <w:r>
        <w:rPr>
          <w:noProof/>
        </w:rPr>
        <w:drawing>
          <wp:inline distT="0" distB="0" distL="0" distR="0" wp14:anchorId="5A9B6F64" wp14:editId="7DCA5922">
            <wp:extent cx="5605464" cy="3714751"/>
            <wp:effectExtent l="0" t="0" r="14605" b="0"/>
            <wp:docPr id="13" name="Chart 13" descr="In patients who initiated RRMS treatment from 2014, the most common age group were those between 40-44 years. The median age was 43 years and the mean age was 44 years. Of patients who initiated RRMS treatment, 73.4% were female. "/>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6B1C2A0" w14:textId="77777777" w:rsidR="00023FA5" w:rsidRDefault="00023FA5" w:rsidP="00023FA5">
      <w:pPr>
        <w:pStyle w:val="Tabletitle"/>
        <w:rPr>
          <w:sz w:val="22"/>
        </w:rPr>
      </w:pPr>
      <w:r>
        <w:rPr>
          <w:sz w:val="22"/>
        </w:rPr>
        <w:t>Figure 8: Age and gender distribution of RRMS patients who initiated treatment between 1 January 2014 to 30 September 2021</w:t>
      </w:r>
    </w:p>
    <w:p w14:paraId="5C8432D7" w14:textId="77777777" w:rsidR="00023FA5" w:rsidRPr="00F61469" w:rsidRDefault="00023FA5" w:rsidP="00023FA5">
      <w:pPr>
        <w:rPr>
          <w:sz w:val="20"/>
        </w:rPr>
      </w:pPr>
      <w:r>
        <w:rPr>
          <w:sz w:val="20"/>
        </w:rPr>
        <w:t xml:space="preserve">Note: 0.02% of initiating patients’ age and gender were unknown. </w:t>
      </w:r>
    </w:p>
    <w:p w14:paraId="569F3D38" w14:textId="77777777" w:rsidR="00023FA5" w:rsidRDefault="00023FA5" w:rsidP="00023FA5">
      <w:r>
        <w:t xml:space="preserve">In patients who initiated RRMS treatment from 2014, the most common age group were those between 40-44 years. The median age was 43 years and the mean age was 44 years. Of patients who initiated RRMS treatment, 73.4% were female. </w:t>
      </w:r>
    </w:p>
    <w:p w14:paraId="35FC6263" w14:textId="77777777" w:rsidR="00023FA5" w:rsidRPr="00803198" w:rsidRDefault="00023FA5" w:rsidP="00023FA5"/>
    <w:p w14:paraId="2E575006" w14:textId="77777777" w:rsidR="00023FA5" w:rsidRPr="00803198" w:rsidRDefault="00023FA5" w:rsidP="00023FA5">
      <w:pPr>
        <w:jc w:val="center"/>
      </w:pPr>
      <w:r>
        <w:rPr>
          <w:noProof/>
        </w:rPr>
        <w:lastRenderedPageBreak/>
        <w:drawing>
          <wp:inline distT="0" distB="0" distL="0" distR="0" wp14:anchorId="4DEB1188" wp14:editId="45101656">
            <wp:extent cx="5658928" cy="3830129"/>
            <wp:effectExtent l="0" t="0" r="18415" b="18415"/>
            <wp:docPr id="15" name="Chart 15" descr="In Figure 9, patients who initiated cladribine treatment, the most common age group were those between 45-49 years.  The mean and median age was 46 years. Of patients initiated cladribine treatment, 73.9% were female. "/>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6A5CAC6" w14:textId="77777777" w:rsidR="00023FA5" w:rsidRDefault="00023FA5" w:rsidP="00023FA5">
      <w:pPr>
        <w:pStyle w:val="Tabletitle"/>
        <w:rPr>
          <w:sz w:val="22"/>
        </w:rPr>
      </w:pPr>
      <w:r>
        <w:rPr>
          <w:sz w:val="22"/>
        </w:rPr>
        <w:t xml:space="preserve">Figure 9: Age and gender distribution of initiating cladribine patients </w:t>
      </w:r>
    </w:p>
    <w:p w14:paraId="0160EA8C" w14:textId="77777777" w:rsidR="00023FA5" w:rsidRDefault="00023FA5" w:rsidP="00023FA5">
      <w:pPr>
        <w:spacing w:line="276" w:lineRule="auto"/>
      </w:pPr>
    </w:p>
    <w:p w14:paraId="7E129D73" w14:textId="77777777" w:rsidR="00023FA5" w:rsidRDefault="00023FA5" w:rsidP="00023FA5">
      <w:r>
        <w:t xml:space="preserve">In Figure 9, patients who initiated cladribine treatment, the most common age group were those between 45-49 years.  The mean and median age was 46 years. Of patients initiated cladribine treatment, 73.9% were female. </w:t>
      </w:r>
      <w:r>
        <w:br w:type="page"/>
      </w:r>
    </w:p>
    <w:p w14:paraId="2B2F4582" w14:textId="77777777" w:rsidR="00023FA5" w:rsidRDefault="00023FA5" w:rsidP="00023FA5">
      <w:pPr>
        <w:jc w:val="center"/>
      </w:pPr>
      <w:r>
        <w:rPr>
          <w:noProof/>
        </w:rPr>
        <w:lastRenderedPageBreak/>
        <w:drawing>
          <wp:inline distT="0" distB="0" distL="0" distR="0" wp14:anchorId="4D80C520" wp14:editId="3557F03F">
            <wp:extent cx="5687695" cy="3874770"/>
            <wp:effectExtent l="0" t="0" r="8255" b="11430"/>
            <wp:docPr id="16" name="Chart 16" descr="In Figure 10, all therapies were prescribed by either neurologists, GPs and internal medicine specialists, with a small proportion being prescribed by other specialist areas."/>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F8A4D7D" w14:textId="77777777" w:rsidR="00023FA5" w:rsidRDefault="00023FA5" w:rsidP="00023FA5">
      <w:pPr>
        <w:pStyle w:val="Tabletitle"/>
        <w:rPr>
          <w:sz w:val="22"/>
        </w:rPr>
      </w:pPr>
      <w:r>
        <w:rPr>
          <w:sz w:val="22"/>
        </w:rPr>
        <w:t xml:space="preserve">Figure 10: Prescriber distribution of initiating RRMS patients by form between 1 January 2014 and 30 September 2021 </w:t>
      </w:r>
    </w:p>
    <w:p w14:paraId="07CB9645" w14:textId="77777777" w:rsidR="00023FA5" w:rsidRDefault="00023FA5" w:rsidP="00023FA5">
      <w:pPr>
        <w:spacing w:after="0"/>
        <w:rPr>
          <w:sz w:val="20"/>
          <w:szCs w:val="20"/>
        </w:rPr>
      </w:pPr>
      <w:r w:rsidRPr="00EC1EE8">
        <w:rPr>
          <w:sz w:val="20"/>
          <w:szCs w:val="20"/>
        </w:rPr>
        <w:t xml:space="preserve">Note: Infusion DMTs include </w:t>
      </w:r>
      <w:r>
        <w:rPr>
          <w:sz w:val="20"/>
          <w:szCs w:val="20"/>
        </w:rPr>
        <w:t>alemtuzumab, natalizumab and ocrelizumab. Oral DMTs include</w:t>
      </w:r>
      <w:r w:rsidRPr="00EC1EE8">
        <w:rPr>
          <w:sz w:val="20"/>
          <w:szCs w:val="20"/>
        </w:rPr>
        <w:t xml:space="preserve"> cladribine, dimethyl fumerate, </w:t>
      </w:r>
      <w:r>
        <w:rPr>
          <w:sz w:val="20"/>
          <w:szCs w:val="20"/>
        </w:rPr>
        <w:t xml:space="preserve">fingolimod, ozanimod, siponimod and teriflunomide. Injection DMTs include daclizumab, </w:t>
      </w:r>
      <w:r w:rsidRPr="00EC1EE8">
        <w:rPr>
          <w:sz w:val="20"/>
          <w:szCs w:val="20"/>
        </w:rPr>
        <w:t>glatiramer acetate, interfero</w:t>
      </w:r>
      <w:r>
        <w:rPr>
          <w:sz w:val="20"/>
          <w:szCs w:val="20"/>
        </w:rPr>
        <w:t xml:space="preserve">n beta-1a, interferon beta-1b, ofatumumab and peginterferon beta-1a. </w:t>
      </w:r>
    </w:p>
    <w:p w14:paraId="28509116" w14:textId="77777777" w:rsidR="00023FA5" w:rsidRDefault="00023FA5" w:rsidP="00023FA5"/>
    <w:p w14:paraId="35DABF6D" w14:textId="77777777" w:rsidR="00023FA5" w:rsidRDefault="00023FA5" w:rsidP="00023FA5">
      <w:r>
        <w:t>In Figure 10, all therapies were prescribed by either neurologists, GPs and internal medicine specialists, with a small proportion being prescribed by other specialist areas.</w:t>
      </w:r>
    </w:p>
    <w:p w14:paraId="23EE888C" w14:textId="77777777" w:rsidR="00023FA5" w:rsidRDefault="00023FA5" w:rsidP="00023FA5">
      <w:r>
        <w:t>In infusion and oral therapies, neurologists were the most common prescriber type accounting for approximat</w:t>
      </w:r>
      <w:r w:rsidRPr="00691CB6">
        <w:t>ely 6</w:t>
      </w:r>
      <w:r>
        <w:t>5</w:t>
      </w:r>
      <w:r w:rsidRPr="00691CB6">
        <w:t>%</w:t>
      </w:r>
      <w:r>
        <w:t xml:space="preserve"> and 68% of prescribers, respectively. GPs were second most common prescriber type accounting for approximately 29% and 27% of prescribers, respectively. </w:t>
      </w:r>
    </w:p>
    <w:p w14:paraId="10F9356F" w14:textId="77777777" w:rsidR="00023FA5" w:rsidRDefault="00023FA5" w:rsidP="00023FA5">
      <w:r>
        <w:t xml:space="preserve">In injection therapies, GPs were the most common prescriber type accounting for approximately 56% prescribers. Neurologists were the second most common prescriber type accounting for 38% of prescribers.  </w:t>
      </w:r>
    </w:p>
    <w:p w14:paraId="43839D3E" w14:textId="77777777" w:rsidR="00023FA5" w:rsidRDefault="00023FA5" w:rsidP="00023FA5">
      <w:r>
        <w:t xml:space="preserve">Seventy eight percent of patients initiating treatment with cladribine were prescribed by neurologists. </w:t>
      </w:r>
    </w:p>
    <w:p w14:paraId="2B343D06" w14:textId="77777777" w:rsidR="00023FA5" w:rsidRPr="00A35234" w:rsidRDefault="00023FA5" w:rsidP="00023FA5">
      <w:pPr>
        <w:spacing w:line="276" w:lineRule="auto"/>
        <w:rPr>
          <w:b/>
        </w:rPr>
      </w:pPr>
    </w:p>
    <w:p w14:paraId="0E15DF6E" w14:textId="77777777" w:rsidR="00023FA5" w:rsidRDefault="00023FA5" w:rsidP="00023FA5">
      <w:pPr>
        <w:spacing w:line="276" w:lineRule="auto"/>
        <w:rPr>
          <w:b/>
        </w:rPr>
      </w:pPr>
    </w:p>
    <w:p w14:paraId="7829470A" w14:textId="77777777" w:rsidR="00023FA5" w:rsidRPr="00CD3F59" w:rsidRDefault="00023FA5" w:rsidP="00023FA5">
      <w:pPr>
        <w:spacing w:line="276" w:lineRule="auto"/>
        <w:rPr>
          <w:b/>
        </w:rPr>
      </w:pPr>
      <w:r>
        <w:br w:type="page"/>
      </w:r>
    </w:p>
    <w:p w14:paraId="5F9D96D1" w14:textId="77777777" w:rsidR="00023FA5" w:rsidRDefault="00023FA5" w:rsidP="00023FA5">
      <w:pPr>
        <w:jc w:val="center"/>
      </w:pPr>
      <w:r w:rsidRPr="003C41F7">
        <w:rPr>
          <w:noProof/>
        </w:rPr>
        <w:lastRenderedPageBreak/>
        <w:drawing>
          <wp:inline distT="0" distB="0" distL="0" distR="0" wp14:anchorId="784EA558" wp14:editId="5D4948E8">
            <wp:extent cx="5687695" cy="3581400"/>
            <wp:effectExtent l="0" t="0" r="8255" b="0"/>
            <wp:docPr id="9" name="Picture 9" descr="Figure 11 presents the number of days between supply of cladribine prescriptions. The most common time to refill was 28 days. This is consistent with the Product Information which recommends the second treatment week be administered 28 days after the first treatment week. Furthermore, the Product Information describes the second treatment course begins in the following year, corresponding to approximately 337 days (365 days-28 days) from previous dose, as demonstrated in the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Figure 11 presents the number of days between supply of cladribine prescriptions. The most common time to refill was 28 days. This is consistent with the Product Information which recommends the second treatment week be administered 28 days after the first treatment week. Furthermore, the Product Information describes the second treatment course begins in the following year, corresponding to approximately 337 days (365 days-28 days) from previous dose, as demonstrated in the graph."/>
                    <pic:cNvPicPr/>
                  </pic:nvPicPr>
                  <pic:blipFill>
                    <a:blip r:embed="rId29"/>
                    <a:stretch>
                      <a:fillRect/>
                    </a:stretch>
                  </pic:blipFill>
                  <pic:spPr>
                    <a:xfrm>
                      <a:off x="0" y="0"/>
                      <a:ext cx="5687695" cy="3581400"/>
                    </a:xfrm>
                    <a:prstGeom prst="rect">
                      <a:avLst/>
                    </a:prstGeom>
                  </pic:spPr>
                </pic:pic>
              </a:graphicData>
            </a:graphic>
          </wp:inline>
        </w:drawing>
      </w:r>
    </w:p>
    <w:p w14:paraId="3BAFBF6B" w14:textId="77777777" w:rsidR="00023FA5" w:rsidRDefault="00023FA5" w:rsidP="00023FA5">
      <w:pPr>
        <w:pStyle w:val="Tabletitle"/>
        <w:rPr>
          <w:sz w:val="22"/>
        </w:rPr>
      </w:pPr>
      <w:r>
        <w:rPr>
          <w:sz w:val="22"/>
        </w:rPr>
        <w:t xml:space="preserve">Figure 11: Time to refill cladribine prescriptions </w:t>
      </w:r>
    </w:p>
    <w:p w14:paraId="604F5080" w14:textId="77777777" w:rsidR="00023FA5" w:rsidRDefault="00023FA5" w:rsidP="00023FA5"/>
    <w:p w14:paraId="5DD0162A" w14:textId="77777777" w:rsidR="00023FA5" w:rsidRDefault="00023FA5" w:rsidP="00023FA5">
      <w:r>
        <w:t xml:space="preserve">Figure 11 presents the number of days between supply of cladribine prescriptions. The most common time to refill was 28 days. This is consistent with the Product Information which recommends the second treatment week be administered 28 days after the first treatment week. </w:t>
      </w:r>
      <w:r w:rsidRPr="006F765E">
        <w:t xml:space="preserve">Furthermore, the Product Information describes the second treatment course begins in the following year, corresponding to </w:t>
      </w:r>
      <w:r>
        <w:t xml:space="preserve">approximately </w:t>
      </w:r>
      <w:r w:rsidRPr="006F765E">
        <w:t>337 days (365 days-28 days) from previous dose, as demonstrated in the graph.</w:t>
      </w:r>
    </w:p>
    <w:p w14:paraId="12EF3708" w14:textId="77777777" w:rsidR="00023FA5" w:rsidRPr="00644967" w:rsidRDefault="00023FA5" w:rsidP="00023FA5"/>
    <w:p w14:paraId="7E1EE55A" w14:textId="77777777" w:rsidR="00023FA5" w:rsidRDefault="00023FA5" w:rsidP="00023FA5">
      <w:pPr>
        <w:pStyle w:val="Tabletitle"/>
      </w:pPr>
      <w:r>
        <w:t xml:space="preserve">Table 4: Proportion of patients receiving cladribine treatment </w:t>
      </w:r>
    </w:p>
    <w:tbl>
      <w:tblPr>
        <w:tblStyle w:val="TableGrid"/>
        <w:tblW w:w="9005" w:type="dxa"/>
        <w:tblLook w:val="04A0" w:firstRow="1" w:lastRow="0" w:firstColumn="1" w:lastColumn="0" w:noHBand="0" w:noVBand="1"/>
      </w:tblPr>
      <w:tblGrid>
        <w:gridCol w:w="1801"/>
        <w:gridCol w:w="1801"/>
        <w:gridCol w:w="1801"/>
        <w:gridCol w:w="1801"/>
        <w:gridCol w:w="1801"/>
      </w:tblGrid>
      <w:tr w:rsidR="00023FA5" w:rsidRPr="006A3078" w14:paraId="63FD3745" w14:textId="77777777" w:rsidTr="00023FA5">
        <w:trPr>
          <w:trHeight w:val="59"/>
        </w:trPr>
        <w:tc>
          <w:tcPr>
            <w:tcW w:w="1801" w:type="dxa"/>
            <w:vMerge w:val="restart"/>
            <w:shd w:val="clear" w:color="auto" w:fill="BFBFBF" w:themeFill="background1" w:themeFillShade="BF"/>
          </w:tcPr>
          <w:p w14:paraId="0251976C" w14:textId="77777777" w:rsidR="00023FA5" w:rsidRDefault="00023FA5" w:rsidP="00023FA5">
            <w:pPr>
              <w:rPr>
                <w:b/>
                <w:sz w:val="20"/>
              </w:rPr>
            </w:pPr>
            <w:r>
              <w:rPr>
                <w:b/>
                <w:sz w:val="20"/>
              </w:rPr>
              <w:t xml:space="preserve">Drug </w:t>
            </w:r>
          </w:p>
        </w:tc>
        <w:tc>
          <w:tcPr>
            <w:tcW w:w="3602" w:type="dxa"/>
            <w:gridSpan w:val="2"/>
            <w:shd w:val="clear" w:color="auto" w:fill="BFBFBF" w:themeFill="background1" w:themeFillShade="BF"/>
          </w:tcPr>
          <w:p w14:paraId="0F2AC91A" w14:textId="77777777" w:rsidR="00023FA5" w:rsidRDefault="00023FA5" w:rsidP="00023FA5">
            <w:pPr>
              <w:jc w:val="center"/>
              <w:rPr>
                <w:b/>
                <w:sz w:val="20"/>
              </w:rPr>
            </w:pPr>
            <w:r>
              <w:rPr>
                <w:b/>
                <w:sz w:val="20"/>
              </w:rPr>
              <w:t xml:space="preserve">First treatment course </w:t>
            </w:r>
          </w:p>
        </w:tc>
        <w:tc>
          <w:tcPr>
            <w:tcW w:w="3602" w:type="dxa"/>
            <w:gridSpan w:val="2"/>
            <w:shd w:val="clear" w:color="auto" w:fill="BFBFBF" w:themeFill="background1" w:themeFillShade="BF"/>
          </w:tcPr>
          <w:p w14:paraId="7771AD21" w14:textId="77777777" w:rsidR="00023FA5" w:rsidRDefault="00023FA5" w:rsidP="00023FA5">
            <w:pPr>
              <w:jc w:val="center"/>
              <w:rPr>
                <w:b/>
                <w:sz w:val="20"/>
              </w:rPr>
            </w:pPr>
            <w:r>
              <w:rPr>
                <w:b/>
                <w:sz w:val="20"/>
              </w:rPr>
              <w:t xml:space="preserve">Second treatment course </w:t>
            </w:r>
          </w:p>
          <w:p w14:paraId="5F0BD528" w14:textId="77777777" w:rsidR="00023FA5" w:rsidRDefault="00023FA5" w:rsidP="00023FA5">
            <w:pPr>
              <w:jc w:val="center"/>
              <w:rPr>
                <w:b/>
                <w:sz w:val="20"/>
              </w:rPr>
            </w:pPr>
            <w:r>
              <w:rPr>
                <w:b/>
                <w:sz w:val="20"/>
              </w:rPr>
              <w:t>(1 year following)</w:t>
            </w:r>
          </w:p>
        </w:tc>
      </w:tr>
      <w:tr w:rsidR="00023FA5" w:rsidRPr="006A3078" w14:paraId="7BA71659" w14:textId="77777777" w:rsidTr="00023FA5">
        <w:trPr>
          <w:trHeight w:val="909"/>
        </w:trPr>
        <w:tc>
          <w:tcPr>
            <w:tcW w:w="1801" w:type="dxa"/>
            <w:vMerge/>
            <w:shd w:val="clear" w:color="auto" w:fill="BFBFBF" w:themeFill="background1" w:themeFillShade="BF"/>
          </w:tcPr>
          <w:p w14:paraId="043E46CF" w14:textId="77777777" w:rsidR="00023FA5" w:rsidRPr="006A3078" w:rsidRDefault="00023FA5" w:rsidP="00023FA5">
            <w:pPr>
              <w:rPr>
                <w:sz w:val="20"/>
              </w:rPr>
            </w:pPr>
          </w:p>
        </w:tc>
        <w:tc>
          <w:tcPr>
            <w:tcW w:w="1801" w:type="dxa"/>
            <w:shd w:val="clear" w:color="auto" w:fill="BFBFBF" w:themeFill="background1" w:themeFillShade="BF"/>
          </w:tcPr>
          <w:p w14:paraId="642F2686" w14:textId="77777777" w:rsidR="00023FA5" w:rsidRDefault="00023FA5" w:rsidP="00023FA5">
            <w:pPr>
              <w:jc w:val="center"/>
              <w:rPr>
                <w:b/>
                <w:sz w:val="20"/>
              </w:rPr>
            </w:pPr>
            <w:r>
              <w:rPr>
                <w:b/>
                <w:sz w:val="20"/>
              </w:rPr>
              <w:t xml:space="preserve">First treatment week </w:t>
            </w:r>
          </w:p>
          <w:p w14:paraId="7FE5CCC6" w14:textId="77777777" w:rsidR="00023FA5" w:rsidRPr="00644967" w:rsidRDefault="00023FA5" w:rsidP="00023FA5">
            <w:pPr>
              <w:jc w:val="center"/>
              <w:rPr>
                <w:b/>
                <w:sz w:val="20"/>
              </w:rPr>
            </w:pPr>
            <w:r>
              <w:rPr>
                <w:b/>
                <w:sz w:val="20"/>
              </w:rPr>
              <w:t>% (n)</w:t>
            </w:r>
          </w:p>
        </w:tc>
        <w:tc>
          <w:tcPr>
            <w:tcW w:w="1801" w:type="dxa"/>
            <w:shd w:val="clear" w:color="auto" w:fill="BFBFBF" w:themeFill="background1" w:themeFillShade="BF"/>
          </w:tcPr>
          <w:p w14:paraId="2DEDCFED" w14:textId="77777777" w:rsidR="00023FA5" w:rsidRDefault="00023FA5" w:rsidP="00023FA5">
            <w:pPr>
              <w:jc w:val="center"/>
              <w:rPr>
                <w:b/>
                <w:sz w:val="20"/>
              </w:rPr>
            </w:pPr>
            <w:r>
              <w:rPr>
                <w:b/>
                <w:sz w:val="20"/>
              </w:rPr>
              <w:t>Second treatment week (28 days following first treatment week)</w:t>
            </w:r>
          </w:p>
          <w:p w14:paraId="174E84A7" w14:textId="77777777" w:rsidR="00023FA5" w:rsidRDefault="00023FA5" w:rsidP="00023FA5">
            <w:pPr>
              <w:jc w:val="center"/>
              <w:rPr>
                <w:b/>
                <w:sz w:val="20"/>
              </w:rPr>
            </w:pPr>
            <w:r>
              <w:rPr>
                <w:b/>
                <w:sz w:val="20"/>
              </w:rPr>
              <w:t xml:space="preserve">% (n) </w:t>
            </w:r>
          </w:p>
        </w:tc>
        <w:tc>
          <w:tcPr>
            <w:tcW w:w="1801" w:type="dxa"/>
            <w:shd w:val="clear" w:color="auto" w:fill="BFBFBF" w:themeFill="background1" w:themeFillShade="BF"/>
          </w:tcPr>
          <w:p w14:paraId="3A43AE12" w14:textId="77777777" w:rsidR="00023FA5" w:rsidRDefault="00023FA5" w:rsidP="00023FA5">
            <w:pPr>
              <w:jc w:val="center"/>
              <w:rPr>
                <w:b/>
                <w:sz w:val="20"/>
              </w:rPr>
            </w:pPr>
            <w:r>
              <w:rPr>
                <w:b/>
                <w:sz w:val="20"/>
              </w:rPr>
              <w:t xml:space="preserve">First treatment week </w:t>
            </w:r>
          </w:p>
          <w:p w14:paraId="5179B33E" w14:textId="77777777" w:rsidR="00023FA5" w:rsidRDefault="00023FA5" w:rsidP="00023FA5">
            <w:pPr>
              <w:jc w:val="center"/>
              <w:rPr>
                <w:b/>
                <w:sz w:val="20"/>
              </w:rPr>
            </w:pPr>
            <w:r>
              <w:rPr>
                <w:b/>
                <w:sz w:val="20"/>
              </w:rPr>
              <w:t>% (n)</w:t>
            </w:r>
          </w:p>
          <w:p w14:paraId="44DE2F09" w14:textId="77777777" w:rsidR="00023FA5" w:rsidRDefault="00023FA5" w:rsidP="00023FA5">
            <w:pPr>
              <w:jc w:val="center"/>
              <w:rPr>
                <w:b/>
                <w:sz w:val="20"/>
              </w:rPr>
            </w:pPr>
          </w:p>
        </w:tc>
        <w:tc>
          <w:tcPr>
            <w:tcW w:w="1801" w:type="dxa"/>
            <w:shd w:val="clear" w:color="auto" w:fill="BFBFBF" w:themeFill="background1" w:themeFillShade="BF"/>
          </w:tcPr>
          <w:p w14:paraId="1ABF3A1F" w14:textId="77777777" w:rsidR="00023FA5" w:rsidRDefault="00023FA5" w:rsidP="00023FA5">
            <w:pPr>
              <w:jc w:val="center"/>
              <w:rPr>
                <w:b/>
                <w:sz w:val="20"/>
              </w:rPr>
            </w:pPr>
            <w:r>
              <w:rPr>
                <w:b/>
                <w:sz w:val="20"/>
              </w:rPr>
              <w:t>Second treatment week (1 month following first treatment week)</w:t>
            </w:r>
          </w:p>
          <w:p w14:paraId="35258689" w14:textId="77777777" w:rsidR="00023FA5" w:rsidRDefault="00023FA5" w:rsidP="00023FA5">
            <w:pPr>
              <w:jc w:val="center"/>
              <w:rPr>
                <w:b/>
                <w:sz w:val="20"/>
              </w:rPr>
            </w:pPr>
            <w:r>
              <w:rPr>
                <w:b/>
                <w:sz w:val="20"/>
              </w:rPr>
              <w:t xml:space="preserve">% (n) </w:t>
            </w:r>
          </w:p>
        </w:tc>
      </w:tr>
      <w:tr w:rsidR="00023FA5" w:rsidRPr="006A3078" w14:paraId="2D29DC62" w14:textId="77777777" w:rsidTr="00023FA5">
        <w:trPr>
          <w:trHeight w:val="98"/>
        </w:trPr>
        <w:tc>
          <w:tcPr>
            <w:tcW w:w="1801" w:type="dxa"/>
          </w:tcPr>
          <w:p w14:paraId="541159B4" w14:textId="77777777" w:rsidR="00023FA5" w:rsidRPr="006A3078" w:rsidRDefault="00023FA5" w:rsidP="00023FA5">
            <w:pPr>
              <w:rPr>
                <w:sz w:val="20"/>
              </w:rPr>
            </w:pPr>
            <w:r>
              <w:rPr>
                <w:sz w:val="20"/>
              </w:rPr>
              <w:t xml:space="preserve">Cladribine  </w:t>
            </w:r>
          </w:p>
        </w:tc>
        <w:tc>
          <w:tcPr>
            <w:tcW w:w="1801" w:type="dxa"/>
          </w:tcPr>
          <w:p w14:paraId="38AB3485" w14:textId="77777777" w:rsidR="00023FA5" w:rsidRPr="006A3078" w:rsidRDefault="00023FA5" w:rsidP="00023FA5">
            <w:pPr>
              <w:jc w:val="right"/>
              <w:rPr>
                <w:sz w:val="20"/>
              </w:rPr>
            </w:pPr>
            <w:r>
              <w:rPr>
                <w:sz w:val="20"/>
              </w:rPr>
              <w:t>100% (1,130)</w:t>
            </w:r>
          </w:p>
        </w:tc>
        <w:tc>
          <w:tcPr>
            <w:tcW w:w="1801" w:type="dxa"/>
          </w:tcPr>
          <w:p w14:paraId="1B0A9BE6" w14:textId="77777777" w:rsidR="00023FA5" w:rsidRDefault="00023FA5" w:rsidP="00023FA5">
            <w:pPr>
              <w:jc w:val="right"/>
              <w:rPr>
                <w:sz w:val="20"/>
              </w:rPr>
            </w:pPr>
            <w:r>
              <w:rPr>
                <w:sz w:val="20"/>
              </w:rPr>
              <w:t>98.1% (1,108)</w:t>
            </w:r>
          </w:p>
        </w:tc>
        <w:tc>
          <w:tcPr>
            <w:tcW w:w="1801" w:type="dxa"/>
          </w:tcPr>
          <w:p w14:paraId="010B8845" w14:textId="77777777" w:rsidR="00023FA5" w:rsidRDefault="00023FA5" w:rsidP="00023FA5">
            <w:pPr>
              <w:jc w:val="right"/>
              <w:rPr>
                <w:sz w:val="20"/>
              </w:rPr>
            </w:pPr>
            <w:r>
              <w:rPr>
                <w:sz w:val="20"/>
              </w:rPr>
              <w:t>96.4% (1,089)</w:t>
            </w:r>
          </w:p>
        </w:tc>
        <w:tc>
          <w:tcPr>
            <w:tcW w:w="1801" w:type="dxa"/>
          </w:tcPr>
          <w:p w14:paraId="32777E02" w14:textId="77777777" w:rsidR="00023FA5" w:rsidRDefault="00023FA5" w:rsidP="00023FA5">
            <w:pPr>
              <w:jc w:val="right"/>
              <w:rPr>
                <w:sz w:val="20"/>
              </w:rPr>
            </w:pPr>
            <w:r>
              <w:rPr>
                <w:sz w:val="20"/>
              </w:rPr>
              <w:t>95.4% (1,078)</w:t>
            </w:r>
          </w:p>
        </w:tc>
      </w:tr>
      <w:tr w:rsidR="00023FA5" w:rsidRPr="006A3078" w14:paraId="69EB1748" w14:textId="77777777" w:rsidTr="00023FA5">
        <w:trPr>
          <w:trHeight w:val="26"/>
        </w:trPr>
        <w:tc>
          <w:tcPr>
            <w:tcW w:w="1801" w:type="dxa"/>
          </w:tcPr>
          <w:p w14:paraId="39F86FC9" w14:textId="77777777" w:rsidR="00023FA5" w:rsidRPr="006A3078" w:rsidRDefault="00023FA5" w:rsidP="00023FA5">
            <w:pPr>
              <w:rPr>
                <w:sz w:val="20"/>
              </w:rPr>
            </w:pPr>
            <w:r>
              <w:rPr>
                <w:sz w:val="20"/>
              </w:rPr>
              <w:t xml:space="preserve">Other RRMS drug </w:t>
            </w:r>
          </w:p>
        </w:tc>
        <w:tc>
          <w:tcPr>
            <w:tcW w:w="1801" w:type="dxa"/>
          </w:tcPr>
          <w:p w14:paraId="0AE53B7E" w14:textId="77777777" w:rsidR="00023FA5" w:rsidRPr="006A3078" w:rsidRDefault="00023FA5" w:rsidP="00023FA5">
            <w:pPr>
              <w:jc w:val="right"/>
              <w:rPr>
                <w:sz w:val="20"/>
              </w:rPr>
            </w:pPr>
            <w:r>
              <w:rPr>
                <w:sz w:val="20"/>
              </w:rPr>
              <w:t xml:space="preserve">0% </w:t>
            </w:r>
          </w:p>
        </w:tc>
        <w:tc>
          <w:tcPr>
            <w:tcW w:w="1801" w:type="dxa"/>
          </w:tcPr>
          <w:p w14:paraId="1727F4E4" w14:textId="77777777" w:rsidR="00023FA5" w:rsidRDefault="00023FA5" w:rsidP="00023FA5">
            <w:pPr>
              <w:jc w:val="right"/>
              <w:rPr>
                <w:sz w:val="20"/>
              </w:rPr>
            </w:pPr>
            <w:r>
              <w:rPr>
                <w:sz w:val="20"/>
              </w:rPr>
              <w:t>1.9% (22)</w:t>
            </w:r>
          </w:p>
        </w:tc>
        <w:tc>
          <w:tcPr>
            <w:tcW w:w="1801" w:type="dxa"/>
          </w:tcPr>
          <w:p w14:paraId="72EA976E" w14:textId="77777777" w:rsidR="00023FA5" w:rsidRDefault="00023FA5" w:rsidP="00023FA5">
            <w:pPr>
              <w:jc w:val="right"/>
              <w:rPr>
                <w:sz w:val="20"/>
              </w:rPr>
            </w:pPr>
            <w:r>
              <w:rPr>
                <w:sz w:val="20"/>
              </w:rPr>
              <w:t>3.6% (41)</w:t>
            </w:r>
          </w:p>
        </w:tc>
        <w:tc>
          <w:tcPr>
            <w:tcW w:w="1801" w:type="dxa"/>
          </w:tcPr>
          <w:p w14:paraId="2CC0578A" w14:textId="77777777" w:rsidR="00023FA5" w:rsidRDefault="00023FA5" w:rsidP="00023FA5">
            <w:pPr>
              <w:jc w:val="right"/>
              <w:rPr>
                <w:sz w:val="20"/>
              </w:rPr>
            </w:pPr>
            <w:r>
              <w:rPr>
                <w:sz w:val="20"/>
              </w:rPr>
              <w:t>4.6% (52)</w:t>
            </w:r>
          </w:p>
        </w:tc>
      </w:tr>
    </w:tbl>
    <w:p w14:paraId="7AE9104D" w14:textId="77777777" w:rsidR="00023FA5" w:rsidRPr="0008790A" w:rsidRDefault="00023FA5" w:rsidP="00023FA5">
      <w:r>
        <w:t xml:space="preserve">Table 4 describes the cohort of cladribine patients who initiated treatment in 2019 and the proportion receiving subsequent treatment. Of this cohort, 95.4% of cladribine patients completed the second treatment course. </w:t>
      </w:r>
    </w:p>
    <w:p w14:paraId="5A23506F" w14:textId="77777777" w:rsidR="00023FA5" w:rsidRDefault="00023FA5" w:rsidP="00023FA5">
      <w:pPr>
        <w:pStyle w:val="Tabletitle"/>
      </w:pPr>
      <w:r>
        <w:t>Table 5: Use of cladribine as a monotherapy and cases of potential co-supply of another RRMS therapy within 12 months of first supply of cladribine</w:t>
      </w:r>
    </w:p>
    <w:tbl>
      <w:tblPr>
        <w:tblStyle w:val="TableGrid"/>
        <w:tblW w:w="0" w:type="auto"/>
        <w:tblLook w:val="04A0" w:firstRow="1" w:lastRow="0" w:firstColumn="1" w:lastColumn="0" w:noHBand="0" w:noVBand="1"/>
      </w:tblPr>
      <w:tblGrid>
        <w:gridCol w:w="3470"/>
        <w:gridCol w:w="3471"/>
      </w:tblGrid>
      <w:tr w:rsidR="00023FA5" w:rsidRPr="006A3078" w14:paraId="67EDD602" w14:textId="77777777" w:rsidTr="00023FA5">
        <w:tc>
          <w:tcPr>
            <w:tcW w:w="3470" w:type="dxa"/>
            <w:shd w:val="clear" w:color="auto" w:fill="BFBFBF" w:themeFill="background1" w:themeFillShade="BF"/>
          </w:tcPr>
          <w:p w14:paraId="17D192E9" w14:textId="77777777" w:rsidR="00023FA5" w:rsidRPr="006A3078" w:rsidRDefault="00023FA5" w:rsidP="00023FA5">
            <w:pPr>
              <w:rPr>
                <w:sz w:val="20"/>
              </w:rPr>
            </w:pPr>
            <w:r>
              <w:rPr>
                <w:b/>
                <w:sz w:val="20"/>
              </w:rPr>
              <w:lastRenderedPageBreak/>
              <w:t xml:space="preserve">Drug regimen  </w:t>
            </w:r>
            <w:r w:rsidRPr="0073473B">
              <w:rPr>
                <w:b/>
                <w:sz w:val="20"/>
              </w:rPr>
              <w:t xml:space="preserve"> </w:t>
            </w:r>
          </w:p>
        </w:tc>
        <w:tc>
          <w:tcPr>
            <w:tcW w:w="3471" w:type="dxa"/>
            <w:shd w:val="clear" w:color="auto" w:fill="BFBFBF" w:themeFill="background1" w:themeFillShade="BF"/>
          </w:tcPr>
          <w:p w14:paraId="5DFDAD4A" w14:textId="77777777" w:rsidR="00023FA5" w:rsidRPr="006A3078" w:rsidRDefault="00023FA5" w:rsidP="00023FA5">
            <w:pPr>
              <w:jc w:val="center"/>
              <w:rPr>
                <w:sz w:val="20"/>
              </w:rPr>
            </w:pPr>
            <w:r>
              <w:rPr>
                <w:b/>
                <w:sz w:val="20"/>
              </w:rPr>
              <w:t xml:space="preserve">Proportion of all regimens </w:t>
            </w:r>
          </w:p>
        </w:tc>
      </w:tr>
      <w:tr w:rsidR="00023FA5" w:rsidRPr="006A3078" w14:paraId="2FC91578" w14:textId="77777777" w:rsidTr="00023FA5">
        <w:tc>
          <w:tcPr>
            <w:tcW w:w="3470" w:type="dxa"/>
          </w:tcPr>
          <w:p w14:paraId="2A37FAAC" w14:textId="77777777" w:rsidR="00023FA5" w:rsidRPr="006A3078" w:rsidRDefault="00023FA5" w:rsidP="00023FA5">
            <w:pPr>
              <w:rPr>
                <w:sz w:val="20"/>
              </w:rPr>
            </w:pPr>
            <w:r>
              <w:rPr>
                <w:sz w:val="20"/>
              </w:rPr>
              <w:t>Cladribine monotherapy</w:t>
            </w:r>
          </w:p>
        </w:tc>
        <w:tc>
          <w:tcPr>
            <w:tcW w:w="3471" w:type="dxa"/>
          </w:tcPr>
          <w:p w14:paraId="40985A32" w14:textId="77777777" w:rsidR="00023FA5" w:rsidRPr="006A3078" w:rsidRDefault="00023FA5" w:rsidP="00023FA5">
            <w:pPr>
              <w:jc w:val="right"/>
              <w:rPr>
                <w:sz w:val="20"/>
              </w:rPr>
            </w:pPr>
            <w:r>
              <w:rPr>
                <w:sz w:val="20"/>
              </w:rPr>
              <w:t>99.2%</w:t>
            </w:r>
          </w:p>
        </w:tc>
      </w:tr>
      <w:tr w:rsidR="00023FA5" w:rsidRPr="006A3078" w14:paraId="185A24A5" w14:textId="77777777" w:rsidTr="00023FA5">
        <w:tc>
          <w:tcPr>
            <w:tcW w:w="3470" w:type="dxa"/>
          </w:tcPr>
          <w:p w14:paraId="5049663F" w14:textId="77777777" w:rsidR="00023FA5" w:rsidRDefault="00023FA5" w:rsidP="00023FA5">
            <w:pPr>
              <w:rPr>
                <w:sz w:val="20"/>
              </w:rPr>
            </w:pPr>
            <w:r>
              <w:rPr>
                <w:sz w:val="20"/>
              </w:rPr>
              <w:t>Cladribine co-supply</w:t>
            </w:r>
          </w:p>
        </w:tc>
        <w:tc>
          <w:tcPr>
            <w:tcW w:w="3471" w:type="dxa"/>
          </w:tcPr>
          <w:p w14:paraId="2AE46DEF" w14:textId="77777777" w:rsidR="00023FA5" w:rsidRDefault="00023FA5" w:rsidP="00023FA5">
            <w:pPr>
              <w:jc w:val="right"/>
              <w:rPr>
                <w:sz w:val="20"/>
              </w:rPr>
            </w:pPr>
            <w:r>
              <w:rPr>
                <w:sz w:val="20"/>
              </w:rPr>
              <w:t>0.8%</w:t>
            </w:r>
          </w:p>
        </w:tc>
      </w:tr>
    </w:tbl>
    <w:p w14:paraId="553C97F8" w14:textId="77777777" w:rsidR="00023FA5" w:rsidRDefault="00023FA5" w:rsidP="00023FA5">
      <w:pPr>
        <w:spacing w:line="276" w:lineRule="auto"/>
      </w:pPr>
    </w:p>
    <w:p w14:paraId="109EF09E" w14:textId="77777777" w:rsidR="00023FA5" w:rsidRDefault="00023FA5" w:rsidP="00023FA5">
      <w:pPr>
        <w:spacing w:line="276" w:lineRule="auto"/>
      </w:pPr>
      <w:r>
        <w:t xml:space="preserve">From Table 5, less than 1% of regimens were probable cases of co-supply of another RRMS therapy within 12 months of first cladribine supply.  Potential co-supplied DMTs included dimethyl fumarate, fingolimod, glatiramer acetate, interferon beta-1a, interferon beta-1b, natalizumab, ocrelizumab and siponimod. Potential co-administration was most common with dimethyl fumarate and fingolimod. </w:t>
      </w:r>
    </w:p>
    <w:p w14:paraId="3C81A9FA" w14:textId="77777777" w:rsidR="00023FA5" w:rsidRDefault="00023FA5" w:rsidP="00023FA5">
      <w:pPr>
        <w:pStyle w:val="Tabletitle"/>
      </w:pPr>
      <w:r>
        <w:t>Table 6: Switching sequences for cladribine following 12 months of first supply of cladribine</w:t>
      </w:r>
    </w:p>
    <w:tbl>
      <w:tblPr>
        <w:tblStyle w:val="TableGrid"/>
        <w:tblW w:w="0" w:type="auto"/>
        <w:tblLook w:val="04A0" w:firstRow="1" w:lastRow="0" w:firstColumn="1" w:lastColumn="0" w:noHBand="0" w:noVBand="1"/>
      </w:tblPr>
      <w:tblGrid>
        <w:gridCol w:w="5098"/>
        <w:gridCol w:w="1856"/>
      </w:tblGrid>
      <w:tr w:rsidR="00023FA5" w:rsidRPr="006A3078" w14:paraId="776103E6" w14:textId="77777777" w:rsidTr="00023FA5">
        <w:trPr>
          <w:trHeight w:val="257"/>
        </w:trPr>
        <w:tc>
          <w:tcPr>
            <w:tcW w:w="5098" w:type="dxa"/>
            <w:shd w:val="clear" w:color="auto" w:fill="BFBFBF" w:themeFill="background1" w:themeFillShade="BF"/>
          </w:tcPr>
          <w:p w14:paraId="5562A7B9" w14:textId="77777777" w:rsidR="00023FA5" w:rsidRPr="006A3078" w:rsidRDefault="00023FA5" w:rsidP="00023FA5">
            <w:pPr>
              <w:rPr>
                <w:sz w:val="20"/>
              </w:rPr>
            </w:pPr>
          </w:p>
        </w:tc>
        <w:tc>
          <w:tcPr>
            <w:tcW w:w="1856" w:type="dxa"/>
            <w:shd w:val="clear" w:color="auto" w:fill="BFBFBF" w:themeFill="background1" w:themeFillShade="BF"/>
          </w:tcPr>
          <w:p w14:paraId="44C93E1F" w14:textId="77777777" w:rsidR="00023FA5" w:rsidRPr="006A3078" w:rsidRDefault="00023FA5" w:rsidP="00023FA5">
            <w:pPr>
              <w:jc w:val="center"/>
              <w:rPr>
                <w:sz w:val="20"/>
              </w:rPr>
            </w:pPr>
            <w:r>
              <w:rPr>
                <w:b/>
                <w:sz w:val="20"/>
              </w:rPr>
              <w:t>Percent</w:t>
            </w:r>
          </w:p>
        </w:tc>
      </w:tr>
      <w:tr w:rsidR="00023FA5" w:rsidRPr="006A3078" w14:paraId="2EBD619B" w14:textId="77777777" w:rsidTr="00023FA5">
        <w:trPr>
          <w:trHeight w:val="242"/>
        </w:trPr>
        <w:tc>
          <w:tcPr>
            <w:tcW w:w="5098" w:type="dxa"/>
          </w:tcPr>
          <w:p w14:paraId="5FDF8A2F" w14:textId="77777777" w:rsidR="00023FA5" w:rsidRDefault="00023FA5" w:rsidP="00023FA5">
            <w:pPr>
              <w:rPr>
                <w:sz w:val="20"/>
              </w:rPr>
            </w:pPr>
            <w:r w:rsidRPr="00466A7B">
              <w:rPr>
                <w:rFonts w:ascii="Calibri" w:eastAsia="Times New Roman" w:hAnsi="Calibri" w:cs="Calibri"/>
                <w:color w:val="000000"/>
                <w:sz w:val="20"/>
                <w:szCs w:val="22"/>
              </w:rPr>
              <w:t>CLADRIBINE</w:t>
            </w:r>
          </w:p>
        </w:tc>
        <w:tc>
          <w:tcPr>
            <w:tcW w:w="1856" w:type="dxa"/>
          </w:tcPr>
          <w:p w14:paraId="1DC52231" w14:textId="77777777" w:rsidR="00023FA5" w:rsidRDefault="00023FA5" w:rsidP="00023FA5">
            <w:pPr>
              <w:jc w:val="right"/>
              <w:rPr>
                <w:sz w:val="20"/>
              </w:rPr>
            </w:pPr>
            <w:r w:rsidRPr="00466A7B">
              <w:rPr>
                <w:rFonts w:ascii="Calibri" w:eastAsia="Times New Roman" w:hAnsi="Calibri" w:cs="Calibri"/>
                <w:color w:val="000000"/>
                <w:sz w:val="20"/>
                <w:szCs w:val="22"/>
              </w:rPr>
              <w:t>9</w:t>
            </w:r>
            <w:r>
              <w:rPr>
                <w:rFonts w:ascii="Calibri" w:eastAsia="Times New Roman" w:hAnsi="Calibri" w:cs="Calibri"/>
                <w:color w:val="000000"/>
                <w:sz w:val="20"/>
                <w:szCs w:val="22"/>
              </w:rPr>
              <w:t>6.0</w:t>
            </w:r>
            <w:r w:rsidRPr="00466A7B">
              <w:rPr>
                <w:rFonts w:ascii="Calibri" w:eastAsia="Times New Roman" w:hAnsi="Calibri" w:cs="Calibri"/>
                <w:color w:val="000000"/>
                <w:sz w:val="20"/>
                <w:szCs w:val="22"/>
              </w:rPr>
              <w:t>%</w:t>
            </w:r>
          </w:p>
        </w:tc>
      </w:tr>
      <w:tr w:rsidR="00023FA5" w:rsidRPr="006A3078" w14:paraId="62E9540D" w14:textId="77777777" w:rsidTr="00023FA5">
        <w:trPr>
          <w:trHeight w:val="242"/>
        </w:trPr>
        <w:tc>
          <w:tcPr>
            <w:tcW w:w="5098" w:type="dxa"/>
          </w:tcPr>
          <w:p w14:paraId="32564CCE" w14:textId="77777777" w:rsidR="00023FA5" w:rsidRPr="00466A7B" w:rsidRDefault="00023FA5" w:rsidP="00023FA5">
            <w:pPr>
              <w:rPr>
                <w:rFonts w:ascii="Calibri" w:eastAsia="Times New Roman" w:hAnsi="Calibri" w:cs="Calibri"/>
                <w:color w:val="000000"/>
                <w:sz w:val="20"/>
                <w:szCs w:val="22"/>
              </w:rPr>
            </w:pPr>
            <w:r>
              <w:rPr>
                <w:rFonts w:ascii="Calibri" w:eastAsia="Times New Roman" w:hAnsi="Calibri" w:cs="Calibri"/>
                <w:color w:val="000000"/>
                <w:sz w:val="20"/>
                <w:szCs w:val="22"/>
              </w:rPr>
              <w:t>CLADRIBINE&gt;OCRELIZUMAB</w:t>
            </w:r>
          </w:p>
        </w:tc>
        <w:tc>
          <w:tcPr>
            <w:tcW w:w="1856" w:type="dxa"/>
          </w:tcPr>
          <w:p w14:paraId="33CD37FA" w14:textId="77777777" w:rsidR="00023FA5" w:rsidRPr="00466A7B" w:rsidRDefault="00023FA5" w:rsidP="00023FA5">
            <w:pPr>
              <w:jc w:val="right"/>
              <w:rPr>
                <w:rFonts w:ascii="Calibri" w:eastAsia="Times New Roman" w:hAnsi="Calibri" w:cs="Calibri"/>
                <w:color w:val="000000"/>
                <w:sz w:val="20"/>
                <w:szCs w:val="22"/>
              </w:rPr>
            </w:pPr>
            <w:r>
              <w:rPr>
                <w:rFonts w:ascii="Calibri" w:eastAsia="Times New Roman" w:hAnsi="Calibri" w:cs="Calibri"/>
                <w:color w:val="000000"/>
                <w:sz w:val="20"/>
                <w:szCs w:val="22"/>
              </w:rPr>
              <w:t>2.0%</w:t>
            </w:r>
          </w:p>
        </w:tc>
      </w:tr>
      <w:tr w:rsidR="00023FA5" w:rsidRPr="006A3078" w14:paraId="4185D49C" w14:textId="77777777" w:rsidTr="00023FA5">
        <w:trPr>
          <w:trHeight w:val="242"/>
        </w:trPr>
        <w:tc>
          <w:tcPr>
            <w:tcW w:w="5098" w:type="dxa"/>
          </w:tcPr>
          <w:p w14:paraId="2C4A5595" w14:textId="77777777" w:rsidR="00023FA5" w:rsidRDefault="00023FA5" w:rsidP="00023FA5">
            <w:pPr>
              <w:rPr>
                <w:sz w:val="20"/>
              </w:rPr>
            </w:pPr>
            <w:r w:rsidRPr="00466A7B">
              <w:rPr>
                <w:rFonts w:ascii="Calibri" w:eastAsia="Times New Roman" w:hAnsi="Calibri" w:cs="Calibri"/>
                <w:color w:val="000000"/>
                <w:sz w:val="20"/>
                <w:szCs w:val="22"/>
              </w:rPr>
              <w:t>CLADRIBINE&gt;NATALIZUMAB</w:t>
            </w:r>
          </w:p>
        </w:tc>
        <w:tc>
          <w:tcPr>
            <w:tcW w:w="1856" w:type="dxa"/>
          </w:tcPr>
          <w:p w14:paraId="3AC20D52" w14:textId="77777777" w:rsidR="00023FA5" w:rsidRDefault="00023FA5" w:rsidP="00023FA5">
            <w:pPr>
              <w:jc w:val="right"/>
              <w:rPr>
                <w:sz w:val="20"/>
              </w:rPr>
            </w:pPr>
            <w:r>
              <w:rPr>
                <w:rFonts w:ascii="Calibri" w:eastAsia="Times New Roman" w:hAnsi="Calibri" w:cs="Calibri"/>
                <w:color w:val="000000"/>
                <w:sz w:val="20"/>
                <w:szCs w:val="22"/>
              </w:rPr>
              <w:t>1.3</w:t>
            </w:r>
            <w:r w:rsidRPr="00466A7B">
              <w:rPr>
                <w:rFonts w:ascii="Calibri" w:eastAsia="Times New Roman" w:hAnsi="Calibri" w:cs="Calibri"/>
                <w:color w:val="000000"/>
                <w:sz w:val="20"/>
                <w:szCs w:val="22"/>
              </w:rPr>
              <w:t>%</w:t>
            </w:r>
          </w:p>
        </w:tc>
      </w:tr>
      <w:tr w:rsidR="00023FA5" w:rsidRPr="006A3078" w14:paraId="35F5CD0D" w14:textId="77777777" w:rsidTr="00023FA5">
        <w:trPr>
          <w:trHeight w:val="242"/>
        </w:trPr>
        <w:tc>
          <w:tcPr>
            <w:tcW w:w="5098" w:type="dxa"/>
          </w:tcPr>
          <w:p w14:paraId="463A4BFF" w14:textId="77777777" w:rsidR="00023FA5" w:rsidRDefault="00023FA5" w:rsidP="00023FA5">
            <w:pPr>
              <w:rPr>
                <w:sz w:val="20"/>
              </w:rPr>
            </w:pPr>
            <w:r>
              <w:rPr>
                <w:sz w:val="20"/>
              </w:rPr>
              <w:t xml:space="preserve">OTHER SEQUENCES </w:t>
            </w:r>
          </w:p>
        </w:tc>
        <w:tc>
          <w:tcPr>
            <w:tcW w:w="1856" w:type="dxa"/>
          </w:tcPr>
          <w:p w14:paraId="458261FC" w14:textId="77777777" w:rsidR="00023FA5" w:rsidRDefault="00023FA5" w:rsidP="00023FA5">
            <w:pPr>
              <w:jc w:val="right"/>
              <w:rPr>
                <w:sz w:val="20"/>
              </w:rPr>
            </w:pPr>
            <w:r>
              <w:rPr>
                <w:sz w:val="20"/>
              </w:rPr>
              <w:t>0.8%</w:t>
            </w:r>
          </w:p>
        </w:tc>
      </w:tr>
    </w:tbl>
    <w:p w14:paraId="31C830A8" w14:textId="77777777" w:rsidR="00023FA5" w:rsidRDefault="00023FA5" w:rsidP="00023FA5">
      <w:pPr>
        <w:spacing w:line="276" w:lineRule="auto"/>
      </w:pPr>
    </w:p>
    <w:p w14:paraId="67FF7B10" w14:textId="77777777" w:rsidR="00023FA5" w:rsidRDefault="00023FA5" w:rsidP="00023FA5">
      <w:pPr>
        <w:spacing w:line="276" w:lineRule="auto"/>
      </w:pPr>
      <w:r>
        <w:t xml:space="preserve">From Table 6, 95.3% of patients who initiated with cladribine treatment remain on cladribine treatment. </w:t>
      </w:r>
    </w:p>
    <w:p w14:paraId="4F211371" w14:textId="77777777" w:rsidR="00023FA5" w:rsidRDefault="00023FA5" w:rsidP="00023FA5">
      <w:pPr>
        <w:spacing w:line="276" w:lineRule="auto"/>
      </w:pPr>
    </w:p>
    <w:p w14:paraId="42F3AED7" w14:textId="77777777" w:rsidR="00023FA5" w:rsidRDefault="00023FA5" w:rsidP="00023FA5">
      <w:pPr>
        <w:jc w:val="center"/>
        <w:rPr>
          <w:highlight w:val="yellow"/>
        </w:rPr>
      </w:pPr>
      <w:r>
        <w:rPr>
          <w:noProof/>
        </w:rPr>
        <w:drawing>
          <wp:inline distT="0" distB="0" distL="0" distR="0" wp14:anchorId="75FFB579" wp14:editId="79C0B72C">
            <wp:extent cx="4937760" cy="2973788"/>
            <wp:effectExtent l="0" t="0" r="15240" b="17145"/>
            <wp:docPr id="33" name="Chart 33" descr="From Figure 12, 49% of patients who switched to cladribine were previously on oral therapy (dimethyl fumarate, fingolimod, teriflunomide). "/>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9875150" w14:textId="77777777" w:rsidR="00023FA5" w:rsidRPr="00A40318" w:rsidRDefault="00023FA5" w:rsidP="00023FA5">
      <w:pPr>
        <w:pStyle w:val="Tabletitle"/>
        <w:rPr>
          <w:sz w:val="22"/>
        </w:rPr>
      </w:pPr>
      <w:r>
        <w:rPr>
          <w:sz w:val="22"/>
        </w:rPr>
        <w:t>Figure 12: Profile of last RRMS DMT before patient switching to cladribine</w:t>
      </w:r>
    </w:p>
    <w:p w14:paraId="7747306B" w14:textId="77777777" w:rsidR="00023FA5" w:rsidRPr="00A40318" w:rsidRDefault="00023FA5" w:rsidP="00023FA5">
      <w:r w:rsidRPr="00A40318">
        <w:t>From Figure 1</w:t>
      </w:r>
      <w:r>
        <w:t>2</w:t>
      </w:r>
      <w:r w:rsidRPr="00A40318">
        <w:t>, 49% of patients who switched to cladribine were previously on oral therapy (dimethyl fum</w:t>
      </w:r>
      <w:r>
        <w:t>a</w:t>
      </w:r>
      <w:r w:rsidRPr="00A40318">
        <w:t>rate, fingolimod, teriflunomide)</w:t>
      </w:r>
      <w:r>
        <w:t xml:space="preserve">. </w:t>
      </w:r>
    </w:p>
    <w:p w14:paraId="01196838" w14:textId="77777777" w:rsidR="00023FA5" w:rsidRPr="00A40318" w:rsidRDefault="00023FA5" w:rsidP="00023FA5">
      <w:pPr>
        <w:pStyle w:val="Tabletitle"/>
      </w:pPr>
      <w:r>
        <w:lastRenderedPageBreak/>
        <w:t>Table 7</w:t>
      </w:r>
      <w:r w:rsidRPr="00A40318">
        <w:t xml:space="preserve">: </w:t>
      </w:r>
      <w:r>
        <w:t xml:space="preserve">Switching sequences by RRMS DMT form from </w:t>
      </w:r>
      <w:r w:rsidRPr="00A40318">
        <w:t xml:space="preserve">1 October 2020 and 30 September 2021  </w:t>
      </w:r>
    </w:p>
    <w:tbl>
      <w:tblPr>
        <w:tblStyle w:val="TableGrid"/>
        <w:tblW w:w="0" w:type="auto"/>
        <w:tblLook w:val="04A0" w:firstRow="1" w:lastRow="0" w:firstColumn="1" w:lastColumn="0" w:noHBand="0" w:noVBand="1"/>
      </w:tblPr>
      <w:tblGrid>
        <w:gridCol w:w="2929"/>
        <w:gridCol w:w="3020"/>
        <w:gridCol w:w="2839"/>
      </w:tblGrid>
      <w:tr w:rsidR="00023FA5" w:rsidRPr="00A40318" w14:paraId="6EA9EECD" w14:textId="77777777" w:rsidTr="00023FA5">
        <w:trPr>
          <w:trHeight w:val="257"/>
        </w:trPr>
        <w:tc>
          <w:tcPr>
            <w:tcW w:w="2929" w:type="dxa"/>
            <w:shd w:val="clear" w:color="auto" w:fill="BFBFBF" w:themeFill="background1" w:themeFillShade="BF"/>
          </w:tcPr>
          <w:p w14:paraId="46BFDCD3" w14:textId="77777777" w:rsidR="00023FA5" w:rsidRPr="00A40318" w:rsidRDefault="00023FA5" w:rsidP="00023FA5">
            <w:pPr>
              <w:jc w:val="center"/>
              <w:rPr>
                <w:sz w:val="20"/>
              </w:rPr>
            </w:pPr>
            <w:r>
              <w:rPr>
                <w:b/>
                <w:sz w:val="20"/>
              </w:rPr>
              <w:t>Sequence</w:t>
            </w:r>
          </w:p>
        </w:tc>
        <w:tc>
          <w:tcPr>
            <w:tcW w:w="3020" w:type="dxa"/>
            <w:shd w:val="clear" w:color="auto" w:fill="BFBFBF" w:themeFill="background1" w:themeFillShade="BF"/>
          </w:tcPr>
          <w:p w14:paraId="49875223" w14:textId="77777777" w:rsidR="00023FA5" w:rsidRPr="00A40318" w:rsidRDefault="00023FA5" w:rsidP="00023FA5">
            <w:pPr>
              <w:jc w:val="center"/>
              <w:rPr>
                <w:sz w:val="20"/>
              </w:rPr>
            </w:pPr>
            <w:r w:rsidRPr="00A40318">
              <w:rPr>
                <w:b/>
                <w:sz w:val="20"/>
              </w:rPr>
              <w:t>Count</w:t>
            </w:r>
          </w:p>
        </w:tc>
        <w:tc>
          <w:tcPr>
            <w:tcW w:w="2839" w:type="dxa"/>
            <w:shd w:val="clear" w:color="auto" w:fill="BFBFBF" w:themeFill="background1" w:themeFillShade="BF"/>
          </w:tcPr>
          <w:p w14:paraId="6766D298" w14:textId="77777777" w:rsidR="00023FA5" w:rsidRPr="00A40318" w:rsidRDefault="00023FA5" w:rsidP="00023FA5">
            <w:pPr>
              <w:jc w:val="center"/>
              <w:rPr>
                <w:sz w:val="20"/>
              </w:rPr>
            </w:pPr>
            <w:r w:rsidRPr="00A40318">
              <w:rPr>
                <w:b/>
                <w:sz w:val="20"/>
              </w:rPr>
              <w:t>Percent</w:t>
            </w:r>
          </w:p>
        </w:tc>
      </w:tr>
      <w:tr w:rsidR="00023FA5" w:rsidRPr="00A40318" w14:paraId="736A4F64" w14:textId="77777777" w:rsidTr="00023FA5">
        <w:trPr>
          <w:trHeight w:val="242"/>
        </w:trPr>
        <w:tc>
          <w:tcPr>
            <w:tcW w:w="2929" w:type="dxa"/>
          </w:tcPr>
          <w:p w14:paraId="083B29A9" w14:textId="77777777" w:rsidR="00023FA5" w:rsidRPr="00A40318" w:rsidRDefault="00023FA5" w:rsidP="00023FA5">
            <w:pPr>
              <w:jc w:val="center"/>
              <w:rPr>
                <w:sz w:val="20"/>
              </w:rPr>
            </w:pPr>
            <w:r>
              <w:rPr>
                <w:sz w:val="20"/>
              </w:rPr>
              <w:t xml:space="preserve">oral </w:t>
            </w:r>
          </w:p>
        </w:tc>
        <w:tc>
          <w:tcPr>
            <w:tcW w:w="3020" w:type="dxa"/>
          </w:tcPr>
          <w:p w14:paraId="60B9DD2F" w14:textId="77777777" w:rsidR="00023FA5" w:rsidRPr="00A40318" w:rsidRDefault="00023FA5" w:rsidP="00023FA5">
            <w:pPr>
              <w:jc w:val="right"/>
              <w:rPr>
                <w:sz w:val="20"/>
              </w:rPr>
            </w:pPr>
            <w:r>
              <w:rPr>
                <w:sz w:val="20"/>
              </w:rPr>
              <w:t>6,855</w:t>
            </w:r>
          </w:p>
        </w:tc>
        <w:tc>
          <w:tcPr>
            <w:tcW w:w="2839" w:type="dxa"/>
          </w:tcPr>
          <w:p w14:paraId="55673508" w14:textId="77777777" w:rsidR="00023FA5" w:rsidRPr="00A40318" w:rsidRDefault="00023FA5" w:rsidP="00023FA5">
            <w:pPr>
              <w:jc w:val="right"/>
              <w:rPr>
                <w:sz w:val="20"/>
              </w:rPr>
            </w:pPr>
            <w:r>
              <w:rPr>
                <w:sz w:val="20"/>
              </w:rPr>
              <w:t>31.3%</w:t>
            </w:r>
          </w:p>
        </w:tc>
      </w:tr>
      <w:tr w:rsidR="00023FA5" w:rsidRPr="00A40318" w14:paraId="309822C0" w14:textId="77777777" w:rsidTr="00023FA5">
        <w:trPr>
          <w:trHeight w:val="257"/>
        </w:trPr>
        <w:tc>
          <w:tcPr>
            <w:tcW w:w="2929" w:type="dxa"/>
          </w:tcPr>
          <w:p w14:paraId="5074A736" w14:textId="77777777" w:rsidR="00023FA5" w:rsidRPr="00A40318" w:rsidRDefault="00023FA5" w:rsidP="00023FA5">
            <w:pPr>
              <w:jc w:val="center"/>
              <w:rPr>
                <w:sz w:val="20"/>
              </w:rPr>
            </w:pPr>
            <w:r>
              <w:rPr>
                <w:sz w:val="20"/>
              </w:rPr>
              <w:t xml:space="preserve">infusion </w:t>
            </w:r>
          </w:p>
        </w:tc>
        <w:tc>
          <w:tcPr>
            <w:tcW w:w="3020" w:type="dxa"/>
          </w:tcPr>
          <w:p w14:paraId="263FB46F" w14:textId="77777777" w:rsidR="00023FA5" w:rsidRPr="00A40318" w:rsidRDefault="00023FA5" w:rsidP="00023FA5">
            <w:pPr>
              <w:jc w:val="right"/>
              <w:rPr>
                <w:sz w:val="20"/>
              </w:rPr>
            </w:pPr>
            <w:r>
              <w:rPr>
                <w:sz w:val="20"/>
              </w:rPr>
              <w:t>4,806</w:t>
            </w:r>
          </w:p>
        </w:tc>
        <w:tc>
          <w:tcPr>
            <w:tcW w:w="2839" w:type="dxa"/>
          </w:tcPr>
          <w:p w14:paraId="74F9DCCA" w14:textId="77777777" w:rsidR="00023FA5" w:rsidRPr="00A40318" w:rsidRDefault="00023FA5" w:rsidP="00023FA5">
            <w:pPr>
              <w:jc w:val="right"/>
              <w:rPr>
                <w:sz w:val="20"/>
              </w:rPr>
            </w:pPr>
            <w:r>
              <w:rPr>
                <w:sz w:val="20"/>
              </w:rPr>
              <w:t>22.0%</w:t>
            </w:r>
          </w:p>
        </w:tc>
      </w:tr>
      <w:tr w:rsidR="00023FA5" w:rsidRPr="00A40318" w14:paraId="792DE15F" w14:textId="77777777" w:rsidTr="00023FA5">
        <w:trPr>
          <w:trHeight w:val="257"/>
        </w:trPr>
        <w:tc>
          <w:tcPr>
            <w:tcW w:w="2929" w:type="dxa"/>
          </w:tcPr>
          <w:p w14:paraId="5779F2D8" w14:textId="77777777" w:rsidR="00023FA5" w:rsidRPr="00A40318" w:rsidRDefault="00023FA5" w:rsidP="00023FA5">
            <w:pPr>
              <w:jc w:val="center"/>
              <w:rPr>
                <w:sz w:val="20"/>
              </w:rPr>
            </w:pPr>
            <w:r>
              <w:rPr>
                <w:sz w:val="20"/>
              </w:rPr>
              <w:t xml:space="preserve">injection </w:t>
            </w:r>
          </w:p>
        </w:tc>
        <w:tc>
          <w:tcPr>
            <w:tcW w:w="3020" w:type="dxa"/>
          </w:tcPr>
          <w:p w14:paraId="7C66332A" w14:textId="77777777" w:rsidR="00023FA5" w:rsidRPr="00A40318" w:rsidRDefault="00023FA5" w:rsidP="00023FA5">
            <w:pPr>
              <w:jc w:val="right"/>
              <w:rPr>
                <w:sz w:val="20"/>
              </w:rPr>
            </w:pPr>
            <w:r>
              <w:rPr>
                <w:sz w:val="20"/>
              </w:rPr>
              <w:t>2,480</w:t>
            </w:r>
          </w:p>
        </w:tc>
        <w:tc>
          <w:tcPr>
            <w:tcW w:w="2839" w:type="dxa"/>
          </w:tcPr>
          <w:p w14:paraId="77C5C545" w14:textId="77777777" w:rsidR="00023FA5" w:rsidRPr="00A40318" w:rsidRDefault="00023FA5" w:rsidP="00023FA5">
            <w:pPr>
              <w:jc w:val="right"/>
              <w:rPr>
                <w:sz w:val="20"/>
              </w:rPr>
            </w:pPr>
            <w:r>
              <w:rPr>
                <w:sz w:val="20"/>
              </w:rPr>
              <w:t>11.3%</w:t>
            </w:r>
          </w:p>
        </w:tc>
      </w:tr>
      <w:tr w:rsidR="00023FA5" w:rsidRPr="00A40318" w14:paraId="3A2AE60C" w14:textId="77777777" w:rsidTr="00023FA5">
        <w:trPr>
          <w:trHeight w:val="257"/>
        </w:trPr>
        <w:tc>
          <w:tcPr>
            <w:tcW w:w="2929" w:type="dxa"/>
          </w:tcPr>
          <w:p w14:paraId="702BFCB5" w14:textId="77777777" w:rsidR="00023FA5" w:rsidRPr="00A40318" w:rsidRDefault="00023FA5" w:rsidP="00023FA5">
            <w:pPr>
              <w:jc w:val="center"/>
              <w:rPr>
                <w:sz w:val="20"/>
              </w:rPr>
            </w:pPr>
            <w:r>
              <w:rPr>
                <w:sz w:val="20"/>
              </w:rPr>
              <w:t xml:space="preserve">oral&gt;infusion </w:t>
            </w:r>
          </w:p>
        </w:tc>
        <w:tc>
          <w:tcPr>
            <w:tcW w:w="3020" w:type="dxa"/>
          </w:tcPr>
          <w:p w14:paraId="628AAE0D" w14:textId="77777777" w:rsidR="00023FA5" w:rsidRPr="00A40318" w:rsidRDefault="00023FA5" w:rsidP="00023FA5">
            <w:pPr>
              <w:jc w:val="right"/>
              <w:rPr>
                <w:sz w:val="20"/>
              </w:rPr>
            </w:pPr>
            <w:r>
              <w:rPr>
                <w:sz w:val="20"/>
              </w:rPr>
              <w:t>2,287</w:t>
            </w:r>
          </w:p>
        </w:tc>
        <w:tc>
          <w:tcPr>
            <w:tcW w:w="2839" w:type="dxa"/>
          </w:tcPr>
          <w:p w14:paraId="7D442420" w14:textId="77777777" w:rsidR="00023FA5" w:rsidRPr="00A40318" w:rsidRDefault="00023FA5" w:rsidP="00023FA5">
            <w:pPr>
              <w:jc w:val="right"/>
              <w:rPr>
                <w:sz w:val="20"/>
              </w:rPr>
            </w:pPr>
            <w:r>
              <w:rPr>
                <w:sz w:val="20"/>
              </w:rPr>
              <w:t>10.5%</w:t>
            </w:r>
          </w:p>
        </w:tc>
      </w:tr>
      <w:tr w:rsidR="00023FA5" w:rsidRPr="006A3078" w14:paraId="4EA1CACF" w14:textId="77777777" w:rsidTr="00023FA5">
        <w:trPr>
          <w:trHeight w:val="242"/>
        </w:trPr>
        <w:tc>
          <w:tcPr>
            <w:tcW w:w="2929" w:type="dxa"/>
          </w:tcPr>
          <w:p w14:paraId="1AC82F1B" w14:textId="77777777" w:rsidR="00023FA5" w:rsidRPr="00A40318" w:rsidRDefault="00023FA5" w:rsidP="00023FA5">
            <w:pPr>
              <w:jc w:val="center"/>
              <w:rPr>
                <w:sz w:val="20"/>
              </w:rPr>
            </w:pPr>
            <w:r>
              <w:rPr>
                <w:rFonts w:cstheme="minorHAnsi"/>
                <w:sz w:val="20"/>
              </w:rPr>
              <w:t xml:space="preserve">injection&gt;oral </w:t>
            </w:r>
          </w:p>
        </w:tc>
        <w:tc>
          <w:tcPr>
            <w:tcW w:w="3020" w:type="dxa"/>
          </w:tcPr>
          <w:p w14:paraId="0CC3E2FF" w14:textId="77777777" w:rsidR="00023FA5" w:rsidRPr="00A40318" w:rsidRDefault="00023FA5" w:rsidP="00023FA5">
            <w:pPr>
              <w:jc w:val="right"/>
              <w:rPr>
                <w:sz w:val="20"/>
              </w:rPr>
            </w:pPr>
            <w:r>
              <w:rPr>
                <w:sz w:val="20"/>
              </w:rPr>
              <w:t>2,014</w:t>
            </w:r>
          </w:p>
        </w:tc>
        <w:tc>
          <w:tcPr>
            <w:tcW w:w="2839" w:type="dxa"/>
          </w:tcPr>
          <w:p w14:paraId="51E80F5A" w14:textId="77777777" w:rsidR="00023FA5" w:rsidRPr="006A3078" w:rsidRDefault="00023FA5" w:rsidP="00023FA5">
            <w:pPr>
              <w:jc w:val="right"/>
              <w:rPr>
                <w:sz w:val="20"/>
              </w:rPr>
            </w:pPr>
            <w:r>
              <w:rPr>
                <w:sz w:val="20"/>
              </w:rPr>
              <w:t>9.2%</w:t>
            </w:r>
          </w:p>
        </w:tc>
      </w:tr>
      <w:tr w:rsidR="00023FA5" w:rsidRPr="006A3078" w14:paraId="28CE43D2" w14:textId="77777777" w:rsidTr="00023FA5">
        <w:trPr>
          <w:trHeight w:val="242"/>
        </w:trPr>
        <w:tc>
          <w:tcPr>
            <w:tcW w:w="2929" w:type="dxa"/>
          </w:tcPr>
          <w:p w14:paraId="2FEE3C3E" w14:textId="77777777" w:rsidR="00023FA5" w:rsidRDefault="00023FA5" w:rsidP="00023FA5">
            <w:pPr>
              <w:jc w:val="center"/>
              <w:rPr>
                <w:rFonts w:cstheme="minorHAnsi"/>
                <w:sz w:val="20"/>
              </w:rPr>
            </w:pPr>
            <w:r>
              <w:rPr>
                <w:rFonts w:cstheme="minorHAnsi"/>
                <w:sz w:val="20"/>
              </w:rPr>
              <w:t xml:space="preserve">injection&gt;infusion </w:t>
            </w:r>
          </w:p>
        </w:tc>
        <w:tc>
          <w:tcPr>
            <w:tcW w:w="3020" w:type="dxa"/>
          </w:tcPr>
          <w:p w14:paraId="6189F694" w14:textId="77777777" w:rsidR="00023FA5" w:rsidRDefault="00023FA5" w:rsidP="00023FA5">
            <w:pPr>
              <w:jc w:val="right"/>
              <w:rPr>
                <w:sz w:val="20"/>
              </w:rPr>
            </w:pPr>
            <w:r>
              <w:rPr>
                <w:sz w:val="20"/>
              </w:rPr>
              <w:t>564</w:t>
            </w:r>
          </w:p>
        </w:tc>
        <w:tc>
          <w:tcPr>
            <w:tcW w:w="2839" w:type="dxa"/>
          </w:tcPr>
          <w:p w14:paraId="04C586BA" w14:textId="77777777" w:rsidR="00023FA5" w:rsidRDefault="00023FA5" w:rsidP="00023FA5">
            <w:pPr>
              <w:jc w:val="right"/>
              <w:rPr>
                <w:sz w:val="20"/>
              </w:rPr>
            </w:pPr>
            <w:r>
              <w:rPr>
                <w:sz w:val="20"/>
              </w:rPr>
              <w:t>2.6%</w:t>
            </w:r>
          </w:p>
        </w:tc>
      </w:tr>
      <w:tr w:rsidR="00023FA5" w:rsidRPr="006A3078" w14:paraId="29A25E26" w14:textId="77777777" w:rsidTr="00023FA5">
        <w:trPr>
          <w:trHeight w:val="242"/>
        </w:trPr>
        <w:tc>
          <w:tcPr>
            <w:tcW w:w="2929" w:type="dxa"/>
          </w:tcPr>
          <w:p w14:paraId="0C0C9640" w14:textId="77777777" w:rsidR="00023FA5" w:rsidRDefault="00023FA5" w:rsidP="00023FA5">
            <w:pPr>
              <w:jc w:val="center"/>
              <w:rPr>
                <w:rFonts w:cstheme="minorHAnsi"/>
                <w:sz w:val="20"/>
              </w:rPr>
            </w:pPr>
            <w:r>
              <w:rPr>
                <w:rFonts w:cstheme="minorHAnsi"/>
                <w:sz w:val="20"/>
              </w:rPr>
              <w:t xml:space="preserve">injection&gt;oral&gt;infusion </w:t>
            </w:r>
          </w:p>
        </w:tc>
        <w:tc>
          <w:tcPr>
            <w:tcW w:w="3020" w:type="dxa"/>
          </w:tcPr>
          <w:p w14:paraId="59ECC940" w14:textId="77777777" w:rsidR="00023FA5" w:rsidRDefault="00023FA5" w:rsidP="00023FA5">
            <w:pPr>
              <w:jc w:val="right"/>
              <w:rPr>
                <w:sz w:val="20"/>
              </w:rPr>
            </w:pPr>
            <w:r>
              <w:rPr>
                <w:sz w:val="20"/>
              </w:rPr>
              <w:t>454</w:t>
            </w:r>
          </w:p>
        </w:tc>
        <w:tc>
          <w:tcPr>
            <w:tcW w:w="2839" w:type="dxa"/>
          </w:tcPr>
          <w:p w14:paraId="6BF17856" w14:textId="77777777" w:rsidR="00023FA5" w:rsidRDefault="00023FA5" w:rsidP="00023FA5">
            <w:pPr>
              <w:jc w:val="right"/>
              <w:rPr>
                <w:sz w:val="20"/>
              </w:rPr>
            </w:pPr>
            <w:r>
              <w:rPr>
                <w:sz w:val="20"/>
              </w:rPr>
              <w:t>2.1%</w:t>
            </w:r>
          </w:p>
        </w:tc>
      </w:tr>
      <w:tr w:rsidR="00023FA5" w:rsidRPr="006A3078" w14:paraId="353D037E" w14:textId="77777777" w:rsidTr="00023FA5">
        <w:trPr>
          <w:trHeight w:val="242"/>
        </w:trPr>
        <w:tc>
          <w:tcPr>
            <w:tcW w:w="2929" w:type="dxa"/>
          </w:tcPr>
          <w:p w14:paraId="5502A8A7" w14:textId="77777777" w:rsidR="00023FA5" w:rsidRDefault="00023FA5" w:rsidP="00023FA5">
            <w:pPr>
              <w:jc w:val="center"/>
              <w:rPr>
                <w:rFonts w:cstheme="minorHAnsi"/>
                <w:sz w:val="20"/>
              </w:rPr>
            </w:pPr>
            <w:r>
              <w:rPr>
                <w:rFonts w:cstheme="minorHAnsi"/>
                <w:sz w:val="20"/>
              </w:rPr>
              <w:t>infusion&gt;oral</w:t>
            </w:r>
          </w:p>
        </w:tc>
        <w:tc>
          <w:tcPr>
            <w:tcW w:w="3020" w:type="dxa"/>
          </w:tcPr>
          <w:p w14:paraId="620CE821" w14:textId="77777777" w:rsidR="00023FA5" w:rsidRDefault="00023FA5" w:rsidP="00023FA5">
            <w:pPr>
              <w:jc w:val="right"/>
              <w:rPr>
                <w:sz w:val="20"/>
              </w:rPr>
            </w:pPr>
            <w:r>
              <w:rPr>
                <w:sz w:val="20"/>
              </w:rPr>
              <w:t>393</w:t>
            </w:r>
          </w:p>
        </w:tc>
        <w:tc>
          <w:tcPr>
            <w:tcW w:w="2839" w:type="dxa"/>
          </w:tcPr>
          <w:p w14:paraId="2432358C" w14:textId="77777777" w:rsidR="00023FA5" w:rsidRDefault="00023FA5" w:rsidP="00023FA5">
            <w:pPr>
              <w:jc w:val="right"/>
              <w:rPr>
                <w:sz w:val="20"/>
              </w:rPr>
            </w:pPr>
            <w:r>
              <w:rPr>
                <w:sz w:val="20"/>
              </w:rPr>
              <w:t>1.8%</w:t>
            </w:r>
          </w:p>
        </w:tc>
      </w:tr>
      <w:tr w:rsidR="00023FA5" w:rsidRPr="006A3078" w14:paraId="3821A7A2" w14:textId="77777777" w:rsidTr="00023FA5">
        <w:trPr>
          <w:trHeight w:val="242"/>
        </w:trPr>
        <w:tc>
          <w:tcPr>
            <w:tcW w:w="2929" w:type="dxa"/>
          </w:tcPr>
          <w:p w14:paraId="00BBC521" w14:textId="77777777" w:rsidR="00023FA5" w:rsidRDefault="00023FA5" w:rsidP="00023FA5">
            <w:pPr>
              <w:jc w:val="center"/>
              <w:rPr>
                <w:rFonts w:cstheme="minorHAnsi"/>
                <w:sz w:val="20"/>
              </w:rPr>
            </w:pPr>
            <w:r>
              <w:rPr>
                <w:rFonts w:cstheme="minorHAnsi"/>
                <w:sz w:val="20"/>
              </w:rPr>
              <w:t xml:space="preserve">other sequences </w:t>
            </w:r>
          </w:p>
        </w:tc>
        <w:tc>
          <w:tcPr>
            <w:tcW w:w="3020" w:type="dxa"/>
          </w:tcPr>
          <w:p w14:paraId="3E8639FC" w14:textId="77777777" w:rsidR="00023FA5" w:rsidRDefault="00023FA5" w:rsidP="00023FA5">
            <w:pPr>
              <w:jc w:val="right"/>
              <w:rPr>
                <w:sz w:val="20"/>
              </w:rPr>
            </w:pPr>
            <w:r>
              <w:rPr>
                <w:sz w:val="20"/>
              </w:rPr>
              <w:t>2,032</w:t>
            </w:r>
          </w:p>
        </w:tc>
        <w:tc>
          <w:tcPr>
            <w:tcW w:w="2839" w:type="dxa"/>
          </w:tcPr>
          <w:p w14:paraId="3E6B5ED3" w14:textId="77777777" w:rsidR="00023FA5" w:rsidRDefault="00023FA5" w:rsidP="00023FA5">
            <w:pPr>
              <w:jc w:val="right"/>
              <w:rPr>
                <w:sz w:val="20"/>
              </w:rPr>
            </w:pPr>
            <w:r>
              <w:rPr>
                <w:sz w:val="20"/>
              </w:rPr>
              <w:t>9.3%</w:t>
            </w:r>
          </w:p>
        </w:tc>
      </w:tr>
    </w:tbl>
    <w:p w14:paraId="7E28C9AA" w14:textId="77777777" w:rsidR="00023FA5" w:rsidRPr="00FF4D9D" w:rsidRDefault="00023FA5" w:rsidP="00023FA5">
      <w:r w:rsidRPr="00FF4D9D">
        <w:t>Tabl</w:t>
      </w:r>
      <w:r>
        <w:t xml:space="preserve">e 7 shows the switching sequences that occurred between 1 October 2020 and 30 September. Approximately 64.6% of patients continued treatment with the same DMT form. </w:t>
      </w:r>
    </w:p>
    <w:p w14:paraId="7DCD7A76" w14:textId="77777777" w:rsidR="00023FA5" w:rsidRPr="00A40318" w:rsidRDefault="00023FA5" w:rsidP="00023FA5">
      <w:pPr>
        <w:pStyle w:val="Tabletitle"/>
      </w:pPr>
      <w:r>
        <w:t>Table 8</w:t>
      </w:r>
      <w:r w:rsidRPr="00A40318">
        <w:t xml:space="preserve">: Number of prior therapies by patients switching to any new RRMS therapy between 1 October 2020 and 30 September 2021  </w:t>
      </w:r>
    </w:p>
    <w:tbl>
      <w:tblPr>
        <w:tblStyle w:val="TableGrid"/>
        <w:tblW w:w="0" w:type="auto"/>
        <w:tblLook w:val="04A0" w:firstRow="1" w:lastRow="0" w:firstColumn="1" w:lastColumn="0" w:noHBand="0" w:noVBand="1"/>
      </w:tblPr>
      <w:tblGrid>
        <w:gridCol w:w="2929"/>
        <w:gridCol w:w="2929"/>
        <w:gridCol w:w="2930"/>
      </w:tblGrid>
      <w:tr w:rsidR="00023FA5" w:rsidRPr="00A40318" w14:paraId="50CE2F7D" w14:textId="77777777" w:rsidTr="00023FA5">
        <w:trPr>
          <w:trHeight w:val="257"/>
        </w:trPr>
        <w:tc>
          <w:tcPr>
            <w:tcW w:w="2929" w:type="dxa"/>
            <w:shd w:val="clear" w:color="auto" w:fill="BFBFBF" w:themeFill="background1" w:themeFillShade="BF"/>
          </w:tcPr>
          <w:p w14:paraId="4EDFFCDF" w14:textId="77777777" w:rsidR="00023FA5" w:rsidRPr="00A40318" w:rsidRDefault="00023FA5" w:rsidP="00023FA5">
            <w:pPr>
              <w:rPr>
                <w:sz w:val="20"/>
              </w:rPr>
            </w:pPr>
            <w:r w:rsidRPr="00A40318">
              <w:rPr>
                <w:b/>
                <w:sz w:val="20"/>
              </w:rPr>
              <w:t xml:space="preserve">Number of prior RRMS drugs  </w:t>
            </w:r>
          </w:p>
        </w:tc>
        <w:tc>
          <w:tcPr>
            <w:tcW w:w="2929" w:type="dxa"/>
            <w:shd w:val="clear" w:color="auto" w:fill="BFBFBF" w:themeFill="background1" w:themeFillShade="BF"/>
          </w:tcPr>
          <w:p w14:paraId="01F4E888" w14:textId="77777777" w:rsidR="00023FA5" w:rsidRPr="00A40318" w:rsidRDefault="00023FA5" w:rsidP="00023FA5">
            <w:pPr>
              <w:jc w:val="center"/>
              <w:rPr>
                <w:sz w:val="20"/>
              </w:rPr>
            </w:pPr>
            <w:r w:rsidRPr="00A40318">
              <w:rPr>
                <w:b/>
                <w:sz w:val="20"/>
              </w:rPr>
              <w:t>Count</w:t>
            </w:r>
          </w:p>
        </w:tc>
        <w:tc>
          <w:tcPr>
            <w:tcW w:w="2930" w:type="dxa"/>
            <w:shd w:val="clear" w:color="auto" w:fill="BFBFBF" w:themeFill="background1" w:themeFillShade="BF"/>
          </w:tcPr>
          <w:p w14:paraId="2B896400" w14:textId="77777777" w:rsidR="00023FA5" w:rsidRPr="00A40318" w:rsidRDefault="00023FA5" w:rsidP="00023FA5">
            <w:pPr>
              <w:jc w:val="center"/>
              <w:rPr>
                <w:sz w:val="20"/>
              </w:rPr>
            </w:pPr>
            <w:r w:rsidRPr="00A40318">
              <w:rPr>
                <w:b/>
                <w:sz w:val="20"/>
              </w:rPr>
              <w:t>Percent</w:t>
            </w:r>
          </w:p>
        </w:tc>
      </w:tr>
      <w:tr w:rsidR="00023FA5" w:rsidRPr="00A40318" w14:paraId="61CFEC97" w14:textId="77777777" w:rsidTr="00023FA5">
        <w:trPr>
          <w:trHeight w:val="242"/>
        </w:trPr>
        <w:tc>
          <w:tcPr>
            <w:tcW w:w="2929" w:type="dxa"/>
          </w:tcPr>
          <w:p w14:paraId="1100B6F0" w14:textId="77777777" w:rsidR="00023FA5" w:rsidRPr="00A40318" w:rsidRDefault="00023FA5" w:rsidP="00023FA5">
            <w:pPr>
              <w:jc w:val="center"/>
              <w:rPr>
                <w:sz w:val="20"/>
              </w:rPr>
            </w:pPr>
            <w:r w:rsidRPr="00A40318">
              <w:rPr>
                <w:sz w:val="20"/>
              </w:rPr>
              <w:t>1</w:t>
            </w:r>
          </w:p>
        </w:tc>
        <w:tc>
          <w:tcPr>
            <w:tcW w:w="2929" w:type="dxa"/>
          </w:tcPr>
          <w:p w14:paraId="6376D792" w14:textId="77777777" w:rsidR="00023FA5" w:rsidRPr="00A40318" w:rsidRDefault="00023FA5" w:rsidP="00023FA5">
            <w:pPr>
              <w:jc w:val="right"/>
              <w:rPr>
                <w:sz w:val="20"/>
              </w:rPr>
            </w:pPr>
            <w:r w:rsidRPr="00A40318">
              <w:rPr>
                <w:sz w:val="20"/>
              </w:rPr>
              <w:t>993</w:t>
            </w:r>
          </w:p>
        </w:tc>
        <w:tc>
          <w:tcPr>
            <w:tcW w:w="2930" w:type="dxa"/>
          </w:tcPr>
          <w:p w14:paraId="6138F9B1" w14:textId="77777777" w:rsidR="00023FA5" w:rsidRPr="00A40318" w:rsidRDefault="00023FA5" w:rsidP="00023FA5">
            <w:pPr>
              <w:jc w:val="right"/>
              <w:rPr>
                <w:sz w:val="20"/>
              </w:rPr>
            </w:pPr>
            <w:r w:rsidRPr="00A40318">
              <w:rPr>
                <w:sz w:val="20"/>
              </w:rPr>
              <w:t>54%</w:t>
            </w:r>
          </w:p>
        </w:tc>
      </w:tr>
      <w:tr w:rsidR="00023FA5" w:rsidRPr="00A40318" w14:paraId="4AEA2B16" w14:textId="77777777" w:rsidTr="00023FA5">
        <w:trPr>
          <w:trHeight w:val="257"/>
        </w:trPr>
        <w:tc>
          <w:tcPr>
            <w:tcW w:w="2929" w:type="dxa"/>
          </w:tcPr>
          <w:p w14:paraId="00B44F46" w14:textId="77777777" w:rsidR="00023FA5" w:rsidRPr="00A40318" w:rsidRDefault="00023FA5" w:rsidP="00023FA5">
            <w:pPr>
              <w:jc w:val="center"/>
              <w:rPr>
                <w:sz w:val="20"/>
              </w:rPr>
            </w:pPr>
            <w:r w:rsidRPr="00A40318">
              <w:rPr>
                <w:sz w:val="20"/>
              </w:rPr>
              <w:t>2</w:t>
            </w:r>
          </w:p>
        </w:tc>
        <w:tc>
          <w:tcPr>
            <w:tcW w:w="2929" w:type="dxa"/>
          </w:tcPr>
          <w:p w14:paraId="2051F1EB" w14:textId="77777777" w:rsidR="00023FA5" w:rsidRPr="00A40318" w:rsidRDefault="00023FA5" w:rsidP="00023FA5">
            <w:pPr>
              <w:jc w:val="right"/>
              <w:rPr>
                <w:sz w:val="20"/>
              </w:rPr>
            </w:pPr>
            <w:r w:rsidRPr="00A40318">
              <w:rPr>
                <w:sz w:val="20"/>
              </w:rPr>
              <w:t>556</w:t>
            </w:r>
          </w:p>
        </w:tc>
        <w:tc>
          <w:tcPr>
            <w:tcW w:w="2930" w:type="dxa"/>
          </w:tcPr>
          <w:p w14:paraId="02BA94C6" w14:textId="77777777" w:rsidR="00023FA5" w:rsidRPr="00A40318" w:rsidRDefault="00023FA5" w:rsidP="00023FA5">
            <w:pPr>
              <w:jc w:val="right"/>
              <w:rPr>
                <w:sz w:val="20"/>
              </w:rPr>
            </w:pPr>
            <w:r w:rsidRPr="00A40318">
              <w:rPr>
                <w:sz w:val="20"/>
              </w:rPr>
              <w:t>30%</w:t>
            </w:r>
          </w:p>
        </w:tc>
      </w:tr>
      <w:tr w:rsidR="00023FA5" w:rsidRPr="00A40318" w14:paraId="0D6E116B" w14:textId="77777777" w:rsidTr="00023FA5">
        <w:trPr>
          <w:trHeight w:val="257"/>
        </w:trPr>
        <w:tc>
          <w:tcPr>
            <w:tcW w:w="2929" w:type="dxa"/>
          </w:tcPr>
          <w:p w14:paraId="1483C134" w14:textId="77777777" w:rsidR="00023FA5" w:rsidRPr="00A40318" w:rsidRDefault="00023FA5" w:rsidP="00023FA5">
            <w:pPr>
              <w:jc w:val="center"/>
              <w:rPr>
                <w:sz w:val="20"/>
              </w:rPr>
            </w:pPr>
            <w:r w:rsidRPr="00A40318">
              <w:rPr>
                <w:sz w:val="20"/>
              </w:rPr>
              <w:t>3</w:t>
            </w:r>
          </w:p>
        </w:tc>
        <w:tc>
          <w:tcPr>
            <w:tcW w:w="2929" w:type="dxa"/>
          </w:tcPr>
          <w:p w14:paraId="1D979E4A" w14:textId="77777777" w:rsidR="00023FA5" w:rsidRPr="00A40318" w:rsidRDefault="00023FA5" w:rsidP="00023FA5">
            <w:pPr>
              <w:jc w:val="right"/>
              <w:rPr>
                <w:sz w:val="20"/>
              </w:rPr>
            </w:pPr>
            <w:r w:rsidRPr="00A40318">
              <w:rPr>
                <w:sz w:val="20"/>
              </w:rPr>
              <w:t>211</w:t>
            </w:r>
          </w:p>
        </w:tc>
        <w:tc>
          <w:tcPr>
            <w:tcW w:w="2930" w:type="dxa"/>
          </w:tcPr>
          <w:p w14:paraId="5CA051C6" w14:textId="77777777" w:rsidR="00023FA5" w:rsidRPr="00A40318" w:rsidRDefault="00023FA5" w:rsidP="00023FA5">
            <w:pPr>
              <w:jc w:val="right"/>
              <w:rPr>
                <w:sz w:val="20"/>
              </w:rPr>
            </w:pPr>
            <w:r w:rsidRPr="00A40318">
              <w:rPr>
                <w:sz w:val="20"/>
              </w:rPr>
              <w:t>11%</w:t>
            </w:r>
          </w:p>
        </w:tc>
      </w:tr>
      <w:tr w:rsidR="00023FA5" w:rsidRPr="00A40318" w14:paraId="1DDCDA74" w14:textId="77777777" w:rsidTr="00023FA5">
        <w:trPr>
          <w:trHeight w:val="257"/>
        </w:trPr>
        <w:tc>
          <w:tcPr>
            <w:tcW w:w="2929" w:type="dxa"/>
          </w:tcPr>
          <w:p w14:paraId="529EEC58" w14:textId="77777777" w:rsidR="00023FA5" w:rsidRPr="00A40318" w:rsidRDefault="00023FA5" w:rsidP="00023FA5">
            <w:pPr>
              <w:jc w:val="center"/>
              <w:rPr>
                <w:sz w:val="20"/>
              </w:rPr>
            </w:pPr>
            <w:r w:rsidRPr="00A40318">
              <w:rPr>
                <w:sz w:val="20"/>
              </w:rPr>
              <w:t>4</w:t>
            </w:r>
          </w:p>
        </w:tc>
        <w:tc>
          <w:tcPr>
            <w:tcW w:w="2929" w:type="dxa"/>
          </w:tcPr>
          <w:p w14:paraId="35DDC7D5" w14:textId="77777777" w:rsidR="00023FA5" w:rsidRPr="00A40318" w:rsidRDefault="00023FA5" w:rsidP="00023FA5">
            <w:pPr>
              <w:jc w:val="right"/>
              <w:rPr>
                <w:sz w:val="20"/>
              </w:rPr>
            </w:pPr>
            <w:r w:rsidRPr="00A40318">
              <w:rPr>
                <w:sz w:val="20"/>
              </w:rPr>
              <w:t>66</w:t>
            </w:r>
          </w:p>
        </w:tc>
        <w:tc>
          <w:tcPr>
            <w:tcW w:w="2930" w:type="dxa"/>
          </w:tcPr>
          <w:p w14:paraId="18480462" w14:textId="77777777" w:rsidR="00023FA5" w:rsidRPr="00A40318" w:rsidRDefault="00023FA5" w:rsidP="00023FA5">
            <w:pPr>
              <w:jc w:val="right"/>
              <w:rPr>
                <w:sz w:val="20"/>
              </w:rPr>
            </w:pPr>
            <w:r w:rsidRPr="00A40318">
              <w:rPr>
                <w:sz w:val="20"/>
              </w:rPr>
              <w:t>4%</w:t>
            </w:r>
          </w:p>
        </w:tc>
      </w:tr>
      <w:tr w:rsidR="00023FA5" w:rsidRPr="006A3078" w14:paraId="52EECDA1" w14:textId="77777777" w:rsidTr="00023FA5">
        <w:trPr>
          <w:trHeight w:val="242"/>
        </w:trPr>
        <w:tc>
          <w:tcPr>
            <w:tcW w:w="2929" w:type="dxa"/>
          </w:tcPr>
          <w:p w14:paraId="3CB5461E" w14:textId="77777777" w:rsidR="00023FA5" w:rsidRPr="00A40318" w:rsidRDefault="00023FA5" w:rsidP="00023FA5">
            <w:pPr>
              <w:jc w:val="center"/>
              <w:rPr>
                <w:sz w:val="20"/>
              </w:rPr>
            </w:pPr>
            <w:r w:rsidRPr="00A40318">
              <w:rPr>
                <w:rFonts w:cstheme="minorHAnsi"/>
                <w:sz w:val="20"/>
              </w:rPr>
              <w:t>≥</w:t>
            </w:r>
            <w:r w:rsidRPr="00A40318">
              <w:rPr>
                <w:sz w:val="20"/>
              </w:rPr>
              <w:t>5</w:t>
            </w:r>
          </w:p>
        </w:tc>
        <w:tc>
          <w:tcPr>
            <w:tcW w:w="2929" w:type="dxa"/>
          </w:tcPr>
          <w:p w14:paraId="114FCCA9" w14:textId="77777777" w:rsidR="00023FA5" w:rsidRPr="00A40318" w:rsidRDefault="00023FA5" w:rsidP="00023FA5">
            <w:pPr>
              <w:jc w:val="right"/>
              <w:rPr>
                <w:sz w:val="20"/>
              </w:rPr>
            </w:pPr>
            <w:r w:rsidRPr="00A40318">
              <w:rPr>
                <w:sz w:val="20"/>
              </w:rPr>
              <w:t>15</w:t>
            </w:r>
          </w:p>
        </w:tc>
        <w:tc>
          <w:tcPr>
            <w:tcW w:w="2930" w:type="dxa"/>
          </w:tcPr>
          <w:p w14:paraId="3D6B281E" w14:textId="77777777" w:rsidR="00023FA5" w:rsidRPr="006A3078" w:rsidRDefault="00023FA5" w:rsidP="00023FA5">
            <w:pPr>
              <w:jc w:val="right"/>
              <w:rPr>
                <w:sz w:val="20"/>
              </w:rPr>
            </w:pPr>
            <w:r w:rsidRPr="00A40318">
              <w:rPr>
                <w:sz w:val="20"/>
              </w:rPr>
              <w:t>1.2%</w:t>
            </w:r>
          </w:p>
        </w:tc>
      </w:tr>
    </w:tbl>
    <w:p w14:paraId="2E538550" w14:textId="77777777" w:rsidR="00023FA5" w:rsidRPr="00FF4D9D" w:rsidRDefault="00023FA5" w:rsidP="00023FA5">
      <w:r>
        <w:t xml:space="preserve">Table 8 presents, of all patients who switched to a new RRMS therapy between 1 October 2020 and 30 September, the number of prior RRMS treatments they have received previously. </w:t>
      </w:r>
    </w:p>
    <w:p w14:paraId="552E1026" w14:textId="77777777" w:rsidR="00023FA5" w:rsidRPr="005E22C2" w:rsidRDefault="00023FA5" w:rsidP="00023FA5">
      <w:pPr>
        <w:pStyle w:val="Heading2"/>
      </w:pPr>
      <w:r>
        <w:t xml:space="preserve">Analysis </w:t>
      </w:r>
      <w:r w:rsidRPr="005E22C2">
        <w:t xml:space="preserve">of </w:t>
      </w:r>
      <w:r>
        <w:t>a</w:t>
      </w:r>
      <w:r w:rsidRPr="005E22C2">
        <w:t xml:space="preserve">ctual versus </w:t>
      </w:r>
      <w:r>
        <w:t>p</w:t>
      </w:r>
      <w:r w:rsidRPr="005E22C2">
        <w:t xml:space="preserve">redicted </w:t>
      </w:r>
      <w:r>
        <w:t>u</w:t>
      </w:r>
      <w:r w:rsidRPr="005E22C2">
        <w:t>tilisation</w:t>
      </w:r>
      <w:r>
        <w:t xml:space="preserve"> of cladribine</w:t>
      </w:r>
    </w:p>
    <w:p w14:paraId="632E6396" w14:textId="77777777" w:rsidR="00023FA5" w:rsidRPr="00EA0FDA" w:rsidRDefault="00023FA5" w:rsidP="00023FA5">
      <w:pPr>
        <w:pStyle w:val="Heading2"/>
        <w:rPr>
          <w:sz w:val="24"/>
        </w:rPr>
      </w:pPr>
      <w:r w:rsidRPr="00EA0FDA">
        <w:rPr>
          <w:sz w:val="24"/>
        </w:rPr>
        <w:t>Approach taken to estimate utilisation</w:t>
      </w:r>
    </w:p>
    <w:p w14:paraId="52B45F5E" w14:textId="56C45D2D" w:rsidR="0034679F" w:rsidRPr="0034679F" w:rsidRDefault="0034679F" w:rsidP="0034679F">
      <w:r w:rsidRPr="00757AEB">
        <w:t>A m</w:t>
      </w:r>
      <w:r>
        <w:t xml:space="preserve">arket </w:t>
      </w:r>
      <w:r w:rsidRPr="0034679F">
        <w:t xml:space="preserve">share approach was taken based on the combined market share of oral RRMS agents. The resubmission used Medicare services data for fingolimod, teriflunomide and dimethyl fumarate and matched the services for timing. The resubmission assumed cladribine would account for </w:t>
      </w:r>
      <w:r w:rsidR="00DA1687" w:rsidRPr="00DA1687">
        <w:rPr>
          <w:color w:val="000000"/>
          <w:spacing w:val="66"/>
          <w:shd w:val="solid" w:color="000000" w:fill="000000"/>
          <w:fitText w:val="288" w:id="-1498781440"/>
          <w14:textFill>
            <w14:solidFill>
              <w14:srgbClr w14:val="000000">
                <w14:alpha w14:val="100000"/>
              </w14:srgbClr>
            </w14:solidFill>
          </w14:textFill>
        </w:rPr>
        <w:t>|</w:t>
      </w:r>
      <w:r w:rsidR="00DA1687" w:rsidRPr="00DA1687">
        <w:rPr>
          <w:color w:val="000000"/>
          <w:shd w:val="solid" w:color="000000" w:fill="000000"/>
          <w:fitText w:val="288" w:id="-1498781440"/>
          <w14:textFill>
            <w14:solidFill>
              <w14:srgbClr w14:val="000000">
                <w14:alpha w14:val="100000"/>
              </w14:srgbClr>
            </w14:solidFill>
          </w14:textFill>
        </w:rPr>
        <w:t>|</w:t>
      </w:r>
      <w:r w:rsidR="00DA1687">
        <w:t xml:space="preserve"> </w:t>
      </w:r>
      <w:r w:rsidRPr="0034679F">
        <w:t>of the market.</w:t>
      </w:r>
    </w:p>
    <w:p w14:paraId="6CBB80FF" w14:textId="31431C30" w:rsidR="0034679F" w:rsidRPr="0034679F" w:rsidRDefault="0034679F" w:rsidP="0034679F">
      <w:r w:rsidRPr="0034679F">
        <w:t xml:space="preserve">The estimates were calculated on a monthly basis and converted services per month using the number of fingolimod prescriptions in 2016 divided by fingolimod scripts per patient per year. A </w:t>
      </w:r>
      <w:r w:rsidR="00DA1687" w:rsidRPr="00DA1687">
        <w:rPr>
          <w:color w:val="000000"/>
          <w:w w:val="66"/>
          <w:shd w:val="solid" w:color="000000" w:fill="000000"/>
          <w:fitText w:val="587" w:id="-1498781439"/>
          <w14:textFill>
            <w14:solidFill>
              <w14:srgbClr w14:val="000000">
                <w14:alpha w14:val="100000"/>
              </w14:srgbClr>
            </w14:solidFill>
          </w14:textFill>
        </w:rPr>
        <w:t>||||||||</w:t>
      </w:r>
      <w:r w:rsidRPr="0034679F">
        <w:t xml:space="preserve"> growth rate for Years 4 to 6 after PBS listing was applied based on the 2012-2014 population growth described in the October 2015 DUSC report. </w:t>
      </w:r>
    </w:p>
    <w:p w14:paraId="3DC5B085" w14:textId="77777777" w:rsidR="00023FA5" w:rsidRPr="0034679F" w:rsidRDefault="00023FA5" w:rsidP="00023FA5">
      <w:r w:rsidRPr="0034679F">
        <w:t xml:space="preserve">These estimates describe the total patients on a cladribine treatment course, but not necessarily actively receiving treatment as cladribine patients would receive treatment in Years 1 and 2, and are monitored in Years 3 and 4. </w:t>
      </w:r>
    </w:p>
    <w:p w14:paraId="6411ACD7" w14:textId="77777777" w:rsidR="00023FA5" w:rsidRPr="0034679F" w:rsidRDefault="00023FA5" w:rsidP="00023FA5">
      <w:r w:rsidRPr="0034679F">
        <w:t xml:space="preserve">The resubmission assumed that no patients would reinitiate treatment with cladribine in Years 7 to 9, but described these patients would remain therapeutically covered. It was assumed the listing of cladribine was not anticipated to grow the market in Australia, as the </w:t>
      </w:r>
      <w:r w:rsidRPr="0034679F">
        <w:lastRenderedPageBreak/>
        <w:t xml:space="preserve">RRMS market is well established and oral treatments have been PBS listed since 2011. Cladribine was expected to displace therapies that are already PBS listed for RRMS. </w:t>
      </w:r>
    </w:p>
    <w:p w14:paraId="1B4D62AC" w14:textId="293E8F8A" w:rsidR="0034679F" w:rsidRPr="0034679F" w:rsidRDefault="0034679F" w:rsidP="0034679F">
      <w:r w:rsidRPr="0034679F">
        <w:t xml:space="preserve">For Year 1 to 6, the resubmission assumed an uptake rate of </w:t>
      </w:r>
      <w:r w:rsidR="00DA1687" w:rsidRPr="00DA1687">
        <w:rPr>
          <w:color w:val="000000"/>
          <w:w w:val="80"/>
          <w:shd w:val="solid" w:color="000000" w:fill="000000"/>
          <w:fitText w:val="357" w:id="-1498781438"/>
          <w14:textFill>
            <w14:solidFill>
              <w14:srgbClr w14:val="000000">
                <w14:alpha w14:val="100000"/>
              </w14:srgbClr>
            </w14:solidFill>
          </w14:textFill>
        </w:rPr>
        <w:t>||||</w:t>
      </w:r>
      <w:r w:rsidR="00DA1687">
        <w:t xml:space="preserve"> </w:t>
      </w:r>
      <w:r w:rsidRPr="0034679F">
        <w:t xml:space="preserve">to </w:t>
      </w:r>
      <w:r w:rsidR="00DA1687" w:rsidRPr="00DA1687">
        <w:rPr>
          <w:color w:val="000000"/>
          <w:spacing w:val="78"/>
          <w:shd w:val="solid" w:color="000000" w:fill="000000"/>
          <w:fitText w:val="300" w:id="-1498781437"/>
          <w14:textFill>
            <w14:solidFill>
              <w14:srgbClr w14:val="000000">
                <w14:alpha w14:val="100000"/>
              </w14:srgbClr>
            </w14:solidFill>
          </w14:textFill>
        </w:rPr>
        <w:t>|</w:t>
      </w:r>
      <w:r w:rsidR="00DA1687" w:rsidRPr="00DA1687">
        <w:rPr>
          <w:color w:val="000000"/>
          <w:shd w:val="solid" w:color="000000" w:fill="000000"/>
          <w:fitText w:val="300" w:id="-1498781437"/>
          <w14:textFill>
            <w14:solidFill>
              <w14:srgbClr w14:val="000000">
                <w14:alpha w14:val="100000"/>
              </w14:srgbClr>
            </w14:solidFill>
          </w14:textFill>
        </w:rPr>
        <w:t>|</w:t>
      </w:r>
      <w:r w:rsidRPr="0034679F">
        <w:t xml:space="preserve">, with an incremental increase of </w:t>
      </w:r>
      <w:r w:rsidR="00DA1687" w:rsidRPr="00DA1687">
        <w:rPr>
          <w:color w:val="000000"/>
          <w:w w:val="80"/>
          <w:shd w:val="solid" w:color="000000" w:fill="000000"/>
          <w:fitText w:val="357" w:id="-1498781436"/>
          <w14:textFill>
            <w14:solidFill>
              <w14:srgbClr w14:val="000000">
                <w14:alpha w14:val="100000"/>
              </w14:srgbClr>
            </w14:solidFill>
          </w14:textFill>
        </w:rPr>
        <w:t>||||</w:t>
      </w:r>
      <w:r w:rsidRPr="0034679F">
        <w:t xml:space="preserve"> annually. The resubmission assumed there would be 120 grandfather patients in Year 1. </w:t>
      </w:r>
    </w:p>
    <w:p w14:paraId="02CF15D6" w14:textId="77777777" w:rsidR="0034679F" w:rsidRPr="0034679F" w:rsidRDefault="0034679F" w:rsidP="0034679F">
      <w:pPr>
        <w:pStyle w:val="Tabletitle"/>
      </w:pPr>
      <w:r w:rsidRPr="0034679F">
        <w:t xml:space="preserve">Table 8: Cladribine actual versus predicted utilisation </w:t>
      </w:r>
    </w:p>
    <w:tbl>
      <w:tblPr>
        <w:tblStyle w:val="TableGrid"/>
        <w:tblW w:w="0" w:type="auto"/>
        <w:tblLook w:val="04A0" w:firstRow="1" w:lastRow="0" w:firstColumn="1" w:lastColumn="0" w:noHBand="0" w:noVBand="1"/>
      </w:tblPr>
      <w:tblGrid>
        <w:gridCol w:w="1789"/>
        <w:gridCol w:w="1789"/>
        <w:gridCol w:w="1789"/>
        <w:gridCol w:w="1790"/>
        <w:gridCol w:w="1790"/>
      </w:tblGrid>
      <w:tr w:rsidR="0034679F" w:rsidRPr="0034679F" w14:paraId="615B9CEA" w14:textId="77777777" w:rsidTr="00B110A0">
        <w:tc>
          <w:tcPr>
            <w:tcW w:w="3578" w:type="dxa"/>
            <w:gridSpan w:val="2"/>
            <w:vMerge w:val="restart"/>
            <w:shd w:val="clear" w:color="auto" w:fill="BFBFBF" w:themeFill="background1" w:themeFillShade="BF"/>
          </w:tcPr>
          <w:p w14:paraId="5D8572CE" w14:textId="77777777" w:rsidR="0034679F" w:rsidRPr="0034679F" w:rsidRDefault="0034679F" w:rsidP="00B110A0">
            <w:pPr>
              <w:rPr>
                <w:b/>
                <w:sz w:val="20"/>
                <w:szCs w:val="20"/>
              </w:rPr>
            </w:pPr>
            <w:r w:rsidRPr="0034679F">
              <w:rPr>
                <w:b/>
                <w:sz w:val="20"/>
                <w:szCs w:val="20"/>
              </w:rPr>
              <w:t xml:space="preserve">cladribine listing years </w:t>
            </w:r>
          </w:p>
        </w:tc>
        <w:tc>
          <w:tcPr>
            <w:tcW w:w="1789" w:type="dxa"/>
            <w:shd w:val="clear" w:color="auto" w:fill="BFBFBF" w:themeFill="background1" w:themeFillShade="BF"/>
          </w:tcPr>
          <w:p w14:paraId="63922E4A" w14:textId="77777777" w:rsidR="0034679F" w:rsidRPr="0034679F" w:rsidRDefault="0034679F" w:rsidP="00B110A0">
            <w:pPr>
              <w:jc w:val="center"/>
              <w:rPr>
                <w:b/>
                <w:sz w:val="20"/>
                <w:szCs w:val="20"/>
              </w:rPr>
            </w:pPr>
            <w:r w:rsidRPr="0034679F">
              <w:rPr>
                <w:b/>
                <w:sz w:val="20"/>
                <w:szCs w:val="20"/>
              </w:rPr>
              <w:t>Year 1</w:t>
            </w:r>
          </w:p>
        </w:tc>
        <w:tc>
          <w:tcPr>
            <w:tcW w:w="1790" w:type="dxa"/>
            <w:shd w:val="clear" w:color="auto" w:fill="BFBFBF" w:themeFill="background1" w:themeFillShade="BF"/>
          </w:tcPr>
          <w:p w14:paraId="7A06BB79" w14:textId="77777777" w:rsidR="0034679F" w:rsidRPr="0034679F" w:rsidRDefault="0034679F" w:rsidP="00B110A0">
            <w:pPr>
              <w:jc w:val="center"/>
              <w:rPr>
                <w:b/>
                <w:sz w:val="20"/>
                <w:szCs w:val="20"/>
              </w:rPr>
            </w:pPr>
            <w:r w:rsidRPr="0034679F">
              <w:rPr>
                <w:b/>
                <w:sz w:val="20"/>
                <w:szCs w:val="20"/>
              </w:rPr>
              <w:t>Year 2</w:t>
            </w:r>
          </w:p>
        </w:tc>
        <w:tc>
          <w:tcPr>
            <w:tcW w:w="1790" w:type="dxa"/>
            <w:shd w:val="clear" w:color="auto" w:fill="BFBFBF" w:themeFill="background1" w:themeFillShade="BF"/>
          </w:tcPr>
          <w:p w14:paraId="6F53150E" w14:textId="77777777" w:rsidR="0034679F" w:rsidRPr="0034679F" w:rsidRDefault="0034679F" w:rsidP="00B110A0">
            <w:pPr>
              <w:jc w:val="center"/>
              <w:rPr>
                <w:b/>
                <w:sz w:val="20"/>
                <w:szCs w:val="20"/>
              </w:rPr>
            </w:pPr>
            <w:r w:rsidRPr="0034679F">
              <w:rPr>
                <w:b/>
                <w:sz w:val="20"/>
                <w:szCs w:val="20"/>
              </w:rPr>
              <w:t>Year 3</w:t>
            </w:r>
          </w:p>
        </w:tc>
      </w:tr>
      <w:tr w:rsidR="0034679F" w:rsidRPr="0034679F" w14:paraId="6E6C278E" w14:textId="77777777" w:rsidTr="00DA1687">
        <w:tc>
          <w:tcPr>
            <w:tcW w:w="3578" w:type="dxa"/>
            <w:gridSpan w:val="2"/>
            <w:vMerge/>
            <w:shd w:val="clear" w:color="auto" w:fill="BFBFBF" w:themeFill="background1" w:themeFillShade="BF"/>
          </w:tcPr>
          <w:p w14:paraId="129FAD54" w14:textId="77777777" w:rsidR="0034679F" w:rsidRPr="0034679F" w:rsidRDefault="0034679F" w:rsidP="00B110A0">
            <w:pPr>
              <w:rPr>
                <w:b/>
                <w:sz w:val="20"/>
                <w:szCs w:val="20"/>
              </w:rPr>
            </w:pPr>
          </w:p>
        </w:tc>
        <w:tc>
          <w:tcPr>
            <w:tcW w:w="1789" w:type="dxa"/>
            <w:tcBorders>
              <w:bottom w:val="single" w:sz="4" w:space="0" w:color="auto"/>
            </w:tcBorders>
            <w:shd w:val="clear" w:color="auto" w:fill="BFBFBF" w:themeFill="background1" w:themeFillShade="BF"/>
          </w:tcPr>
          <w:p w14:paraId="12C92DB6" w14:textId="77777777" w:rsidR="0034679F" w:rsidRPr="0034679F" w:rsidRDefault="0034679F" w:rsidP="00B110A0">
            <w:pPr>
              <w:jc w:val="center"/>
              <w:rPr>
                <w:b/>
                <w:sz w:val="20"/>
                <w:szCs w:val="20"/>
              </w:rPr>
            </w:pPr>
            <w:r w:rsidRPr="0034679F">
              <w:rPr>
                <w:b/>
                <w:sz w:val="20"/>
                <w:szCs w:val="20"/>
              </w:rPr>
              <w:t>January 2019 – December 2019</w:t>
            </w:r>
          </w:p>
        </w:tc>
        <w:tc>
          <w:tcPr>
            <w:tcW w:w="1790" w:type="dxa"/>
            <w:tcBorders>
              <w:bottom w:val="single" w:sz="4" w:space="0" w:color="auto"/>
            </w:tcBorders>
            <w:shd w:val="clear" w:color="auto" w:fill="BFBFBF" w:themeFill="background1" w:themeFillShade="BF"/>
          </w:tcPr>
          <w:p w14:paraId="4AEB4974" w14:textId="77777777" w:rsidR="0034679F" w:rsidRPr="0034679F" w:rsidRDefault="0034679F" w:rsidP="00B110A0">
            <w:pPr>
              <w:jc w:val="center"/>
              <w:rPr>
                <w:b/>
                <w:sz w:val="20"/>
                <w:szCs w:val="20"/>
              </w:rPr>
            </w:pPr>
            <w:r w:rsidRPr="0034679F">
              <w:rPr>
                <w:b/>
                <w:sz w:val="20"/>
                <w:szCs w:val="20"/>
              </w:rPr>
              <w:t>January 2020 – December 2020</w:t>
            </w:r>
          </w:p>
        </w:tc>
        <w:tc>
          <w:tcPr>
            <w:tcW w:w="1790" w:type="dxa"/>
            <w:tcBorders>
              <w:bottom w:val="single" w:sz="4" w:space="0" w:color="auto"/>
            </w:tcBorders>
            <w:shd w:val="clear" w:color="auto" w:fill="BFBFBF" w:themeFill="background1" w:themeFillShade="BF"/>
          </w:tcPr>
          <w:p w14:paraId="3F6DB2AB" w14:textId="77777777" w:rsidR="0034679F" w:rsidRPr="0034679F" w:rsidRDefault="0034679F" w:rsidP="00B110A0">
            <w:pPr>
              <w:jc w:val="center"/>
              <w:rPr>
                <w:b/>
                <w:sz w:val="20"/>
                <w:szCs w:val="20"/>
              </w:rPr>
            </w:pPr>
            <w:r w:rsidRPr="0034679F">
              <w:rPr>
                <w:b/>
                <w:sz w:val="20"/>
                <w:szCs w:val="20"/>
              </w:rPr>
              <w:t>January 2021- December 2021</w:t>
            </w:r>
          </w:p>
        </w:tc>
      </w:tr>
      <w:tr w:rsidR="0034679F" w:rsidRPr="0034679F" w14:paraId="298E216C" w14:textId="77777777" w:rsidTr="00DA1687">
        <w:tc>
          <w:tcPr>
            <w:tcW w:w="1789" w:type="dxa"/>
            <w:vMerge w:val="restart"/>
          </w:tcPr>
          <w:p w14:paraId="46365FD5" w14:textId="77777777" w:rsidR="0034679F" w:rsidRPr="0034679F" w:rsidRDefault="0034679F" w:rsidP="00B110A0">
            <w:pPr>
              <w:rPr>
                <w:sz w:val="20"/>
                <w:szCs w:val="20"/>
              </w:rPr>
            </w:pPr>
            <w:r w:rsidRPr="0034679F">
              <w:rPr>
                <w:sz w:val="20"/>
                <w:szCs w:val="20"/>
              </w:rPr>
              <w:t xml:space="preserve">Patients </w:t>
            </w:r>
          </w:p>
        </w:tc>
        <w:tc>
          <w:tcPr>
            <w:tcW w:w="1789" w:type="dxa"/>
          </w:tcPr>
          <w:p w14:paraId="2F0741ED" w14:textId="77777777" w:rsidR="0034679F" w:rsidRPr="0034679F" w:rsidRDefault="0034679F" w:rsidP="00B110A0">
            <w:pPr>
              <w:rPr>
                <w:sz w:val="20"/>
                <w:szCs w:val="20"/>
              </w:rPr>
            </w:pPr>
            <w:r w:rsidRPr="0034679F">
              <w:rPr>
                <w:sz w:val="20"/>
                <w:szCs w:val="20"/>
              </w:rPr>
              <w:t xml:space="preserve">Predicted </w:t>
            </w:r>
          </w:p>
        </w:tc>
        <w:tc>
          <w:tcPr>
            <w:tcW w:w="1789" w:type="dxa"/>
            <w:shd w:val="solid" w:color="000000" w:fill="000000"/>
          </w:tcPr>
          <w:p w14:paraId="4478E8E1" w14:textId="67F0F01F" w:rsidR="0034679F" w:rsidRPr="0034679F" w:rsidRDefault="00DA1687" w:rsidP="00B110A0">
            <w:pPr>
              <w:jc w:val="center"/>
              <w:rPr>
                <w:sz w:val="20"/>
                <w:szCs w:val="20"/>
              </w:rPr>
            </w:pPr>
            <w:r w:rsidRPr="00DA1687">
              <w:rPr>
                <w:rFonts w:ascii="Calibri" w:eastAsia="Times New Roman" w:hAnsi="Calibri" w:cs="Calibri"/>
                <w:color w:val="000000"/>
                <w:sz w:val="20"/>
                <w:szCs w:val="20"/>
                <w14:textFill>
                  <w14:solidFill>
                    <w14:srgbClr w14:val="000000">
                      <w14:alpha w14:val="100000"/>
                    </w14:srgbClr>
                  </w14:solidFill>
                </w14:textFill>
              </w:rPr>
              <w:t>|</w:t>
            </w:r>
          </w:p>
        </w:tc>
        <w:tc>
          <w:tcPr>
            <w:tcW w:w="1790" w:type="dxa"/>
            <w:shd w:val="solid" w:color="000000" w:fill="000000"/>
          </w:tcPr>
          <w:p w14:paraId="6D8ADA06" w14:textId="6220F5CA" w:rsidR="0034679F" w:rsidRPr="0034679F" w:rsidRDefault="00DA1687" w:rsidP="00B110A0">
            <w:pPr>
              <w:jc w:val="center"/>
              <w:rPr>
                <w:sz w:val="20"/>
                <w:szCs w:val="20"/>
              </w:rPr>
            </w:pPr>
            <w:r w:rsidRPr="00DA1687">
              <w:rPr>
                <w:rFonts w:ascii="Calibri" w:eastAsia="Times New Roman" w:hAnsi="Calibri" w:cs="Calibri"/>
                <w:color w:val="000000"/>
                <w:sz w:val="20"/>
                <w:szCs w:val="20"/>
                <w14:textFill>
                  <w14:solidFill>
                    <w14:srgbClr w14:val="000000">
                      <w14:alpha w14:val="100000"/>
                    </w14:srgbClr>
                  </w14:solidFill>
                </w14:textFill>
              </w:rPr>
              <w:t>|</w:t>
            </w:r>
          </w:p>
        </w:tc>
        <w:tc>
          <w:tcPr>
            <w:tcW w:w="1790" w:type="dxa"/>
            <w:shd w:val="solid" w:color="000000" w:fill="000000"/>
          </w:tcPr>
          <w:p w14:paraId="02DB13AA" w14:textId="2D39C08C" w:rsidR="0034679F" w:rsidRPr="0034679F" w:rsidRDefault="00DA1687" w:rsidP="00B110A0">
            <w:pPr>
              <w:jc w:val="center"/>
              <w:rPr>
                <w:sz w:val="20"/>
                <w:szCs w:val="20"/>
              </w:rPr>
            </w:pPr>
            <w:r w:rsidRPr="00DA1687">
              <w:rPr>
                <w:color w:val="000000"/>
                <w:sz w:val="20"/>
                <w:szCs w:val="20"/>
                <w14:textFill>
                  <w14:solidFill>
                    <w14:srgbClr w14:val="000000">
                      <w14:alpha w14:val="100000"/>
                    </w14:srgbClr>
                  </w14:solidFill>
                </w14:textFill>
              </w:rPr>
              <w:t>|</w:t>
            </w:r>
          </w:p>
        </w:tc>
      </w:tr>
      <w:tr w:rsidR="0034679F" w:rsidRPr="0034679F" w14:paraId="7DBF6D54" w14:textId="77777777" w:rsidTr="00DA1687">
        <w:tc>
          <w:tcPr>
            <w:tcW w:w="1789" w:type="dxa"/>
            <w:vMerge/>
          </w:tcPr>
          <w:p w14:paraId="4CA4FCB6" w14:textId="77777777" w:rsidR="0034679F" w:rsidRPr="0034679F" w:rsidRDefault="0034679F" w:rsidP="00B110A0">
            <w:pPr>
              <w:rPr>
                <w:sz w:val="20"/>
                <w:szCs w:val="20"/>
              </w:rPr>
            </w:pPr>
          </w:p>
        </w:tc>
        <w:tc>
          <w:tcPr>
            <w:tcW w:w="1789" w:type="dxa"/>
          </w:tcPr>
          <w:p w14:paraId="707F9FBE" w14:textId="77777777" w:rsidR="0034679F" w:rsidRPr="0034679F" w:rsidRDefault="0034679F" w:rsidP="00B110A0">
            <w:pPr>
              <w:rPr>
                <w:sz w:val="20"/>
                <w:szCs w:val="20"/>
              </w:rPr>
            </w:pPr>
            <w:r w:rsidRPr="0034679F">
              <w:rPr>
                <w:sz w:val="20"/>
                <w:szCs w:val="20"/>
              </w:rPr>
              <w:t xml:space="preserve">Actual </w:t>
            </w:r>
          </w:p>
        </w:tc>
        <w:tc>
          <w:tcPr>
            <w:tcW w:w="1789" w:type="dxa"/>
            <w:tcBorders>
              <w:bottom w:val="single" w:sz="4" w:space="0" w:color="auto"/>
            </w:tcBorders>
          </w:tcPr>
          <w:p w14:paraId="6B201CC1" w14:textId="77777777" w:rsidR="0034679F" w:rsidRPr="0034679F" w:rsidRDefault="0034679F" w:rsidP="00B110A0">
            <w:pPr>
              <w:jc w:val="center"/>
              <w:rPr>
                <w:sz w:val="20"/>
                <w:szCs w:val="20"/>
              </w:rPr>
            </w:pPr>
            <w:r w:rsidRPr="0034679F">
              <w:rPr>
                <w:sz w:val="20"/>
                <w:szCs w:val="20"/>
              </w:rPr>
              <w:t>1,130</w:t>
            </w:r>
          </w:p>
        </w:tc>
        <w:tc>
          <w:tcPr>
            <w:tcW w:w="1790" w:type="dxa"/>
            <w:tcBorders>
              <w:bottom w:val="single" w:sz="4" w:space="0" w:color="auto"/>
            </w:tcBorders>
          </w:tcPr>
          <w:p w14:paraId="49FC0522" w14:textId="77777777" w:rsidR="0034679F" w:rsidRPr="0034679F" w:rsidRDefault="0034679F" w:rsidP="00B110A0">
            <w:pPr>
              <w:jc w:val="center"/>
              <w:rPr>
                <w:sz w:val="20"/>
                <w:szCs w:val="20"/>
              </w:rPr>
            </w:pPr>
            <w:r w:rsidRPr="0034679F">
              <w:rPr>
                <w:sz w:val="20"/>
                <w:szCs w:val="20"/>
              </w:rPr>
              <w:t>1,407</w:t>
            </w:r>
          </w:p>
        </w:tc>
        <w:tc>
          <w:tcPr>
            <w:tcW w:w="1790" w:type="dxa"/>
            <w:tcBorders>
              <w:bottom w:val="single" w:sz="4" w:space="0" w:color="auto"/>
            </w:tcBorders>
          </w:tcPr>
          <w:p w14:paraId="645DCE47" w14:textId="77777777" w:rsidR="0034679F" w:rsidRPr="0034679F" w:rsidRDefault="0034679F" w:rsidP="00B110A0">
            <w:pPr>
              <w:jc w:val="center"/>
              <w:rPr>
                <w:sz w:val="20"/>
                <w:szCs w:val="20"/>
              </w:rPr>
            </w:pPr>
            <w:r w:rsidRPr="0034679F">
              <w:rPr>
                <w:sz w:val="20"/>
                <w:szCs w:val="20"/>
              </w:rPr>
              <w:t>974</w:t>
            </w:r>
          </w:p>
        </w:tc>
      </w:tr>
      <w:tr w:rsidR="0034679F" w:rsidRPr="0034679F" w14:paraId="620E1F69" w14:textId="77777777" w:rsidTr="00DA1687">
        <w:tc>
          <w:tcPr>
            <w:tcW w:w="1789" w:type="dxa"/>
            <w:vMerge/>
          </w:tcPr>
          <w:p w14:paraId="33D2332A" w14:textId="77777777" w:rsidR="0034679F" w:rsidRPr="0034679F" w:rsidRDefault="0034679F" w:rsidP="00B110A0">
            <w:pPr>
              <w:rPr>
                <w:sz w:val="20"/>
                <w:szCs w:val="20"/>
              </w:rPr>
            </w:pPr>
          </w:p>
        </w:tc>
        <w:tc>
          <w:tcPr>
            <w:tcW w:w="1789" w:type="dxa"/>
          </w:tcPr>
          <w:p w14:paraId="2201B1A5" w14:textId="77777777" w:rsidR="0034679F" w:rsidRPr="0034679F" w:rsidRDefault="0034679F" w:rsidP="00B110A0">
            <w:pPr>
              <w:rPr>
                <w:sz w:val="20"/>
                <w:szCs w:val="20"/>
              </w:rPr>
            </w:pPr>
            <w:r w:rsidRPr="0034679F">
              <w:rPr>
                <w:sz w:val="20"/>
                <w:szCs w:val="20"/>
              </w:rPr>
              <w:t xml:space="preserve">Difference </w:t>
            </w:r>
          </w:p>
        </w:tc>
        <w:tc>
          <w:tcPr>
            <w:tcW w:w="1789" w:type="dxa"/>
            <w:tcBorders>
              <w:bottom w:val="single" w:sz="4" w:space="0" w:color="auto"/>
            </w:tcBorders>
            <w:shd w:val="solid" w:color="000000" w:fill="000000"/>
          </w:tcPr>
          <w:p w14:paraId="3608C32F" w14:textId="05A3E474" w:rsidR="0034679F" w:rsidRPr="0034679F" w:rsidRDefault="00DA1687" w:rsidP="00B110A0">
            <w:pPr>
              <w:jc w:val="center"/>
              <w:rPr>
                <w:sz w:val="20"/>
                <w:szCs w:val="20"/>
              </w:rPr>
            </w:pPr>
            <w:r w:rsidRPr="00DA1687">
              <w:rPr>
                <w:rFonts w:ascii="Calibri" w:eastAsia="Times New Roman" w:hAnsi="Calibri" w:cs="Calibri"/>
                <w:color w:val="000000"/>
                <w:sz w:val="20"/>
                <w:szCs w:val="20"/>
                <w14:textFill>
                  <w14:solidFill>
                    <w14:srgbClr w14:val="000000">
                      <w14:alpha w14:val="100000"/>
                    </w14:srgbClr>
                  </w14:solidFill>
                </w14:textFill>
              </w:rPr>
              <w:t>|</w:t>
            </w:r>
          </w:p>
        </w:tc>
        <w:tc>
          <w:tcPr>
            <w:tcW w:w="1790" w:type="dxa"/>
            <w:tcBorders>
              <w:bottom w:val="single" w:sz="4" w:space="0" w:color="auto"/>
            </w:tcBorders>
            <w:shd w:val="solid" w:color="000000" w:fill="000000"/>
          </w:tcPr>
          <w:p w14:paraId="0934BD6A" w14:textId="3D93CB1E" w:rsidR="0034679F" w:rsidRPr="0034679F" w:rsidRDefault="00DA1687" w:rsidP="00B110A0">
            <w:pPr>
              <w:jc w:val="center"/>
              <w:rPr>
                <w:sz w:val="20"/>
                <w:szCs w:val="20"/>
              </w:rPr>
            </w:pPr>
            <w:r w:rsidRPr="00DA1687">
              <w:rPr>
                <w:rFonts w:ascii="Calibri" w:eastAsia="Times New Roman" w:hAnsi="Calibri" w:cs="Calibri"/>
                <w:color w:val="000000"/>
                <w:sz w:val="20"/>
                <w:szCs w:val="20"/>
                <w14:textFill>
                  <w14:solidFill>
                    <w14:srgbClr w14:val="000000">
                      <w14:alpha w14:val="100000"/>
                    </w14:srgbClr>
                  </w14:solidFill>
                </w14:textFill>
              </w:rPr>
              <w:t>|</w:t>
            </w:r>
          </w:p>
        </w:tc>
        <w:tc>
          <w:tcPr>
            <w:tcW w:w="1790" w:type="dxa"/>
            <w:tcBorders>
              <w:bottom w:val="single" w:sz="4" w:space="0" w:color="auto"/>
            </w:tcBorders>
            <w:shd w:val="solid" w:color="000000" w:fill="000000"/>
          </w:tcPr>
          <w:p w14:paraId="47534F18" w14:textId="4836D1E6" w:rsidR="0034679F" w:rsidRPr="0034679F" w:rsidRDefault="00DA1687" w:rsidP="00B110A0">
            <w:pPr>
              <w:jc w:val="center"/>
              <w:rPr>
                <w:sz w:val="20"/>
                <w:szCs w:val="20"/>
              </w:rPr>
            </w:pPr>
            <w:r w:rsidRPr="00DA1687">
              <w:rPr>
                <w:rFonts w:ascii="Calibri" w:eastAsia="Times New Roman" w:hAnsi="Calibri" w:cs="Calibri"/>
                <w:color w:val="000000"/>
                <w:sz w:val="20"/>
                <w:szCs w:val="20"/>
                <w14:textFill>
                  <w14:solidFill>
                    <w14:srgbClr w14:val="000000">
                      <w14:alpha w14:val="100000"/>
                    </w14:srgbClr>
                  </w14:solidFill>
                </w14:textFill>
              </w:rPr>
              <w:t>|</w:t>
            </w:r>
          </w:p>
        </w:tc>
      </w:tr>
      <w:tr w:rsidR="0034679F" w:rsidRPr="0034679F" w14:paraId="485E568B" w14:textId="77777777" w:rsidTr="00DA1687">
        <w:tc>
          <w:tcPr>
            <w:tcW w:w="1789" w:type="dxa"/>
            <w:vMerge w:val="restart"/>
          </w:tcPr>
          <w:p w14:paraId="52D7FB3A" w14:textId="77777777" w:rsidR="0034679F" w:rsidRPr="0034679F" w:rsidRDefault="0034679F" w:rsidP="00B110A0">
            <w:pPr>
              <w:rPr>
                <w:sz w:val="20"/>
                <w:szCs w:val="20"/>
              </w:rPr>
            </w:pPr>
            <w:r w:rsidRPr="0034679F">
              <w:rPr>
                <w:sz w:val="20"/>
                <w:szCs w:val="20"/>
              </w:rPr>
              <w:t>Prescriptions</w:t>
            </w:r>
          </w:p>
        </w:tc>
        <w:tc>
          <w:tcPr>
            <w:tcW w:w="1789" w:type="dxa"/>
          </w:tcPr>
          <w:p w14:paraId="42CDB21E" w14:textId="77777777" w:rsidR="0034679F" w:rsidRPr="0034679F" w:rsidRDefault="0034679F" w:rsidP="00B110A0">
            <w:pPr>
              <w:rPr>
                <w:sz w:val="20"/>
                <w:szCs w:val="20"/>
              </w:rPr>
            </w:pPr>
            <w:r w:rsidRPr="0034679F">
              <w:rPr>
                <w:sz w:val="20"/>
                <w:szCs w:val="20"/>
              </w:rPr>
              <w:t xml:space="preserve">Predicted </w:t>
            </w:r>
          </w:p>
        </w:tc>
        <w:tc>
          <w:tcPr>
            <w:tcW w:w="1789" w:type="dxa"/>
            <w:shd w:val="solid" w:color="000000" w:fill="000000"/>
          </w:tcPr>
          <w:p w14:paraId="6836FEC4" w14:textId="6DDD31F0" w:rsidR="0034679F" w:rsidRPr="0034679F" w:rsidRDefault="00DA1687" w:rsidP="00B110A0">
            <w:pPr>
              <w:jc w:val="center"/>
              <w:rPr>
                <w:sz w:val="20"/>
                <w:szCs w:val="20"/>
              </w:rPr>
            </w:pPr>
            <w:r w:rsidRPr="00DA1687">
              <w:rPr>
                <w:rFonts w:ascii="Calibri" w:eastAsia="Times New Roman" w:hAnsi="Calibri" w:cs="Calibri"/>
                <w:color w:val="000000"/>
                <w:sz w:val="20"/>
                <w:szCs w:val="20"/>
                <w14:textFill>
                  <w14:solidFill>
                    <w14:srgbClr w14:val="000000">
                      <w14:alpha w14:val="100000"/>
                    </w14:srgbClr>
                  </w14:solidFill>
                </w14:textFill>
              </w:rPr>
              <w:t>|</w:t>
            </w:r>
          </w:p>
        </w:tc>
        <w:tc>
          <w:tcPr>
            <w:tcW w:w="1790" w:type="dxa"/>
            <w:shd w:val="solid" w:color="000000" w:fill="000000"/>
          </w:tcPr>
          <w:p w14:paraId="20D88530" w14:textId="6AFC8547" w:rsidR="0034679F" w:rsidRPr="0034679F" w:rsidRDefault="00DA1687" w:rsidP="00B110A0">
            <w:pPr>
              <w:jc w:val="center"/>
              <w:rPr>
                <w:sz w:val="20"/>
                <w:szCs w:val="20"/>
              </w:rPr>
            </w:pPr>
            <w:r w:rsidRPr="00DA1687">
              <w:rPr>
                <w:rFonts w:ascii="Calibri" w:eastAsia="Times New Roman" w:hAnsi="Calibri" w:cs="Calibri"/>
                <w:color w:val="000000"/>
                <w:sz w:val="20"/>
                <w:szCs w:val="20"/>
                <w14:textFill>
                  <w14:solidFill>
                    <w14:srgbClr w14:val="000000">
                      <w14:alpha w14:val="100000"/>
                    </w14:srgbClr>
                  </w14:solidFill>
                </w14:textFill>
              </w:rPr>
              <w:t>|</w:t>
            </w:r>
          </w:p>
        </w:tc>
        <w:tc>
          <w:tcPr>
            <w:tcW w:w="1790" w:type="dxa"/>
            <w:shd w:val="solid" w:color="000000" w:fill="000000"/>
          </w:tcPr>
          <w:p w14:paraId="2D7A5011" w14:textId="19B173BC" w:rsidR="0034679F" w:rsidRPr="0034679F" w:rsidRDefault="00DA1687" w:rsidP="00B110A0">
            <w:pPr>
              <w:jc w:val="center"/>
              <w:rPr>
                <w:sz w:val="20"/>
                <w:szCs w:val="20"/>
              </w:rPr>
            </w:pPr>
            <w:r w:rsidRPr="00DA1687">
              <w:rPr>
                <w:rFonts w:ascii="Calibri" w:eastAsia="Times New Roman" w:hAnsi="Calibri" w:cs="Calibri"/>
                <w:color w:val="000000"/>
                <w:sz w:val="20"/>
                <w:szCs w:val="20"/>
                <w14:textFill>
                  <w14:solidFill>
                    <w14:srgbClr w14:val="000000">
                      <w14:alpha w14:val="100000"/>
                    </w14:srgbClr>
                  </w14:solidFill>
                </w14:textFill>
              </w:rPr>
              <w:t>|</w:t>
            </w:r>
          </w:p>
        </w:tc>
      </w:tr>
      <w:tr w:rsidR="0034679F" w:rsidRPr="0034679F" w14:paraId="0EF88DEB" w14:textId="77777777" w:rsidTr="00DA1687">
        <w:tc>
          <w:tcPr>
            <w:tcW w:w="1789" w:type="dxa"/>
            <w:vMerge/>
          </w:tcPr>
          <w:p w14:paraId="662AFF71" w14:textId="77777777" w:rsidR="0034679F" w:rsidRPr="0034679F" w:rsidRDefault="0034679F" w:rsidP="00B110A0">
            <w:pPr>
              <w:rPr>
                <w:sz w:val="20"/>
                <w:szCs w:val="20"/>
              </w:rPr>
            </w:pPr>
          </w:p>
        </w:tc>
        <w:tc>
          <w:tcPr>
            <w:tcW w:w="1789" w:type="dxa"/>
          </w:tcPr>
          <w:p w14:paraId="1A966FF0" w14:textId="77777777" w:rsidR="0034679F" w:rsidRPr="0034679F" w:rsidRDefault="0034679F" w:rsidP="00B110A0">
            <w:pPr>
              <w:rPr>
                <w:sz w:val="20"/>
                <w:szCs w:val="20"/>
              </w:rPr>
            </w:pPr>
            <w:r w:rsidRPr="0034679F">
              <w:rPr>
                <w:sz w:val="20"/>
                <w:szCs w:val="20"/>
              </w:rPr>
              <w:t xml:space="preserve">Actual </w:t>
            </w:r>
          </w:p>
        </w:tc>
        <w:tc>
          <w:tcPr>
            <w:tcW w:w="1789" w:type="dxa"/>
            <w:tcBorders>
              <w:bottom w:val="single" w:sz="4" w:space="0" w:color="auto"/>
            </w:tcBorders>
          </w:tcPr>
          <w:p w14:paraId="18511485" w14:textId="77777777" w:rsidR="0034679F" w:rsidRPr="0034679F" w:rsidRDefault="0034679F" w:rsidP="00B110A0">
            <w:pPr>
              <w:jc w:val="center"/>
              <w:rPr>
                <w:sz w:val="20"/>
                <w:szCs w:val="20"/>
              </w:rPr>
            </w:pPr>
            <w:r w:rsidRPr="0034679F">
              <w:rPr>
                <w:sz w:val="20"/>
                <w:szCs w:val="20"/>
              </w:rPr>
              <w:t>3,295</w:t>
            </w:r>
          </w:p>
        </w:tc>
        <w:tc>
          <w:tcPr>
            <w:tcW w:w="1790" w:type="dxa"/>
            <w:tcBorders>
              <w:bottom w:val="single" w:sz="4" w:space="0" w:color="auto"/>
            </w:tcBorders>
          </w:tcPr>
          <w:p w14:paraId="798CECFB" w14:textId="77777777" w:rsidR="0034679F" w:rsidRPr="0034679F" w:rsidRDefault="0034679F" w:rsidP="00B110A0">
            <w:pPr>
              <w:jc w:val="center"/>
              <w:rPr>
                <w:sz w:val="20"/>
                <w:szCs w:val="20"/>
              </w:rPr>
            </w:pPr>
            <w:r w:rsidRPr="0034679F">
              <w:rPr>
                <w:sz w:val="20"/>
                <w:szCs w:val="20"/>
              </w:rPr>
              <w:t>4,147</w:t>
            </w:r>
          </w:p>
        </w:tc>
        <w:tc>
          <w:tcPr>
            <w:tcW w:w="1790" w:type="dxa"/>
            <w:tcBorders>
              <w:bottom w:val="single" w:sz="4" w:space="0" w:color="auto"/>
            </w:tcBorders>
          </w:tcPr>
          <w:p w14:paraId="2E6C6201" w14:textId="77777777" w:rsidR="0034679F" w:rsidRPr="0034679F" w:rsidRDefault="0034679F" w:rsidP="00B110A0">
            <w:pPr>
              <w:jc w:val="center"/>
              <w:rPr>
                <w:sz w:val="20"/>
                <w:szCs w:val="20"/>
              </w:rPr>
            </w:pPr>
            <w:r w:rsidRPr="0034679F">
              <w:rPr>
                <w:sz w:val="20"/>
                <w:szCs w:val="20"/>
              </w:rPr>
              <w:t>2,672</w:t>
            </w:r>
          </w:p>
        </w:tc>
      </w:tr>
      <w:tr w:rsidR="0034679F" w:rsidRPr="0034679F" w14:paraId="56698E32" w14:textId="77777777" w:rsidTr="00DA1687">
        <w:tc>
          <w:tcPr>
            <w:tcW w:w="1789" w:type="dxa"/>
            <w:vMerge/>
          </w:tcPr>
          <w:p w14:paraId="706923C5" w14:textId="77777777" w:rsidR="0034679F" w:rsidRPr="0034679F" w:rsidRDefault="0034679F" w:rsidP="00B110A0">
            <w:pPr>
              <w:rPr>
                <w:sz w:val="20"/>
                <w:szCs w:val="20"/>
              </w:rPr>
            </w:pPr>
          </w:p>
        </w:tc>
        <w:tc>
          <w:tcPr>
            <w:tcW w:w="1789" w:type="dxa"/>
          </w:tcPr>
          <w:p w14:paraId="0C8E2DA3" w14:textId="77777777" w:rsidR="0034679F" w:rsidRPr="0034679F" w:rsidRDefault="0034679F" w:rsidP="00B110A0">
            <w:pPr>
              <w:rPr>
                <w:sz w:val="20"/>
                <w:szCs w:val="20"/>
              </w:rPr>
            </w:pPr>
            <w:r w:rsidRPr="0034679F">
              <w:rPr>
                <w:sz w:val="20"/>
                <w:szCs w:val="20"/>
              </w:rPr>
              <w:t xml:space="preserve">Difference </w:t>
            </w:r>
          </w:p>
        </w:tc>
        <w:tc>
          <w:tcPr>
            <w:tcW w:w="1789" w:type="dxa"/>
            <w:shd w:val="solid" w:color="000000" w:fill="000000"/>
          </w:tcPr>
          <w:p w14:paraId="45797D70" w14:textId="6EE9417E" w:rsidR="0034679F" w:rsidRPr="0034679F" w:rsidRDefault="00DA1687" w:rsidP="00B110A0">
            <w:pPr>
              <w:jc w:val="center"/>
              <w:rPr>
                <w:sz w:val="20"/>
                <w:szCs w:val="20"/>
              </w:rPr>
            </w:pPr>
            <w:r w:rsidRPr="00DA1687">
              <w:rPr>
                <w:rFonts w:ascii="Calibri" w:eastAsia="Times New Roman" w:hAnsi="Calibri" w:cs="Calibri"/>
                <w:color w:val="000000"/>
                <w:sz w:val="20"/>
                <w:szCs w:val="20"/>
                <w14:textFill>
                  <w14:solidFill>
                    <w14:srgbClr w14:val="000000">
                      <w14:alpha w14:val="100000"/>
                    </w14:srgbClr>
                  </w14:solidFill>
                </w14:textFill>
              </w:rPr>
              <w:t>|</w:t>
            </w:r>
          </w:p>
        </w:tc>
        <w:tc>
          <w:tcPr>
            <w:tcW w:w="1790" w:type="dxa"/>
            <w:shd w:val="solid" w:color="000000" w:fill="000000"/>
          </w:tcPr>
          <w:p w14:paraId="60CE0681" w14:textId="0BFBED0F" w:rsidR="0034679F" w:rsidRPr="0034679F" w:rsidRDefault="00DA1687" w:rsidP="00B110A0">
            <w:pPr>
              <w:jc w:val="center"/>
              <w:rPr>
                <w:sz w:val="20"/>
                <w:szCs w:val="20"/>
              </w:rPr>
            </w:pPr>
            <w:r w:rsidRPr="00DA1687">
              <w:rPr>
                <w:rFonts w:ascii="Calibri" w:eastAsia="Times New Roman" w:hAnsi="Calibri" w:cs="Calibri"/>
                <w:color w:val="000000"/>
                <w:sz w:val="20"/>
                <w:szCs w:val="20"/>
                <w14:textFill>
                  <w14:solidFill>
                    <w14:srgbClr w14:val="000000">
                      <w14:alpha w14:val="100000"/>
                    </w14:srgbClr>
                  </w14:solidFill>
                </w14:textFill>
              </w:rPr>
              <w:t>|</w:t>
            </w:r>
          </w:p>
        </w:tc>
        <w:tc>
          <w:tcPr>
            <w:tcW w:w="1790" w:type="dxa"/>
            <w:shd w:val="solid" w:color="000000" w:fill="000000"/>
          </w:tcPr>
          <w:p w14:paraId="5ADC7461" w14:textId="7F638837" w:rsidR="0034679F" w:rsidRPr="0034679F" w:rsidRDefault="00DA1687" w:rsidP="00B110A0">
            <w:pPr>
              <w:jc w:val="center"/>
              <w:rPr>
                <w:sz w:val="20"/>
                <w:szCs w:val="20"/>
              </w:rPr>
            </w:pPr>
            <w:r w:rsidRPr="00DA1687">
              <w:rPr>
                <w:rFonts w:ascii="Calibri" w:eastAsia="Times New Roman" w:hAnsi="Calibri" w:cs="Calibri"/>
                <w:color w:val="000000"/>
                <w:sz w:val="20"/>
                <w:szCs w:val="20"/>
                <w14:textFill>
                  <w14:solidFill>
                    <w14:srgbClr w14:val="000000">
                      <w14:alpha w14:val="100000"/>
                    </w14:srgbClr>
                  </w14:solidFill>
                </w14:textFill>
              </w:rPr>
              <w:t>|</w:t>
            </w:r>
          </w:p>
        </w:tc>
      </w:tr>
    </w:tbl>
    <w:p w14:paraId="2A80EFA7" w14:textId="77777777" w:rsidR="0034679F" w:rsidRPr="0034679F" w:rsidRDefault="0034679F" w:rsidP="0034679F">
      <w:pPr>
        <w:rPr>
          <w:sz w:val="20"/>
        </w:rPr>
      </w:pPr>
      <w:r w:rsidRPr="0034679F">
        <w:rPr>
          <w:sz w:val="20"/>
        </w:rPr>
        <w:t xml:space="preserve">Note: Year 3 predicted numbers are for the full year, actual numbers are nine months of data (January 2021 to September 2021 inclusive). </w:t>
      </w:r>
    </w:p>
    <w:p w14:paraId="2F76AB31" w14:textId="77777777" w:rsidR="0034679F" w:rsidRPr="0034679F" w:rsidRDefault="0034679F" w:rsidP="0034679F">
      <w:r w:rsidRPr="0034679F">
        <w:t xml:space="preserve">The resubmission estimated a persistence rate of 100% in Year 1 and 80% in Year 2. As described in Table 4, 95.4% of patients who received the second treatment course was higher than estimated. </w:t>
      </w:r>
    </w:p>
    <w:p w14:paraId="0FAABBD3" w14:textId="77777777" w:rsidR="00023FA5" w:rsidRDefault="00023FA5" w:rsidP="00023FA5">
      <w:pPr>
        <w:pStyle w:val="Heading1"/>
      </w:pPr>
      <w:r w:rsidRPr="0034679F">
        <w:t>Discussion</w:t>
      </w:r>
    </w:p>
    <w:p w14:paraId="23F45297" w14:textId="77777777" w:rsidR="00023FA5" w:rsidRDefault="00023FA5" w:rsidP="00023FA5">
      <w:r>
        <w:t xml:space="preserve">Overall the RRMS market appears to be stable as </w:t>
      </w:r>
      <w:r w:rsidRPr="00DC725F">
        <w:t>shown in Figures 1 and 5. Oral therapies</w:t>
      </w:r>
      <w:r>
        <w:t xml:space="preserve"> continue to be the preferred form of therapy, with fingolimod being the highest utilised DMT. Infusion therapies are now the second preferred form over injections, likely due to increased infusion options being PBS listed: alemtuzumab (PBS listed April 2015) and ocrelizumab (PBS listed February 2018) in addition to natalizumab. </w:t>
      </w:r>
    </w:p>
    <w:p w14:paraId="6F112286" w14:textId="77777777" w:rsidR="00023FA5" w:rsidRDefault="00023FA5" w:rsidP="00023FA5">
      <w:r>
        <w:t>The above analyses report prescription and patient counts by calendar year or supply quarter. In interpreting the utilisation of individual medicines based on these counts it should be noted that some involve irregular dosing regimens and shorter treatment courses, particularly alemtuzumab, cladribine and ocrelizumab:</w:t>
      </w:r>
    </w:p>
    <w:p w14:paraId="7F666D4E" w14:textId="77777777" w:rsidR="00023FA5" w:rsidRPr="005F02BF" w:rsidRDefault="00023FA5" w:rsidP="00023FA5">
      <w:pPr>
        <w:pStyle w:val="ListParagraph"/>
        <w:numPr>
          <w:ilvl w:val="0"/>
          <w:numId w:val="24"/>
        </w:numPr>
      </w:pPr>
      <w:r>
        <w:t xml:space="preserve">Alemtuzumab is administered across </w:t>
      </w:r>
      <w:r>
        <w:rPr>
          <w:rFonts w:cstheme="minorHAnsi"/>
        </w:rPr>
        <w:t>two treatment courses. The first treatment course is administered o</w:t>
      </w:r>
      <w:r w:rsidRPr="005F02BF">
        <w:rPr>
          <w:rFonts w:cstheme="minorHAnsi"/>
        </w:rPr>
        <w:t xml:space="preserve">ver 5 days </w:t>
      </w:r>
      <w:r>
        <w:rPr>
          <w:rFonts w:cstheme="minorHAnsi"/>
        </w:rPr>
        <w:t xml:space="preserve">and the second treatment course is administered </w:t>
      </w:r>
      <w:r w:rsidRPr="005F02BF">
        <w:rPr>
          <w:rFonts w:cstheme="minorHAnsi"/>
        </w:rPr>
        <w:t>over 3 days</w:t>
      </w:r>
      <w:r>
        <w:rPr>
          <w:rFonts w:cstheme="minorHAnsi"/>
        </w:rPr>
        <w:t>,</w:t>
      </w:r>
      <w:r w:rsidRPr="005F02BF">
        <w:rPr>
          <w:rFonts w:cstheme="minorHAnsi"/>
        </w:rPr>
        <w:t xml:space="preserve"> 12</w:t>
      </w:r>
      <w:r>
        <w:rPr>
          <w:rFonts w:cstheme="minorHAnsi"/>
        </w:rPr>
        <w:t xml:space="preserve"> months after initial treatment. </w:t>
      </w:r>
    </w:p>
    <w:p w14:paraId="177C48A4" w14:textId="77777777" w:rsidR="00023FA5" w:rsidRPr="005F02BF" w:rsidRDefault="00023FA5" w:rsidP="00023FA5">
      <w:pPr>
        <w:pStyle w:val="ListParagraph"/>
        <w:numPr>
          <w:ilvl w:val="0"/>
          <w:numId w:val="24"/>
        </w:numPr>
      </w:pPr>
      <w:r>
        <w:rPr>
          <w:rFonts w:cstheme="minorHAnsi"/>
        </w:rPr>
        <w:t xml:space="preserve">Ocrelizumab is initially administered through a </w:t>
      </w:r>
      <w:r w:rsidRPr="005F02BF">
        <w:rPr>
          <w:rFonts w:cstheme="minorHAnsi"/>
        </w:rPr>
        <w:t xml:space="preserve">dose split into 2 infusions over 2 weeks and </w:t>
      </w:r>
      <w:r>
        <w:rPr>
          <w:rFonts w:cstheme="minorHAnsi"/>
        </w:rPr>
        <w:t xml:space="preserve">then is administered </w:t>
      </w:r>
      <w:r w:rsidRPr="005F02BF">
        <w:rPr>
          <w:rFonts w:cstheme="minorHAnsi"/>
        </w:rPr>
        <w:t>every 6 months afterwards.</w:t>
      </w:r>
    </w:p>
    <w:p w14:paraId="15FB866F" w14:textId="77777777" w:rsidR="00023FA5" w:rsidRDefault="00023FA5" w:rsidP="00023FA5">
      <w:pPr>
        <w:pStyle w:val="ListParagraph"/>
        <w:numPr>
          <w:ilvl w:val="0"/>
          <w:numId w:val="24"/>
        </w:numPr>
        <w:rPr>
          <w:rFonts w:cstheme="minorHAnsi"/>
        </w:rPr>
      </w:pPr>
      <w:r>
        <w:rPr>
          <w:rFonts w:cstheme="minorHAnsi"/>
        </w:rPr>
        <w:t>Cladribine is administered across t</w:t>
      </w:r>
      <w:r w:rsidRPr="005F02BF">
        <w:rPr>
          <w:rFonts w:cstheme="minorHAnsi"/>
        </w:rPr>
        <w:t xml:space="preserve">wo treatment courses over 2 years. Each course consists of 2 treatment weeks, one at the beginning of the first month and one at the beginning of the second month. </w:t>
      </w:r>
    </w:p>
    <w:p w14:paraId="6D611568" w14:textId="22995F30" w:rsidR="00023FA5" w:rsidRPr="006E27DE" w:rsidRDefault="00023FA5" w:rsidP="00023FA5">
      <w:r>
        <w:lastRenderedPageBreak/>
        <w:t>From the above analyses, there is a change in the RRMS market away from the older RRMS drugs.</w:t>
      </w:r>
      <w:r>
        <w:rPr>
          <w:rStyle w:val="FootnoteReference"/>
        </w:rPr>
        <w:footnoteReference w:id="8"/>
      </w:r>
      <w:r>
        <w:t xml:space="preserve"> This transition may be due the differing efficacy of DMTs and their effect on disease activity. In a recent Norwegian study based on a population-based registry, patients treated with high-efficacy DMTs were more likely to achieve no evidence of disease activity at Years 1 and 2 compared to those on moderate efficacy DMTs. High-efficacy DMTs included natalizumab, fingolimod, alemtuzumab, whilst moderate efficacy DMTs included interferons, glatiramer acetate, teriflunomide and dimethyl fumarate. No evidence of disease activity was described as no history of a clinical relapse, no new activity on magnetic resonance imaging (MRI) and no sign of clinical disease progression measured by expanded disability status scale (EDSS) in the past year.</w:t>
      </w:r>
      <w:r>
        <w:rPr>
          <w:rStyle w:val="FootnoteReference"/>
        </w:rPr>
        <w:footnoteReference w:id="9"/>
      </w:r>
      <w:r w:rsidR="00A51C7A">
        <w:t xml:space="preserve"> </w:t>
      </w:r>
      <w:r>
        <w:t xml:space="preserve">The PBAC noted at its March 2021 meeting the different efficacy tiers in its consideration of ofatumumab. Higher tier treatments include alemtuzumab, cladribine, fingolimod, natalizumab, ocrelizumab and ozanimod. Whilst lower tier treatments include </w:t>
      </w:r>
      <w:r w:rsidRPr="00AA3833">
        <w:t xml:space="preserve">dimethyl fumarate, glatiramer acetate and interferon beta-1a/1b, peginterferon beta-1a and teriflunomide </w:t>
      </w:r>
      <w:r>
        <w:t xml:space="preserve">(ofatumumab, Public Summary Document, March 2021 PBAC Meeting). </w:t>
      </w:r>
    </w:p>
    <w:p w14:paraId="407F22C1" w14:textId="77777777" w:rsidR="00023FA5" w:rsidRDefault="00023FA5" w:rsidP="00023FA5">
      <w:r>
        <w:t xml:space="preserve">The PBS restrictions vary according to the drug form of either: infusion (alemtuzumab, natalizumab and ocrelizumab), injection (glatiramer acetate, interferon beta-1a, interferon beta-1b and peginterferon beta-1a) or oral therapy (cladribine, dimethyl fumarate, fingolimod, ozanimod, siponimod and teriflunomide) (Appendix C). </w:t>
      </w:r>
      <w:r w:rsidRPr="00DC56F5">
        <w:t xml:space="preserve">Although infusion therapies specify treatment by a neurologist, neurologists accounted for 65% of prescribers. </w:t>
      </w:r>
      <w:r>
        <w:t>The restrictions for i</w:t>
      </w:r>
      <w:r w:rsidRPr="00DC56F5">
        <w:t>nfusion</w:t>
      </w:r>
      <w:r>
        <w:t xml:space="preserve"> and oral therapies specify they must be the only PBS drug for this condition. Based on the coadministration analysis in Table 8, there was only 3.9% to be probable cases of cladribine coadministration. </w:t>
      </w:r>
    </w:p>
    <w:p w14:paraId="68651636" w14:textId="77777777" w:rsidR="00023FA5" w:rsidRDefault="00023FA5" w:rsidP="00023FA5">
      <w:r>
        <w:t xml:space="preserve">Although the RRMS market is well established, there is a potential for off-label use in other types of MS. Two submissions have been made for siponimod for secondary progressive MS. It was not recommended by the PBAC at its November 2019 Meeting (siponimod, </w:t>
      </w:r>
      <w:hyperlink r:id="rId31" w:history="1">
        <w:r w:rsidRPr="00923FC0">
          <w:rPr>
            <w:rStyle w:val="Hyperlink"/>
          </w:rPr>
          <w:t>Public Summary Document</w:t>
        </w:r>
      </w:hyperlink>
      <w:r>
        <w:t xml:space="preserve"> November 2019 PBAC Meeting). Its resubmission at the July 2020 PBAC Meeting was recommended for secondary progressive MS (siponimod, </w:t>
      </w:r>
      <w:hyperlink r:id="rId32" w:history="1">
        <w:r w:rsidRPr="0053537D">
          <w:rPr>
            <w:rStyle w:val="Hyperlink"/>
          </w:rPr>
          <w:t>Public Summary Document</w:t>
        </w:r>
      </w:hyperlink>
      <w:r>
        <w:t xml:space="preserve"> July 2020 PBAC Meeting). At the time of this review, it has yet to be PBS listed for this indication. Two submissions have been made for ocrelizumab which were not recommended: primary progressive multiple sclerosis (ocrelizumab, </w:t>
      </w:r>
      <w:hyperlink r:id="rId33" w:history="1">
        <w:r w:rsidRPr="00923FC0">
          <w:rPr>
            <w:rStyle w:val="Hyperlink"/>
          </w:rPr>
          <w:t>Public Summary Document</w:t>
        </w:r>
      </w:hyperlink>
      <w:r>
        <w:t xml:space="preserve">, November 2017 PBAC Meeting) and for early (diagnosed within the past five years), MRI-active primary progressive MS (ocrelizumab, </w:t>
      </w:r>
      <w:hyperlink r:id="rId34" w:history="1">
        <w:r w:rsidRPr="0053537D">
          <w:rPr>
            <w:rStyle w:val="Hyperlink"/>
          </w:rPr>
          <w:t>Public Summary Document</w:t>
        </w:r>
      </w:hyperlink>
      <w:r>
        <w:t xml:space="preserve"> July 2020 PBAC Meeting). </w:t>
      </w:r>
    </w:p>
    <w:p w14:paraId="32CD9FFF" w14:textId="77777777" w:rsidR="0065715F" w:rsidRDefault="0065715F" w:rsidP="0065715F">
      <w:pPr>
        <w:pStyle w:val="Heading1"/>
      </w:pPr>
      <w:r>
        <w:lastRenderedPageBreak/>
        <w:t>DUSC consideration</w:t>
      </w:r>
    </w:p>
    <w:p w14:paraId="0D246574" w14:textId="0C2F33B4" w:rsidR="00390E10" w:rsidRPr="0065715F" w:rsidRDefault="00390E10" w:rsidP="00390E10">
      <w:r w:rsidRPr="0065715F">
        <w:rPr>
          <w:rFonts w:cstheme="minorHAnsi"/>
        </w:rPr>
        <w:t xml:space="preserve">DUSC noted the changes in RRMS market share over time, such as oral therapies becoming the most preferred therapy and the shift away from the older generation RRMS treatments. DUSC considered that there would likely to be continued market share changes in the future and noted the recent PBS listings of siponimod (November 2020) and ozanimod (October 2021). </w:t>
      </w:r>
      <w:r w:rsidRPr="0065715F">
        <w:t xml:space="preserve">DUSC noted the Pre-Sub-Committee Responses (PSCR) from the sponsors of dimethyl fumarate, interferon beta-1a, natalizumab and peginterferon as well as the sponsor of interferon beta-1b, who both acknowledged the preference for oral therapies and the shift away from older medicines could be due to the potential convenience associated with less frequent dosing. </w:t>
      </w:r>
    </w:p>
    <w:p w14:paraId="76A514F5" w14:textId="09DF25DC" w:rsidR="00390E10" w:rsidRPr="0065715F" w:rsidRDefault="00390E10" w:rsidP="00390E10">
      <w:r w:rsidRPr="0065715F">
        <w:t xml:space="preserve">DUSC noted a high proportion of injection prescriptions were initiated by GPs, despite the restriction specifying treatment by neurologist. DUSC considered that it may have been due to coding errors for Authority Required (Streamlined) prescriptions. Additionally, DUSC commented it could have been due to cases of neurologists advising GPs of the appropriate treatment plan to which GPs would initiate treatment for the patient or the patient’s lack of accessibility to neurologists. </w:t>
      </w:r>
    </w:p>
    <w:p w14:paraId="4E0B7051" w14:textId="19474A5E" w:rsidR="00390E10" w:rsidRPr="0065715F" w:rsidRDefault="00390E10" w:rsidP="00390E10">
      <w:pPr>
        <w:rPr>
          <w:rFonts w:cstheme="minorHAnsi"/>
        </w:rPr>
      </w:pPr>
      <w:r w:rsidRPr="0065715F">
        <w:rPr>
          <w:rFonts w:cstheme="minorHAnsi"/>
        </w:rPr>
        <w:t xml:space="preserve">DUSC noted the number of patients treated with cladribine during the first and second year of listing was </w:t>
      </w:r>
      <w:r w:rsidR="00DA1687" w:rsidRPr="00DA1687">
        <w:rPr>
          <w:rFonts w:cstheme="minorHAnsi"/>
          <w:color w:val="000000"/>
          <w:w w:val="74"/>
          <w:shd w:val="solid" w:color="000000" w:fill="000000"/>
          <w:fitText w:val="496" w:id="-1498780416"/>
          <w14:textFill>
            <w14:solidFill>
              <w14:srgbClr w14:val="000000">
                <w14:alpha w14:val="100000"/>
              </w14:srgbClr>
            </w14:solidFill>
          </w14:textFill>
        </w:rPr>
        <w:t>||||||</w:t>
      </w:r>
      <w:r w:rsidR="00DA1687">
        <w:rPr>
          <w:rFonts w:cstheme="minorHAnsi"/>
        </w:rPr>
        <w:t xml:space="preserve"> </w:t>
      </w:r>
      <w:r w:rsidRPr="0065715F">
        <w:rPr>
          <w:rFonts w:cstheme="minorHAnsi"/>
        </w:rPr>
        <w:t xml:space="preserve">than estimated. DUSC noted the number of prescriptions supplied was </w:t>
      </w:r>
      <w:r w:rsidR="00DA1687" w:rsidRPr="00DA1687">
        <w:rPr>
          <w:rFonts w:cstheme="minorHAnsi"/>
          <w:color w:val="000000"/>
          <w:w w:val="74"/>
          <w:shd w:val="solid" w:color="000000" w:fill="000000"/>
          <w:fitText w:val="496" w:id="-1498780415"/>
          <w14:textFill>
            <w14:solidFill>
              <w14:srgbClr w14:val="000000">
                <w14:alpha w14:val="100000"/>
              </w14:srgbClr>
            </w14:solidFill>
          </w14:textFill>
        </w:rPr>
        <w:t>||||||</w:t>
      </w:r>
      <w:r w:rsidR="00DA1687">
        <w:rPr>
          <w:rFonts w:cstheme="minorHAnsi"/>
        </w:rPr>
        <w:t xml:space="preserve"> </w:t>
      </w:r>
      <w:r w:rsidRPr="0065715F">
        <w:rPr>
          <w:rFonts w:cstheme="minorHAnsi"/>
        </w:rPr>
        <w:t xml:space="preserve">than estimated during the first year of listing and was </w:t>
      </w:r>
      <w:r w:rsidR="00DA1687" w:rsidRPr="00DA1687">
        <w:rPr>
          <w:rFonts w:cstheme="minorHAnsi"/>
          <w:color w:val="000000"/>
          <w:w w:val="76"/>
          <w:shd w:val="solid" w:color="000000" w:fill="000000"/>
          <w:fitText w:val="507" w:id="-1498780414"/>
          <w14:textFill>
            <w14:solidFill>
              <w14:srgbClr w14:val="000000">
                <w14:alpha w14:val="100000"/>
              </w14:srgbClr>
            </w14:solidFill>
          </w14:textFill>
        </w:rPr>
        <w:t>||||||</w:t>
      </w:r>
      <w:r w:rsidR="00DA1687">
        <w:rPr>
          <w:rFonts w:cstheme="minorHAnsi"/>
        </w:rPr>
        <w:t xml:space="preserve"> </w:t>
      </w:r>
      <w:r w:rsidRPr="0065715F">
        <w:rPr>
          <w:rFonts w:cstheme="minorHAnsi"/>
        </w:rPr>
        <w:t xml:space="preserve">than estimated during the second year of listing. DUSC considered there may have been an impact of the COVID-19 pandemic, and commented that the number of patients initiating cladribine treatment is yet to be stabilised. </w:t>
      </w:r>
    </w:p>
    <w:p w14:paraId="72B9EBFB" w14:textId="036EFE69" w:rsidR="00390E10" w:rsidRPr="0065715F" w:rsidRDefault="00390E10" w:rsidP="00390E10">
      <w:pPr>
        <w:rPr>
          <w:rFonts w:cstheme="minorHAnsi"/>
        </w:rPr>
      </w:pPr>
      <w:r w:rsidRPr="0065715F">
        <w:t xml:space="preserve">DUSC noted cladribine is administered to patients via two courses over two years. </w:t>
      </w:r>
      <w:r w:rsidRPr="0065715F">
        <w:rPr>
          <w:rFonts w:cstheme="minorHAnsi"/>
        </w:rPr>
        <w:t xml:space="preserve"> </w:t>
      </w:r>
      <w:r w:rsidRPr="0065715F">
        <w:t xml:space="preserve">DUSC noted the high proportion of persistence in Year 2 of cladribine treatment. DUSC considered the assumption of </w:t>
      </w:r>
      <w:r w:rsidR="00DA1687" w:rsidRPr="00DA1687">
        <w:rPr>
          <w:color w:val="000000"/>
          <w:spacing w:val="77"/>
          <w:shd w:val="solid" w:color="000000" w:fill="000000"/>
          <w:fitText w:val="299" w:id="-1498780413"/>
          <w14:textFill>
            <w14:solidFill>
              <w14:srgbClr w14:val="000000">
                <w14:alpha w14:val="100000"/>
              </w14:srgbClr>
            </w14:solidFill>
          </w14:textFill>
        </w:rPr>
        <w:t>|</w:t>
      </w:r>
      <w:r w:rsidR="00DA1687" w:rsidRPr="00DA1687">
        <w:rPr>
          <w:color w:val="000000"/>
          <w:shd w:val="solid" w:color="000000" w:fill="000000"/>
          <w:fitText w:val="299" w:id="-1498780413"/>
          <w14:textFill>
            <w14:solidFill>
              <w14:srgbClr w14:val="000000">
                <w14:alpha w14:val="100000"/>
              </w14:srgbClr>
            </w14:solidFill>
          </w14:textFill>
        </w:rPr>
        <w:t>|</w:t>
      </w:r>
      <w:r w:rsidR="00DA1687">
        <w:t xml:space="preserve"> </w:t>
      </w:r>
      <w:r w:rsidRPr="0065715F">
        <w:t xml:space="preserve">persistence rate was </w:t>
      </w:r>
      <w:r w:rsidR="00DA1687" w:rsidRPr="00DA1687">
        <w:rPr>
          <w:color w:val="000000"/>
          <w:w w:val="59"/>
          <w:shd w:val="solid" w:color="000000" w:fill="000000"/>
          <w:fitText w:val="1440" w:id="-1498780412"/>
          <w14:textFill>
            <w14:solidFill>
              <w14:srgbClr w14:val="000000">
                <w14:alpha w14:val="100000"/>
              </w14:srgbClr>
            </w14:solidFill>
          </w14:textFill>
        </w:rPr>
        <w:t>||||||||||||||||||||||</w:t>
      </w:r>
      <w:r w:rsidR="00DA1687">
        <w:t xml:space="preserve"> </w:t>
      </w:r>
      <w:r w:rsidRPr="0065715F">
        <w:t xml:space="preserve">and commented that the yearly dosing regimen may have </w:t>
      </w:r>
      <w:r w:rsidR="00DA1687" w:rsidRPr="00DA1687">
        <w:rPr>
          <w:color w:val="000000"/>
          <w:spacing w:val="1"/>
          <w:w w:val="66"/>
          <w:shd w:val="solid" w:color="000000" w:fill="000000"/>
          <w:fitText w:val="887" w:id="-1498780411"/>
          <w14:textFill>
            <w14:solidFill>
              <w14:srgbClr w14:val="000000">
                <w14:alpha w14:val="100000"/>
              </w14:srgbClr>
            </w14:solidFill>
          </w14:textFill>
        </w:rPr>
        <w:t>||||||||||||</w:t>
      </w:r>
      <w:r w:rsidR="00DA1687">
        <w:t xml:space="preserve"> </w:t>
      </w:r>
      <w:r w:rsidRPr="0065715F">
        <w:t xml:space="preserve">persistence. DUSC noted the time to resupply varied between the first and second year. DUSC commented that there was larger variation when patients received their treatment course in the second year, compared to the first year. </w:t>
      </w:r>
    </w:p>
    <w:p w14:paraId="2C73060F" w14:textId="274A1905" w:rsidR="00390E10" w:rsidRPr="0065715F" w:rsidRDefault="00390E10" w:rsidP="00390E10">
      <w:pPr>
        <w:rPr>
          <w:rFonts w:cstheme="minorHAnsi"/>
        </w:rPr>
      </w:pPr>
      <w:r w:rsidRPr="0065715F">
        <w:rPr>
          <w:rFonts w:cstheme="minorHAnsi"/>
        </w:rPr>
        <w:t xml:space="preserve">DUSC noted the submission assumed cladribine would displace fingolimod. DUSC commented that a proportion of patients switching to cladribine were previously treated with fingolimod, however, not all patients switching to cladribine treatment were previously treated with fingolimod.   </w:t>
      </w:r>
    </w:p>
    <w:p w14:paraId="53BC3C20" w14:textId="77777777" w:rsidR="00390E10" w:rsidRPr="0065715F" w:rsidRDefault="00390E10" w:rsidP="00390E10">
      <w:pPr>
        <w:rPr>
          <w:rFonts w:cstheme="minorHAnsi"/>
        </w:rPr>
      </w:pPr>
      <w:r w:rsidRPr="0065715F">
        <w:rPr>
          <w:rFonts w:cstheme="minorHAnsi"/>
        </w:rPr>
        <w:t>DUSC sought consumer input from MS Australia and noted the following comments from this organisation:</w:t>
      </w:r>
    </w:p>
    <w:p w14:paraId="775B66D2" w14:textId="77777777" w:rsidR="00390E10" w:rsidRPr="0065715F" w:rsidRDefault="00390E10" w:rsidP="00390E10">
      <w:pPr>
        <w:pStyle w:val="ListParagraph"/>
        <w:numPr>
          <w:ilvl w:val="0"/>
          <w:numId w:val="28"/>
        </w:numPr>
        <w:spacing w:after="0" w:line="256" w:lineRule="auto"/>
      </w:pPr>
      <w:r w:rsidRPr="0065715F">
        <w:t xml:space="preserve">Cladribine’s dosing regimen and oral administration is a great option for patients, particularly for young newly diagnosed patients. The dosing regimen gives them a sense that they are still in control.  </w:t>
      </w:r>
    </w:p>
    <w:p w14:paraId="08848645" w14:textId="77777777" w:rsidR="00390E10" w:rsidRPr="0065715F" w:rsidRDefault="00390E10" w:rsidP="00390E10">
      <w:pPr>
        <w:pStyle w:val="ListParagraph"/>
        <w:numPr>
          <w:ilvl w:val="0"/>
          <w:numId w:val="28"/>
        </w:numPr>
        <w:spacing w:after="0" w:line="256" w:lineRule="auto"/>
      </w:pPr>
      <w:r w:rsidRPr="0065715F">
        <w:lastRenderedPageBreak/>
        <w:t>Whether cladribine patients would require treatment after their two treatment courses and if so, whether patients are treated with cladribine again or a different disease modifying therapy (DMT).</w:t>
      </w:r>
    </w:p>
    <w:p w14:paraId="5F1FC1D5" w14:textId="77777777" w:rsidR="00390E10" w:rsidRPr="0065715F" w:rsidRDefault="00390E10" w:rsidP="00390E10">
      <w:pPr>
        <w:pStyle w:val="ListParagraph"/>
        <w:numPr>
          <w:ilvl w:val="0"/>
          <w:numId w:val="29"/>
        </w:numPr>
        <w:spacing w:after="0" w:line="259" w:lineRule="auto"/>
      </w:pPr>
      <w:r w:rsidRPr="0065715F">
        <w:rPr>
          <w:rFonts w:cstheme="minorHAnsi"/>
        </w:rPr>
        <w:t xml:space="preserve">Neurologists in remote or regional areas may have only provided MS patients with a small number of treatment options. </w:t>
      </w:r>
    </w:p>
    <w:p w14:paraId="605BEE21" w14:textId="77777777" w:rsidR="00390E10" w:rsidRPr="0065715F" w:rsidRDefault="00390E10" w:rsidP="00390E10">
      <w:pPr>
        <w:pStyle w:val="ListParagraph"/>
        <w:numPr>
          <w:ilvl w:val="0"/>
          <w:numId w:val="28"/>
        </w:numPr>
        <w:rPr>
          <w:rFonts w:cstheme="minorHAnsi"/>
        </w:rPr>
      </w:pPr>
      <w:r w:rsidRPr="0065715F">
        <w:rPr>
          <w:rFonts w:cstheme="minorHAnsi"/>
        </w:rPr>
        <w:t xml:space="preserve">There has been a trend amongst MS neurologists towards no evidence of disease of activity (NEDA: no relapses or new MRI lesions and no sign of disease progression) and to achieve that, there is a tendency towards the treatments considered to be high efficacy. </w:t>
      </w:r>
    </w:p>
    <w:p w14:paraId="41CB5B74" w14:textId="77777777" w:rsidR="00390E10" w:rsidRPr="0065715F" w:rsidRDefault="00390E10" w:rsidP="00390E10">
      <w:pPr>
        <w:pStyle w:val="ListParagraph"/>
        <w:numPr>
          <w:ilvl w:val="0"/>
          <w:numId w:val="28"/>
        </w:numPr>
        <w:rPr>
          <w:rFonts w:cstheme="minorHAnsi"/>
        </w:rPr>
      </w:pPr>
      <w:r w:rsidRPr="0065715F">
        <w:rPr>
          <w:rFonts w:cstheme="minorHAnsi"/>
        </w:rPr>
        <w:t xml:space="preserve">MS is a complex disease course and every patient experiences MS differently. Therefore, a complex decision making process is required for MS patients and their healthcare team. Following a discussion with their neurologist and determining the appropriate treatment, most patients’ expectations regarding benefits and health outcomes are initially met. Although some patients would experience new side effects. </w:t>
      </w:r>
    </w:p>
    <w:p w14:paraId="4081E050" w14:textId="76A68AA3" w:rsidR="00326C10" w:rsidRPr="0065715F" w:rsidRDefault="00390E10" w:rsidP="00390E10">
      <w:pPr>
        <w:pStyle w:val="ListParagraph"/>
        <w:numPr>
          <w:ilvl w:val="0"/>
          <w:numId w:val="28"/>
        </w:numPr>
      </w:pPr>
      <w:r w:rsidRPr="0065715F">
        <w:rPr>
          <w:rFonts w:cstheme="minorHAnsi"/>
        </w:rPr>
        <w:t xml:space="preserve">Utilisation numbers for 2021 and 2022 will help understand the impact of the COVID-19 pandemic, and whether different decisions have been made with respect to DMTs. </w:t>
      </w:r>
    </w:p>
    <w:p w14:paraId="3C281650" w14:textId="051576D7" w:rsidR="0065715F" w:rsidRDefault="0065715F" w:rsidP="0065715F">
      <w:pPr>
        <w:pStyle w:val="Heading1"/>
      </w:pPr>
      <w:r>
        <w:t>DUSC actions</w:t>
      </w:r>
    </w:p>
    <w:p w14:paraId="237CCC21" w14:textId="24CC6EE4" w:rsidR="0065715F" w:rsidRPr="0065715F" w:rsidRDefault="0065715F" w:rsidP="0065715F">
      <w:r>
        <w:t>The report was provided to the PBAC for consideration.</w:t>
      </w:r>
    </w:p>
    <w:p w14:paraId="4A37AD6E" w14:textId="77777777" w:rsidR="00705E98" w:rsidRDefault="00705E98" w:rsidP="00705E98">
      <w:pPr>
        <w:pStyle w:val="Heading1"/>
      </w:pPr>
      <w:r w:rsidRPr="0092516A">
        <w:t>Context for analysis</w:t>
      </w:r>
    </w:p>
    <w:p w14:paraId="55052E33" w14:textId="77777777" w:rsidR="00705E98" w:rsidRDefault="00705E98" w:rsidP="00705E98">
      <w:r>
        <w:t>The DUSC is a Sub Committee of the Pharmaceutical Benefits Advisory Committee (PBAC). The DUSC assesses estimates on projected usage and financial cost of medicines.</w:t>
      </w:r>
    </w:p>
    <w:p w14:paraId="42CA412E" w14:textId="77777777" w:rsidR="00705E98" w:rsidRDefault="00705E98" w:rsidP="00705E98">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643355B4" w14:textId="77777777" w:rsidR="00705E98" w:rsidRDefault="00705E98" w:rsidP="00705E98">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14:paraId="206BCBFC" w14:textId="77777777" w:rsidR="00705E98" w:rsidRDefault="00705E98" w:rsidP="00705E98">
      <w:r>
        <w:t>The utilisation analysis report was provided to the pharmaceutical sponsors of each drug and comments on the report were provided to DUSC prior to its consideration of the analysis.</w:t>
      </w:r>
    </w:p>
    <w:p w14:paraId="627D441B" w14:textId="7112EE93" w:rsidR="00705E98" w:rsidRDefault="00705E98" w:rsidP="00705E98">
      <w:pPr>
        <w:pStyle w:val="Heading1"/>
      </w:pPr>
      <w:r>
        <w:lastRenderedPageBreak/>
        <w:t>Sponsor</w:t>
      </w:r>
      <w:r w:rsidRPr="0092516A">
        <w:t>s</w:t>
      </w:r>
      <w:r>
        <w:t>’</w:t>
      </w:r>
      <w:r w:rsidRPr="0092516A">
        <w:t xml:space="preserve"> comments</w:t>
      </w:r>
    </w:p>
    <w:p w14:paraId="1C3B03C4" w14:textId="10D4F1F7" w:rsidR="00DF043D" w:rsidRDefault="00DF043D" w:rsidP="00DF043D">
      <w:r>
        <w:t xml:space="preserve">Alphapharm Pty Ltd: This sponsor has no comment. </w:t>
      </w:r>
    </w:p>
    <w:p w14:paraId="6C262D6D" w14:textId="6A5297DF" w:rsidR="00DF043D" w:rsidRDefault="00DF043D" w:rsidP="00DF043D">
      <w:r>
        <w:t>Apotex Pty Ltd: This sponsor has no comment.</w:t>
      </w:r>
    </w:p>
    <w:p w14:paraId="2689D20F" w14:textId="7B9AA3FC" w:rsidR="00DF043D" w:rsidRDefault="00DF043D" w:rsidP="00DF043D">
      <w:r>
        <w:t>Arrow Pharma Pty Ltd: This sponsor has no comment.</w:t>
      </w:r>
    </w:p>
    <w:p w14:paraId="3EF78CB3" w14:textId="4D597849" w:rsidR="00DF043D" w:rsidRDefault="00DF043D" w:rsidP="00DF043D">
      <w:r>
        <w:t xml:space="preserve">Bayer Australia Ltd:  Although there is a shift away from injectables for patients with relapsing remitting multiple sclerosis, Bayer believe that for some patients, medicines such as interferon beta-1b are highly effective. </w:t>
      </w:r>
    </w:p>
    <w:p w14:paraId="74D2C0FE" w14:textId="5AC318AF" w:rsidR="00DF043D" w:rsidRDefault="00DF043D" w:rsidP="00DF043D">
      <w:r>
        <w:t>Biogen Australia Pty Ltd: This sponsor has no comment.</w:t>
      </w:r>
    </w:p>
    <w:p w14:paraId="6306AEC0" w14:textId="7A372578" w:rsidR="00DF043D" w:rsidRDefault="00DF043D" w:rsidP="00DF043D">
      <w:r>
        <w:t>Celgene Pty Limited: This sponsor has no comment.</w:t>
      </w:r>
    </w:p>
    <w:p w14:paraId="7A8EB13A" w14:textId="53013A3D" w:rsidR="00DF043D" w:rsidRDefault="00DF043D" w:rsidP="00DF043D">
      <w:r>
        <w:t>Dr Reddy’s Laboratories (Australia) Pty Ltd: This sponsor has no comment.</w:t>
      </w:r>
    </w:p>
    <w:p w14:paraId="2F0D64AC" w14:textId="10023C1D" w:rsidR="00DF043D" w:rsidRDefault="00DF043D" w:rsidP="00DF043D">
      <w:r>
        <w:t>Generic Health Pty Ltd: This sponsor has no comment.</w:t>
      </w:r>
    </w:p>
    <w:p w14:paraId="2B7D2EC4" w14:textId="53841906" w:rsidR="00DF043D" w:rsidRDefault="00DF043D" w:rsidP="0065715F">
      <w:r>
        <w:t xml:space="preserve">Merck Healthcare Pty Ltd: </w:t>
      </w:r>
      <w:r w:rsidR="00DA1687">
        <w:t xml:space="preserve">Merck would like to thank DUSC for reviewing the utilisation of Cladribine for relapsing-remitting multiple sclerosis (RRMS). </w:t>
      </w:r>
    </w:p>
    <w:p w14:paraId="0D53604B" w14:textId="23F85243" w:rsidR="00DF043D" w:rsidRDefault="00DF043D" w:rsidP="0065715F">
      <w:r>
        <w:t>Novartis Pharmaceuticals Pty Limited: This sponsor has no comment.</w:t>
      </w:r>
    </w:p>
    <w:p w14:paraId="3DC1348A" w14:textId="152435E6" w:rsidR="00DF043D" w:rsidRDefault="00DF043D" w:rsidP="00DF043D">
      <w:r>
        <w:t>Pharmacor Pty Limited: This sponsor has no comment.</w:t>
      </w:r>
    </w:p>
    <w:p w14:paraId="348B9B3F" w14:textId="5DD60169" w:rsidR="00DF043D" w:rsidRDefault="00DF043D" w:rsidP="00DF043D">
      <w:r>
        <w:t>Roche Products Pty Ltd: This sponsor has no comment.</w:t>
      </w:r>
    </w:p>
    <w:p w14:paraId="4668701B" w14:textId="1E0918A0" w:rsidR="00DF043D" w:rsidRDefault="00DF043D" w:rsidP="00DF043D">
      <w:r>
        <w:t>Sandoz Pty Ltd: This sponsor has no comment.</w:t>
      </w:r>
    </w:p>
    <w:p w14:paraId="15C6A5E6" w14:textId="1FF1B4BC" w:rsidR="00DF043D" w:rsidRDefault="00DF043D" w:rsidP="00DF043D">
      <w:r>
        <w:t>sanofi-aventis Australia Pty Ltd: This sponsor has no comment.</w:t>
      </w:r>
    </w:p>
    <w:p w14:paraId="659AB286" w14:textId="0DC0E894" w:rsidR="00DF043D" w:rsidRPr="0065715F" w:rsidRDefault="00DF043D" w:rsidP="0065715F">
      <w:r>
        <w:t>Teva Pharma Australia Pty Ltd: This sponsor has no comment.</w:t>
      </w:r>
    </w:p>
    <w:p w14:paraId="566703DD" w14:textId="77777777" w:rsidR="00705E98" w:rsidRDefault="00705E98" w:rsidP="00705E98">
      <w:pPr>
        <w:pStyle w:val="Heading1"/>
      </w:pPr>
      <w:r w:rsidRPr="00A4020E">
        <w:t>Disclaimer</w:t>
      </w:r>
    </w:p>
    <w:p w14:paraId="490C145E" w14:textId="77777777" w:rsidR="00705E98" w:rsidRDefault="00705E98" w:rsidP="00705E98">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14:paraId="6F76473E" w14:textId="77777777" w:rsidR="00705E98" w:rsidRDefault="00705E98" w:rsidP="00705E98">
      <w:r>
        <w:t>The Department of Health (DoH)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14:paraId="27980159" w14:textId="77777777" w:rsidR="00705E98" w:rsidRDefault="00705E98" w:rsidP="00705E98">
      <w:r>
        <w:lastRenderedPageBreak/>
        <w:t xml:space="preserve">To the extent provided by law, DoH makes no warranties or representations as to accuracy or completeness of information contained in this report. </w:t>
      </w:r>
    </w:p>
    <w:p w14:paraId="68E8E8CB" w14:textId="5A020CBF" w:rsidR="00705E98" w:rsidRDefault="00705E98" w:rsidP="00705E98">
      <w:r>
        <w:t>To the fullest extent permitted by law, neither the DoH nor any DoH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14:paraId="7F5D066A" w14:textId="77777777" w:rsidR="003C6AAA" w:rsidRDefault="003C6AAA">
      <w:pPr>
        <w:spacing w:line="276" w:lineRule="auto"/>
        <w:rPr>
          <w:rFonts w:eastAsiaTheme="majorEastAsia" w:cstheme="majorBidi"/>
          <w:b/>
          <w:bCs/>
          <w:sz w:val="32"/>
          <w:szCs w:val="32"/>
        </w:rPr>
      </w:pPr>
      <w:r>
        <w:br w:type="page"/>
      </w:r>
    </w:p>
    <w:p w14:paraId="4476F987" w14:textId="3B246C57" w:rsidR="00023FA5" w:rsidRDefault="00023FA5" w:rsidP="00023FA5">
      <w:pPr>
        <w:pStyle w:val="Heading1"/>
      </w:pPr>
      <w:r>
        <w:lastRenderedPageBreak/>
        <w:t>References</w:t>
      </w:r>
    </w:p>
    <w:p w14:paraId="234F76C7" w14:textId="77777777" w:rsidR="00023FA5" w:rsidRPr="004840A6" w:rsidRDefault="00023FA5" w:rsidP="00023FA5">
      <w:pPr>
        <w:pStyle w:val="FootnoteText"/>
        <w:numPr>
          <w:ilvl w:val="0"/>
          <w:numId w:val="27"/>
        </w:numPr>
        <w:rPr>
          <w:sz w:val="24"/>
          <w:szCs w:val="24"/>
        </w:rPr>
      </w:pPr>
      <w:r w:rsidRPr="004840A6">
        <w:rPr>
          <w:sz w:val="24"/>
          <w:szCs w:val="24"/>
        </w:rPr>
        <w:t>Gruchot J, Weyers V, Göttle P, Förster M, Hartung H-P, Küry P, Kremer D. The Molecular Basis for Remyelination Failure in Multiple Sclerosis. Cells (2019),8, 825, doi:10.3390/cells8080825</w:t>
      </w:r>
    </w:p>
    <w:p w14:paraId="3A8C75C1" w14:textId="77777777" w:rsidR="00023FA5" w:rsidRPr="000B2834" w:rsidRDefault="00023FA5" w:rsidP="00023FA5">
      <w:pPr>
        <w:pStyle w:val="FootnoteText"/>
        <w:numPr>
          <w:ilvl w:val="0"/>
          <w:numId w:val="27"/>
        </w:numPr>
        <w:rPr>
          <w:sz w:val="24"/>
          <w:szCs w:val="24"/>
        </w:rPr>
      </w:pPr>
      <w:r w:rsidRPr="000B2834">
        <w:rPr>
          <w:sz w:val="24"/>
          <w:szCs w:val="24"/>
        </w:rPr>
        <w:t>Simonsen C.S, Flemmen H.O, Broch L, Brunborg C, Berg-Hansen P, Moen S.M et al. Early High Efficacy Treatment in Multiple Sclerosis is the best predictor of future disease activity over 1 and 2 years in a Norwegian population-based registry. Frontiers in Neurology (2021). doi: 10.3389/fneur.2021.693017</w:t>
      </w:r>
    </w:p>
    <w:p w14:paraId="398E2F33" w14:textId="77777777" w:rsidR="00023FA5" w:rsidRPr="004840A6" w:rsidRDefault="00023FA5" w:rsidP="00023FA5">
      <w:pPr>
        <w:pStyle w:val="FootnoteText"/>
        <w:numPr>
          <w:ilvl w:val="0"/>
          <w:numId w:val="27"/>
        </w:numPr>
        <w:rPr>
          <w:sz w:val="24"/>
          <w:szCs w:val="24"/>
        </w:rPr>
      </w:pPr>
      <w:r w:rsidRPr="004840A6">
        <w:rPr>
          <w:sz w:val="24"/>
          <w:szCs w:val="24"/>
        </w:rPr>
        <w:t>Lemus H.N, Warrington A.E, Rodriguez M. Multiple Sclerosis: Mechanisms of Disease and Strategies for Myelin and Axonal Repair.  Neurol Clin (2018), 36; 1-11. https://doi.org/10.1016/j.ncl.2017.08.002</w:t>
      </w:r>
    </w:p>
    <w:p w14:paraId="1EB59950" w14:textId="77777777" w:rsidR="00023FA5" w:rsidRPr="004840A6" w:rsidRDefault="00023FA5" w:rsidP="00023FA5">
      <w:pPr>
        <w:pStyle w:val="FootnoteText"/>
        <w:numPr>
          <w:ilvl w:val="0"/>
          <w:numId w:val="27"/>
        </w:numPr>
        <w:rPr>
          <w:sz w:val="24"/>
          <w:szCs w:val="24"/>
        </w:rPr>
      </w:pPr>
      <w:r w:rsidRPr="004840A6">
        <w:rPr>
          <w:sz w:val="24"/>
          <w:szCs w:val="24"/>
        </w:rPr>
        <w:t xml:space="preserve">Mavenclad (cladribine). Australian Approved Product Information. Macquarie Park: Merck Healthcare Pty Ltd. Approved 9 September 2010, updated 3 May 2021. Available from &lt; </w:t>
      </w:r>
      <w:hyperlink r:id="rId35" w:history="1">
        <w:r w:rsidRPr="004840A6">
          <w:rPr>
            <w:rStyle w:val="Hyperlink"/>
            <w:sz w:val="24"/>
            <w:szCs w:val="24"/>
          </w:rPr>
          <w:t>https://www.tga.gov.au/product-information-pi</w:t>
        </w:r>
      </w:hyperlink>
      <w:r w:rsidRPr="004840A6">
        <w:rPr>
          <w:sz w:val="24"/>
          <w:szCs w:val="24"/>
        </w:rPr>
        <w:t>.&gt;</w:t>
      </w:r>
    </w:p>
    <w:p w14:paraId="37C7471D" w14:textId="77777777" w:rsidR="00023FA5" w:rsidRPr="004840A6" w:rsidRDefault="00023FA5" w:rsidP="00023FA5">
      <w:pPr>
        <w:pStyle w:val="ListParagraph"/>
        <w:numPr>
          <w:ilvl w:val="0"/>
          <w:numId w:val="27"/>
        </w:numPr>
        <w:autoSpaceDE w:val="0"/>
        <w:autoSpaceDN w:val="0"/>
        <w:adjustRightInd w:val="0"/>
        <w:spacing w:after="0"/>
        <w:rPr>
          <w:rFonts w:cs="CIDFont+F1"/>
        </w:rPr>
      </w:pPr>
      <w:r w:rsidRPr="004840A6">
        <w:rPr>
          <w:rFonts w:cs="CIDFont+F1"/>
        </w:rPr>
        <w:t xml:space="preserve">MS Australia (Internet). </w:t>
      </w:r>
      <w:r>
        <w:rPr>
          <w:rFonts w:cs="CIDFont+F1"/>
        </w:rPr>
        <w:t>What is Multiple Sclerosis (MS</w:t>
      </w:r>
      <w:r w:rsidRPr="004840A6">
        <w:rPr>
          <w:rFonts w:cs="CIDFont+F1"/>
        </w:rPr>
        <w:t>) Accessed on 12 November 2021, Available from: https://www.msaustralia.org.au/what-ms</w:t>
      </w:r>
    </w:p>
    <w:p w14:paraId="72FFEE16" w14:textId="77777777" w:rsidR="00023FA5" w:rsidRPr="004840A6" w:rsidRDefault="00023FA5" w:rsidP="00023FA5">
      <w:pPr>
        <w:pStyle w:val="ListParagraph"/>
        <w:numPr>
          <w:ilvl w:val="0"/>
          <w:numId w:val="27"/>
        </w:numPr>
        <w:autoSpaceDE w:val="0"/>
        <w:autoSpaceDN w:val="0"/>
        <w:adjustRightInd w:val="0"/>
        <w:spacing w:after="0"/>
      </w:pPr>
      <w:r w:rsidRPr="004840A6">
        <w:rPr>
          <w:rFonts w:cs="CIDFont+F1"/>
        </w:rPr>
        <w:t>MS Australia (Internet). Key facts and figures about multiple sclerosis (updated September 2020). Accessed on 12 November 2021, Available from: https://www.msaustralia.org.au/about-ms/information-sheets</w:t>
      </w:r>
    </w:p>
    <w:p w14:paraId="5F5DB7EE" w14:textId="77777777" w:rsidR="00023FA5" w:rsidRPr="004840A6" w:rsidRDefault="00023FA5" w:rsidP="00023FA5">
      <w:pPr>
        <w:pStyle w:val="FootnoteText"/>
        <w:numPr>
          <w:ilvl w:val="0"/>
          <w:numId w:val="27"/>
        </w:numPr>
        <w:rPr>
          <w:sz w:val="24"/>
          <w:szCs w:val="24"/>
        </w:rPr>
      </w:pPr>
      <w:r w:rsidRPr="004840A6">
        <w:rPr>
          <w:sz w:val="24"/>
          <w:szCs w:val="24"/>
        </w:rPr>
        <w:t>M</w:t>
      </w:r>
      <w:r w:rsidRPr="004840A6">
        <w:rPr>
          <w:rFonts w:cs="CIDFont+F1"/>
          <w:sz w:val="24"/>
          <w:szCs w:val="24"/>
        </w:rPr>
        <w:t xml:space="preserve">S Australia (Internet). Understanding Multiple Sclerosis: A Brief Overview. Accessed on 12 November 2021, Available from: </w:t>
      </w:r>
      <w:hyperlink r:id="rId36" w:history="1">
        <w:r w:rsidRPr="004840A6">
          <w:rPr>
            <w:rStyle w:val="Hyperlink"/>
            <w:rFonts w:cs="CIDFont+F1"/>
            <w:sz w:val="24"/>
            <w:szCs w:val="24"/>
          </w:rPr>
          <w:t>https://www.msaustralia.org.au/about-ms/information-sheets</w:t>
        </w:r>
      </w:hyperlink>
    </w:p>
    <w:p w14:paraId="2965FBB5" w14:textId="77777777" w:rsidR="00023FA5" w:rsidRPr="004840A6" w:rsidRDefault="00023FA5" w:rsidP="00023FA5">
      <w:pPr>
        <w:pStyle w:val="FootnoteText"/>
        <w:numPr>
          <w:ilvl w:val="0"/>
          <w:numId w:val="27"/>
        </w:numPr>
        <w:rPr>
          <w:sz w:val="24"/>
          <w:szCs w:val="24"/>
        </w:rPr>
      </w:pPr>
      <w:r w:rsidRPr="004840A6">
        <w:rPr>
          <w:sz w:val="24"/>
          <w:szCs w:val="24"/>
        </w:rPr>
        <w:t>PBS statistics. Australian Government Department of Human Services Medicare. Canberra. Available from &lt;</w:t>
      </w:r>
      <w:hyperlink r:id="rId37" w:history="1">
        <w:r w:rsidRPr="004840A6">
          <w:rPr>
            <w:rStyle w:val="Hyperlink"/>
            <w:sz w:val="24"/>
            <w:szCs w:val="24"/>
          </w:rPr>
          <w:t>http://www.medicareaustralia.gov.au/provider/pbs/stats.jsp</w:t>
        </w:r>
      </w:hyperlink>
      <w:r w:rsidRPr="004840A6">
        <w:rPr>
          <w:sz w:val="24"/>
          <w:szCs w:val="24"/>
        </w:rPr>
        <w:t>&gt;.</w:t>
      </w:r>
    </w:p>
    <w:p w14:paraId="487604DA" w14:textId="77777777" w:rsidR="00023FA5" w:rsidRPr="004840A6" w:rsidRDefault="00023FA5" w:rsidP="00023FA5">
      <w:pPr>
        <w:pStyle w:val="FootnoteText"/>
        <w:numPr>
          <w:ilvl w:val="0"/>
          <w:numId w:val="27"/>
        </w:numPr>
        <w:rPr>
          <w:sz w:val="24"/>
          <w:szCs w:val="24"/>
        </w:rPr>
      </w:pPr>
      <w:r w:rsidRPr="004840A6">
        <w:rPr>
          <w:sz w:val="24"/>
          <w:szCs w:val="24"/>
        </w:rPr>
        <w:t>Simonsen C.S, Flemmen H.O, Broch L, Brunborg C, Berg-Hansen P, Moen S.M et al. Early High Efficacy Treatment in Multiple Sclerosis is the best predictor of future disease activity over 1 and 2 years in a Norwegian population-based registry. Frontiers in Neurology (2021). doi: 10.3389/fneur.2021.693017</w:t>
      </w:r>
    </w:p>
    <w:p w14:paraId="72A4FE94" w14:textId="77777777" w:rsidR="00023FA5" w:rsidRPr="004840A6" w:rsidRDefault="00023FA5" w:rsidP="00023FA5">
      <w:pPr>
        <w:pStyle w:val="FootnoteText"/>
        <w:numPr>
          <w:ilvl w:val="0"/>
          <w:numId w:val="27"/>
        </w:numPr>
        <w:rPr>
          <w:sz w:val="24"/>
          <w:szCs w:val="24"/>
        </w:rPr>
      </w:pPr>
      <w:r>
        <w:br w:type="page"/>
      </w:r>
    </w:p>
    <w:p w14:paraId="3EC7565F" w14:textId="77777777" w:rsidR="00023FA5" w:rsidRDefault="00023FA5" w:rsidP="00023FA5">
      <w:pPr>
        <w:rPr>
          <w:b/>
          <w:sz w:val="28"/>
        </w:rPr>
        <w:sectPr w:rsidR="00023FA5" w:rsidSect="00DD188C">
          <w:headerReference w:type="even" r:id="rId38"/>
          <w:headerReference w:type="default" r:id="rId39"/>
          <w:footerReference w:type="even" r:id="rId40"/>
          <w:footerReference w:type="default" r:id="rId41"/>
          <w:headerReference w:type="first" r:id="rId42"/>
          <w:footerReference w:type="first" r:id="rId43"/>
          <w:pgSz w:w="11906" w:h="16838"/>
          <w:pgMar w:top="1644" w:right="1361" w:bottom="1644" w:left="1588" w:header="709" w:footer="709" w:gutter="0"/>
          <w:cols w:space="708"/>
          <w:docGrid w:linePitch="360"/>
        </w:sectPr>
      </w:pPr>
    </w:p>
    <w:p w14:paraId="004955DB" w14:textId="77777777" w:rsidR="00023FA5" w:rsidRDefault="00023FA5" w:rsidP="00023FA5">
      <w:pPr>
        <w:pStyle w:val="Heading1"/>
        <w:rPr>
          <w:sz w:val="28"/>
        </w:rPr>
      </w:pPr>
      <w:r>
        <w:rPr>
          <w:sz w:val="28"/>
        </w:rPr>
        <w:lastRenderedPageBreak/>
        <w:t xml:space="preserve">Appendix </w:t>
      </w:r>
    </w:p>
    <w:p w14:paraId="186F4FC9" w14:textId="77777777" w:rsidR="00023FA5" w:rsidRDefault="00023FA5" w:rsidP="00023FA5">
      <w:pPr>
        <w:pStyle w:val="Heading2"/>
      </w:pPr>
      <w:r>
        <w:t xml:space="preserve">Appendix A: </w:t>
      </w:r>
      <w:r w:rsidRPr="00C64920">
        <w:t>PBS items indicated for the treatment of MS as at November 2021</w:t>
      </w:r>
    </w:p>
    <w:tbl>
      <w:tblPr>
        <w:tblStyle w:val="TableGrid"/>
        <w:tblW w:w="13524" w:type="dxa"/>
        <w:tblLayout w:type="fixed"/>
        <w:tblLook w:val="04A0" w:firstRow="1" w:lastRow="0" w:firstColumn="1" w:lastColumn="0" w:noHBand="0" w:noVBand="1"/>
      </w:tblPr>
      <w:tblGrid>
        <w:gridCol w:w="988"/>
        <w:gridCol w:w="5528"/>
        <w:gridCol w:w="1134"/>
        <w:gridCol w:w="1134"/>
        <w:gridCol w:w="709"/>
        <w:gridCol w:w="1287"/>
        <w:gridCol w:w="2744"/>
      </w:tblGrid>
      <w:tr w:rsidR="00023FA5" w:rsidRPr="00A35800" w:rsidDel="00EE2BBB" w14:paraId="7F1FC90B" w14:textId="77777777" w:rsidTr="00023FA5">
        <w:trPr>
          <w:trHeight w:val="427"/>
          <w:tblHeader/>
        </w:trPr>
        <w:tc>
          <w:tcPr>
            <w:tcW w:w="988" w:type="dxa"/>
            <w:shd w:val="clear" w:color="auto" w:fill="BFBFBF" w:themeFill="background1" w:themeFillShade="BF"/>
          </w:tcPr>
          <w:p w14:paraId="01547F5B" w14:textId="77777777" w:rsidR="00023FA5" w:rsidRPr="00A35800" w:rsidDel="00EE2BBB" w:rsidRDefault="00023FA5" w:rsidP="00023FA5">
            <w:pPr>
              <w:pStyle w:val="Tableheading"/>
              <w:rPr>
                <w:sz w:val="20"/>
                <w:szCs w:val="20"/>
              </w:rPr>
            </w:pPr>
            <w:r w:rsidRPr="00A35800" w:rsidDel="00EE2BBB">
              <w:rPr>
                <w:sz w:val="20"/>
                <w:szCs w:val="20"/>
              </w:rPr>
              <w:t>Item</w:t>
            </w:r>
          </w:p>
        </w:tc>
        <w:tc>
          <w:tcPr>
            <w:tcW w:w="5528" w:type="dxa"/>
            <w:shd w:val="clear" w:color="auto" w:fill="BFBFBF" w:themeFill="background1" w:themeFillShade="BF"/>
          </w:tcPr>
          <w:p w14:paraId="21A683C8" w14:textId="77777777" w:rsidR="00023FA5" w:rsidRPr="00A35800" w:rsidDel="00EE2BBB" w:rsidRDefault="00023FA5" w:rsidP="00023FA5">
            <w:pPr>
              <w:pStyle w:val="Tableheading"/>
              <w:rPr>
                <w:sz w:val="20"/>
                <w:szCs w:val="20"/>
              </w:rPr>
            </w:pPr>
            <w:r w:rsidRPr="00A35800" w:rsidDel="00EE2BBB">
              <w:rPr>
                <w:sz w:val="20"/>
                <w:szCs w:val="20"/>
              </w:rPr>
              <w:t>Name, form &amp; strength, pack size</w:t>
            </w:r>
          </w:p>
        </w:tc>
        <w:tc>
          <w:tcPr>
            <w:tcW w:w="1134" w:type="dxa"/>
            <w:shd w:val="clear" w:color="auto" w:fill="BFBFBF" w:themeFill="background1" w:themeFillShade="BF"/>
          </w:tcPr>
          <w:p w14:paraId="0C1A64C3" w14:textId="77777777" w:rsidR="00023FA5" w:rsidRPr="00A35800" w:rsidDel="00EE2BBB" w:rsidRDefault="00023FA5" w:rsidP="00023FA5">
            <w:pPr>
              <w:pStyle w:val="Tableheading"/>
              <w:rPr>
                <w:sz w:val="20"/>
                <w:szCs w:val="20"/>
              </w:rPr>
            </w:pPr>
            <w:r w:rsidRPr="00A35800" w:rsidDel="00EE2BBB">
              <w:rPr>
                <w:sz w:val="20"/>
                <w:szCs w:val="20"/>
              </w:rPr>
              <w:t xml:space="preserve">Max. </w:t>
            </w:r>
            <w:r>
              <w:rPr>
                <w:sz w:val="20"/>
                <w:szCs w:val="20"/>
              </w:rPr>
              <w:t>qty</w:t>
            </w:r>
            <w:r w:rsidRPr="00A35800" w:rsidDel="00EE2BBB">
              <w:rPr>
                <w:sz w:val="20"/>
                <w:szCs w:val="20"/>
              </w:rPr>
              <w:t>.</w:t>
            </w:r>
            <w:r>
              <w:rPr>
                <w:sz w:val="20"/>
                <w:szCs w:val="20"/>
              </w:rPr>
              <w:t xml:space="preserve"> packs </w:t>
            </w:r>
            <w:r w:rsidRPr="00A35800" w:rsidDel="00EE2BBB">
              <w:rPr>
                <w:sz w:val="20"/>
                <w:szCs w:val="20"/>
              </w:rPr>
              <w:t xml:space="preserve"> </w:t>
            </w:r>
          </w:p>
        </w:tc>
        <w:tc>
          <w:tcPr>
            <w:tcW w:w="1134" w:type="dxa"/>
            <w:shd w:val="clear" w:color="auto" w:fill="BFBFBF" w:themeFill="background1" w:themeFillShade="BF"/>
          </w:tcPr>
          <w:p w14:paraId="6B983A78" w14:textId="77777777" w:rsidR="00023FA5" w:rsidRPr="00A35800" w:rsidDel="00EE2BBB" w:rsidRDefault="00023FA5" w:rsidP="00023FA5">
            <w:pPr>
              <w:pStyle w:val="Tableheading"/>
              <w:rPr>
                <w:sz w:val="20"/>
                <w:szCs w:val="20"/>
              </w:rPr>
            </w:pPr>
            <w:r>
              <w:rPr>
                <w:sz w:val="20"/>
                <w:szCs w:val="20"/>
              </w:rPr>
              <w:t xml:space="preserve">Max. qty. units </w:t>
            </w:r>
          </w:p>
        </w:tc>
        <w:tc>
          <w:tcPr>
            <w:tcW w:w="709" w:type="dxa"/>
            <w:shd w:val="clear" w:color="auto" w:fill="BFBFBF" w:themeFill="background1" w:themeFillShade="BF"/>
          </w:tcPr>
          <w:p w14:paraId="4A07FF2F" w14:textId="77777777" w:rsidR="00023FA5" w:rsidRPr="00A35800" w:rsidDel="00EE2BBB" w:rsidRDefault="00023FA5" w:rsidP="00023FA5">
            <w:pPr>
              <w:pStyle w:val="Tableheading"/>
              <w:rPr>
                <w:sz w:val="20"/>
                <w:szCs w:val="20"/>
              </w:rPr>
            </w:pPr>
            <w:r w:rsidRPr="00A35800" w:rsidDel="00EE2BBB">
              <w:rPr>
                <w:sz w:val="20"/>
                <w:szCs w:val="20"/>
              </w:rPr>
              <w:t xml:space="preserve">Rpts </w:t>
            </w:r>
          </w:p>
        </w:tc>
        <w:tc>
          <w:tcPr>
            <w:tcW w:w="1287" w:type="dxa"/>
            <w:shd w:val="clear" w:color="auto" w:fill="BFBFBF" w:themeFill="background1" w:themeFillShade="BF"/>
          </w:tcPr>
          <w:p w14:paraId="2FD59600" w14:textId="77777777" w:rsidR="00023FA5" w:rsidRPr="00A35800" w:rsidDel="00EE2BBB" w:rsidRDefault="00023FA5" w:rsidP="00023FA5">
            <w:pPr>
              <w:pStyle w:val="Tableheading"/>
              <w:rPr>
                <w:sz w:val="20"/>
                <w:szCs w:val="20"/>
              </w:rPr>
            </w:pPr>
            <w:r w:rsidRPr="00A35800" w:rsidDel="00EE2BBB">
              <w:rPr>
                <w:sz w:val="20"/>
                <w:szCs w:val="20"/>
              </w:rPr>
              <w:t>DPMQ</w:t>
            </w:r>
          </w:p>
        </w:tc>
        <w:tc>
          <w:tcPr>
            <w:tcW w:w="2744" w:type="dxa"/>
            <w:shd w:val="clear" w:color="auto" w:fill="BFBFBF" w:themeFill="background1" w:themeFillShade="BF"/>
          </w:tcPr>
          <w:p w14:paraId="2FE8555E" w14:textId="77777777" w:rsidR="00023FA5" w:rsidRPr="00A35800" w:rsidDel="00EE2BBB" w:rsidRDefault="00023FA5" w:rsidP="00023FA5">
            <w:pPr>
              <w:pStyle w:val="Tableheading"/>
              <w:rPr>
                <w:sz w:val="20"/>
                <w:szCs w:val="20"/>
              </w:rPr>
            </w:pPr>
            <w:r w:rsidRPr="00A35800" w:rsidDel="00EE2BBB">
              <w:rPr>
                <w:sz w:val="20"/>
                <w:szCs w:val="20"/>
              </w:rPr>
              <w:t>Brand name and manufacturer</w:t>
            </w:r>
          </w:p>
        </w:tc>
      </w:tr>
      <w:tr w:rsidR="00023FA5" w:rsidRPr="00A35800" w:rsidDel="00EE2BBB" w14:paraId="2BB9993E" w14:textId="77777777" w:rsidTr="00023FA5">
        <w:trPr>
          <w:trHeight w:val="484"/>
          <w:tblHeader/>
        </w:trPr>
        <w:tc>
          <w:tcPr>
            <w:tcW w:w="988" w:type="dxa"/>
            <w:shd w:val="clear" w:color="auto" w:fill="auto"/>
          </w:tcPr>
          <w:p w14:paraId="0170994B" w14:textId="77777777" w:rsidR="00023FA5" w:rsidRPr="001D6C85" w:rsidRDefault="00023FA5" w:rsidP="00023FA5">
            <w:pPr>
              <w:pStyle w:val="Tablewriting"/>
              <w:spacing w:before="40" w:after="40"/>
              <w:contextualSpacing/>
            </w:pPr>
            <w:r w:rsidRPr="001D6C85">
              <w:t>10228H</w:t>
            </w:r>
          </w:p>
        </w:tc>
        <w:tc>
          <w:tcPr>
            <w:tcW w:w="5528" w:type="dxa"/>
            <w:shd w:val="clear" w:color="auto" w:fill="auto"/>
          </w:tcPr>
          <w:p w14:paraId="57B5941B" w14:textId="77777777" w:rsidR="00023FA5" w:rsidRPr="001D6C85" w:rsidRDefault="00023FA5" w:rsidP="00023FA5">
            <w:pPr>
              <w:pStyle w:val="Tablewriting"/>
              <w:spacing w:before="40" w:after="40"/>
              <w:contextualSpacing/>
            </w:pPr>
            <w:r>
              <w:t>alemtuzumab 12 mg/1.2 mL injection, 1.2 mL vial</w:t>
            </w:r>
            <w:r w:rsidRPr="001D6C85">
              <w:t xml:space="preserve"> </w:t>
            </w:r>
          </w:p>
        </w:tc>
        <w:tc>
          <w:tcPr>
            <w:tcW w:w="1134" w:type="dxa"/>
            <w:shd w:val="clear" w:color="auto" w:fill="auto"/>
          </w:tcPr>
          <w:p w14:paraId="6BFFC30C" w14:textId="77777777" w:rsidR="00023FA5" w:rsidRDefault="00023FA5" w:rsidP="00023FA5">
            <w:pPr>
              <w:pStyle w:val="Tablewriting"/>
              <w:jc w:val="center"/>
            </w:pPr>
            <w:r>
              <w:t>5</w:t>
            </w:r>
          </w:p>
        </w:tc>
        <w:tc>
          <w:tcPr>
            <w:tcW w:w="1134" w:type="dxa"/>
            <w:shd w:val="clear" w:color="auto" w:fill="auto"/>
          </w:tcPr>
          <w:p w14:paraId="4DEA9699" w14:textId="77777777" w:rsidR="00023FA5" w:rsidRDefault="00023FA5" w:rsidP="00023FA5">
            <w:pPr>
              <w:pStyle w:val="Tablewriting"/>
              <w:jc w:val="center"/>
            </w:pPr>
            <w:r>
              <w:t>5</w:t>
            </w:r>
          </w:p>
        </w:tc>
        <w:tc>
          <w:tcPr>
            <w:tcW w:w="709" w:type="dxa"/>
            <w:shd w:val="clear" w:color="auto" w:fill="auto"/>
          </w:tcPr>
          <w:p w14:paraId="3BA05382" w14:textId="77777777" w:rsidR="00023FA5" w:rsidRDefault="00023FA5" w:rsidP="00023FA5">
            <w:pPr>
              <w:pStyle w:val="Tablewriting"/>
              <w:jc w:val="center"/>
            </w:pPr>
            <w:r>
              <w:t>0</w:t>
            </w:r>
          </w:p>
        </w:tc>
        <w:tc>
          <w:tcPr>
            <w:tcW w:w="1287" w:type="dxa"/>
            <w:shd w:val="clear" w:color="auto" w:fill="auto"/>
          </w:tcPr>
          <w:p w14:paraId="10B07999" w14:textId="77777777" w:rsidR="00023FA5" w:rsidRDefault="00023FA5" w:rsidP="00023FA5">
            <w:pPr>
              <w:pStyle w:val="Tablewriting"/>
              <w:jc w:val="center"/>
            </w:pPr>
            <w:r>
              <w:t>$54,121.50</w:t>
            </w:r>
          </w:p>
        </w:tc>
        <w:tc>
          <w:tcPr>
            <w:tcW w:w="2744" w:type="dxa"/>
            <w:vMerge w:val="restart"/>
            <w:shd w:val="clear" w:color="auto" w:fill="auto"/>
          </w:tcPr>
          <w:p w14:paraId="5D358E1D" w14:textId="77777777" w:rsidR="00023FA5" w:rsidRDefault="00023FA5" w:rsidP="00023FA5">
            <w:pPr>
              <w:pStyle w:val="Tablewriting"/>
            </w:pPr>
            <w:r>
              <w:t xml:space="preserve">Lemtrada </w:t>
            </w:r>
          </w:p>
          <w:p w14:paraId="6A99DCD4" w14:textId="77777777" w:rsidR="00023FA5" w:rsidRPr="00A35800" w:rsidDel="00EE2BBB" w:rsidRDefault="00023FA5" w:rsidP="00023FA5">
            <w:pPr>
              <w:pStyle w:val="Tablewriting"/>
            </w:pPr>
            <w:r>
              <w:t>sanofi-aventis Australia Pty Ltd</w:t>
            </w:r>
          </w:p>
        </w:tc>
      </w:tr>
      <w:tr w:rsidR="00023FA5" w:rsidRPr="00A35800" w:rsidDel="00EE2BBB" w14:paraId="0BB33957" w14:textId="77777777" w:rsidTr="00023FA5">
        <w:trPr>
          <w:trHeight w:val="484"/>
          <w:tblHeader/>
        </w:trPr>
        <w:tc>
          <w:tcPr>
            <w:tcW w:w="988" w:type="dxa"/>
            <w:shd w:val="clear" w:color="auto" w:fill="auto"/>
          </w:tcPr>
          <w:p w14:paraId="0A38AC67" w14:textId="77777777" w:rsidR="00023FA5" w:rsidRPr="001D6C85" w:rsidRDefault="00023FA5" w:rsidP="00023FA5">
            <w:pPr>
              <w:pStyle w:val="Tablewriting"/>
              <w:spacing w:before="40" w:after="40"/>
              <w:contextualSpacing/>
            </w:pPr>
            <w:r w:rsidRPr="001D6C85">
              <w:t>10232M</w:t>
            </w:r>
          </w:p>
        </w:tc>
        <w:tc>
          <w:tcPr>
            <w:tcW w:w="5528" w:type="dxa"/>
            <w:shd w:val="clear" w:color="auto" w:fill="auto"/>
          </w:tcPr>
          <w:p w14:paraId="3B3AACD5" w14:textId="77777777" w:rsidR="00023FA5" w:rsidRPr="001D6C85" w:rsidRDefault="00023FA5" w:rsidP="00023FA5">
            <w:pPr>
              <w:pStyle w:val="Tablewriting"/>
              <w:spacing w:before="40" w:after="40"/>
              <w:contextualSpacing/>
            </w:pPr>
            <w:r>
              <w:t>alemtuzumab 12 mg/1.2 mL injection, 1.2 mL vial</w:t>
            </w:r>
            <w:r w:rsidRPr="001D6C85">
              <w:t xml:space="preserve"> </w:t>
            </w:r>
          </w:p>
        </w:tc>
        <w:tc>
          <w:tcPr>
            <w:tcW w:w="1134" w:type="dxa"/>
            <w:shd w:val="clear" w:color="auto" w:fill="auto"/>
          </w:tcPr>
          <w:p w14:paraId="550530CF" w14:textId="77777777" w:rsidR="00023FA5" w:rsidRDefault="00023FA5" w:rsidP="00023FA5">
            <w:pPr>
              <w:pStyle w:val="Tablewriting"/>
              <w:jc w:val="center"/>
            </w:pPr>
            <w:r>
              <w:t>3</w:t>
            </w:r>
          </w:p>
        </w:tc>
        <w:tc>
          <w:tcPr>
            <w:tcW w:w="1134" w:type="dxa"/>
            <w:shd w:val="clear" w:color="auto" w:fill="auto"/>
          </w:tcPr>
          <w:p w14:paraId="432E4F57" w14:textId="77777777" w:rsidR="00023FA5" w:rsidRDefault="00023FA5" w:rsidP="00023FA5">
            <w:pPr>
              <w:pStyle w:val="Tablewriting"/>
              <w:jc w:val="center"/>
            </w:pPr>
            <w:r>
              <w:t>3</w:t>
            </w:r>
          </w:p>
        </w:tc>
        <w:tc>
          <w:tcPr>
            <w:tcW w:w="709" w:type="dxa"/>
            <w:shd w:val="clear" w:color="auto" w:fill="auto"/>
          </w:tcPr>
          <w:p w14:paraId="62A683C9" w14:textId="77777777" w:rsidR="00023FA5" w:rsidRDefault="00023FA5" w:rsidP="00023FA5">
            <w:pPr>
              <w:pStyle w:val="Tablewriting"/>
              <w:jc w:val="center"/>
            </w:pPr>
            <w:r>
              <w:t>0</w:t>
            </w:r>
          </w:p>
        </w:tc>
        <w:tc>
          <w:tcPr>
            <w:tcW w:w="1287" w:type="dxa"/>
            <w:shd w:val="clear" w:color="auto" w:fill="auto"/>
          </w:tcPr>
          <w:p w14:paraId="291AA54A" w14:textId="77777777" w:rsidR="00023FA5" w:rsidRDefault="00023FA5" w:rsidP="00023FA5">
            <w:pPr>
              <w:pStyle w:val="Tablewriting"/>
              <w:jc w:val="center"/>
            </w:pPr>
            <w:r>
              <w:t>$32,472.90</w:t>
            </w:r>
          </w:p>
        </w:tc>
        <w:tc>
          <w:tcPr>
            <w:tcW w:w="2744" w:type="dxa"/>
            <w:vMerge/>
            <w:shd w:val="clear" w:color="auto" w:fill="auto"/>
          </w:tcPr>
          <w:p w14:paraId="7E43D79A" w14:textId="77777777" w:rsidR="00023FA5" w:rsidRPr="00A35800" w:rsidDel="00EE2BBB" w:rsidRDefault="00023FA5" w:rsidP="00023FA5">
            <w:pPr>
              <w:pStyle w:val="Tablewriting"/>
            </w:pPr>
          </w:p>
        </w:tc>
      </w:tr>
      <w:tr w:rsidR="00023FA5" w:rsidRPr="00A35800" w:rsidDel="00EE2BBB" w14:paraId="44EFC290" w14:textId="77777777" w:rsidTr="00023FA5">
        <w:trPr>
          <w:trHeight w:val="484"/>
          <w:tblHeader/>
        </w:trPr>
        <w:tc>
          <w:tcPr>
            <w:tcW w:w="988" w:type="dxa"/>
            <w:shd w:val="clear" w:color="auto" w:fill="auto"/>
          </w:tcPr>
          <w:p w14:paraId="75AB84F6" w14:textId="77777777" w:rsidR="00023FA5" w:rsidRPr="001D6C85" w:rsidRDefault="00023FA5" w:rsidP="00023FA5">
            <w:pPr>
              <w:pStyle w:val="Tablewriting"/>
              <w:spacing w:before="40" w:after="40"/>
              <w:contextualSpacing/>
            </w:pPr>
            <w:r w:rsidRPr="001D6C85">
              <w:t>10243D</w:t>
            </w:r>
          </w:p>
        </w:tc>
        <w:tc>
          <w:tcPr>
            <w:tcW w:w="5528" w:type="dxa"/>
            <w:shd w:val="clear" w:color="auto" w:fill="auto"/>
          </w:tcPr>
          <w:p w14:paraId="5018C0B6" w14:textId="77777777" w:rsidR="00023FA5" w:rsidRPr="001D6C85" w:rsidRDefault="00023FA5" w:rsidP="00023FA5">
            <w:pPr>
              <w:pStyle w:val="Tablewriting"/>
              <w:spacing w:before="40" w:after="40"/>
              <w:contextualSpacing/>
            </w:pPr>
            <w:r>
              <w:t>alemtuzumab 12 mg/1.2 mL injection, 1.2 mL vial</w:t>
            </w:r>
            <w:r w:rsidRPr="001D6C85">
              <w:t xml:space="preserve"> </w:t>
            </w:r>
          </w:p>
        </w:tc>
        <w:tc>
          <w:tcPr>
            <w:tcW w:w="1134" w:type="dxa"/>
            <w:shd w:val="clear" w:color="auto" w:fill="auto"/>
          </w:tcPr>
          <w:p w14:paraId="60A5DCF5" w14:textId="77777777" w:rsidR="00023FA5" w:rsidRDefault="00023FA5" w:rsidP="00023FA5">
            <w:pPr>
              <w:pStyle w:val="Tablewriting"/>
              <w:jc w:val="center"/>
            </w:pPr>
            <w:r>
              <w:t>5</w:t>
            </w:r>
          </w:p>
        </w:tc>
        <w:tc>
          <w:tcPr>
            <w:tcW w:w="1134" w:type="dxa"/>
            <w:shd w:val="clear" w:color="auto" w:fill="auto"/>
          </w:tcPr>
          <w:p w14:paraId="561A90D9" w14:textId="77777777" w:rsidR="00023FA5" w:rsidRDefault="00023FA5" w:rsidP="00023FA5">
            <w:pPr>
              <w:pStyle w:val="Tablewriting"/>
              <w:jc w:val="center"/>
            </w:pPr>
            <w:r>
              <w:t>5</w:t>
            </w:r>
          </w:p>
        </w:tc>
        <w:tc>
          <w:tcPr>
            <w:tcW w:w="709" w:type="dxa"/>
            <w:shd w:val="clear" w:color="auto" w:fill="auto"/>
          </w:tcPr>
          <w:p w14:paraId="5433B99C" w14:textId="77777777" w:rsidR="00023FA5" w:rsidRDefault="00023FA5" w:rsidP="00023FA5">
            <w:pPr>
              <w:pStyle w:val="Tablewriting"/>
              <w:jc w:val="center"/>
            </w:pPr>
            <w:r>
              <w:t>0</w:t>
            </w:r>
          </w:p>
        </w:tc>
        <w:tc>
          <w:tcPr>
            <w:tcW w:w="1287" w:type="dxa"/>
            <w:shd w:val="clear" w:color="auto" w:fill="auto"/>
          </w:tcPr>
          <w:p w14:paraId="5F647B46" w14:textId="77777777" w:rsidR="00023FA5" w:rsidRDefault="00023FA5" w:rsidP="00023FA5">
            <w:pPr>
              <w:pStyle w:val="Tablewriting"/>
              <w:jc w:val="center"/>
            </w:pPr>
            <w:r>
              <w:t>$54,169.28</w:t>
            </w:r>
          </w:p>
        </w:tc>
        <w:tc>
          <w:tcPr>
            <w:tcW w:w="2744" w:type="dxa"/>
            <w:vMerge/>
            <w:shd w:val="clear" w:color="auto" w:fill="auto"/>
          </w:tcPr>
          <w:p w14:paraId="2CDA11F6" w14:textId="77777777" w:rsidR="00023FA5" w:rsidRPr="00A35800" w:rsidDel="00EE2BBB" w:rsidRDefault="00023FA5" w:rsidP="00023FA5">
            <w:pPr>
              <w:pStyle w:val="Tablewriting"/>
            </w:pPr>
          </w:p>
        </w:tc>
      </w:tr>
      <w:tr w:rsidR="00023FA5" w:rsidRPr="00A35800" w:rsidDel="00EE2BBB" w14:paraId="3E97ADC5" w14:textId="77777777" w:rsidTr="00023FA5">
        <w:trPr>
          <w:trHeight w:val="484"/>
          <w:tblHeader/>
        </w:trPr>
        <w:tc>
          <w:tcPr>
            <w:tcW w:w="988" w:type="dxa"/>
            <w:shd w:val="clear" w:color="auto" w:fill="auto"/>
          </w:tcPr>
          <w:p w14:paraId="3D07F0FE" w14:textId="77777777" w:rsidR="00023FA5" w:rsidRPr="001D6C85" w:rsidRDefault="00023FA5" w:rsidP="00023FA5">
            <w:pPr>
              <w:pStyle w:val="Tablewriting"/>
              <w:spacing w:before="40" w:after="40"/>
              <w:contextualSpacing/>
            </w:pPr>
            <w:r w:rsidRPr="001D6C85">
              <w:t>10246G</w:t>
            </w:r>
          </w:p>
        </w:tc>
        <w:tc>
          <w:tcPr>
            <w:tcW w:w="5528" w:type="dxa"/>
            <w:shd w:val="clear" w:color="auto" w:fill="auto"/>
          </w:tcPr>
          <w:p w14:paraId="74B52294" w14:textId="77777777" w:rsidR="00023FA5" w:rsidRPr="001D6C85" w:rsidRDefault="00023FA5" w:rsidP="00023FA5">
            <w:pPr>
              <w:pStyle w:val="Tablewriting"/>
              <w:spacing w:before="40" w:after="40"/>
              <w:contextualSpacing/>
            </w:pPr>
            <w:r>
              <w:t>alemtuzumab 12 mg/1.2 mL injection, 1.2 mL vial</w:t>
            </w:r>
            <w:r w:rsidRPr="001D6C85">
              <w:t xml:space="preserve"> </w:t>
            </w:r>
          </w:p>
        </w:tc>
        <w:tc>
          <w:tcPr>
            <w:tcW w:w="1134" w:type="dxa"/>
            <w:shd w:val="clear" w:color="auto" w:fill="auto"/>
          </w:tcPr>
          <w:p w14:paraId="63FC6D97" w14:textId="77777777" w:rsidR="00023FA5" w:rsidRDefault="00023FA5" w:rsidP="00023FA5">
            <w:pPr>
              <w:pStyle w:val="Tablewriting"/>
              <w:jc w:val="center"/>
            </w:pPr>
            <w:r>
              <w:t>3</w:t>
            </w:r>
          </w:p>
        </w:tc>
        <w:tc>
          <w:tcPr>
            <w:tcW w:w="1134" w:type="dxa"/>
            <w:shd w:val="clear" w:color="auto" w:fill="auto"/>
          </w:tcPr>
          <w:p w14:paraId="6605345C" w14:textId="77777777" w:rsidR="00023FA5" w:rsidRDefault="00023FA5" w:rsidP="00023FA5">
            <w:pPr>
              <w:pStyle w:val="Tablewriting"/>
              <w:jc w:val="center"/>
            </w:pPr>
            <w:r>
              <w:t>3</w:t>
            </w:r>
          </w:p>
        </w:tc>
        <w:tc>
          <w:tcPr>
            <w:tcW w:w="709" w:type="dxa"/>
            <w:shd w:val="clear" w:color="auto" w:fill="auto"/>
          </w:tcPr>
          <w:p w14:paraId="70B6ACF2" w14:textId="77777777" w:rsidR="00023FA5" w:rsidRDefault="00023FA5" w:rsidP="00023FA5">
            <w:pPr>
              <w:pStyle w:val="Tablewriting"/>
              <w:jc w:val="center"/>
            </w:pPr>
            <w:r>
              <w:t>0</w:t>
            </w:r>
          </w:p>
        </w:tc>
        <w:tc>
          <w:tcPr>
            <w:tcW w:w="1287" w:type="dxa"/>
            <w:shd w:val="clear" w:color="auto" w:fill="auto"/>
          </w:tcPr>
          <w:p w14:paraId="2B15C5F6" w14:textId="77777777" w:rsidR="00023FA5" w:rsidRDefault="00023FA5" w:rsidP="00023FA5">
            <w:pPr>
              <w:pStyle w:val="Tablewriting"/>
              <w:jc w:val="center"/>
            </w:pPr>
            <w:r>
              <w:t>$32,520.67</w:t>
            </w:r>
          </w:p>
        </w:tc>
        <w:tc>
          <w:tcPr>
            <w:tcW w:w="2744" w:type="dxa"/>
            <w:vMerge/>
            <w:shd w:val="clear" w:color="auto" w:fill="auto"/>
          </w:tcPr>
          <w:p w14:paraId="7D58468E" w14:textId="77777777" w:rsidR="00023FA5" w:rsidRPr="00A35800" w:rsidDel="00EE2BBB" w:rsidRDefault="00023FA5" w:rsidP="00023FA5">
            <w:pPr>
              <w:pStyle w:val="Tablewriting"/>
            </w:pPr>
          </w:p>
        </w:tc>
      </w:tr>
      <w:tr w:rsidR="00023FA5" w:rsidRPr="00A35800" w:rsidDel="00EE2BBB" w14:paraId="335EE278" w14:textId="77777777" w:rsidTr="00023FA5">
        <w:trPr>
          <w:trHeight w:val="484"/>
          <w:tblHeader/>
        </w:trPr>
        <w:tc>
          <w:tcPr>
            <w:tcW w:w="988" w:type="dxa"/>
            <w:shd w:val="clear" w:color="auto" w:fill="auto"/>
          </w:tcPr>
          <w:p w14:paraId="5BF245E4" w14:textId="77777777" w:rsidR="00023FA5" w:rsidRPr="00A35800" w:rsidDel="00EE2BBB" w:rsidRDefault="00023FA5" w:rsidP="00023FA5">
            <w:pPr>
              <w:pStyle w:val="Tablewriting"/>
            </w:pPr>
            <w:r>
              <w:t>11603Q</w:t>
            </w:r>
          </w:p>
        </w:tc>
        <w:tc>
          <w:tcPr>
            <w:tcW w:w="5528" w:type="dxa"/>
            <w:shd w:val="clear" w:color="auto" w:fill="auto"/>
          </w:tcPr>
          <w:p w14:paraId="7870282C" w14:textId="77777777" w:rsidR="00023FA5" w:rsidRPr="00A35800" w:rsidDel="00EE2BBB" w:rsidRDefault="00023FA5" w:rsidP="00023FA5">
            <w:pPr>
              <w:pStyle w:val="Tablewriting"/>
            </w:pPr>
            <w:r>
              <w:t>cladribine 10 mg tablet, 1</w:t>
            </w:r>
          </w:p>
        </w:tc>
        <w:tc>
          <w:tcPr>
            <w:tcW w:w="1134" w:type="dxa"/>
            <w:shd w:val="clear" w:color="auto" w:fill="auto"/>
          </w:tcPr>
          <w:p w14:paraId="01C212DB" w14:textId="77777777" w:rsidR="00023FA5" w:rsidRPr="00A35800" w:rsidDel="00EE2BBB" w:rsidRDefault="00023FA5" w:rsidP="00023FA5">
            <w:pPr>
              <w:pStyle w:val="Tablewriting"/>
              <w:jc w:val="center"/>
            </w:pPr>
            <w:r>
              <w:t>1</w:t>
            </w:r>
          </w:p>
        </w:tc>
        <w:tc>
          <w:tcPr>
            <w:tcW w:w="1134" w:type="dxa"/>
            <w:shd w:val="clear" w:color="auto" w:fill="auto"/>
          </w:tcPr>
          <w:p w14:paraId="0D59FA35" w14:textId="77777777" w:rsidR="00023FA5" w:rsidRPr="00A35800" w:rsidDel="00EE2BBB" w:rsidRDefault="00023FA5" w:rsidP="00023FA5">
            <w:pPr>
              <w:pStyle w:val="Tablewriting"/>
              <w:jc w:val="center"/>
            </w:pPr>
            <w:r>
              <w:t>1</w:t>
            </w:r>
          </w:p>
        </w:tc>
        <w:tc>
          <w:tcPr>
            <w:tcW w:w="709" w:type="dxa"/>
            <w:shd w:val="clear" w:color="auto" w:fill="auto"/>
          </w:tcPr>
          <w:p w14:paraId="4FE081E5" w14:textId="77777777" w:rsidR="00023FA5" w:rsidRPr="00A35800" w:rsidDel="00EE2BBB" w:rsidRDefault="00023FA5" w:rsidP="00023FA5">
            <w:pPr>
              <w:pStyle w:val="Tablewriting"/>
              <w:jc w:val="center"/>
            </w:pPr>
            <w:r>
              <w:t>1</w:t>
            </w:r>
          </w:p>
        </w:tc>
        <w:tc>
          <w:tcPr>
            <w:tcW w:w="1287" w:type="dxa"/>
            <w:shd w:val="clear" w:color="auto" w:fill="auto"/>
          </w:tcPr>
          <w:p w14:paraId="72E41956" w14:textId="77777777" w:rsidR="00023FA5" w:rsidRPr="00A35800" w:rsidDel="00EE2BBB" w:rsidRDefault="00023FA5" w:rsidP="00023FA5">
            <w:pPr>
              <w:pStyle w:val="Tablewriting"/>
              <w:jc w:val="center"/>
            </w:pPr>
            <w:r>
              <w:t>$3994.26</w:t>
            </w:r>
          </w:p>
        </w:tc>
        <w:tc>
          <w:tcPr>
            <w:tcW w:w="2744" w:type="dxa"/>
            <w:vMerge w:val="restart"/>
            <w:shd w:val="clear" w:color="auto" w:fill="auto"/>
          </w:tcPr>
          <w:p w14:paraId="33ACEEB4" w14:textId="77777777" w:rsidR="00023FA5" w:rsidRDefault="00023FA5" w:rsidP="00023FA5">
            <w:pPr>
              <w:pStyle w:val="Tablewriting"/>
            </w:pPr>
            <w:r>
              <w:t xml:space="preserve">Mavenclad </w:t>
            </w:r>
          </w:p>
          <w:p w14:paraId="0C4E4FFA" w14:textId="77777777" w:rsidR="00023FA5" w:rsidRPr="00A35800" w:rsidDel="00EE2BBB" w:rsidRDefault="00023FA5" w:rsidP="00023FA5">
            <w:pPr>
              <w:pStyle w:val="Tablewriting"/>
            </w:pPr>
            <w:r>
              <w:t xml:space="preserve">Merck Healthcare Pty Ltd </w:t>
            </w:r>
          </w:p>
        </w:tc>
      </w:tr>
      <w:tr w:rsidR="00023FA5" w:rsidRPr="00A35800" w:rsidDel="00EE2BBB" w14:paraId="6A286B4F" w14:textId="77777777" w:rsidTr="00023FA5">
        <w:trPr>
          <w:trHeight w:val="484"/>
          <w:tblHeader/>
        </w:trPr>
        <w:tc>
          <w:tcPr>
            <w:tcW w:w="988" w:type="dxa"/>
            <w:shd w:val="clear" w:color="auto" w:fill="auto"/>
          </w:tcPr>
          <w:p w14:paraId="5A22D55B" w14:textId="77777777" w:rsidR="00023FA5" w:rsidRPr="00A35800" w:rsidDel="00EE2BBB" w:rsidRDefault="00023FA5" w:rsidP="00023FA5">
            <w:pPr>
              <w:pStyle w:val="Tablewriting"/>
            </w:pPr>
            <w:r>
              <w:t>11604R</w:t>
            </w:r>
          </w:p>
        </w:tc>
        <w:tc>
          <w:tcPr>
            <w:tcW w:w="5528" w:type="dxa"/>
            <w:shd w:val="clear" w:color="auto" w:fill="auto"/>
          </w:tcPr>
          <w:p w14:paraId="055FF401" w14:textId="77777777" w:rsidR="00023FA5" w:rsidRPr="00A35800" w:rsidDel="00EE2BBB" w:rsidRDefault="00023FA5" w:rsidP="00023FA5">
            <w:pPr>
              <w:pStyle w:val="Tablewriting"/>
            </w:pPr>
            <w:r>
              <w:t xml:space="preserve">cladribine 10 mg tablet, 4 </w:t>
            </w:r>
          </w:p>
        </w:tc>
        <w:tc>
          <w:tcPr>
            <w:tcW w:w="1134" w:type="dxa"/>
            <w:shd w:val="clear" w:color="auto" w:fill="auto"/>
          </w:tcPr>
          <w:p w14:paraId="4D208C13" w14:textId="77777777" w:rsidR="00023FA5" w:rsidRPr="00A35800" w:rsidDel="00EE2BBB" w:rsidRDefault="00023FA5" w:rsidP="00023FA5">
            <w:pPr>
              <w:pStyle w:val="Tablewriting"/>
              <w:jc w:val="center"/>
            </w:pPr>
            <w:r>
              <w:t>2</w:t>
            </w:r>
          </w:p>
        </w:tc>
        <w:tc>
          <w:tcPr>
            <w:tcW w:w="1134" w:type="dxa"/>
            <w:shd w:val="clear" w:color="auto" w:fill="auto"/>
          </w:tcPr>
          <w:p w14:paraId="74AA9A34" w14:textId="77777777" w:rsidR="00023FA5" w:rsidRPr="00A35800" w:rsidDel="00EE2BBB" w:rsidRDefault="00023FA5" w:rsidP="00023FA5">
            <w:pPr>
              <w:pStyle w:val="Tablewriting"/>
              <w:jc w:val="center"/>
            </w:pPr>
            <w:r>
              <w:t>8</w:t>
            </w:r>
          </w:p>
        </w:tc>
        <w:tc>
          <w:tcPr>
            <w:tcW w:w="709" w:type="dxa"/>
            <w:shd w:val="clear" w:color="auto" w:fill="auto"/>
          </w:tcPr>
          <w:p w14:paraId="4FEAACE8" w14:textId="77777777" w:rsidR="00023FA5" w:rsidRPr="00A35800" w:rsidDel="00EE2BBB" w:rsidRDefault="00023FA5" w:rsidP="00023FA5">
            <w:pPr>
              <w:pStyle w:val="Tablewriting"/>
              <w:jc w:val="center"/>
            </w:pPr>
            <w:r>
              <w:t>1</w:t>
            </w:r>
          </w:p>
        </w:tc>
        <w:tc>
          <w:tcPr>
            <w:tcW w:w="1287" w:type="dxa"/>
            <w:shd w:val="clear" w:color="auto" w:fill="auto"/>
          </w:tcPr>
          <w:p w14:paraId="78F82F66" w14:textId="77777777" w:rsidR="00023FA5" w:rsidRPr="00A35800" w:rsidDel="00EE2BBB" w:rsidRDefault="00023FA5" w:rsidP="00023FA5">
            <w:pPr>
              <w:pStyle w:val="Tablewriting"/>
              <w:jc w:val="center"/>
            </w:pPr>
            <w:r>
              <w:t>$30,825.54</w:t>
            </w:r>
          </w:p>
        </w:tc>
        <w:tc>
          <w:tcPr>
            <w:tcW w:w="2744" w:type="dxa"/>
            <w:vMerge/>
            <w:shd w:val="clear" w:color="auto" w:fill="auto"/>
          </w:tcPr>
          <w:p w14:paraId="643F4434" w14:textId="77777777" w:rsidR="00023FA5" w:rsidRPr="00A35800" w:rsidDel="00EE2BBB" w:rsidRDefault="00023FA5" w:rsidP="00023FA5">
            <w:pPr>
              <w:pStyle w:val="Tablewriting"/>
            </w:pPr>
          </w:p>
        </w:tc>
      </w:tr>
      <w:tr w:rsidR="00023FA5" w:rsidRPr="00A35800" w:rsidDel="00EE2BBB" w14:paraId="30D6CBAD" w14:textId="77777777" w:rsidTr="00023FA5">
        <w:trPr>
          <w:trHeight w:val="484"/>
          <w:tblHeader/>
        </w:trPr>
        <w:tc>
          <w:tcPr>
            <w:tcW w:w="988" w:type="dxa"/>
            <w:shd w:val="clear" w:color="auto" w:fill="auto"/>
          </w:tcPr>
          <w:p w14:paraId="2BA9AF89" w14:textId="77777777" w:rsidR="00023FA5" w:rsidRDefault="00023FA5" w:rsidP="00023FA5">
            <w:pPr>
              <w:pStyle w:val="Tablewriting"/>
            </w:pPr>
            <w:r>
              <w:t>11611D</w:t>
            </w:r>
          </w:p>
        </w:tc>
        <w:tc>
          <w:tcPr>
            <w:tcW w:w="5528" w:type="dxa"/>
            <w:shd w:val="clear" w:color="auto" w:fill="auto"/>
          </w:tcPr>
          <w:p w14:paraId="27BFDB96" w14:textId="77777777" w:rsidR="00023FA5" w:rsidRDefault="00023FA5" w:rsidP="00023FA5">
            <w:pPr>
              <w:pStyle w:val="Tablewriting"/>
            </w:pPr>
            <w:r>
              <w:t>cladribine 10 mg tablet, 6</w:t>
            </w:r>
          </w:p>
        </w:tc>
        <w:tc>
          <w:tcPr>
            <w:tcW w:w="1134" w:type="dxa"/>
            <w:shd w:val="clear" w:color="auto" w:fill="auto"/>
          </w:tcPr>
          <w:p w14:paraId="0657C18B" w14:textId="77777777" w:rsidR="00023FA5" w:rsidRDefault="00023FA5" w:rsidP="00023FA5">
            <w:pPr>
              <w:pStyle w:val="Tablewriting"/>
              <w:jc w:val="center"/>
            </w:pPr>
            <w:r>
              <w:t>1</w:t>
            </w:r>
          </w:p>
        </w:tc>
        <w:tc>
          <w:tcPr>
            <w:tcW w:w="1134" w:type="dxa"/>
            <w:shd w:val="clear" w:color="auto" w:fill="auto"/>
          </w:tcPr>
          <w:p w14:paraId="6FA89FE0" w14:textId="77777777" w:rsidR="00023FA5" w:rsidRDefault="00023FA5" w:rsidP="00023FA5">
            <w:pPr>
              <w:pStyle w:val="Tablewriting"/>
              <w:jc w:val="center"/>
            </w:pPr>
            <w:r>
              <w:t>6</w:t>
            </w:r>
          </w:p>
        </w:tc>
        <w:tc>
          <w:tcPr>
            <w:tcW w:w="709" w:type="dxa"/>
            <w:shd w:val="clear" w:color="auto" w:fill="auto"/>
          </w:tcPr>
          <w:p w14:paraId="330A3EED" w14:textId="77777777" w:rsidR="00023FA5" w:rsidRDefault="00023FA5" w:rsidP="00023FA5">
            <w:pPr>
              <w:pStyle w:val="Tablewriting"/>
              <w:jc w:val="center"/>
            </w:pPr>
            <w:r>
              <w:t>1</w:t>
            </w:r>
          </w:p>
        </w:tc>
        <w:tc>
          <w:tcPr>
            <w:tcW w:w="1287" w:type="dxa"/>
            <w:shd w:val="clear" w:color="auto" w:fill="auto"/>
          </w:tcPr>
          <w:p w14:paraId="2B1CC8F7" w14:textId="77777777" w:rsidR="00023FA5" w:rsidRDefault="00023FA5" w:rsidP="00023FA5">
            <w:pPr>
              <w:pStyle w:val="Tablewriting"/>
              <w:jc w:val="center"/>
            </w:pPr>
            <w:r>
              <w:t>$23,159.46</w:t>
            </w:r>
          </w:p>
        </w:tc>
        <w:tc>
          <w:tcPr>
            <w:tcW w:w="2744" w:type="dxa"/>
            <w:vMerge/>
            <w:shd w:val="clear" w:color="auto" w:fill="auto"/>
          </w:tcPr>
          <w:p w14:paraId="0A566E6C" w14:textId="77777777" w:rsidR="00023FA5" w:rsidRPr="00A35800" w:rsidDel="00EE2BBB" w:rsidRDefault="00023FA5" w:rsidP="00023FA5">
            <w:pPr>
              <w:pStyle w:val="Tablewriting"/>
            </w:pPr>
          </w:p>
        </w:tc>
      </w:tr>
      <w:tr w:rsidR="00023FA5" w:rsidRPr="00A35800" w:rsidDel="00EE2BBB" w14:paraId="16A4FA91" w14:textId="77777777" w:rsidTr="00023FA5">
        <w:trPr>
          <w:trHeight w:val="484"/>
          <w:tblHeader/>
        </w:trPr>
        <w:tc>
          <w:tcPr>
            <w:tcW w:w="988" w:type="dxa"/>
            <w:shd w:val="clear" w:color="auto" w:fill="auto"/>
          </w:tcPr>
          <w:p w14:paraId="3B50664B" w14:textId="77777777" w:rsidR="00023FA5" w:rsidRPr="001D6C85" w:rsidRDefault="00023FA5" w:rsidP="00023FA5">
            <w:pPr>
              <w:pStyle w:val="Tablewriting"/>
              <w:spacing w:before="40" w:after="40"/>
              <w:contextualSpacing/>
            </w:pPr>
            <w:r w:rsidRPr="001D6C85">
              <w:t>2896K</w:t>
            </w:r>
          </w:p>
        </w:tc>
        <w:tc>
          <w:tcPr>
            <w:tcW w:w="5528" w:type="dxa"/>
            <w:shd w:val="clear" w:color="auto" w:fill="auto"/>
          </w:tcPr>
          <w:p w14:paraId="167118CD" w14:textId="77777777" w:rsidR="00023FA5" w:rsidRDefault="00023FA5" w:rsidP="00023FA5">
            <w:pPr>
              <w:pStyle w:val="Tablewriting"/>
            </w:pPr>
            <w:r>
              <w:t>dimethyl fumarate 120 mg enteric capsule, 14</w:t>
            </w:r>
          </w:p>
        </w:tc>
        <w:tc>
          <w:tcPr>
            <w:tcW w:w="1134" w:type="dxa"/>
            <w:shd w:val="clear" w:color="auto" w:fill="auto"/>
          </w:tcPr>
          <w:p w14:paraId="0BD123E1" w14:textId="77777777" w:rsidR="00023FA5" w:rsidRDefault="00023FA5" w:rsidP="00023FA5">
            <w:pPr>
              <w:pStyle w:val="Tablewriting"/>
              <w:jc w:val="center"/>
            </w:pPr>
            <w:r>
              <w:t>2</w:t>
            </w:r>
          </w:p>
        </w:tc>
        <w:tc>
          <w:tcPr>
            <w:tcW w:w="1134" w:type="dxa"/>
            <w:shd w:val="clear" w:color="auto" w:fill="auto"/>
          </w:tcPr>
          <w:p w14:paraId="715A1313" w14:textId="77777777" w:rsidR="00023FA5" w:rsidRDefault="00023FA5" w:rsidP="00023FA5">
            <w:pPr>
              <w:pStyle w:val="Tablewriting"/>
              <w:jc w:val="center"/>
            </w:pPr>
            <w:r>
              <w:t>28</w:t>
            </w:r>
          </w:p>
        </w:tc>
        <w:tc>
          <w:tcPr>
            <w:tcW w:w="709" w:type="dxa"/>
            <w:shd w:val="clear" w:color="auto" w:fill="auto"/>
          </w:tcPr>
          <w:p w14:paraId="279AC3C7" w14:textId="77777777" w:rsidR="00023FA5" w:rsidRDefault="00023FA5" w:rsidP="00023FA5">
            <w:pPr>
              <w:pStyle w:val="Tablewriting"/>
              <w:jc w:val="center"/>
            </w:pPr>
            <w:r>
              <w:t>0</w:t>
            </w:r>
          </w:p>
        </w:tc>
        <w:tc>
          <w:tcPr>
            <w:tcW w:w="1287" w:type="dxa"/>
            <w:shd w:val="clear" w:color="auto" w:fill="auto"/>
          </w:tcPr>
          <w:p w14:paraId="77557724" w14:textId="77777777" w:rsidR="00023FA5" w:rsidRDefault="00023FA5" w:rsidP="00023FA5">
            <w:pPr>
              <w:pStyle w:val="Tablewriting"/>
              <w:jc w:val="center"/>
            </w:pPr>
            <w:r>
              <w:t>$649.96</w:t>
            </w:r>
          </w:p>
        </w:tc>
        <w:tc>
          <w:tcPr>
            <w:tcW w:w="2744" w:type="dxa"/>
            <w:vMerge w:val="restart"/>
            <w:shd w:val="clear" w:color="auto" w:fill="auto"/>
          </w:tcPr>
          <w:p w14:paraId="24C895B8" w14:textId="77777777" w:rsidR="00023FA5" w:rsidRDefault="00023FA5" w:rsidP="00023FA5">
            <w:pPr>
              <w:pStyle w:val="Tablewriting"/>
            </w:pPr>
            <w:r>
              <w:t>Tecfidera</w:t>
            </w:r>
          </w:p>
          <w:p w14:paraId="3E246E37" w14:textId="77777777" w:rsidR="00023FA5" w:rsidRPr="00A35800" w:rsidDel="00EE2BBB" w:rsidRDefault="00023FA5" w:rsidP="00023FA5">
            <w:pPr>
              <w:pStyle w:val="Tablewriting"/>
            </w:pPr>
            <w:r>
              <w:t xml:space="preserve">Biogen Australia Pty Ltd </w:t>
            </w:r>
          </w:p>
        </w:tc>
      </w:tr>
      <w:tr w:rsidR="00023FA5" w:rsidRPr="00A35800" w:rsidDel="00EE2BBB" w14:paraId="3640F387" w14:textId="77777777" w:rsidTr="00023FA5">
        <w:trPr>
          <w:trHeight w:val="484"/>
          <w:tblHeader/>
        </w:trPr>
        <w:tc>
          <w:tcPr>
            <w:tcW w:w="988" w:type="dxa"/>
            <w:shd w:val="clear" w:color="auto" w:fill="auto"/>
          </w:tcPr>
          <w:p w14:paraId="522D4432" w14:textId="77777777" w:rsidR="00023FA5" w:rsidRPr="001D6C85" w:rsidRDefault="00023FA5" w:rsidP="00023FA5">
            <w:pPr>
              <w:pStyle w:val="Tablewriting"/>
              <w:spacing w:before="40" w:after="40"/>
              <w:contextualSpacing/>
            </w:pPr>
            <w:r w:rsidRPr="001D6C85">
              <w:t>2943X</w:t>
            </w:r>
          </w:p>
        </w:tc>
        <w:tc>
          <w:tcPr>
            <w:tcW w:w="5528" w:type="dxa"/>
            <w:shd w:val="clear" w:color="auto" w:fill="auto"/>
          </w:tcPr>
          <w:p w14:paraId="2D9E22DC" w14:textId="77777777" w:rsidR="00023FA5" w:rsidRDefault="00023FA5" w:rsidP="00023FA5">
            <w:pPr>
              <w:pStyle w:val="Tablewriting"/>
            </w:pPr>
            <w:r>
              <w:t>dimethyl fumarate 120 mg enteric capsule, 14</w:t>
            </w:r>
          </w:p>
        </w:tc>
        <w:tc>
          <w:tcPr>
            <w:tcW w:w="1134" w:type="dxa"/>
            <w:shd w:val="clear" w:color="auto" w:fill="auto"/>
          </w:tcPr>
          <w:p w14:paraId="26AC0C98" w14:textId="77777777" w:rsidR="00023FA5" w:rsidRDefault="00023FA5" w:rsidP="00023FA5">
            <w:pPr>
              <w:pStyle w:val="Tablewriting"/>
              <w:jc w:val="center"/>
            </w:pPr>
            <w:r>
              <w:t>2</w:t>
            </w:r>
          </w:p>
        </w:tc>
        <w:tc>
          <w:tcPr>
            <w:tcW w:w="1134" w:type="dxa"/>
            <w:shd w:val="clear" w:color="auto" w:fill="auto"/>
          </w:tcPr>
          <w:p w14:paraId="316BDF50" w14:textId="77777777" w:rsidR="00023FA5" w:rsidRDefault="00023FA5" w:rsidP="00023FA5">
            <w:pPr>
              <w:pStyle w:val="Tablewriting"/>
              <w:jc w:val="center"/>
            </w:pPr>
            <w:r>
              <w:t>28</w:t>
            </w:r>
          </w:p>
        </w:tc>
        <w:tc>
          <w:tcPr>
            <w:tcW w:w="709" w:type="dxa"/>
            <w:shd w:val="clear" w:color="auto" w:fill="auto"/>
          </w:tcPr>
          <w:p w14:paraId="1262CD77" w14:textId="77777777" w:rsidR="00023FA5" w:rsidRDefault="00023FA5" w:rsidP="00023FA5">
            <w:pPr>
              <w:pStyle w:val="Tablewriting"/>
              <w:jc w:val="center"/>
            </w:pPr>
            <w:r>
              <w:t>0</w:t>
            </w:r>
          </w:p>
        </w:tc>
        <w:tc>
          <w:tcPr>
            <w:tcW w:w="1287" w:type="dxa"/>
            <w:shd w:val="clear" w:color="auto" w:fill="auto"/>
          </w:tcPr>
          <w:p w14:paraId="73711A0E" w14:textId="77777777" w:rsidR="00023FA5" w:rsidRDefault="00023FA5" w:rsidP="00023FA5">
            <w:pPr>
              <w:pStyle w:val="Tablewriting"/>
              <w:jc w:val="center"/>
            </w:pPr>
            <w:r>
              <w:t>$649.96</w:t>
            </w:r>
          </w:p>
        </w:tc>
        <w:tc>
          <w:tcPr>
            <w:tcW w:w="2744" w:type="dxa"/>
            <w:vMerge/>
            <w:shd w:val="clear" w:color="auto" w:fill="auto"/>
          </w:tcPr>
          <w:p w14:paraId="55018465" w14:textId="77777777" w:rsidR="00023FA5" w:rsidRPr="00A35800" w:rsidDel="00EE2BBB" w:rsidRDefault="00023FA5" w:rsidP="00023FA5">
            <w:pPr>
              <w:pStyle w:val="Tablewriting"/>
            </w:pPr>
          </w:p>
        </w:tc>
      </w:tr>
      <w:tr w:rsidR="00023FA5" w:rsidRPr="00A35800" w:rsidDel="00EE2BBB" w14:paraId="0606F4C7" w14:textId="77777777" w:rsidTr="00023FA5">
        <w:trPr>
          <w:trHeight w:val="484"/>
          <w:tblHeader/>
        </w:trPr>
        <w:tc>
          <w:tcPr>
            <w:tcW w:w="988" w:type="dxa"/>
            <w:shd w:val="clear" w:color="auto" w:fill="auto"/>
          </w:tcPr>
          <w:p w14:paraId="74CB5DE7" w14:textId="77777777" w:rsidR="00023FA5" w:rsidRPr="001D6C85" w:rsidRDefault="00023FA5" w:rsidP="00023FA5">
            <w:pPr>
              <w:pStyle w:val="Tablewriting"/>
              <w:spacing w:before="40" w:after="40"/>
              <w:contextualSpacing/>
            </w:pPr>
            <w:r w:rsidRPr="001D6C85">
              <w:t>2966D</w:t>
            </w:r>
          </w:p>
        </w:tc>
        <w:tc>
          <w:tcPr>
            <w:tcW w:w="5528" w:type="dxa"/>
            <w:shd w:val="clear" w:color="auto" w:fill="auto"/>
          </w:tcPr>
          <w:p w14:paraId="38DE5B48" w14:textId="77777777" w:rsidR="00023FA5" w:rsidRDefault="00023FA5" w:rsidP="00023FA5">
            <w:pPr>
              <w:pStyle w:val="Tablewriting"/>
            </w:pPr>
            <w:r>
              <w:t>dimethyl fumarate 240 mg enteric capsule, 56</w:t>
            </w:r>
          </w:p>
        </w:tc>
        <w:tc>
          <w:tcPr>
            <w:tcW w:w="1134" w:type="dxa"/>
            <w:shd w:val="clear" w:color="auto" w:fill="auto"/>
          </w:tcPr>
          <w:p w14:paraId="4560B671" w14:textId="77777777" w:rsidR="00023FA5" w:rsidRDefault="00023FA5" w:rsidP="00023FA5">
            <w:pPr>
              <w:pStyle w:val="Tablewriting"/>
              <w:jc w:val="center"/>
            </w:pPr>
            <w:r>
              <w:t>1</w:t>
            </w:r>
          </w:p>
        </w:tc>
        <w:tc>
          <w:tcPr>
            <w:tcW w:w="1134" w:type="dxa"/>
            <w:shd w:val="clear" w:color="auto" w:fill="auto"/>
          </w:tcPr>
          <w:p w14:paraId="2A43EC5C" w14:textId="77777777" w:rsidR="00023FA5" w:rsidRDefault="00023FA5" w:rsidP="00023FA5">
            <w:pPr>
              <w:pStyle w:val="Tablewriting"/>
              <w:jc w:val="center"/>
            </w:pPr>
            <w:r>
              <w:t>56</w:t>
            </w:r>
          </w:p>
        </w:tc>
        <w:tc>
          <w:tcPr>
            <w:tcW w:w="709" w:type="dxa"/>
            <w:shd w:val="clear" w:color="auto" w:fill="auto"/>
          </w:tcPr>
          <w:p w14:paraId="0ACF6110" w14:textId="77777777" w:rsidR="00023FA5" w:rsidRDefault="00023FA5" w:rsidP="00023FA5">
            <w:pPr>
              <w:pStyle w:val="Tablewriting"/>
              <w:jc w:val="center"/>
            </w:pPr>
            <w:r>
              <w:t>5</w:t>
            </w:r>
          </w:p>
        </w:tc>
        <w:tc>
          <w:tcPr>
            <w:tcW w:w="1287" w:type="dxa"/>
            <w:shd w:val="clear" w:color="auto" w:fill="auto"/>
          </w:tcPr>
          <w:p w14:paraId="50CB5BE8" w14:textId="77777777" w:rsidR="00023FA5" w:rsidRDefault="00023FA5" w:rsidP="00023FA5">
            <w:pPr>
              <w:pStyle w:val="Tablewriting"/>
              <w:jc w:val="center"/>
            </w:pPr>
            <w:r>
              <w:t>$1291.80</w:t>
            </w:r>
          </w:p>
        </w:tc>
        <w:tc>
          <w:tcPr>
            <w:tcW w:w="2744" w:type="dxa"/>
            <w:vMerge/>
            <w:shd w:val="clear" w:color="auto" w:fill="auto"/>
          </w:tcPr>
          <w:p w14:paraId="2491BCDB" w14:textId="77777777" w:rsidR="00023FA5" w:rsidRPr="00A35800" w:rsidDel="00EE2BBB" w:rsidRDefault="00023FA5" w:rsidP="00023FA5">
            <w:pPr>
              <w:pStyle w:val="Tablewriting"/>
            </w:pPr>
          </w:p>
        </w:tc>
      </w:tr>
      <w:tr w:rsidR="00023FA5" w:rsidRPr="00A35800" w:rsidDel="00EE2BBB" w14:paraId="64DF6A75" w14:textId="77777777" w:rsidTr="00023FA5">
        <w:trPr>
          <w:trHeight w:val="484"/>
          <w:tblHeader/>
        </w:trPr>
        <w:tc>
          <w:tcPr>
            <w:tcW w:w="988" w:type="dxa"/>
            <w:shd w:val="clear" w:color="auto" w:fill="auto"/>
          </w:tcPr>
          <w:p w14:paraId="53E93A41" w14:textId="77777777" w:rsidR="00023FA5" w:rsidRDefault="00023FA5" w:rsidP="00023FA5">
            <w:pPr>
              <w:pStyle w:val="Tablewriting"/>
              <w:spacing w:before="40" w:after="40"/>
              <w:contextualSpacing/>
            </w:pPr>
            <w:r>
              <w:t>11818B</w:t>
            </w:r>
          </w:p>
          <w:p w14:paraId="356C9FCA" w14:textId="77777777" w:rsidR="00023FA5" w:rsidRPr="001D6C85" w:rsidRDefault="00023FA5" w:rsidP="00023FA5">
            <w:pPr>
              <w:pStyle w:val="Tablewriting"/>
              <w:spacing w:before="40" w:after="40"/>
              <w:contextualSpacing/>
            </w:pPr>
          </w:p>
        </w:tc>
        <w:tc>
          <w:tcPr>
            <w:tcW w:w="5528" w:type="dxa"/>
            <w:shd w:val="clear" w:color="auto" w:fill="auto"/>
          </w:tcPr>
          <w:p w14:paraId="233AC97F" w14:textId="77777777" w:rsidR="00023FA5" w:rsidRDefault="00023FA5" w:rsidP="00023FA5">
            <w:pPr>
              <w:pStyle w:val="Tablewriting"/>
            </w:pPr>
            <w:r>
              <w:t xml:space="preserve">fingolimod 250 microgram capsule, 28 </w:t>
            </w:r>
          </w:p>
        </w:tc>
        <w:tc>
          <w:tcPr>
            <w:tcW w:w="1134" w:type="dxa"/>
            <w:shd w:val="clear" w:color="auto" w:fill="auto"/>
          </w:tcPr>
          <w:p w14:paraId="2150E10F" w14:textId="77777777" w:rsidR="00023FA5" w:rsidRDefault="00023FA5" w:rsidP="00023FA5">
            <w:pPr>
              <w:pStyle w:val="Tablewriting"/>
              <w:jc w:val="center"/>
            </w:pPr>
            <w:r>
              <w:t>1</w:t>
            </w:r>
          </w:p>
        </w:tc>
        <w:tc>
          <w:tcPr>
            <w:tcW w:w="1134" w:type="dxa"/>
            <w:shd w:val="clear" w:color="auto" w:fill="auto"/>
          </w:tcPr>
          <w:p w14:paraId="36D6C0B6" w14:textId="77777777" w:rsidR="00023FA5" w:rsidRDefault="00023FA5" w:rsidP="00023FA5">
            <w:pPr>
              <w:pStyle w:val="Tablewriting"/>
              <w:jc w:val="center"/>
            </w:pPr>
            <w:r>
              <w:t>28</w:t>
            </w:r>
          </w:p>
        </w:tc>
        <w:tc>
          <w:tcPr>
            <w:tcW w:w="709" w:type="dxa"/>
            <w:shd w:val="clear" w:color="auto" w:fill="auto"/>
          </w:tcPr>
          <w:p w14:paraId="67ABCBCC" w14:textId="77777777" w:rsidR="00023FA5" w:rsidRDefault="00023FA5" w:rsidP="00023FA5">
            <w:pPr>
              <w:pStyle w:val="Tablewriting"/>
              <w:jc w:val="center"/>
            </w:pPr>
            <w:r>
              <w:t>5</w:t>
            </w:r>
          </w:p>
        </w:tc>
        <w:tc>
          <w:tcPr>
            <w:tcW w:w="1287" w:type="dxa"/>
            <w:shd w:val="clear" w:color="auto" w:fill="auto"/>
          </w:tcPr>
          <w:p w14:paraId="44B64E77" w14:textId="77777777" w:rsidR="00023FA5" w:rsidRDefault="00023FA5" w:rsidP="00023FA5">
            <w:pPr>
              <w:pStyle w:val="Tablewriting"/>
              <w:jc w:val="center"/>
            </w:pPr>
            <w:r>
              <w:t>$2,219.51</w:t>
            </w:r>
          </w:p>
        </w:tc>
        <w:tc>
          <w:tcPr>
            <w:tcW w:w="2744" w:type="dxa"/>
            <w:vMerge w:val="restart"/>
            <w:shd w:val="clear" w:color="auto" w:fill="auto"/>
          </w:tcPr>
          <w:p w14:paraId="20ED00A7" w14:textId="77777777" w:rsidR="00023FA5" w:rsidRDefault="00023FA5" w:rsidP="00023FA5">
            <w:pPr>
              <w:pStyle w:val="Tablewriting"/>
            </w:pPr>
            <w:r>
              <w:t>Gilenya</w:t>
            </w:r>
          </w:p>
          <w:p w14:paraId="3F3EBCD7" w14:textId="77777777" w:rsidR="00023FA5" w:rsidRPr="00A35800" w:rsidDel="00EE2BBB" w:rsidRDefault="00023FA5" w:rsidP="00023FA5">
            <w:pPr>
              <w:pStyle w:val="Tablewriting"/>
            </w:pPr>
            <w:r>
              <w:t xml:space="preserve">Novartis Pharmaceuticals Australia Pty Limited </w:t>
            </w:r>
          </w:p>
        </w:tc>
      </w:tr>
      <w:tr w:rsidR="00023FA5" w:rsidRPr="00A35800" w:rsidDel="00EE2BBB" w14:paraId="3184F1EF" w14:textId="77777777" w:rsidTr="00023FA5">
        <w:trPr>
          <w:trHeight w:val="484"/>
          <w:tblHeader/>
        </w:trPr>
        <w:tc>
          <w:tcPr>
            <w:tcW w:w="988" w:type="dxa"/>
            <w:shd w:val="clear" w:color="auto" w:fill="auto"/>
          </w:tcPr>
          <w:p w14:paraId="6A03E8FC" w14:textId="77777777" w:rsidR="00023FA5" w:rsidRPr="001D6C85" w:rsidRDefault="00023FA5" w:rsidP="00023FA5">
            <w:pPr>
              <w:pStyle w:val="Tablewriting"/>
              <w:spacing w:before="40" w:after="40"/>
              <w:contextualSpacing/>
            </w:pPr>
            <w:r>
              <w:t>5262Y</w:t>
            </w:r>
          </w:p>
        </w:tc>
        <w:tc>
          <w:tcPr>
            <w:tcW w:w="5528" w:type="dxa"/>
            <w:shd w:val="clear" w:color="auto" w:fill="auto"/>
          </w:tcPr>
          <w:p w14:paraId="330E0DA0" w14:textId="77777777" w:rsidR="00023FA5" w:rsidRDefault="00023FA5" w:rsidP="00023FA5">
            <w:pPr>
              <w:pStyle w:val="Tablewriting"/>
            </w:pPr>
            <w:r>
              <w:t xml:space="preserve">fingolimod 500 microgram capsule, 28 </w:t>
            </w:r>
          </w:p>
        </w:tc>
        <w:tc>
          <w:tcPr>
            <w:tcW w:w="1134" w:type="dxa"/>
            <w:shd w:val="clear" w:color="auto" w:fill="auto"/>
          </w:tcPr>
          <w:p w14:paraId="3D2D7330" w14:textId="77777777" w:rsidR="00023FA5" w:rsidRDefault="00023FA5" w:rsidP="00023FA5">
            <w:pPr>
              <w:pStyle w:val="Tablewriting"/>
              <w:jc w:val="center"/>
            </w:pPr>
            <w:r>
              <w:t>1</w:t>
            </w:r>
          </w:p>
        </w:tc>
        <w:tc>
          <w:tcPr>
            <w:tcW w:w="1134" w:type="dxa"/>
            <w:shd w:val="clear" w:color="auto" w:fill="auto"/>
          </w:tcPr>
          <w:p w14:paraId="13A8DDE5" w14:textId="77777777" w:rsidR="00023FA5" w:rsidRDefault="00023FA5" w:rsidP="00023FA5">
            <w:pPr>
              <w:pStyle w:val="Tablewriting"/>
              <w:jc w:val="center"/>
            </w:pPr>
            <w:r>
              <w:t>28</w:t>
            </w:r>
          </w:p>
        </w:tc>
        <w:tc>
          <w:tcPr>
            <w:tcW w:w="709" w:type="dxa"/>
            <w:shd w:val="clear" w:color="auto" w:fill="auto"/>
          </w:tcPr>
          <w:p w14:paraId="50554B6B" w14:textId="77777777" w:rsidR="00023FA5" w:rsidRDefault="00023FA5" w:rsidP="00023FA5">
            <w:pPr>
              <w:pStyle w:val="Tablewriting"/>
              <w:jc w:val="center"/>
            </w:pPr>
            <w:r>
              <w:t>5</w:t>
            </w:r>
          </w:p>
        </w:tc>
        <w:tc>
          <w:tcPr>
            <w:tcW w:w="1287" w:type="dxa"/>
            <w:shd w:val="clear" w:color="auto" w:fill="auto"/>
          </w:tcPr>
          <w:p w14:paraId="733B2EAB" w14:textId="77777777" w:rsidR="00023FA5" w:rsidRDefault="00023FA5" w:rsidP="00023FA5">
            <w:pPr>
              <w:pStyle w:val="Tablewriting"/>
              <w:jc w:val="center"/>
            </w:pPr>
            <w:r>
              <w:t>$2,219.51</w:t>
            </w:r>
          </w:p>
        </w:tc>
        <w:tc>
          <w:tcPr>
            <w:tcW w:w="2744" w:type="dxa"/>
            <w:vMerge/>
            <w:shd w:val="clear" w:color="auto" w:fill="auto"/>
          </w:tcPr>
          <w:p w14:paraId="407A5E6A" w14:textId="77777777" w:rsidR="00023FA5" w:rsidRPr="00A35800" w:rsidDel="00EE2BBB" w:rsidRDefault="00023FA5" w:rsidP="00023FA5">
            <w:pPr>
              <w:pStyle w:val="Tablewriting"/>
            </w:pPr>
          </w:p>
        </w:tc>
      </w:tr>
      <w:tr w:rsidR="00023FA5" w:rsidRPr="00A35800" w:rsidDel="00EE2BBB" w14:paraId="328ED505" w14:textId="77777777" w:rsidTr="00023FA5">
        <w:trPr>
          <w:trHeight w:val="484"/>
          <w:tblHeader/>
        </w:trPr>
        <w:tc>
          <w:tcPr>
            <w:tcW w:w="988" w:type="dxa"/>
            <w:shd w:val="clear" w:color="auto" w:fill="auto"/>
          </w:tcPr>
          <w:p w14:paraId="5442271A" w14:textId="77777777" w:rsidR="00023FA5" w:rsidRDefault="00023FA5" w:rsidP="00023FA5">
            <w:pPr>
              <w:pStyle w:val="Tablewriting"/>
              <w:spacing w:before="40" w:after="40"/>
              <w:contextualSpacing/>
            </w:pPr>
            <w:r w:rsidRPr="001D6C85">
              <w:t>10416F</w:t>
            </w:r>
          </w:p>
        </w:tc>
        <w:tc>
          <w:tcPr>
            <w:tcW w:w="5528" w:type="dxa"/>
            <w:shd w:val="clear" w:color="auto" w:fill="auto"/>
          </w:tcPr>
          <w:p w14:paraId="08E30304" w14:textId="77777777" w:rsidR="00023FA5" w:rsidRDefault="00023FA5" w:rsidP="00023FA5">
            <w:pPr>
              <w:pStyle w:val="Tablewriting"/>
            </w:pPr>
            <w:r>
              <w:t xml:space="preserve">glatiramer acetate 40 mg/mL injection, 12 </w:t>
            </w:r>
            <w:r>
              <w:rPr>
                <w:rFonts w:cstheme="minorHAnsi"/>
              </w:rPr>
              <w:t>×</w:t>
            </w:r>
            <w:r>
              <w:t xml:space="preserve"> 1 mL syringes </w:t>
            </w:r>
          </w:p>
        </w:tc>
        <w:tc>
          <w:tcPr>
            <w:tcW w:w="1134" w:type="dxa"/>
            <w:shd w:val="clear" w:color="auto" w:fill="auto"/>
          </w:tcPr>
          <w:p w14:paraId="07F75985" w14:textId="77777777" w:rsidR="00023FA5" w:rsidRDefault="00023FA5" w:rsidP="00023FA5">
            <w:pPr>
              <w:pStyle w:val="Tablewriting"/>
              <w:jc w:val="center"/>
            </w:pPr>
            <w:r>
              <w:t>1</w:t>
            </w:r>
          </w:p>
        </w:tc>
        <w:tc>
          <w:tcPr>
            <w:tcW w:w="1134" w:type="dxa"/>
            <w:shd w:val="clear" w:color="auto" w:fill="auto"/>
          </w:tcPr>
          <w:p w14:paraId="3731E51C" w14:textId="77777777" w:rsidR="00023FA5" w:rsidRDefault="00023FA5" w:rsidP="00023FA5">
            <w:pPr>
              <w:pStyle w:val="Tablewriting"/>
              <w:jc w:val="center"/>
            </w:pPr>
            <w:r>
              <w:t>12</w:t>
            </w:r>
          </w:p>
        </w:tc>
        <w:tc>
          <w:tcPr>
            <w:tcW w:w="709" w:type="dxa"/>
            <w:shd w:val="clear" w:color="auto" w:fill="auto"/>
          </w:tcPr>
          <w:p w14:paraId="102F39F1" w14:textId="77777777" w:rsidR="00023FA5" w:rsidRDefault="00023FA5" w:rsidP="00023FA5">
            <w:pPr>
              <w:pStyle w:val="Tablewriting"/>
              <w:jc w:val="center"/>
            </w:pPr>
            <w:r>
              <w:t>5</w:t>
            </w:r>
          </w:p>
        </w:tc>
        <w:tc>
          <w:tcPr>
            <w:tcW w:w="1287" w:type="dxa"/>
            <w:shd w:val="clear" w:color="auto" w:fill="auto"/>
          </w:tcPr>
          <w:p w14:paraId="7ECE930F" w14:textId="77777777" w:rsidR="00023FA5" w:rsidRDefault="00023FA5" w:rsidP="00023FA5">
            <w:pPr>
              <w:pStyle w:val="Tablewriting"/>
              <w:jc w:val="center"/>
            </w:pPr>
            <w:r>
              <w:t>$895.04</w:t>
            </w:r>
          </w:p>
        </w:tc>
        <w:tc>
          <w:tcPr>
            <w:tcW w:w="2744" w:type="dxa"/>
            <w:shd w:val="clear" w:color="auto" w:fill="auto"/>
          </w:tcPr>
          <w:p w14:paraId="55ECB5B6" w14:textId="77777777" w:rsidR="00023FA5" w:rsidRDefault="00023FA5" w:rsidP="00023FA5">
            <w:pPr>
              <w:pStyle w:val="Tablewriting"/>
            </w:pPr>
            <w:r>
              <w:t xml:space="preserve">Copaxone </w:t>
            </w:r>
          </w:p>
          <w:p w14:paraId="7503EC58" w14:textId="77777777" w:rsidR="00023FA5" w:rsidRPr="00A35800" w:rsidDel="00EE2BBB" w:rsidRDefault="00023FA5" w:rsidP="00023FA5">
            <w:pPr>
              <w:pStyle w:val="Tablewriting"/>
            </w:pPr>
            <w:r>
              <w:t xml:space="preserve">Teva Pharma Australia Pty Ltd </w:t>
            </w:r>
          </w:p>
        </w:tc>
      </w:tr>
    </w:tbl>
    <w:tbl>
      <w:tblPr>
        <w:tblStyle w:val="TableGrid"/>
        <w:tblpPr w:leftFromText="180" w:rightFromText="180" w:vertAnchor="text" w:tblpY="-269"/>
        <w:tblW w:w="13524" w:type="dxa"/>
        <w:tblLayout w:type="fixed"/>
        <w:tblLook w:val="04A0" w:firstRow="1" w:lastRow="0" w:firstColumn="1" w:lastColumn="0" w:noHBand="0" w:noVBand="1"/>
      </w:tblPr>
      <w:tblGrid>
        <w:gridCol w:w="988"/>
        <w:gridCol w:w="5528"/>
        <w:gridCol w:w="1134"/>
        <w:gridCol w:w="1134"/>
        <w:gridCol w:w="709"/>
        <w:gridCol w:w="1287"/>
        <w:gridCol w:w="2744"/>
      </w:tblGrid>
      <w:tr w:rsidR="00023FA5" w:rsidRPr="00A35800" w:rsidDel="00EE2BBB" w14:paraId="63037489" w14:textId="77777777" w:rsidTr="00023FA5">
        <w:trPr>
          <w:trHeight w:val="484"/>
          <w:tblHeader/>
        </w:trPr>
        <w:tc>
          <w:tcPr>
            <w:tcW w:w="988" w:type="dxa"/>
            <w:shd w:val="clear" w:color="auto" w:fill="BFBFBF" w:themeFill="background1" w:themeFillShade="BF"/>
          </w:tcPr>
          <w:p w14:paraId="2C8EEDC5" w14:textId="77777777" w:rsidR="00023FA5" w:rsidRPr="00C64920" w:rsidRDefault="00023FA5" w:rsidP="00023FA5">
            <w:pPr>
              <w:pStyle w:val="Tablewriting"/>
              <w:spacing w:before="40" w:after="40"/>
              <w:contextualSpacing/>
              <w:jc w:val="center"/>
              <w:rPr>
                <w:b/>
              </w:rPr>
            </w:pPr>
            <w:r w:rsidRPr="00C64920" w:rsidDel="00EE2BBB">
              <w:rPr>
                <w:b/>
              </w:rPr>
              <w:lastRenderedPageBreak/>
              <w:t>Item</w:t>
            </w:r>
          </w:p>
        </w:tc>
        <w:tc>
          <w:tcPr>
            <w:tcW w:w="5528" w:type="dxa"/>
            <w:shd w:val="clear" w:color="auto" w:fill="BFBFBF" w:themeFill="background1" w:themeFillShade="BF"/>
          </w:tcPr>
          <w:p w14:paraId="024466F4" w14:textId="77777777" w:rsidR="00023FA5" w:rsidRPr="00C64920" w:rsidRDefault="00023FA5" w:rsidP="00023FA5">
            <w:pPr>
              <w:pStyle w:val="Tablewriting"/>
              <w:jc w:val="center"/>
              <w:rPr>
                <w:b/>
              </w:rPr>
            </w:pPr>
            <w:r w:rsidRPr="00C64920" w:rsidDel="00EE2BBB">
              <w:rPr>
                <w:b/>
              </w:rPr>
              <w:t>Name, form &amp; strength, pack size</w:t>
            </w:r>
          </w:p>
        </w:tc>
        <w:tc>
          <w:tcPr>
            <w:tcW w:w="1134" w:type="dxa"/>
            <w:shd w:val="clear" w:color="auto" w:fill="BFBFBF" w:themeFill="background1" w:themeFillShade="BF"/>
          </w:tcPr>
          <w:p w14:paraId="152E3D97" w14:textId="77777777" w:rsidR="00023FA5" w:rsidRPr="00C64920" w:rsidRDefault="00023FA5" w:rsidP="00023FA5">
            <w:pPr>
              <w:pStyle w:val="Tablewriting"/>
              <w:jc w:val="center"/>
              <w:rPr>
                <w:b/>
              </w:rPr>
            </w:pPr>
            <w:r w:rsidRPr="00C64920" w:rsidDel="00EE2BBB">
              <w:rPr>
                <w:b/>
              </w:rPr>
              <w:t xml:space="preserve">Max. </w:t>
            </w:r>
            <w:r w:rsidRPr="00C64920">
              <w:rPr>
                <w:b/>
              </w:rPr>
              <w:t>qty</w:t>
            </w:r>
            <w:r w:rsidRPr="00C64920" w:rsidDel="00EE2BBB">
              <w:rPr>
                <w:b/>
              </w:rPr>
              <w:t>.</w:t>
            </w:r>
            <w:r w:rsidRPr="00C64920">
              <w:rPr>
                <w:b/>
              </w:rPr>
              <w:t xml:space="preserve"> packs</w:t>
            </w:r>
          </w:p>
        </w:tc>
        <w:tc>
          <w:tcPr>
            <w:tcW w:w="1134" w:type="dxa"/>
            <w:shd w:val="clear" w:color="auto" w:fill="BFBFBF" w:themeFill="background1" w:themeFillShade="BF"/>
          </w:tcPr>
          <w:p w14:paraId="29FD7E02" w14:textId="77777777" w:rsidR="00023FA5" w:rsidRPr="00C64920" w:rsidRDefault="00023FA5" w:rsidP="00023FA5">
            <w:pPr>
              <w:pStyle w:val="Tablewriting"/>
              <w:jc w:val="center"/>
              <w:rPr>
                <w:b/>
              </w:rPr>
            </w:pPr>
            <w:r w:rsidRPr="00C64920">
              <w:rPr>
                <w:b/>
              </w:rPr>
              <w:t>Max. qty. units</w:t>
            </w:r>
          </w:p>
        </w:tc>
        <w:tc>
          <w:tcPr>
            <w:tcW w:w="709" w:type="dxa"/>
            <w:shd w:val="clear" w:color="auto" w:fill="BFBFBF" w:themeFill="background1" w:themeFillShade="BF"/>
          </w:tcPr>
          <w:p w14:paraId="7CD7ED63" w14:textId="77777777" w:rsidR="00023FA5" w:rsidRPr="00C64920" w:rsidRDefault="00023FA5" w:rsidP="00023FA5">
            <w:pPr>
              <w:pStyle w:val="Tablewriting"/>
              <w:jc w:val="center"/>
              <w:rPr>
                <w:b/>
              </w:rPr>
            </w:pPr>
            <w:r w:rsidRPr="00C64920" w:rsidDel="00EE2BBB">
              <w:rPr>
                <w:b/>
              </w:rPr>
              <w:t>Rpts</w:t>
            </w:r>
          </w:p>
        </w:tc>
        <w:tc>
          <w:tcPr>
            <w:tcW w:w="1287" w:type="dxa"/>
            <w:shd w:val="clear" w:color="auto" w:fill="BFBFBF" w:themeFill="background1" w:themeFillShade="BF"/>
          </w:tcPr>
          <w:p w14:paraId="02BAE6EE" w14:textId="77777777" w:rsidR="00023FA5" w:rsidRPr="00C64920" w:rsidRDefault="00023FA5" w:rsidP="00023FA5">
            <w:pPr>
              <w:pStyle w:val="Tablewriting"/>
              <w:jc w:val="center"/>
              <w:rPr>
                <w:b/>
              </w:rPr>
            </w:pPr>
            <w:r w:rsidRPr="00C64920" w:rsidDel="00EE2BBB">
              <w:rPr>
                <w:b/>
              </w:rPr>
              <w:t>DPMQ</w:t>
            </w:r>
          </w:p>
        </w:tc>
        <w:tc>
          <w:tcPr>
            <w:tcW w:w="2744" w:type="dxa"/>
            <w:shd w:val="clear" w:color="auto" w:fill="BFBFBF" w:themeFill="background1" w:themeFillShade="BF"/>
          </w:tcPr>
          <w:p w14:paraId="5739E498" w14:textId="77777777" w:rsidR="00023FA5" w:rsidRPr="00C64920" w:rsidRDefault="00023FA5" w:rsidP="00023FA5">
            <w:pPr>
              <w:pStyle w:val="Tablewriting"/>
              <w:jc w:val="center"/>
              <w:rPr>
                <w:b/>
              </w:rPr>
            </w:pPr>
            <w:r w:rsidRPr="00C64920" w:rsidDel="00EE2BBB">
              <w:rPr>
                <w:b/>
              </w:rPr>
              <w:t>Brand name and manufacturer</w:t>
            </w:r>
          </w:p>
        </w:tc>
      </w:tr>
      <w:tr w:rsidR="00023FA5" w:rsidRPr="00A35800" w:rsidDel="00EE2BBB" w14:paraId="7A99619A" w14:textId="77777777" w:rsidTr="00023FA5">
        <w:trPr>
          <w:trHeight w:val="484"/>
          <w:tblHeader/>
        </w:trPr>
        <w:tc>
          <w:tcPr>
            <w:tcW w:w="988" w:type="dxa"/>
            <w:shd w:val="clear" w:color="auto" w:fill="auto"/>
          </w:tcPr>
          <w:p w14:paraId="169A8A08" w14:textId="77777777" w:rsidR="00023FA5" w:rsidRPr="001D6C85" w:rsidRDefault="00023FA5" w:rsidP="00023FA5">
            <w:pPr>
              <w:pStyle w:val="Tablewriting"/>
            </w:pPr>
            <w:r w:rsidRPr="001D6C85">
              <w:t>8805K</w:t>
            </w:r>
          </w:p>
        </w:tc>
        <w:tc>
          <w:tcPr>
            <w:tcW w:w="5528" w:type="dxa"/>
            <w:shd w:val="clear" w:color="auto" w:fill="auto"/>
          </w:tcPr>
          <w:p w14:paraId="41AE1BB7" w14:textId="77777777" w:rsidR="00023FA5" w:rsidRDefault="00023FA5" w:rsidP="00023FA5">
            <w:pPr>
              <w:pStyle w:val="Tablewriting"/>
            </w:pPr>
            <w:r>
              <w:t xml:space="preserve">interferon beta-1a 6 million units (30 microgram)/0.5 ml injection, 4 </w:t>
            </w:r>
            <w:r>
              <w:rPr>
                <w:rFonts w:cstheme="minorHAnsi"/>
              </w:rPr>
              <w:t>×</w:t>
            </w:r>
            <w:r>
              <w:t xml:space="preserve"> 0.5 ml syringes</w:t>
            </w:r>
          </w:p>
        </w:tc>
        <w:tc>
          <w:tcPr>
            <w:tcW w:w="1134" w:type="dxa"/>
            <w:shd w:val="clear" w:color="auto" w:fill="auto"/>
          </w:tcPr>
          <w:p w14:paraId="4F6A07E8" w14:textId="77777777" w:rsidR="00023FA5" w:rsidRDefault="00023FA5" w:rsidP="00023FA5">
            <w:pPr>
              <w:pStyle w:val="Tablewriting"/>
              <w:jc w:val="center"/>
            </w:pPr>
            <w:r>
              <w:t>1</w:t>
            </w:r>
          </w:p>
        </w:tc>
        <w:tc>
          <w:tcPr>
            <w:tcW w:w="1134" w:type="dxa"/>
            <w:shd w:val="clear" w:color="auto" w:fill="auto"/>
          </w:tcPr>
          <w:p w14:paraId="31BE339D" w14:textId="77777777" w:rsidR="00023FA5" w:rsidRDefault="00023FA5" w:rsidP="00023FA5">
            <w:pPr>
              <w:pStyle w:val="Tablewriting"/>
              <w:jc w:val="center"/>
            </w:pPr>
            <w:r>
              <w:t>4</w:t>
            </w:r>
          </w:p>
        </w:tc>
        <w:tc>
          <w:tcPr>
            <w:tcW w:w="709" w:type="dxa"/>
            <w:shd w:val="clear" w:color="auto" w:fill="auto"/>
          </w:tcPr>
          <w:p w14:paraId="68CEC9D3" w14:textId="77777777" w:rsidR="00023FA5" w:rsidRDefault="00023FA5" w:rsidP="00023FA5">
            <w:pPr>
              <w:pStyle w:val="Tablewriting"/>
              <w:jc w:val="center"/>
            </w:pPr>
            <w:r>
              <w:t>5</w:t>
            </w:r>
          </w:p>
        </w:tc>
        <w:tc>
          <w:tcPr>
            <w:tcW w:w="1287" w:type="dxa"/>
            <w:shd w:val="clear" w:color="auto" w:fill="auto"/>
          </w:tcPr>
          <w:p w14:paraId="6021A1E8" w14:textId="77777777" w:rsidR="00023FA5" w:rsidRDefault="00023FA5" w:rsidP="00023FA5">
            <w:pPr>
              <w:pStyle w:val="Tablewriting"/>
              <w:jc w:val="center"/>
            </w:pPr>
            <w:r>
              <w:t>$865.62</w:t>
            </w:r>
          </w:p>
        </w:tc>
        <w:tc>
          <w:tcPr>
            <w:tcW w:w="2744" w:type="dxa"/>
            <w:shd w:val="clear" w:color="auto" w:fill="auto"/>
          </w:tcPr>
          <w:p w14:paraId="054D1D99" w14:textId="77777777" w:rsidR="00023FA5" w:rsidRDefault="00023FA5" w:rsidP="00023FA5">
            <w:pPr>
              <w:pStyle w:val="Tablewriting"/>
            </w:pPr>
            <w:r>
              <w:t>Avonex</w:t>
            </w:r>
          </w:p>
          <w:p w14:paraId="7A7521AA" w14:textId="77777777" w:rsidR="00023FA5" w:rsidRDefault="00023FA5" w:rsidP="00023FA5">
            <w:pPr>
              <w:pStyle w:val="Tablewriting"/>
            </w:pPr>
            <w:r>
              <w:t xml:space="preserve">Biogen Australia Pty Ltd </w:t>
            </w:r>
          </w:p>
        </w:tc>
      </w:tr>
      <w:tr w:rsidR="00023FA5" w:rsidRPr="00A35800" w:rsidDel="00EE2BBB" w14:paraId="4EB19DF9" w14:textId="77777777" w:rsidTr="00023FA5">
        <w:trPr>
          <w:trHeight w:val="484"/>
          <w:tblHeader/>
        </w:trPr>
        <w:tc>
          <w:tcPr>
            <w:tcW w:w="988" w:type="dxa"/>
            <w:shd w:val="clear" w:color="auto" w:fill="auto"/>
          </w:tcPr>
          <w:p w14:paraId="6942520B" w14:textId="77777777" w:rsidR="00023FA5" w:rsidRPr="001D6C85" w:rsidRDefault="00023FA5" w:rsidP="00023FA5">
            <w:pPr>
              <w:pStyle w:val="Tablewriting"/>
            </w:pPr>
            <w:r w:rsidRPr="001D6C85">
              <w:t>8403G</w:t>
            </w:r>
          </w:p>
        </w:tc>
        <w:tc>
          <w:tcPr>
            <w:tcW w:w="5528" w:type="dxa"/>
            <w:shd w:val="clear" w:color="auto" w:fill="auto"/>
          </w:tcPr>
          <w:p w14:paraId="30526F00" w14:textId="77777777" w:rsidR="00023FA5" w:rsidRDefault="00023FA5" w:rsidP="00023FA5">
            <w:pPr>
              <w:pStyle w:val="Tablewriting"/>
            </w:pPr>
            <w:r>
              <w:t xml:space="preserve">interferon beta-1a 12 million units (44 microgram)/0.5 ml injection, 12 </w:t>
            </w:r>
            <w:r>
              <w:rPr>
                <w:rFonts w:cstheme="minorHAnsi"/>
              </w:rPr>
              <w:t>×</w:t>
            </w:r>
            <w:r>
              <w:t xml:space="preserve"> 0.5 ml syringes</w:t>
            </w:r>
          </w:p>
        </w:tc>
        <w:tc>
          <w:tcPr>
            <w:tcW w:w="1134" w:type="dxa"/>
            <w:shd w:val="clear" w:color="auto" w:fill="auto"/>
          </w:tcPr>
          <w:p w14:paraId="65792844" w14:textId="77777777" w:rsidR="00023FA5" w:rsidRDefault="00023FA5" w:rsidP="00023FA5">
            <w:pPr>
              <w:pStyle w:val="Tablewriting"/>
              <w:jc w:val="center"/>
            </w:pPr>
            <w:r>
              <w:t>1</w:t>
            </w:r>
          </w:p>
        </w:tc>
        <w:tc>
          <w:tcPr>
            <w:tcW w:w="1134" w:type="dxa"/>
            <w:shd w:val="clear" w:color="auto" w:fill="auto"/>
          </w:tcPr>
          <w:p w14:paraId="740AADAA" w14:textId="77777777" w:rsidR="00023FA5" w:rsidRDefault="00023FA5" w:rsidP="00023FA5">
            <w:pPr>
              <w:pStyle w:val="Tablewriting"/>
              <w:jc w:val="center"/>
            </w:pPr>
            <w:r>
              <w:t>12</w:t>
            </w:r>
          </w:p>
        </w:tc>
        <w:tc>
          <w:tcPr>
            <w:tcW w:w="709" w:type="dxa"/>
            <w:shd w:val="clear" w:color="auto" w:fill="auto"/>
          </w:tcPr>
          <w:p w14:paraId="58B5415A" w14:textId="77777777" w:rsidR="00023FA5" w:rsidRDefault="00023FA5" w:rsidP="00023FA5">
            <w:pPr>
              <w:pStyle w:val="Tablewriting"/>
              <w:jc w:val="center"/>
            </w:pPr>
            <w:r>
              <w:t>5</w:t>
            </w:r>
          </w:p>
        </w:tc>
        <w:tc>
          <w:tcPr>
            <w:tcW w:w="1287" w:type="dxa"/>
            <w:shd w:val="clear" w:color="auto" w:fill="auto"/>
          </w:tcPr>
          <w:p w14:paraId="3C98F76E" w14:textId="77777777" w:rsidR="00023FA5" w:rsidRDefault="00023FA5" w:rsidP="00023FA5">
            <w:pPr>
              <w:pStyle w:val="Tablewriting"/>
              <w:jc w:val="center"/>
            </w:pPr>
            <w:r>
              <w:t>$865.62</w:t>
            </w:r>
          </w:p>
        </w:tc>
        <w:tc>
          <w:tcPr>
            <w:tcW w:w="2744" w:type="dxa"/>
            <w:vMerge w:val="restart"/>
            <w:shd w:val="clear" w:color="auto" w:fill="auto"/>
          </w:tcPr>
          <w:p w14:paraId="535919B7" w14:textId="77777777" w:rsidR="00023FA5" w:rsidRDefault="00023FA5" w:rsidP="00023FA5">
            <w:pPr>
              <w:pStyle w:val="Tablewriting"/>
            </w:pPr>
            <w:r>
              <w:t>Rebif 44</w:t>
            </w:r>
          </w:p>
          <w:p w14:paraId="1C3C6AC2" w14:textId="77777777" w:rsidR="00023FA5" w:rsidRDefault="00023FA5" w:rsidP="00023FA5">
            <w:pPr>
              <w:pStyle w:val="Tablewriting"/>
            </w:pPr>
            <w:r>
              <w:t xml:space="preserve">Merck Healthcare Pty Ltd </w:t>
            </w:r>
          </w:p>
          <w:p w14:paraId="54D84FD2" w14:textId="77777777" w:rsidR="00023FA5" w:rsidRDefault="00023FA5" w:rsidP="00023FA5">
            <w:pPr>
              <w:pStyle w:val="Tablewriting"/>
            </w:pPr>
            <w:r>
              <w:t xml:space="preserve"> </w:t>
            </w:r>
          </w:p>
          <w:p w14:paraId="097AFFBD" w14:textId="77777777" w:rsidR="00023FA5" w:rsidRDefault="00023FA5" w:rsidP="00023FA5">
            <w:pPr>
              <w:pStyle w:val="Tablewriting"/>
            </w:pPr>
            <w:r>
              <w:t xml:space="preserve"> </w:t>
            </w:r>
          </w:p>
        </w:tc>
      </w:tr>
      <w:tr w:rsidR="00023FA5" w:rsidRPr="00A35800" w:rsidDel="00EE2BBB" w14:paraId="11C296B7" w14:textId="77777777" w:rsidTr="00023FA5">
        <w:trPr>
          <w:trHeight w:val="484"/>
          <w:tblHeader/>
        </w:trPr>
        <w:tc>
          <w:tcPr>
            <w:tcW w:w="988" w:type="dxa"/>
            <w:shd w:val="clear" w:color="auto" w:fill="auto"/>
          </w:tcPr>
          <w:p w14:paraId="0F0628A9" w14:textId="77777777" w:rsidR="00023FA5" w:rsidRPr="001D6C85" w:rsidRDefault="00023FA5" w:rsidP="00023FA5">
            <w:pPr>
              <w:pStyle w:val="Tablewriting"/>
            </w:pPr>
            <w:r w:rsidRPr="001D6C85">
              <w:t>8968B</w:t>
            </w:r>
          </w:p>
        </w:tc>
        <w:tc>
          <w:tcPr>
            <w:tcW w:w="5528" w:type="dxa"/>
            <w:shd w:val="clear" w:color="auto" w:fill="auto"/>
          </w:tcPr>
          <w:p w14:paraId="7A528EA4" w14:textId="77777777" w:rsidR="00023FA5" w:rsidRDefault="00023FA5" w:rsidP="00023FA5">
            <w:pPr>
              <w:pStyle w:val="Tablewriting"/>
            </w:pPr>
            <w:r>
              <w:t xml:space="preserve">interferon beta-1a 12 million units (44 microgram)/0.5 ml injection, 12 </w:t>
            </w:r>
            <w:r>
              <w:rPr>
                <w:rFonts w:cstheme="minorHAnsi"/>
              </w:rPr>
              <w:t>×</w:t>
            </w:r>
            <w:r>
              <w:t xml:space="preserve"> 0.5 ml syringes</w:t>
            </w:r>
          </w:p>
        </w:tc>
        <w:tc>
          <w:tcPr>
            <w:tcW w:w="1134" w:type="dxa"/>
            <w:shd w:val="clear" w:color="auto" w:fill="auto"/>
          </w:tcPr>
          <w:p w14:paraId="4C373312" w14:textId="77777777" w:rsidR="00023FA5" w:rsidRDefault="00023FA5" w:rsidP="00023FA5">
            <w:pPr>
              <w:pStyle w:val="Tablewriting"/>
              <w:jc w:val="center"/>
            </w:pPr>
            <w:r>
              <w:t>1</w:t>
            </w:r>
          </w:p>
        </w:tc>
        <w:tc>
          <w:tcPr>
            <w:tcW w:w="1134" w:type="dxa"/>
            <w:shd w:val="clear" w:color="auto" w:fill="auto"/>
          </w:tcPr>
          <w:p w14:paraId="7CAF1F5D" w14:textId="77777777" w:rsidR="00023FA5" w:rsidRDefault="00023FA5" w:rsidP="00023FA5">
            <w:pPr>
              <w:pStyle w:val="Tablewriting"/>
              <w:jc w:val="center"/>
            </w:pPr>
            <w:r>
              <w:t>12</w:t>
            </w:r>
          </w:p>
        </w:tc>
        <w:tc>
          <w:tcPr>
            <w:tcW w:w="709" w:type="dxa"/>
            <w:shd w:val="clear" w:color="auto" w:fill="auto"/>
          </w:tcPr>
          <w:p w14:paraId="65532D37" w14:textId="77777777" w:rsidR="00023FA5" w:rsidRDefault="00023FA5" w:rsidP="00023FA5">
            <w:pPr>
              <w:pStyle w:val="Tablewriting"/>
              <w:jc w:val="center"/>
            </w:pPr>
            <w:r>
              <w:t>5</w:t>
            </w:r>
          </w:p>
        </w:tc>
        <w:tc>
          <w:tcPr>
            <w:tcW w:w="1287" w:type="dxa"/>
            <w:shd w:val="clear" w:color="auto" w:fill="auto"/>
          </w:tcPr>
          <w:p w14:paraId="42FA8FB1" w14:textId="77777777" w:rsidR="00023FA5" w:rsidRDefault="00023FA5" w:rsidP="00023FA5">
            <w:pPr>
              <w:pStyle w:val="Tablewriting"/>
              <w:jc w:val="center"/>
            </w:pPr>
            <w:r>
              <w:t>$865.62</w:t>
            </w:r>
          </w:p>
        </w:tc>
        <w:tc>
          <w:tcPr>
            <w:tcW w:w="2744" w:type="dxa"/>
            <w:vMerge/>
            <w:shd w:val="clear" w:color="auto" w:fill="auto"/>
          </w:tcPr>
          <w:p w14:paraId="216744AE" w14:textId="77777777" w:rsidR="00023FA5" w:rsidRDefault="00023FA5" w:rsidP="00023FA5">
            <w:pPr>
              <w:pStyle w:val="Tablewriting"/>
            </w:pPr>
          </w:p>
        </w:tc>
      </w:tr>
      <w:tr w:rsidR="00023FA5" w:rsidRPr="00A35800" w:rsidDel="00EE2BBB" w14:paraId="0ECD3FC7" w14:textId="77777777" w:rsidTr="00023FA5">
        <w:trPr>
          <w:trHeight w:val="484"/>
          <w:tblHeader/>
        </w:trPr>
        <w:tc>
          <w:tcPr>
            <w:tcW w:w="988" w:type="dxa"/>
            <w:shd w:val="clear" w:color="auto" w:fill="auto"/>
          </w:tcPr>
          <w:p w14:paraId="711C933D" w14:textId="77777777" w:rsidR="00023FA5" w:rsidRPr="001D6C85" w:rsidRDefault="00023FA5" w:rsidP="00023FA5">
            <w:pPr>
              <w:pStyle w:val="Tablewriting"/>
            </w:pPr>
            <w:r w:rsidRPr="001D6C85">
              <w:t>9332E</w:t>
            </w:r>
          </w:p>
        </w:tc>
        <w:tc>
          <w:tcPr>
            <w:tcW w:w="5528" w:type="dxa"/>
            <w:shd w:val="clear" w:color="auto" w:fill="auto"/>
          </w:tcPr>
          <w:p w14:paraId="7049842B" w14:textId="77777777" w:rsidR="00023FA5" w:rsidRDefault="00023FA5" w:rsidP="00023FA5">
            <w:pPr>
              <w:pStyle w:val="Tablewriting"/>
            </w:pPr>
            <w:r>
              <w:t xml:space="preserve">interferon beta-1a 36 million units (132 microgram)/1.5 ml injection, 4 </w:t>
            </w:r>
            <w:r>
              <w:rPr>
                <w:rFonts w:cstheme="minorHAnsi"/>
              </w:rPr>
              <w:t>×</w:t>
            </w:r>
            <w:r>
              <w:t xml:space="preserve"> 1.5 ml cartridges</w:t>
            </w:r>
          </w:p>
        </w:tc>
        <w:tc>
          <w:tcPr>
            <w:tcW w:w="1134" w:type="dxa"/>
            <w:shd w:val="clear" w:color="auto" w:fill="auto"/>
          </w:tcPr>
          <w:p w14:paraId="4F604CF2" w14:textId="77777777" w:rsidR="00023FA5" w:rsidRDefault="00023FA5" w:rsidP="00023FA5">
            <w:pPr>
              <w:pStyle w:val="Tablewriting"/>
              <w:jc w:val="center"/>
            </w:pPr>
            <w:r>
              <w:t>1</w:t>
            </w:r>
          </w:p>
        </w:tc>
        <w:tc>
          <w:tcPr>
            <w:tcW w:w="1134" w:type="dxa"/>
            <w:shd w:val="clear" w:color="auto" w:fill="auto"/>
          </w:tcPr>
          <w:p w14:paraId="3C74CC56" w14:textId="77777777" w:rsidR="00023FA5" w:rsidRDefault="00023FA5" w:rsidP="00023FA5">
            <w:pPr>
              <w:pStyle w:val="Tablewriting"/>
              <w:jc w:val="center"/>
            </w:pPr>
            <w:r>
              <w:t>4</w:t>
            </w:r>
          </w:p>
        </w:tc>
        <w:tc>
          <w:tcPr>
            <w:tcW w:w="709" w:type="dxa"/>
            <w:shd w:val="clear" w:color="auto" w:fill="auto"/>
          </w:tcPr>
          <w:p w14:paraId="67CFD2B6" w14:textId="77777777" w:rsidR="00023FA5" w:rsidRDefault="00023FA5" w:rsidP="00023FA5">
            <w:pPr>
              <w:pStyle w:val="Tablewriting"/>
              <w:jc w:val="center"/>
            </w:pPr>
            <w:r>
              <w:t>5</w:t>
            </w:r>
          </w:p>
        </w:tc>
        <w:tc>
          <w:tcPr>
            <w:tcW w:w="1287" w:type="dxa"/>
            <w:shd w:val="clear" w:color="auto" w:fill="auto"/>
          </w:tcPr>
          <w:p w14:paraId="2AD3774C" w14:textId="77777777" w:rsidR="00023FA5" w:rsidRDefault="00023FA5" w:rsidP="00023FA5">
            <w:pPr>
              <w:pStyle w:val="Tablewriting"/>
              <w:jc w:val="center"/>
            </w:pPr>
            <w:r>
              <w:t>$865.62</w:t>
            </w:r>
          </w:p>
        </w:tc>
        <w:tc>
          <w:tcPr>
            <w:tcW w:w="2744" w:type="dxa"/>
            <w:vMerge/>
            <w:shd w:val="clear" w:color="auto" w:fill="auto"/>
          </w:tcPr>
          <w:p w14:paraId="0D9456A9" w14:textId="77777777" w:rsidR="00023FA5" w:rsidRDefault="00023FA5" w:rsidP="00023FA5">
            <w:pPr>
              <w:pStyle w:val="Tablewriting"/>
            </w:pPr>
          </w:p>
        </w:tc>
      </w:tr>
      <w:tr w:rsidR="00023FA5" w:rsidRPr="00A35800" w:rsidDel="00EE2BBB" w14:paraId="38717A30" w14:textId="77777777" w:rsidTr="00023FA5">
        <w:trPr>
          <w:trHeight w:val="484"/>
          <w:tblHeader/>
        </w:trPr>
        <w:tc>
          <w:tcPr>
            <w:tcW w:w="988" w:type="dxa"/>
            <w:shd w:val="clear" w:color="auto" w:fill="auto"/>
          </w:tcPr>
          <w:p w14:paraId="7314797A" w14:textId="77777777" w:rsidR="00023FA5" w:rsidRPr="001D6C85" w:rsidRDefault="00023FA5" w:rsidP="00023FA5">
            <w:pPr>
              <w:pStyle w:val="Tablewriting"/>
            </w:pPr>
            <w:r w:rsidRPr="001D6C85">
              <w:t>8101J</w:t>
            </w:r>
          </w:p>
        </w:tc>
        <w:tc>
          <w:tcPr>
            <w:tcW w:w="5528" w:type="dxa"/>
            <w:shd w:val="clear" w:color="auto" w:fill="auto"/>
          </w:tcPr>
          <w:p w14:paraId="73852265" w14:textId="77777777" w:rsidR="00023FA5" w:rsidRDefault="00023FA5" w:rsidP="00023FA5">
            <w:pPr>
              <w:pStyle w:val="Tablewriting"/>
            </w:pPr>
            <w:r>
              <w:t xml:space="preserve">interferon beta-1b 8 million units (250 microgram) injection [15 vials] (&amp;) inert substance diluent [15 </w:t>
            </w:r>
            <w:r>
              <w:rPr>
                <w:rFonts w:cstheme="minorHAnsi"/>
              </w:rPr>
              <w:t>×</w:t>
            </w:r>
            <w:r>
              <w:t xml:space="preserve"> 1.2 ml syringes], 1 pack </w:t>
            </w:r>
          </w:p>
        </w:tc>
        <w:tc>
          <w:tcPr>
            <w:tcW w:w="1134" w:type="dxa"/>
            <w:shd w:val="clear" w:color="auto" w:fill="auto"/>
          </w:tcPr>
          <w:p w14:paraId="55857E3E" w14:textId="77777777" w:rsidR="00023FA5" w:rsidRDefault="00023FA5" w:rsidP="00023FA5">
            <w:pPr>
              <w:pStyle w:val="Tablewriting"/>
              <w:jc w:val="center"/>
            </w:pPr>
            <w:r>
              <w:t>1</w:t>
            </w:r>
          </w:p>
        </w:tc>
        <w:tc>
          <w:tcPr>
            <w:tcW w:w="1134" w:type="dxa"/>
            <w:shd w:val="clear" w:color="auto" w:fill="auto"/>
          </w:tcPr>
          <w:p w14:paraId="7D48EC9B" w14:textId="77777777" w:rsidR="00023FA5" w:rsidRDefault="00023FA5" w:rsidP="00023FA5">
            <w:pPr>
              <w:pStyle w:val="Tablewriting"/>
              <w:jc w:val="center"/>
            </w:pPr>
            <w:r>
              <w:t>15</w:t>
            </w:r>
          </w:p>
        </w:tc>
        <w:tc>
          <w:tcPr>
            <w:tcW w:w="709" w:type="dxa"/>
            <w:shd w:val="clear" w:color="auto" w:fill="auto"/>
          </w:tcPr>
          <w:p w14:paraId="71A9FF93" w14:textId="77777777" w:rsidR="00023FA5" w:rsidRDefault="00023FA5" w:rsidP="00023FA5">
            <w:pPr>
              <w:pStyle w:val="Tablewriting"/>
              <w:jc w:val="center"/>
            </w:pPr>
            <w:r>
              <w:t>5</w:t>
            </w:r>
          </w:p>
        </w:tc>
        <w:tc>
          <w:tcPr>
            <w:tcW w:w="1287" w:type="dxa"/>
            <w:shd w:val="clear" w:color="auto" w:fill="auto"/>
          </w:tcPr>
          <w:p w14:paraId="21BEA19E" w14:textId="77777777" w:rsidR="00023FA5" w:rsidRDefault="00023FA5" w:rsidP="00023FA5">
            <w:pPr>
              <w:pStyle w:val="Tablewriting"/>
              <w:jc w:val="center"/>
            </w:pPr>
            <w:r>
              <w:t>$997.66</w:t>
            </w:r>
          </w:p>
        </w:tc>
        <w:tc>
          <w:tcPr>
            <w:tcW w:w="2744" w:type="dxa"/>
            <w:shd w:val="clear" w:color="auto" w:fill="auto"/>
          </w:tcPr>
          <w:p w14:paraId="294ADD94" w14:textId="77777777" w:rsidR="00023FA5" w:rsidRDefault="00023FA5" w:rsidP="00023FA5">
            <w:pPr>
              <w:pStyle w:val="Tablewriting"/>
            </w:pPr>
            <w:r>
              <w:t xml:space="preserve">Betaferon </w:t>
            </w:r>
          </w:p>
          <w:p w14:paraId="38232C91" w14:textId="77777777" w:rsidR="00023FA5" w:rsidRDefault="00023FA5" w:rsidP="00023FA5">
            <w:pPr>
              <w:pStyle w:val="Tablewriting"/>
            </w:pPr>
            <w:r>
              <w:t>Bayer Australia Ltd</w:t>
            </w:r>
          </w:p>
        </w:tc>
      </w:tr>
      <w:tr w:rsidR="00023FA5" w:rsidRPr="00A35800" w:rsidDel="00EE2BBB" w14:paraId="6547DF7B" w14:textId="77777777" w:rsidTr="00023FA5">
        <w:trPr>
          <w:trHeight w:val="484"/>
          <w:tblHeader/>
        </w:trPr>
        <w:tc>
          <w:tcPr>
            <w:tcW w:w="988" w:type="dxa"/>
            <w:shd w:val="clear" w:color="auto" w:fill="auto"/>
          </w:tcPr>
          <w:p w14:paraId="74695029" w14:textId="77777777" w:rsidR="00023FA5" w:rsidRPr="001D6C85" w:rsidRDefault="00023FA5" w:rsidP="00023FA5">
            <w:pPr>
              <w:pStyle w:val="Tablewriting"/>
            </w:pPr>
            <w:r w:rsidRPr="001D6C85">
              <w:t>9505G</w:t>
            </w:r>
          </w:p>
        </w:tc>
        <w:tc>
          <w:tcPr>
            <w:tcW w:w="5528" w:type="dxa"/>
            <w:shd w:val="clear" w:color="auto" w:fill="auto"/>
          </w:tcPr>
          <w:p w14:paraId="0735351A" w14:textId="77777777" w:rsidR="00023FA5" w:rsidRDefault="00023FA5" w:rsidP="00023FA5">
            <w:pPr>
              <w:pStyle w:val="Tablewriting"/>
            </w:pPr>
            <w:r>
              <w:t xml:space="preserve">natalizumab 300 mg/15 ml injection, 15 ml vial </w:t>
            </w:r>
          </w:p>
        </w:tc>
        <w:tc>
          <w:tcPr>
            <w:tcW w:w="1134" w:type="dxa"/>
            <w:shd w:val="clear" w:color="auto" w:fill="auto"/>
          </w:tcPr>
          <w:p w14:paraId="1F42D1D5" w14:textId="77777777" w:rsidR="00023FA5" w:rsidRDefault="00023FA5" w:rsidP="00023FA5">
            <w:pPr>
              <w:pStyle w:val="Tablewriting"/>
              <w:jc w:val="center"/>
            </w:pPr>
            <w:r>
              <w:t>1</w:t>
            </w:r>
          </w:p>
        </w:tc>
        <w:tc>
          <w:tcPr>
            <w:tcW w:w="1134" w:type="dxa"/>
            <w:shd w:val="clear" w:color="auto" w:fill="auto"/>
          </w:tcPr>
          <w:p w14:paraId="6178925F" w14:textId="77777777" w:rsidR="00023FA5" w:rsidRDefault="00023FA5" w:rsidP="00023FA5">
            <w:pPr>
              <w:pStyle w:val="Tablewriting"/>
              <w:jc w:val="center"/>
            </w:pPr>
            <w:r>
              <w:t>1</w:t>
            </w:r>
          </w:p>
        </w:tc>
        <w:tc>
          <w:tcPr>
            <w:tcW w:w="709" w:type="dxa"/>
            <w:shd w:val="clear" w:color="auto" w:fill="auto"/>
          </w:tcPr>
          <w:p w14:paraId="699436FA" w14:textId="77777777" w:rsidR="00023FA5" w:rsidRDefault="00023FA5" w:rsidP="00023FA5">
            <w:pPr>
              <w:pStyle w:val="Tablewriting"/>
              <w:jc w:val="center"/>
            </w:pPr>
            <w:r>
              <w:t>5</w:t>
            </w:r>
          </w:p>
        </w:tc>
        <w:tc>
          <w:tcPr>
            <w:tcW w:w="1287" w:type="dxa"/>
            <w:shd w:val="clear" w:color="auto" w:fill="auto"/>
          </w:tcPr>
          <w:p w14:paraId="760E074F" w14:textId="77777777" w:rsidR="00023FA5" w:rsidRDefault="00023FA5" w:rsidP="00023FA5">
            <w:pPr>
              <w:pStyle w:val="Tablewriting"/>
              <w:jc w:val="center"/>
            </w:pPr>
            <w:r>
              <w:t>$1340.68</w:t>
            </w:r>
          </w:p>
        </w:tc>
        <w:tc>
          <w:tcPr>
            <w:tcW w:w="2744" w:type="dxa"/>
            <w:vMerge w:val="restart"/>
            <w:shd w:val="clear" w:color="auto" w:fill="auto"/>
          </w:tcPr>
          <w:p w14:paraId="133B5085" w14:textId="77777777" w:rsidR="00023FA5" w:rsidRDefault="00023FA5" w:rsidP="00023FA5">
            <w:pPr>
              <w:pStyle w:val="Tablewriting"/>
            </w:pPr>
            <w:r>
              <w:t>Tysabri</w:t>
            </w:r>
          </w:p>
          <w:p w14:paraId="658CCAAB" w14:textId="77777777" w:rsidR="00023FA5" w:rsidRDefault="00023FA5" w:rsidP="00023FA5">
            <w:pPr>
              <w:pStyle w:val="Tablewriting"/>
            </w:pPr>
            <w:r>
              <w:t>Biogen Australia Pty Ltd</w:t>
            </w:r>
          </w:p>
        </w:tc>
      </w:tr>
      <w:tr w:rsidR="00023FA5" w:rsidRPr="00A35800" w:rsidDel="00EE2BBB" w14:paraId="6BAE4486" w14:textId="77777777" w:rsidTr="00023FA5">
        <w:trPr>
          <w:trHeight w:val="484"/>
          <w:tblHeader/>
        </w:trPr>
        <w:tc>
          <w:tcPr>
            <w:tcW w:w="988" w:type="dxa"/>
            <w:shd w:val="clear" w:color="auto" w:fill="auto"/>
          </w:tcPr>
          <w:p w14:paraId="115557F7" w14:textId="77777777" w:rsidR="00023FA5" w:rsidRPr="001D6C85" w:rsidRDefault="00023FA5" w:rsidP="00023FA5">
            <w:pPr>
              <w:pStyle w:val="Tablewriting"/>
            </w:pPr>
            <w:r w:rsidRPr="001D6C85">
              <w:t>9624M</w:t>
            </w:r>
          </w:p>
        </w:tc>
        <w:tc>
          <w:tcPr>
            <w:tcW w:w="5528" w:type="dxa"/>
            <w:shd w:val="clear" w:color="auto" w:fill="auto"/>
          </w:tcPr>
          <w:p w14:paraId="121C4FE3" w14:textId="77777777" w:rsidR="00023FA5" w:rsidRDefault="00023FA5" w:rsidP="00023FA5">
            <w:pPr>
              <w:pStyle w:val="Tablewriting"/>
            </w:pPr>
            <w:r>
              <w:t xml:space="preserve">natalizumab 300 mg/15 ml injection, 15 ml vial </w:t>
            </w:r>
          </w:p>
        </w:tc>
        <w:tc>
          <w:tcPr>
            <w:tcW w:w="1134" w:type="dxa"/>
            <w:shd w:val="clear" w:color="auto" w:fill="auto"/>
          </w:tcPr>
          <w:p w14:paraId="633170EF" w14:textId="77777777" w:rsidR="00023FA5" w:rsidRDefault="00023FA5" w:rsidP="00023FA5">
            <w:pPr>
              <w:pStyle w:val="Tablewriting"/>
              <w:jc w:val="center"/>
            </w:pPr>
            <w:r>
              <w:t>1</w:t>
            </w:r>
          </w:p>
        </w:tc>
        <w:tc>
          <w:tcPr>
            <w:tcW w:w="1134" w:type="dxa"/>
            <w:shd w:val="clear" w:color="auto" w:fill="auto"/>
          </w:tcPr>
          <w:p w14:paraId="7AC666E0" w14:textId="77777777" w:rsidR="00023FA5" w:rsidRDefault="00023FA5" w:rsidP="00023FA5">
            <w:pPr>
              <w:pStyle w:val="Tablewriting"/>
              <w:jc w:val="center"/>
            </w:pPr>
            <w:r>
              <w:t>1</w:t>
            </w:r>
          </w:p>
        </w:tc>
        <w:tc>
          <w:tcPr>
            <w:tcW w:w="709" w:type="dxa"/>
            <w:shd w:val="clear" w:color="auto" w:fill="auto"/>
          </w:tcPr>
          <w:p w14:paraId="2865885A" w14:textId="77777777" w:rsidR="00023FA5" w:rsidRDefault="00023FA5" w:rsidP="00023FA5">
            <w:pPr>
              <w:pStyle w:val="Tablewriting"/>
              <w:jc w:val="center"/>
            </w:pPr>
            <w:r>
              <w:t>5</w:t>
            </w:r>
          </w:p>
        </w:tc>
        <w:tc>
          <w:tcPr>
            <w:tcW w:w="1287" w:type="dxa"/>
            <w:shd w:val="clear" w:color="auto" w:fill="auto"/>
          </w:tcPr>
          <w:p w14:paraId="5A2CAA9A" w14:textId="77777777" w:rsidR="00023FA5" w:rsidRDefault="00023FA5" w:rsidP="00023FA5">
            <w:pPr>
              <w:pStyle w:val="Tablewriting"/>
              <w:jc w:val="center"/>
            </w:pPr>
            <w:r>
              <w:t>$1388.46</w:t>
            </w:r>
          </w:p>
        </w:tc>
        <w:tc>
          <w:tcPr>
            <w:tcW w:w="2744" w:type="dxa"/>
            <w:vMerge/>
            <w:shd w:val="clear" w:color="auto" w:fill="auto"/>
          </w:tcPr>
          <w:p w14:paraId="7E99C1D7" w14:textId="77777777" w:rsidR="00023FA5" w:rsidRDefault="00023FA5" w:rsidP="00023FA5">
            <w:pPr>
              <w:pStyle w:val="Tablewriting"/>
            </w:pPr>
          </w:p>
        </w:tc>
      </w:tr>
      <w:tr w:rsidR="00023FA5" w:rsidRPr="00A35800" w:rsidDel="00EE2BBB" w14:paraId="04A38C7C" w14:textId="77777777" w:rsidTr="00023FA5">
        <w:trPr>
          <w:trHeight w:val="484"/>
          <w:tblHeader/>
        </w:trPr>
        <w:tc>
          <w:tcPr>
            <w:tcW w:w="988" w:type="dxa"/>
            <w:shd w:val="clear" w:color="auto" w:fill="auto"/>
          </w:tcPr>
          <w:p w14:paraId="1787A66B" w14:textId="77777777" w:rsidR="00023FA5" w:rsidRPr="001D6C85" w:rsidRDefault="00023FA5" w:rsidP="00023FA5">
            <w:pPr>
              <w:pStyle w:val="Tablewriting"/>
            </w:pPr>
            <w:r w:rsidRPr="001D6C85">
              <w:t>11237K</w:t>
            </w:r>
          </w:p>
        </w:tc>
        <w:tc>
          <w:tcPr>
            <w:tcW w:w="5528" w:type="dxa"/>
            <w:shd w:val="clear" w:color="auto" w:fill="auto"/>
          </w:tcPr>
          <w:p w14:paraId="4A081357" w14:textId="77777777" w:rsidR="00023FA5" w:rsidRDefault="00023FA5" w:rsidP="00023FA5">
            <w:pPr>
              <w:pStyle w:val="Tablewriting"/>
            </w:pPr>
            <w:r>
              <w:t xml:space="preserve">ocrelizumab 300 mg/10 ml injection, 10 ml vial </w:t>
            </w:r>
          </w:p>
        </w:tc>
        <w:tc>
          <w:tcPr>
            <w:tcW w:w="1134" w:type="dxa"/>
            <w:shd w:val="clear" w:color="auto" w:fill="auto"/>
          </w:tcPr>
          <w:p w14:paraId="32DABA7C" w14:textId="77777777" w:rsidR="00023FA5" w:rsidRDefault="00023FA5" w:rsidP="00023FA5">
            <w:pPr>
              <w:pStyle w:val="Tablewriting"/>
              <w:jc w:val="center"/>
            </w:pPr>
            <w:r>
              <w:t>2</w:t>
            </w:r>
          </w:p>
        </w:tc>
        <w:tc>
          <w:tcPr>
            <w:tcW w:w="1134" w:type="dxa"/>
            <w:shd w:val="clear" w:color="auto" w:fill="auto"/>
          </w:tcPr>
          <w:p w14:paraId="0C3104A3" w14:textId="77777777" w:rsidR="00023FA5" w:rsidRDefault="00023FA5" w:rsidP="00023FA5">
            <w:pPr>
              <w:pStyle w:val="Tablewriting"/>
              <w:jc w:val="center"/>
            </w:pPr>
            <w:r>
              <w:t>2</w:t>
            </w:r>
          </w:p>
        </w:tc>
        <w:tc>
          <w:tcPr>
            <w:tcW w:w="709" w:type="dxa"/>
            <w:shd w:val="clear" w:color="auto" w:fill="auto"/>
          </w:tcPr>
          <w:p w14:paraId="4F8B8FAB" w14:textId="77777777" w:rsidR="00023FA5" w:rsidRDefault="00023FA5" w:rsidP="00023FA5">
            <w:pPr>
              <w:pStyle w:val="Tablewriting"/>
              <w:jc w:val="center"/>
            </w:pPr>
            <w:r>
              <w:t>0</w:t>
            </w:r>
          </w:p>
        </w:tc>
        <w:tc>
          <w:tcPr>
            <w:tcW w:w="1287" w:type="dxa"/>
            <w:shd w:val="clear" w:color="auto" w:fill="auto"/>
          </w:tcPr>
          <w:p w14:paraId="381384A3" w14:textId="77777777" w:rsidR="00023FA5" w:rsidRDefault="00023FA5" w:rsidP="00023FA5">
            <w:pPr>
              <w:pStyle w:val="Tablewriting"/>
              <w:jc w:val="center"/>
            </w:pPr>
            <w:r>
              <w:t>$17580.78</w:t>
            </w:r>
          </w:p>
        </w:tc>
        <w:tc>
          <w:tcPr>
            <w:tcW w:w="2744" w:type="dxa"/>
            <w:vMerge w:val="restart"/>
            <w:shd w:val="clear" w:color="auto" w:fill="auto"/>
          </w:tcPr>
          <w:p w14:paraId="5FD4422C" w14:textId="77777777" w:rsidR="00023FA5" w:rsidRDefault="00023FA5" w:rsidP="00023FA5">
            <w:pPr>
              <w:pStyle w:val="Tablewriting"/>
            </w:pPr>
            <w:r>
              <w:t xml:space="preserve">Ocrevus </w:t>
            </w:r>
          </w:p>
          <w:p w14:paraId="6CFB6D78" w14:textId="77777777" w:rsidR="00023FA5" w:rsidRDefault="00023FA5" w:rsidP="00023FA5">
            <w:pPr>
              <w:pStyle w:val="Tablewriting"/>
            </w:pPr>
            <w:r>
              <w:t xml:space="preserve">Roche Products Pty Ltd </w:t>
            </w:r>
          </w:p>
        </w:tc>
      </w:tr>
      <w:tr w:rsidR="00023FA5" w:rsidRPr="00A35800" w:rsidDel="00EE2BBB" w14:paraId="354F66A0" w14:textId="77777777" w:rsidTr="00023FA5">
        <w:trPr>
          <w:trHeight w:val="484"/>
          <w:tblHeader/>
        </w:trPr>
        <w:tc>
          <w:tcPr>
            <w:tcW w:w="988" w:type="dxa"/>
            <w:shd w:val="clear" w:color="auto" w:fill="auto"/>
          </w:tcPr>
          <w:p w14:paraId="11511624" w14:textId="77777777" w:rsidR="00023FA5" w:rsidRPr="001D6C85" w:rsidRDefault="00023FA5" w:rsidP="00023FA5">
            <w:pPr>
              <w:pStyle w:val="Tablewriting"/>
            </w:pPr>
            <w:r w:rsidRPr="001D6C85">
              <w:t>11242Q</w:t>
            </w:r>
          </w:p>
        </w:tc>
        <w:tc>
          <w:tcPr>
            <w:tcW w:w="5528" w:type="dxa"/>
            <w:shd w:val="clear" w:color="auto" w:fill="auto"/>
          </w:tcPr>
          <w:p w14:paraId="6ECB132E" w14:textId="77777777" w:rsidR="00023FA5" w:rsidRDefault="00023FA5" w:rsidP="00023FA5">
            <w:pPr>
              <w:pStyle w:val="Tablewriting"/>
            </w:pPr>
            <w:r>
              <w:t>ocrelizumab 300 mg/10 ml injection, 10 ml vial</w:t>
            </w:r>
          </w:p>
        </w:tc>
        <w:tc>
          <w:tcPr>
            <w:tcW w:w="1134" w:type="dxa"/>
            <w:shd w:val="clear" w:color="auto" w:fill="auto"/>
          </w:tcPr>
          <w:p w14:paraId="7FABBD13" w14:textId="77777777" w:rsidR="00023FA5" w:rsidRDefault="00023FA5" w:rsidP="00023FA5">
            <w:pPr>
              <w:pStyle w:val="Tablewriting"/>
              <w:jc w:val="center"/>
            </w:pPr>
            <w:r>
              <w:t>2</w:t>
            </w:r>
          </w:p>
        </w:tc>
        <w:tc>
          <w:tcPr>
            <w:tcW w:w="1134" w:type="dxa"/>
            <w:shd w:val="clear" w:color="auto" w:fill="auto"/>
          </w:tcPr>
          <w:p w14:paraId="7A817B5C" w14:textId="77777777" w:rsidR="00023FA5" w:rsidRDefault="00023FA5" w:rsidP="00023FA5">
            <w:pPr>
              <w:pStyle w:val="Tablewriting"/>
              <w:jc w:val="center"/>
            </w:pPr>
            <w:r>
              <w:t>2</w:t>
            </w:r>
          </w:p>
        </w:tc>
        <w:tc>
          <w:tcPr>
            <w:tcW w:w="709" w:type="dxa"/>
            <w:shd w:val="clear" w:color="auto" w:fill="auto"/>
          </w:tcPr>
          <w:p w14:paraId="54666332" w14:textId="77777777" w:rsidR="00023FA5" w:rsidRDefault="00023FA5" w:rsidP="00023FA5">
            <w:pPr>
              <w:pStyle w:val="Tablewriting"/>
              <w:jc w:val="center"/>
            </w:pPr>
            <w:r>
              <w:t>0</w:t>
            </w:r>
          </w:p>
        </w:tc>
        <w:tc>
          <w:tcPr>
            <w:tcW w:w="1287" w:type="dxa"/>
            <w:shd w:val="clear" w:color="auto" w:fill="auto"/>
          </w:tcPr>
          <w:p w14:paraId="76F848DB" w14:textId="77777777" w:rsidR="00023FA5" w:rsidRDefault="00023FA5" w:rsidP="00023FA5">
            <w:pPr>
              <w:pStyle w:val="Tablewriting"/>
              <w:jc w:val="center"/>
            </w:pPr>
            <w:r>
              <w:t>$17533.00</w:t>
            </w:r>
          </w:p>
        </w:tc>
        <w:tc>
          <w:tcPr>
            <w:tcW w:w="2744" w:type="dxa"/>
            <w:vMerge/>
            <w:shd w:val="clear" w:color="auto" w:fill="auto"/>
          </w:tcPr>
          <w:p w14:paraId="2E0FF5A4" w14:textId="77777777" w:rsidR="00023FA5" w:rsidRDefault="00023FA5" w:rsidP="00023FA5">
            <w:pPr>
              <w:pStyle w:val="Tablewriting"/>
            </w:pPr>
          </w:p>
        </w:tc>
      </w:tr>
      <w:tr w:rsidR="00023FA5" w:rsidRPr="00A35800" w:rsidDel="00EE2BBB" w14:paraId="26334BF7" w14:textId="77777777" w:rsidTr="00023FA5">
        <w:trPr>
          <w:trHeight w:val="484"/>
          <w:tblHeader/>
        </w:trPr>
        <w:tc>
          <w:tcPr>
            <w:tcW w:w="988" w:type="dxa"/>
            <w:shd w:val="clear" w:color="auto" w:fill="auto"/>
          </w:tcPr>
          <w:p w14:paraId="4220DDFE" w14:textId="77777777" w:rsidR="00023FA5" w:rsidRPr="00FD010D" w:rsidRDefault="00023FA5" w:rsidP="00023FA5">
            <w:pPr>
              <w:pStyle w:val="Tablewriting"/>
            </w:pPr>
            <w:r w:rsidRPr="00FD010D">
              <w:t>12641H</w:t>
            </w:r>
          </w:p>
        </w:tc>
        <w:tc>
          <w:tcPr>
            <w:tcW w:w="5528" w:type="dxa"/>
            <w:shd w:val="clear" w:color="auto" w:fill="auto"/>
          </w:tcPr>
          <w:p w14:paraId="01F13943" w14:textId="77777777" w:rsidR="00023FA5" w:rsidRDefault="00023FA5" w:rsidP="00023FA5">
            <w:pPr>
              <w:pStyle w:val="Tablewriting"/>
            </w:pPr>
            <w:r>
              <w:t xml:space="preserve">ofatumumab 20 mg/0.4 ml injection, 0.4 ml pen device </w:t>
            </w:r>
          </w:p>
        </w:tc>
        <w:tc>
          <w:tcPr>
            <w:tcW w:w="1134" w:type="dxa"/>
            <w:shd w:val="clear" w:color="auto" w:fill="auto"/>
          </w:tcPr>
          <w:p w14:paraId="1E2E669B" w14:textId="77777777" w:rsidR="00023FA5" w:rsidRDefault="00023FA5" w:rsidP="00023FA5">
            <w:pPr>
              <w:pStyle w:val="Tablewriting"/>
              <w:jc w:val="center"/>
            </w:pPr>
            <w:r>
              <w:t>1</w:t>
            </w:r>
          </w:p>
        </w:tc>
        <w:tc>
          <w:tcPr>
            <w:tcW w:w="1134" w:type="dxa"/>
            <w:shd w:val="clear" w:color="auto" w:fill="auto"/>
          </w:tcPr>
          <w:p w14:paraId="752302AD" w14:textId="77777777" w:rsidR="00023FA5" w:rsidRDefault="00023FA5" w:rsidP="00023FA5">
            <w:pPr>
              <w:pStyle w:val="Tablewriting"/>
              <w:jc w:val="center"/>
            </w:pPr>
            <w:r>
              <w:t>1</w:t>
            </w:r>
          </w:p>
        </w:tc>
        <w:tc>
          <w:tcPr>
            <w:tcW w:w="709" w:type="dxa"/>
            <w:shd w:val="clear" w:color="auto" w:fill="auto"/>
          </w:tcPr>
          <w:p w14:paraId="5B2AAACC" w14:textId="77777777" w:rsidR="00023FA5" w:rsidRDefault="00023FA5" w:rsidP="00023FA5">
            <w:pPr>
              <w:pStyle w:val="Tablewriting"/>
              <w:jc w:val="center"/>
            </w:pPr>
            <w:r>
              <w:t>5</w:t>
            </w:r>
          </w:p>
        </w:tc>
        <w:tc>
          <w:tcPr>
            <w:tcW w:w="1287" w:type="dxa"/>
            <w:shd w:val="clear" w:color="auto" w:fill="auto"/>
          </w:tcPr>
          <w:p w14:paraId="0EE72902" w14:textId="77777777" w:rsidR="00023FA5" w:rsidRDefault="00023FA5" w:rsidP="00023FA5">
            <w:pPr>
              <w:pStyle w:val="Tablewriting"/>
              <w:jc w:val="center"/>
            </w:pPr>
            <w:r>
              <w:t>$2183.42</w:t>
            </w:r>
          </w:p>
        </w:tc>
        <w:tc>
          <w:tcPr>
            <w:tcW w:w="2744" w:type="dxa"/>
            <w:vMerge w:val="restart"/>
            <w:shd w:val="clear" w:color="auto" w:fill="auto"/>
          </w:tcPr>
          <w:p w14:paraId="551CDD7C" w14:textId="77777777" w:rsidR="00023FA5" w:rsidRDefault="00023FA5" w:rsidP="00023FA5">
            <w:pPr>
              <w:pStyle w:val="Tablewriting"/>
            </w:pPr>
            <w:r>
              <w:t xml:space="preserve">Kesimpta </w:t>
            </w:r>
          </w:p>
          <w:p w14:paraId="4F69BAE2" w14:textId="77777777" w:rsidR="00023FA5" w:rsidRDefault="00023FA5" w:rsidP="00023FA5">
            <w:pPr>
              <w:pStyle w:val="Tablewriting"/>
            </w:pPr>
            <w:r>
              <w:t xml:space="preserve">Novartis Pharmaceuticals Australia Pty Limited </w:t>
            </w:r>
          </w:p>
        </w:tc>
      </w:tr>
      <w:tr w:rsidR="00023FA5" w:rsidRPr="00A35800" w:rsidDel="00EE2BBB" w14:paraId="1E8E234C" w14:textId="77777777" w:rsidTr="00023FA5">
        <w:trPr>
          <w:trHeight w:val="484"/>
          <w:tblHeader/>
        </w:trPr>
        <w:tc>
          <w:tcPr>
            <w:tcW w:w="988" w:type="dxa"/>
            <w:shd w:val="clear" w:color="auto" w:fill="auto"/>
          </w:tcPr>
          <w:p w14:paraId="18F610BC" w14:textId="77777777" w:rsidR="00023FA5" w:rsidRPr="00FD010D" w:rsidRDefault="00023FA5" w:rsidP="00023FA5">
            <w:pPr>
              <w:pStyle w:val="Tablewriting"/>
            </w:pPr>
            <w:r w:rsidRPr="00FD010D">
              <w:t>12642J</w:t>
            </w:r>
          </w:p>
        </w:tc>
        <w:tc>
          <w:tcPr>
            <w:tcW w:w="5528" w:type="dxa"/>
            <w:shd w:val="clear" w:color="auto" w:fill="auto"/>
          </w:tcPr>
          <w:p w14:paraId="32ECB325" w14:textId="77777777" w:rsidR="00023FA5" w:rsidRDefault="00023FA5" w:rsidP="00023FA5">
            <w:pPr>
              <w:pStyle w:val="Tablewriting"/>
            </w:pPr>
            <w:r>
              <w:t>ofatumumab 20 mg/0.4 ml injection, 0.4 ml pen device</w:t>
            </w:r>
          </w:p>
        </w:tc>
        <w:tc>
          <w:tcPr>
            <w:tcW w:w="1134" w:type="dxa"/>
            <w:shd w:val="clear" w:color="auto" w:fill="auto"/>
          </w:tcPr>
          <w:p w14:paraId="3DA16AC8" w14:textId="77777777" w:rsidR="00023FA5" w:rsidRDefault="00023FA5" w:rsidP="00023FA5">
            <w:pPr>
              <w:pStyle w:val="Tablewriting"/>
              <w:jc w:val="center"/>
            </w:pPr>
            <w:r>
              <w:t>3</w:t>
            </w:r>
          </w:p>
        </w:tc>
        <w:tc>
          <w:tcPr>
            <w:tcW w:w="1134" w:type="dxa"/>
            <w:shd w:val="clear" w:color="auto" w:fill="auto"/>
          </w:tcPr>
          <w:p w14:paraId="748A5A69" w14:textId="77777777" w:rsidR="00023FA5" w:rsidRDefault="00023FA5" w:rsidP="00023FA5">
            <w:pPr>
              <w:pStyle w:val="Tablewriting"/>
              <w:jc w:val="center"/>
            </w:pPr>
            <w:r>
              <w:t>3</w:t>
            </w:r>
          </w:p>
        </w:tc>
        <w:tc>
          <w:tcPr>
            <w:tcW w:w="709" w:type="dxa"/>
            <w:shd w:val="clear" w:color="auto" w:fill="auto"/>
          </w:tcPr>
          <w:p w14:paraId="7ABB7397" w14:textId="77777777" w:rsidR="00023FA5" w:rsidRDefault="00023FA5" w:rsidP="00023FA5">
            <w:pPr>
              <w:pStyle w:val="Tablewriting"/>
              <w:jc w:val="center"/>
            </w:pPr>
            <w:r>
              <w:t>0</w:t>
            </w:r>
          </w:p>
        </w:tc>
        <w:tc>
          <w:tcPr>
            <w:tcW w:w="1287" w:type="dxa"/>
            <w:shd w:val="clear" w:color="auto" w:fill="auto"/>
          </w:tcPr>
          <w:p w14:paraId="044E5508" w14:textId="77777777" w:rsidR="00023FA5" w:rsidRDefault="00023FA5" w:rsidP="00023FA5">
            <w:pPr>
              <w:pStyle w:val="Tablewriting"/>
              <w:jc w:val="center"/>
            </w:pPr>
            <w:r>
              <w:t>$6336.10</w:t>
            </w:r>
          </w:p>
        </w:tc>
        <w:tc>
          <w:tcPr>
            <w:tcW w:w="2744" w:type="dxa"/>
            <w:vMerge/>
            <w:shd w:val="clear" w:color="auto" w:fill="auto"/>
          </w:tcPr>
          <w:p w14:paraId="4C20BA0B" w14:textId="77777777" w:rsidR="00023FA5" w:rsidRDefault="00023FA5" w:rsidP="00023FA5">
            <w:pPr>
              <w:pStyle w:val="Tablewriting"/>
            </w:pPr>
          </w:p>
        </w:tc>
      </w:tr>
      <w:tr w:rsidR="00023FA5" w:rsidRPr="00A35800" w:rsidDel="00EE2BBB" w14:paraId="651F8524" w14:textId="77777777" w:rsidTr="00023FA5">
        <w:trPr>
          <w:trHeight w:val="484"/>
          <w:tblHeader/>
        </w:trPr>
        <w:tc>
          <w:tcPr>
            <w:tcW w:w="988" w:type="dxa"/>
            <w:shd w:val="clear" w:color="auto" w:fill="auto"/>
          </w:tcPr>
          <w:p w14:paraId="4DECD248" w14:textId="77777777" w:rsidR="00023FA5" w:rsidRPr="00FD010D" w:rsidRDefault="00023FA5" w:rsidP="00023FA5">
            <w:pPr>
              <w:pStyle w:val="Tablewriting"/>
            </w:pPr>
            <w:r w:rsidRPr="00FD010D">
              <w:t>12271W</w:t>
            </w:r>
          </w:p>
        </w:tc>
        <w:tc>
          <w:tcPr>
            <w:tcW w:w="5528" w:type="dxa"/>
            <w:shd w:val="clear" w:color="auto" w:fill="auto"/>
          </w:tcPr>
          <w:p w14:paraId="114BEC6D" w14:textId="77777777" w:rsidR="00023FA5" w:rsidRDefault="00023FA5" w:rsidP="00023FA5">
            <w:pPr>
              <w:pStyle w:val="Tablewriting"/>
            </w:pPr>
            <w:r>
              <w:t xml:space="preserve">ozanimod 920 microgram capsule, 28 </w:t>
            </w:r>
          </w:p>
        </w:tc>
        <w:tc>
          <w:tcPr>
            <w:tcW w:w="1134" w:type="dxa"/>
            <w:shd w:val="clear" w:color="auto" w:fill="auto"/>
          </w:tcPr>
          <w:p w14:paraId="28B9C407" w14:textId="77777777" w:rsidR="00023FA5" w:rsidRDefault="00023FA5" w:rsidP="00023FA5">
            <w:pPr>
              <w:pStyle w:val="Tablewriting"/>
              <w:jc w:val="center"/>
            </w:pPr>
            <w:r>
              <w:t>1</w:t>
            </w:r>
          </w:p>
        </w:tc>
        <w:tc>
          <w:tcPr>
            <w:tcW w:w="1134" w:type="dxa"/>
            <w:shd w:val="clear" w:color="auto" w:fill="auto"/>
          </w:tcPr>
          <w:p w14:paraId="79A1FD62" w14:textId="77777777" w:rsidR="00023FA5" w:rsidRDefault="00023FA5" w:rsidP="00023FA5">
            <w:pPr>
              <w:pStyle w:val="Tablewriting"/>
              <w:jc w:val="center"/>
            </w:pPr>
            <w:r>
              <w:t>28</w:t>
            </w:r>
          </w:p>
        </w:tc>
        <w:tc>
          <w:tcPr>
            <w:tcW w:w="709" w:type="dxa"/>
            <w:shd w:val="clear" w:color="auto" w:fill="auto"/>
          </w:tcPr>
          <w:p w14:paraId="56828552" w14:textId="77777777" w:rsidR="00023FA5" w:rsidRDefault="00023FA5" w:rsidP="00023FA5">
            <w:pPr>
              <w:pStyle w:val="Tablewriting"/>
              <w:jc w:val="center"/>
            </w:pPr>
            <w:r>
              <w:t>5</w:t>
            </w:r>
          </w:p>
        </w:tc>
        <w:tc>
          <w:tcPr>
            <w:tcW w:w="1287" w:type="dxa"/>
            <w:shd w:val="clear" w:color="auto" w:fill="auto"/>
          </w:tcPr>
          <w:p w14:paraId="68418A35" w14:textId="77777777" w:rsidR="00023FA5" w:rsidRDefault="00023FA5" w:rsidP="00023FA5">
            <w:pPr>
              <w:pStyle w:val="Tablewriting"/>
              <w:jc w:val="center"/>
            </w:pPr>
            <w:r>
              <w:t>$2219.51</w:t>
            </w:r>
          </w:p>
        </w:tc>
        <w:tc>
          <w:tcPr>
            <w:tcW w:w="2744" w:type="dxa"/>
            <w:vMerge w:val="restart"/>
            <w:shd w:val="clear" w:color="auto" w:fill="auto"/>
          </w:tcPr>
          <w:p w14:paraId="355FF0EA" w14:textId="77777777" w:rsidR="00023FA5" w:rsidRDefault="00023FA5" w:rsidP="00023FA5">
            <w:pPr>
              <w:pStyle w:val="Tablewriting"/>
            </w:pPr>
            <w:r>
              <w:t xml:space="preserve">Zeposia </w:t>
            </w:r>
          </w:p>
          <w:p w14:paraId="3CAA1CCC" w14:textId="77777777" w:rsidR="00023FA5" w:rsidRDefault="00023FA5" w:rsidP="00023FA5">
            <w:pPr>
              <w:pStyle w:val="Tablewriting"/>
            </w:pPr>
            <w:r>
              <w:t xml:space="preserve">Celgene Pty Limited </w:t>
            </w:r>
          </w:p>
        </w:tc>
      </w:tr>
      <w:tr w:rsidR="00023FA5" w:rsidRPr="00A35800" w:rsidDel="00EE2BBB" w14:paraId="0C840CFF" w14:textId="77777777" w:rsidTr="00023FA5">
        <w:trPr>
          <w:trHeight w:val="484"/>
          <w:tblHeader/>
        </w:trPr>
        <w:tc>
          <w:tcPr>
            <w:tcW w:w="988" w:type="dxa"/>
            <w:shd w:val="clear" w:color="auto" w:fill="auto"/>
          </w:tcPr>
          <w:p w14:paraId="0543976A" w14:textId="77777777" w:rsidR="00023FA5" w:rsidRPr="00FD010D" w:rsidRDefault="00023FA5" w:rsidP="00023FA5">
            <w:pPr>
              <w:pStyle w:val="Tablewriting"/>
            </w:pPr>
            <w:r w:rsidRPr="00FD010D">
              <w:t>12278F</w:t>
            </w:r>
          </w:p>
        </w:tc>
        <w:tc>
          <w:tcPr>
            <w:tcW w:w="5528" w:type="dxa"/>
            <w:shd w:val="clear" w:color="auto" w:fill="auto"/>
          </w:tcPr>
          <w:p w14:paraId="0D146F1D" w14:textId="77777777" w:rsidR="00023FA5" w:rsidRDefault="00023FA5" w:rsidP="00023FA5">
            <w:pPr>
              <w:pStyle w:val="Tablewriting"/>
            </w:pPr>
            <w:r>
              <w:t xml:space="preserve">ozanimod 230 microgram capsule [4] (&amp;) ozanimod 460 microgram capsule [3], 7 </w:t>
            </w:r>
          </w:p>
        </w:tc>
        <w:tc>
          <w:tcPr>
            <w:tcW w:w="1134" w:type="dxa"/>
            <w:shd w:val="clear" w:color="auto" w:fill="auto"/>
          </w:tcPr>
          <w:p w14:paraId="63F76873" w14:textId="77777777" w:rsidR="00023FA5" w:rsidRDefault="00023FA5" w:rsidP="00023FA5">
            <w:pPr>
              <w:pStyle w:val="Tablewriting"/>
              <w:jc w:val="center"/>
            </w:pPr>
            <w:r>
              <w:t>1</w:t>
            </w:r>
          </w:p>
        </w:tc>
        <w:tc>
          <w:tcPr>
            <w:tcW w:w="1134" w:type="dxa"/>
            <w:shd w:val="clear" w:color="auto" w:fill="auto"/>
          </w:tcPr>
          <w:p w14:paraId="256EF778" w14:textId="77777777" w:rsidR="00023FA5" w:rsidRDefault="00023FA5" w:rsidP="00023FA5">
            <w:pPr>
              <w:pStyle w:val="Tablewriting"/>
              <w:jc w:val="center"/>
            </w:pPr>
            <w:r>
              <w:t>1</w:t>
            </w:r>
          </w:p>
        </w:tc>
        <w:tc>
          <w:tcPr>
            <w:tcW w:w="709" w:type="dxa"/>
            <w:shd w:val="clear" w:color="auto" w:fill="auto"/>
          </w:tcPr>
          <w:p w14:paraId="2D187B74" w14:textId="77777777" w:rsidR="00023FA5" w:rsidRDefault="00023FA5" w:rsidP="00023FA5">
            <w:pPr>
              <w:pStyle w:val="Tablewriting"/>
              <w:jc w:val="center"/>
            </w:pPr>
            <w:r>
              <w:t>0</w:t>
            </w:r>
          </w:p>
        </w:tc>
        <w:tc>
          <w:tcPr>
            <w:tcW w:w="1287" w:type="dxa"/>
            <w:shd w:val="clear" w:color="auto" w:fill="auto"/>
          </w:tcPr>
          <w:p w14:paraId="1F44E836" w14:textId="77777777" w:rsidR="00023FA5" w:rsidRDefault="00023FA5" w:rsidP="00023FA5">
            <w:pPr>
              <w:pStyle w:val="Tablewriting"/>
              <w:jc w:val="center"/>
            </w:pPr>
            <w:r>
              <w:t>$588.01</w:t>
            </w:r>
          </w:p>
        </w:tc>
        <w:tc>
          <w:tcPr>
            <w:tcW w:w="2744" w:type="dxa"/>
            <w:vMerge/>
            <w:shd w:val="clear" w:color="auto" w:fill="auto"/>
          </w:tcPr>
          <w:p w14:paraId="318D15A4" w14:textId="77777777" w:rsidR="00023FA5" w:rsidRDefault="00023FA5" w:rsidP="00023FA5">
            <w:pPr>
              <w:pStyle w:val="Tablewriting"/>
            </w:pPr>
          </w:p>
        </w:tc>
      </w:tr>
    </w:tbl>
    <w:p w14:paraId="40F35300" w14:textId="77777777" w:rsidR="00023FA5" w:rsidRDefault="00023FA5" w:rsidP="00023FA5"/>
    <w:tbl>
      <w:tblPr>
        <w:tblStyle w:val="TableGrid"/>
        <w:tblpPr w:leftFromText="180" w:rightFromText="180" w:vertAnchor="text" w:horzAnchor="margin" w:tblpY="-242"/>
        <w:tblW w:w="13524" w:type="dxa"/>
        <w:tblLayout w:type="fixed"/>
        <w:tblLook w:val="04A0" w:firstRow="1" w:lastRow="0" w:firstColumn="1" w:lastColumn="0" w:noHBand="0" w:noVBand="1"/>
      </w:tblPr>
      <w:tblGrid>
        <w:gridCol w:w="988"/>
        <w:gridCol w:w="5528"/>
        <w:gridCol w:w="1134"/>
        <w:gridCol w:w="1134"/>
        <w:gridCol w:w="709"/>
        <w:gridCol w:w="1287"/>
        <w:gridCol w:w="2744"/>
      </w:tblGrid>
      <w:tr w:rsidR="00023FA5" w:rsidRPr="00A35800" w:rsidDel="00EE2BBB" w14:paraId="4BB1B9E4" w14:textId="77777777" w:rsidTr="00023FA5">
        <w:trPr>
          <w:trHeight w:val="484"/>
          <w:tblHeader/>
        </w:trPr>
        <w:tc>
          <w:tcPr>
            <w:tcW w:w="988" w:type="dxa"/>
            <w:shd w:val="clear" w:color="auto" w:fill="BFBFBF" w:themeFill="background1" w:themeFillShade="BF"/>
          </w:tcPr>
          <w:p w14:paraId="51C401F6" w14:textId="77777777" w:rsidR="00023FA5" w:rsidRPr="001D6C85" w:rsidRDefault="00023FA5" w:rsidP="00023FA5">
            <w:pPr>
              <w:pStyle w:val="Tablewriting"/>
              <w:spacing w:before="40" w:after="40"/>
              <w:contextualSpacing/>
              <w:jc w:val="center"/>
            </w:pPr>
            <w:r w:rsidRPr="00C64920" w:rsidDel="00EE2BBB">
              <w:rPr>
                <w:b/>
              </w:rPr>
              <w:lastRenderedPageBreak/>
              <w:t>Item</w:t>
            </w:r>
          </w:p>
        </w:tc>
        <w:tc>
          <w:tcPr>
            <w:tcW w:w="5528" w:type="dxa"/>
            <w:shd w:val="clear" w:color="auto" w:fill="BFBFBF" w:themeFill="background1" w:themeFillShade="BF"/>
          </w:tcPr>
          <w:p w14:paraId="678C27D6" w14:textId="77777777" w:rsidR="00023FA5" w:rsidRDefault="00023FA5" w:rsidP="00023FA5">
            <w:pPr>
              <w:pStyle w:val="Tablewriting"/>
              <w:jc w:val="center"/>
            </w:pPr>
            <w:r w:rsidRPr="00C64920" w:rsidDel="00EE2BBB">
              <w:rPr>
                <w:b/>
              </w:rPr>
              <w:t>Name, form &amp; strength, pack size</w:t>
            </w:r>
          </w:p>
        </w:tc>
        <w:tc>
          <w:tcPr>
            <w:tcW w:w="1134" w:type="dxa"/>
            <w:shd w:val="clear" w:color="auto" w:fill="BFBFBF" w:themeFill="background1" w:themeFillShade="BF"/>
          </w:tcPr>
          <w:p w14:paraId="06E1250C" w14:textId="77777777" w:rsidR="00023FA5" w:rsidRDefault="00023FA5" w:rsidP="00023FA5">
            <w:pPr>
              <w:pStyle w:val="Tablewriting"/>
              <w:jc w:val="center"/>
            </w:pPr>
            <w:r w:rsidRPr="00C64920" w:rsidDel="00EE2BBB">
              <w:rPr>
                <w:b/>
              </w:rPr>
              <w:t xml:space="preserve">Max. </w:t>
            </w:r>
            <w:r w:rsidRPr="00C64920">
              <w:rPr>
                <w:b/>
              </w:rPr>
              <w:t>qty</w:t>
            </w:r>
            <w:r w:rsidRPr="00C64920" w:rsidDel="00EE2BBB">
              <w:rPr>
                <w:b/>
              </w:rPr>
              <w:t>.</w:t>
            </w:r>
            <w:r w:rsidRPr="00C64920">
              <w:rPr>
                <w:b/>
              </w:rPr>
              <w:t xml:space="preserve"> packs</w:t>
            </w:r>
          </w:p>
        </w:tc>
        <w:tc>
          <w:tcPr>
            <w:tcW w:w="1134" w:type="dxa"/>
            <w:shd w:val="clear" w:color="auto" w:fill="BFBFBF" w:themeFill="background1" w:themeFillShade="BF"/>
          </w:tcPr>
          <w:p w14:paraId="0656EAD8" w14:textId="77777777" w:rsidR="00023FA5" w:rsidRDefault="00023FA5" w:rsidP="00023FA5">
            <w:pPr>
              <w:pStyle w:val="Tablewriting"/>
              <w:jc w:val="center"/>
            </w:pPr>
            <w:r w:rsidRPr="00C64920">
              <w:rPr>
                <w:b/>
              </w:rPr>
              <w:t>Max. qty. units</w:t>
            </w:r>
          </w:p>
        </w:tc>
        <w:tc>
          <w:tcPr>
            <w:tcW w:w="709" w:type="dxa"/>
            <w:shd w:val="clear" w:color="auto" w:fill="BFBFBF" w:themeFill="background1" w:themeFillShade="BF"/>
          </w:tcPr>
          <w:p w14:paraId="4F7C1DC2" w14:textId="77777777" w:rsidR="00023FA5" w:rsidRDefault="00023FA5" w:rsidP="00023FA5">
            <w:pPr>
              <w:pStyle w:val="Tablewriting"/>
              <w:jc w:val="center"/>
            </w:pPr>
            <w:r w:rsidRPr="00C64920" w:rsidDel="00EE2BBB">
              <w:rPr>
                <w:b/>
              </w:rPr>
              <w:t>Rpts</w:t>
            </w:r>
          </w:p>
        </w:tc>
        <w:tc>
          <w:tcPr>
            <w:tcW w:w="1287" w:type="dxa"/>
            <w:shd w:val="clear" w:color="auto" w:fill="BFBFBF" w:themeFill="background1" w:themeFillShade="BF"/>
          </w:tcPr>
          <w:p w14:paraId="678E8BA4" w14:textId="77777777" w:rsidR="00023FA5" w:rsidRDefault="00023FA5" w:rsidP="00023FA5">
            <w:pPr>
              <w:pStyle w:val="Tablewriting"/>
              <w:jc w:val="center"/>
            </w:pPr>
            <w:r w:rsidRPr="00C64920" w:rsidDel="00EE2BBB">
              <w:rPr>
                <w:b/>
              </w:rPr>
              <w:t>DPMQ</w:t>
            </w:r>
          </w:p>
        </w:tc>
        <w:tc>
          <w:tcPr>
            <w:tcW w:w="2744" w:type="dxa"/>
            <w:shd w:val="clear" w:color="auto" w:fill="BFBFBF" w:themeFill="background1" w:themeFillShade="BF"/>
          </w:tcPr>
          <w:p w14:paraId="62900F8F" w14:textId="77777777" w:rsidR="00023FA5" w:rsidRPr="00A35800" w:rsidDel="00EE2BBB" w:rsidRDefault="00023FA5" w:rsidP="00023FA5">
            <w:pPr>
              <w:pStyle w:val="Tablewriting"/>
              <w:jc w:val="center"/>
            </w:pPr>
            <w:r w:rsidRPr="00C64920" w:rsidDel="00EE2BBB">
              <w:rPr>
                <w:b/>
              </w:rPr>
              <w:t>Brand name and manufacturer</w:t>
            </w:r>
          </w:p>
        </w:tc>
      </w:tr>
      <w:tr w:rsidR="00023FA5" w:rsidRPr="00A35800" w:rsidDel="00EE2BBB" w14:paraId="0FC3A3C3" w14:textId="77777777" w:rsidTr="00023FA5">
        <w:trPr>
          <w:trHeight w:val="484"/>
          <w:tblHeader/>
        </w:trPr>
        <w:tc>
          <w:tcPr>
            <w:tcW w:w="988" w:type="dxa"/>
            <w:shd w:val="clear" w:color="auto" w:fill="auto"/>
          </w:tcPr>
          <w:p w14:paraId="7C352A9A" w14:textId="77777777" w:rsidR="00023FA5" w:rsidRPr="00FD010D" w:rsidRDefault="00023FA5" w:rsidP="00023FA5">
            <w:pPr>
              <w:pStyle w:val="Tablewriting"/>
              <w:spacing w:before="40" w:after="40"/>
              <w:contextualSpacing/>
            </w:pPr>
            <w:r w:rsidRPr="00FD010D">
              <w:t>10212L</w:t>
            </w:r>
          </w:p>
        </w:tc>
        <w:tc>
          <w:tcPr>
            <w:tcW w:w="5528" w:type="dxa"/>
            <w:shd w:val="clear" w:color="auto" w:fill="auto"/>
          </w:tcPr>
          <w:p w14:paraId="1EB060CA" w14:textId="77777777" w:rsidR="00023FA5" w:rsidRDefault="00023FA5" w:rsidP="00023FA5">
            <w:pPr>
              <w:pStyle w:val="Tablewriting"/>
            </w:pPr>
            <w:r>
              <w:t xml:space="preserve">peginterferon beta-1a 125 microgram/0.5 ml injection, 2 </w:t>
            </w:r>
            <w:r>
              <w:rPr>
                <w:rFonts w:cstheme="minorHAnsi"/>
              </w:rPr>
              <w:t xml:space="preserve">× 0.5 ml pen devices </w:t>
            </w:r>
          </w:p>
        </w:tc>
        <w:tc>
          <w:tcPr>
            <w:tcW w:w="1134" w:type="dxa"/>
            <w:shd w:val="clear" w:color="auto" w:fill="auto"/>
          </w:tcPr>
          <w:p w14:paraId="6F7DEF2F" w14:textId="77777777" w:rsidR="00023FA5" w:rsidRDefault="00023FA5" w:rsidP="00023FA5">
            <w:pPr>
              <w:pStyle w:val="Tablewriting"/>
              <w:jc w:val="center"/>
            </w:pPr>
            <w:r>
              <w:t>1</w:t>
            </w:r>
          </w:p>
        </w:tc>
        <w:tc>
          <w:tcPr>
            <w:tcW w:w="1134" w:type="dxa"/>
            <w:shd w:val="clear" w:color="auto" w:fill="auto"/>
          </w:tcPr>
          <w:p w14:paraId="4D4DDB0E" w14:textId="77777777" w:rsidR="00023FA5" w:rsidRDefault="00023FA5" w:rsidP="00023FA5">
            <w:pPr>
              <w:pStyle w:val="Tablewriting"/>
              <w:jc w:val="center"/>
            </w:pPr>
            <w:r>
              <w:t>2</w:t>
            </w:r>
          </w:p>
        </w:tc>
        <w:tc>
          <w:tcPr>
            <w:tcW w:w="709" w:type="dxa"/>
            <w:shd w:val="clear" w:color="auto" w:fill="auto"/>
          </w:tcPr>
          <w:p w14:paraId="3ED98107" w14:textId="77777777" w:rsidR="00023FA5" w:rsidRDefault="00023FA5" w:rsidP="00023FA5">
            <w:pPr>
              <w:pStyle w:val="Tablewriting"/>
              <w:jc w:val="center"/>
            </w:pPr>
            <w:r>
              <w:t>4</w:t>
            </w:r>
          </w:p>
        </w:tc>
        <w:tc>
          <w:tcPr>
            <w:tcW w:w="1287" w:type="dxa"/>
            <w:shd w:val="clear" w:color="auto" w:fill="auto"/>
          </w:tcPr>
          <w:p w14:paraId="3937B452" w14:textId="77777777" w:rsidR="00023FA5" w:rsidRDefault="00023FA5" w:rsidP="00023FA5">
            <w:pPr>
              <w:pStyle w:val="Tablewriting"/>
              <w:jc w:val="center"/>
            </w:pPr>
            <w:r>
              <w:t>$1001.59</w:t>
            </w:r>
          </w:p>
        </w:tc>
        <w:tc>
          <w:tcPr>
            <w:tcW w:w="2744" w:type="dxa"/>
            <w:vMerge w:val="restart"/>
            <w:shd w:val="clear" w:color="auto" w:fill="auto"/>
          </w:tcPr>
          <w:p w14:paraId="290D9245" w14:textId="77777777" w:rsidR="00023FA5" w:rsidRDefault="00023FA5" w:rsidP="00023FA5">
            <w:pPr>
              <w:pStyle w:val="Tablewriting"/>
            </w:pPr>
            <w:r>
              <w:t xml:space="preserve">Plegridy </w:t>
            </w:r>
          </w:p>
          <w:p w14:paraId="08B12ACD" w14:textId="77777777" w:rsidR="00023FA5" w:rsidRPr="00A35800" w:rsidDel="00EE2BBB" w:rsidRDefault="00023FA5" w:rsidP="00023FA5">
            <w:pPr>
              <w:pStyle w:val="Tablewriting"/>
            </w:pPr>
            <w:r>
              <w:t xml:space="preserve">Biogen Australia Pty Ltd </w:t>
            </w:r>
          </w:p>
        </w:tc>
      </w:tr>
      <w:tr w:rsidR="00023FA5" w:rsidRPr="00A35800" w:rsidDel="00EE2BBB" w14:paraId="68011DBE" w14:textId="77777777" w:rsidTr="00023FA5">
        <w:trPr>
          <w:trHeight w:val="484"/>
          <w:tblHeader/>
        </w:trPr>
        <w:tc>
          <w:tcPr>
            <w:tcW w:w="988" w:type="dxa"/>
            <w:shd w:val="clear" w:color="auto" w:fill="auto"/>
          </w:tcPr>
          <w:p w14:paraId="5F6E2689" w14:textId="77777777" w:rsidR="00023FA5" w:rsidRPr="00FD010D" w:rsidRDefault="00023FA5" w:rsidP="00023FA5">
            <w:pPr>
              <w:pStyle w:val="Tablewriting"/>
              <w:spacing w:before="40" w:after="40"/>
              <w:contextualSpacing/>
            </w:pPr>
            <w:r w:rsidRPr="00FD010D">
              <w:t>10218T</w:t>
            </w:r>
          </w:p>
        </w:tc>
        <w:tc>
          <w:tcPr>
            <w:tcW w:w="5528" w:type="dxa"/>
            <w:shd w:val="clear" w:color="auto" w:fill="auto"/>
          </w:tcPr>
          <w:p w14:paraId="1FC9468A" w14:textId="77777777" w:rsidR="00023FA5" w:rsidRDefault="00023FA5" w:rsidP="00023FA5">
            <w:pPr>
              <w:pStyle w:val="Tablewriting"/>
            </w:pPr>
            <w:r>
              <w:t xml:space="preserve">peginterferon beta-1a 63 microgram/0.5 ml injection [0.5 ml pen device] (&amp;) peginterferon beta-1a 94 microgram/0.5 ml injection [0.5 ml pen device], 1 pack </w:t>
            </w:r>
          </w:p>
        </w:tc>
        <w:tc>
          <w:tcPr>
            <w:tcW w:w="1134" w:type="dxa"/>
            <w:shd w:val="clear" w:color="auto" w:fill="auto"/>
          </w:tcPr>
          <w:p w14:paraId="07A3DDC6" w14:textId="77777777" w:rsidR="00023FA5" w:rsidRDefault="00023FA5" w:rsidP="00023FA5">
            <w:pPr>
              <w:pStyle w:val="Tablewriting"/>
              <w:jc w:val="center"/>
            </w:pPr>
            <w:r>
              <w:t>1</w:t>
            </w:r>
          </w:p>
        </w:tc>
        <w:tc>
          <w:tcPr>
            <w:tcW w:w="1134" w:type="dxa"/>
            <w:shd w:val="clear" w:color="auto" w:fill="auto"/>
          </w:tcPr>
          <w:p w14:paraId="347FACE7" w14:textId="77777777" w:rsidR="00023FA5" w:rsidRDefault="00023FA5" w:rsidP="00023FA5">
            <w:pPr>
              <w:pStyle w:val="Tablewriting"/>
              <w:jc w:val="center"/>
            </w:pPr>
            <w:r>
              <w:t>1</w:t>
            </w:r>
          </w:p>
        </w:tc>
        <w:tc>
          <w:tcPr>
            <w:tcW w:w="709" w:type="dxa"/>
            <w:shd w:val="clear" w:color="auto" w:fill="auto"/>
          </w:tcPr>
          <w:p w14:paraId="2118E7B2" w14:textId="77777777" w:rsidR="00023FA5" w:rsidRDefault="00023FA5" w:rsidP="00023FA5">
            <w:pPr>
              <w:pStyle w:val="Tablewriting"/>
              <w:jc w:val="center"/>
            </w:pPr>
            <w:r>
              <w:t>0</w:t>
            </w:r>
          </w:p>
        </w:tc>
        <w:tc>
          <w:tcPr>
            <w:tcW w:w="1287" w:type="dxa"/>
            <w:shd w:val="clear" w:color="auto" w:fill="auto"/>
          </w:tcPr>
          <w:p w14:paraId="537D5FF8" w14:textId="77777777" w:rsidR="00023FA5" w:rsidRDefault="00023FA5" w:rsidP="00023FA5">
            <w:pPr>
              <w:pStyle w:val="Tablewriting"/>
              <w:jc w:val="center"/>
            </w:pPr>
            <w:r>
              <w:t>$1001.59</w:t>
            </w:r>
          </w:p>
        </w:tc>
        <w:tc>
          <w:tcPr>
            <w:tcW w:w="2744" w:type="dxa"/>
            <w:vMerge/>
            <w:shd w:val="clear" w:color="auto" w:fill="auto"/>
          </w:tcPr>
          <w:p w14:paraId="0BD791CD" w14:textId="77777777" w:rsidR="00023FA5" w:rsidRPr="00A35800" w:rsidDel="00EE2BBB" w:rsidRDefault="00023FA5" w:rsidP="00023FA5">
            <w:pPr>
              <w:pStyle w:val="Tablewriting"/>
            </w:pPr>
          </w:p>
        </w:tc>
      </w:tr>
      <w:tr w:rsidR="00023FA5" w:rsidRPr="00A35800" w:rsidDel="00EE2BBB" w14:paraId="1044662B" w14:textId="77777777" w:rsidTr="00023FA5">
        <w:trPr>
          <w:trHeight w:val="484"/>
          <w:tblHeader/>
        </w:trPr>
        <w:tc>
          <w:tcPr>
            <w:tcW w:w="988" w:type="dxa"/>
            <w:shd w:val="clear" w:color="auto" w:fill="auto"/>
          </w:tcPr>
          <w:p w14:paraId="0DDEEBAD" w14:textId="77777777" w:rsidR="00023FA5" w:rsidRPr="00FD010D" w:rsidRDefault="00023FA5" w:rsidP="00023FA5">
            <w:pPr>
              <w:pStyle w:val="Tablewriting"/>
              <w:spacing w:before="40" w:after="40"/>
              <w:contextualSpacing/>
            </w:pPr>
            <w:r w:rsidRPr="00FD010D">
              <w:t>10220X</w:t>
            </w:r>
          </w:p>
        </w:tc>
        <w:tc>
          <w:tcPr>
            <w:tcW w:w="5528" w:type="dxa"/>
            <w:shd w:val="clear" w:color="auto" w:fill="auto"/>
          </w:tcPr>
          <w:p w14:paraId="3C0403AB" w14:textId="77777777" w:rsidR="00023FA5" w:rsidRDefault="00023FA5" w:rsidP="00023FA5">
            <w:pPr>
              <w:pStyle w:val="Tablewriting"/>
            </w:pPr>
            <w:r>
              <w:t xml:space="preserve">peginterferon beta-1a 125 microgram/0.5 ml injection, 2 </w:t>
            </w:r>
            <w:r>
              <w:rPr>
                <w:rFonts w:cstheme="minorHAnsi"/>
              </w:rPr>
              <w:t xml:space="preserve">× 0.5 ml pen devices </w:t>
            </w:r>
          </w:p>
        </w:tc>
        <w:tc>
          <w:tcPr>
            <w:tcW w:w="1134" w:type="dxa"/>
            <w:shd w:val="clear" w:color="auto" w:fill="auto"/>
          </w:tcPr>
          <w:p w14:paraId="010D9D54" w14:textId="77777777" w:rsidR="00023FA5" w:rsidRDefault="00023FA5" w:rsidP="00023FA5">
            <w:pPr>
              <w:pStyle w:val="Tablewriting"/>
              <w:jc w:val="center"/>
            </w:pPr>
            <w:r>
              <w:t>1</w:t>
            </w:r>
          </w:p>
        </w:tc>
        <w:tc>
          <w:tcPr>
            <w:tcW w:w="1134" w:type="dxa"/>
            <w:shd w:val="clear" w:color="auto" w:fill="auto"/>
          </w:tcPr>
          <w:p w14:paraId="025949B4" w14:textId="77777777" w:rsidR="00023FA5" w:rsidRDefault="00023FA5" w:rsidP="00023FA5">
            <w:pPr>
              <w:pStyle w:val="Tablewriting"/>
              <w:jc w:val="center"/>
            </w:pPr>
            <w:r>
              <w:t>2</w:t>
            </w:r>
          </w:p>
        </w:tc>
        <w:tc>
          <w:tcPr>
            <w:tcW w:w="709" w:type="dxa"/>
            <w:shd w:val="clear" w:color="auto" w:fill="auto"/>
          </w:tcPr>
          <w:p w14:paraId="366D3BFC" w14:textId="77777777" w:rsidR="00023FA5" w:rsidRDefault="00023FA5" w:rsidP="00023FA5">
            <w:pPr>
              <w:pStyle w:val="Tablewriting"/>
              <w:jc w:val="center"/>
            </w:pPr>
            <w:r>
              <w:t>5</w:t>
            </w:r>
          </w:p>
        </w:tc>
        <w:tc>
          <w:tcPr>
            <w:tcW w:w="1287" w:type="dxa"/>
            <w:shd w:val="clear" w:color="auto" w:fill="auto"/>
          </w:tcPr>
          <w:p w14:paraId="17A2FD5D" w14:textId="77777777" w:rsidR="00023FA5" w:rsidRDefault="00023FA5" w:rsidP="00023FA5">
            <w:pPr>
              <w:pStyle w:val="Tablewriting"/>
              <w:jc w:val="center"/>
            </w:pPr>
            <w:r>
              <w:t>$1001.59</w:t>
            </w:r>
          </w:p>
        </w:tc>
        <w:tc>
          <w:tcPr>
            <w:tcW w:w="2744" w:type="dxa"/>
            <w:vMerge/>
            <w:shd w:val="clear" w:color="auto" w:fill="auto"/>
          </w:tcPr>
          <w:p w14:paraId="62DE9699" w14:textId="77777777" w:rsidR="00023FA5" w:rsidRPr="00A35800" w:rsidDel="00EE2BBB" w:rsidRDefault="00023FA5" w:rsidP="00023FA5">
            <w:pPr>
              <w:pStyle w:val="Tablewriting"/>
            </w:pPr>
          </w:p>
        </w:tc>
      </w:tr>
      <w:tr w:rsidR="00023FA5" w:rsidRPr="00A35800" w:rsidDel="00EE2BBB" w14:paraId="77874608" w14:textId="77777777" w:rsidTr="00023FA5">
        <w:trPr>
          <w:trHeight w:val="484"/>
          <w:tblHeader/>
        </w:trPr>
        <w:tc>
          <w:tcPr>
            <w:tcW w:w="988" w:type="dxa"/>
            <w:shd w:val="clear" w:color="auto" w:fill="auto"/>
          </w:tcPr>
          <w:p w14:paraId="2B103964" w14:textId="77777777" w:rsidR="00023FA5" w:rsidRPr="00FD010D" w:rsidRDefault="00023FA5" w:rsidP="00023FA5">
            <w:pPr>
              <w:pStyle w:val="Tablewriting"/>
              <w:spacing w:before="40" w:after="40"/>
              <w:contextualSpacing/>
            </w:pPr>
            <w:r w:rsidRPr="00FD010D">
              <w:t>12158X</w:t>
            </w:r>
          </w:p>
        </w:tc>
        <w:tc>
          <w:tcPr>
            <w:tcW w:w="5528" w:type="dxa"/>
            <w:shd w:val="clear" w:color="auto" w:fill="auto"/>
          </w:tcPr>
          <w:p w14:paraId="28768CE4" w14:textId="77777777" w:rsidR="00023FA5" w:rsidRDefault="00023FA5" w:rsidP="00023FA5">
            <w:pPr>
              <w:pStyle w:val="Tablewriting"/>
            </w:pPr>
            <w:r>
              <w:t xml:space="preserve">siponimod 2 mg tablet, 28 </w:t>
            </w:r>
          </w:p>
        </w:tc>
        <w:tc>
          <w:tcPr>
            <w:tcW w:w="1134" w:type="dxa"/>
            <w:shd w:val="clear" w:color="auto" w:fill="auto"/>
          </w:tcPr>
          <w:p w14:paraId="6707DF51" w14:textId="77777777" w:rsidR="00023FA5" w:rsidRDefault="00023FA5" w:rsidP="00023FA5">
            <w:pPr>
              <w:pStyle w:val="Tablewriting"/>
              <w:jc w:val="center"/>
            </w:pPr>
            <w:r>
              <w:t>1</w:t>
            </w:r>
          </w:p>
        </w:tc>
        <w:tc>
          <w:tcPr>
            <w:tcW w:w="1134" w:type="dxa"/>
            <w:shd w:val="clear" w:color="auto" w:fill="auto"/>
          </w:tcPr>
          <w:p w14:paraId="340F141F" w14:textId="77777777" w:rsidR="00023FA5" w:rsidRDefault="00023FA5" w:rsidP="00023FA5">
            <w:pPr>
              <w:pStyle w:val="Tablewriting"/>
              <w:jc w:val="center"/>
            </w:pPr>
            <w:r>
              <w:t>28</w:t>
            </w:r>
          </w:p>
        </w:tc>
        <w:tc>
          <w:tcPr>
            <w:tcW w:w="709" w:type="dxa"/>
            <w:shd w:val="clear" w:color="auto" w:fill="auto"/>
          </w:tcPr>
          <w:p w14:paraId="4183C01B" w14:textId="77777777" w:rsidR="00023FA5" w:rsidRDefault="00023FA5" w:rsidP="00023FA5">
            <w:pPr>
              <w:pStyle w:val="Tablewriting"/>
              <w:jc w:val="center"/>
            </w:pPr>
            <w:r>
              <w:t>5</w:t>
            </w:r>
          </w:p>
        </w:tc>
        <w:tc>
          <w:tcPr>
            <w:tcW w:w="1287" w:type="dxa"/>
            <w:shd w:val="clear" w:color="auto" w:fill="auto"/>
          </w:tcPr>
          <w:p w14:paraId="766D934A" w14:textId="77777777" w:rsidR="00023FA5" w:rsidRDefault="00023FA5" w:rsidP="00023FA5">
            <w:pPr>
              <w:pStyle w:val="Tablewriting"/>
              <w:jc w:val="center"/>
            </w:pPr>
            <w:r>
              <w:t>$2219.51</w:t>
            </w:r>
          </w:p>
        </w:tc>
        <w:tc>
          <w:tcPr>
            <w:tcW w:w="2744" w:type="dxa"/>
            <w:vMerge w:val="restart"/>
            <w:shd w:val="clear" w:color="auto" w:fill="auto"/>
          </w:tcPr>
          <w:p w14:paraId="64B862A9" w14:textId="77777777" w:rsidR="00023FA5" w:rsidRDefault="00023FA5" w:rsidP="00023FA5">
            <w:pPr>
              <w:pStyle w:val="Tablewriting"/>
            </w:pPr>
            <w:r>
              <w:t xml:space="preserve">Mayzent </w:t>
            </w:r>
          </w:p>
          <w:p w14:paraId="10ADD313" w14:textId="77777777" w:rsidR="00023FA5" w:rsidRPr="00A35800" w:rsidDel="00EE2BBB" w:rsidRDefault="00023FA5" w:rsidP="00023FA5">
            <w:pPr>
              <w:pStyle w:val="Tablewriting"/>
            </w:pPr>
            <w:r>
              <w:t xml:space="preserve">Novartis Pharmaceuticals Australia Pty Limited </w:t>
            </w:r>
          </w:p>
        </w:tc>
      </w:tr>
      <w:tr w:rsidR="00023FA5" w:rsidRPr="00A35800" w:rsidDel="00EE2BBB" w14:paraId="03D6DEFC" w14:textId="77777777" w:rsidTr="00023FA5">
        <w:trPr>
          <w:trHeight w:val="484"/>
          <w:tblHeader/>
        </w:trPr>
        <w:tc>
          <w:tcPr>
            <w:tcW w:w="988" w:type="dxa"/>
            <w:shd w:val="clear" w:color="auto" w:fill="auto"/>
          </w:tcPr>
          <w:p w14:paraId="1B96A1B6" w14:textId="77777777" w:rsidR="00023FA5" w:rsidRPr="00FD010D" w:rsidRDefault="00023FA5" w:rsidP="00023FA5">
            <w:pPr>
              <w:pStyle w:val="Tablewriting"/>
              <w:spacing w:before="40" w:after="40"/>
              <w:contextualSpacing/>
            </w:pPr>
            <w:r w:rsidRPr="00FD010D">
              <w:t>12172P</w:t>
            </w:r>
          </w:p>
        </w:tc>
        <w:tc>
          <w:tcPr>
            <w:tcW w:w="5528" w:type="dxa"/>
            <w:shd w:val="clear" w:color="auto" w:fill="auto"/>
          </w:tcPr>
          <w:p w14:paraId="7CC67FE1" w14:textId="77777777" w:rsidR="00023FA5" w:rsidRDefault="00023FA5" w:rsidP="00023FA5">
            <w:pPr>
              <w:pStyle w:val="Tablewriting"/>
            </w:pPr>
            <w:r>
              <w:t xml:space="preserve">siponimod 250 microgram tablet, 12 </w:t>
            </w:r>
          </w:p>
        </w:tc>
        <w:tc>
          <w:tcPr>
            <w:tcW w:w="1134" w:type="dxa"/>
            <w:shd w:val="clear" w:color="auto" w:fill="auto"/>
          </w:tcPr>
          <w:p w14:paraId="6624E6DA" w14:textId="77777777" w:rsidR="00023FA5" w:rsidRDefault="00023FA5" w:rsidP="00023FA5">
            <w:pPr>
              <w:pStyle w:val="Tablewriting"/>
              <w:jc w:val="center"/>
            </w:pPr>
            <w:r>
              <w:t>1</w:t>
            </w:r>
          </w:p>
        </w:tc>
        <w:tc>
          <w:tcPr>
            <w:tcW w:w="1134" w:type="dxa"/>
            <w:shd w:val="clear" w:color="auto" w:fill="auto"/>
          </w:tcPr>
          <w:p w14:paraId="30B92CD0" w14:textId="77777777" w:rsidR="00023FA5" w:rsidRDefault="00023FA5" w:rsidP="00023FA5">
            <w:pPr>
              <w:pStyle w:val="Tablewriting"/>
              <w:jc w:val="center"/>
            </w:pPr>
            <w:r>
              <w:t>12</w:t>
            </w:r>
          </w:p>
        </w:tc>
        <w:tc>
          <w:tcPr>
            <w:tcW w:w="709" w:type="dxa"/>
            <w:shd w:val="clear" w:color="auto" w:fill="auto"/>
          </w:tcPr>
          <w:p w14:paraId="4AF8E574" w14:textId="77777777" w:rsidR="00023FA5" w:rsidRDefault="00023FA5" w:rsidP="00023FA5">
            <w:pPr>
              <w:pStyle w:val="Tablewriting"/>
              <w:jc w:val="center"/>
            </w:pPr>
            <w:r>
              <w:t>0</w:t>
            </w:r>
          </w:p>
        </w:tc>
        <w:tc>
          <w:tcPr>
            <w:tcW w:w="1287" w:type="dxa"/>
            <w:shd w:val="clear" w:color="auto" w:fill="auto"/>
          </w:tcPr>
          <w:p w14:paraId="49876E54" w14:textId="77777777" w:rsidR="00023FA5" w:rsidRDefault="00023FA5" w:rsidP="00023FA5">
            <w:pPr>
              <w:pStyle w:val="Tablewriting"/>
              <w:jc w:val="center"/>
            </w:pPr>
            <w:r>
              <w:t>$239.46</w:t>
            </w:r>
          </w:p>
        </w:tc>
        <w:tc>
          <w:tcPr>
            <w:tcW w:w="2744" w:type="dxa"/>
            <w:vMerge/>
            <w:shd w:val="clear" w:color="auto" w:fill="auto"/>
          </w:tcPr>
          <w:p w14:paraId="6BA06886" w14:textId="77777777" w:rsidR="00023FA5" w:rsidRDefault="00023FA5" w:rsidP="00023FA5">
            <w:pPr>
              <w:pStyle w:val="Tablewriting"/>
            </w:pPr>
          </w:p>
        </w:tc>
      </w:tr>
      <w:tr w:rsidR="00023FA5" w:rsidRPr="00A35800" w:rsidDel="00EE2BBB" w14:paraId="40552DD2" w14:textId="77777777" w:rsidTr="00023FA5">
        <w:trPr>
          <w:trHeight w:val="484"/>
          <w:tblHeader/>
        </w:trPr>
        <w:tc>
          <w:tcPr>
            <w:tcW w:w="988" w:type="dxa"/>
            <w:shd w:val="clear" w:color="auto" w:fill="auto"/>
          </w:tcPr>
          <w:p w14:paraId="6535183A" w14:textId="77777777" w:rsidR="00023FA5" w:rsidRPr="00FD010D" w:rsidRDefault="00023FA5" w:rsidP="00023FA5">
            <w:pPr>
              <w:pStyle w:val="Tablewriting"/>
              <w:spacing w:before="40" w:after="40"/>
              <w:contextualSpacing/>
            </w:pPr>
            <w:r w:rsidRPr="00FD010D">
              <w:t>12160B</w:t>
            </w:r>
          </w:p>
        </w:tc>
        <w:tc>
          <w:tcPr>
            <w:tcW w:w="5528" w:type="dxa"/>
            <w:shd w:val="clear" w:color="auto" w:fill="auto"/>
          </w:tcPr>
          <w:p w14:paraId="40EF4921" w14:textId="77777777" w:rsidR="00023FA5" w:rsidRDefault="00023FA5" w:rsidP="00023FA5">
            <w:pPr>
              <w:pStyle w:val="Tablewriting"/>
            </w:pPr>
            <w:r>
              <w:t xml:space="preserve">siponimod 250 microgram tablet, 120 </w:t>
            </w:r>
          </w:p>
        </w:tc>
        <w:tc>
          <w:tcPr>
            <w:tcW w:w="1134" w:type="dxa"/>
            <w:shd w:val="clear" w:color="auto" w:fill="auto"/>
          </w:tcPr>
          <w:p w14:paraId="36D54B95" w14:textId="77777777" w:rsidR="00023FA5" w:rsidRDefault="00023FA5" w:rsidP="00023FA5">
            <w:pPr>
              <w:pStyle w:val="Tablewriting"/>
              <w:jc w:val="center"/>
            </w:pPr>
            <w:r>
              <w:t>1</w:t>
            </w:r>
          </w:p>
        </w:tc>
        <w:tc>
          <w:tcPr>
            <w:tcW w:w="1134" w:type="dxa"/>
            <w:shd w:val="clear" w:color="auto" w:fill="auto"/>
          </w:tcPr>
          <w:p w14:paraId="2FC16FBE" w14:textId="77777777" w:rsidR="00023FA5" w:rsidRDefault="00023FA5" w:rsidP="00023FA5">
            <w:pPr>
              <w:pStyle w:val="Tablewriting"/>
              <w:jc w:val="center"/>
            </w:pPr>
            <w:r>
              <w:t>120</w:t>
            </w:r>
          </w:p>
        </w:tc>
        <w:tc>
          <w:tcPr>
            <w:tcW w:w="709" w:type="dxa"/>
            <w:shd w:val="clear" w:color="auto" w:fill="auto"/>
          </w:tcPr>
          <w:p w14:paraId="2AE892FB" w14:textId="77777777" w:rsidR="00023FA5" w:rsidRDefault="00023FA5" w:rsidP="00023FA5">
            <w:pPr>
              <w:pStyle w:val="Tablewriting"/>
              <w:jc w:val="center"/>
            </w:pPr>
            <w:r>
              <w:t>5</w:t>
            </w:r>
          </w:p>
        </w:tc>
        <w:tc>
          <w:tcPr>
            <w:tcW w:w="1287" w:type="dxa"/>
            <w:shd w:val="clear" w:color="auto" w:fill="auto"/>
          </w:tcPr>
          <w:p w14:paraId="375B818C" w14:textId="77777777" w:rsidR="00023FA5" w:rsidRDefault="00023FA5" w:rsidP="00023FA5">
            <w:pPr>
              <w:pStyle w:val="Tablewriting"/>
              <w:jc w:val="center"/>
            </w:pPr>
            <w:r>
              <w:t>$2219.52</w:t>
            </w:r>
          </w:p>
        </w:tc>
        <w:tc>
          <w:tcPr>
            <w:tcW w:w="2744" w:type="dxa"/>
            <w:vMerge/>
            <w:shd w:val="clear" w:color="auto" w:fill="auto"/>
          </w:tcPr>
          <w:p w14:paraId="4C85B3F2" w14:textId="77777777" w:rsidR="00023FA5" w:rsidRDefault="00023FA5" w:rsidP="00023FA5">
            <w:pPr>
              <w:pStyle w:val="Tablewriting"/>
            </w:pPr>
          </w:p>
        </w:tc>
      </w:tr>
      <w:tr w:rsidR="00023FA5" w:rsidRPr="00A35800" w:rsidDel="00EE2BBB" w14:paraId="1017E52B" w14:textId="77777777" w:rsidTr="00023FA5">
        <w:trPr>
          <w:trHeight w:val="484"/>
          <w:tblHeader/>
        </w:trPr>
        <w:tc>
          <w:tcPr>
            <w:tcW w:w="988" w:type="dxa"/>
            <w:shd w:val="clear" w:color="auto" w:fill="auto"/>
          </w:tcPr>
          <w:p w14:paraId="1ECBA224" w14:textId="77777777" w:rsidR="00023FA5" w:rsidRPr="00977DE6" w:rsidRDefault="00023FA5" w:rsidP="00023FA5">
            <w:pPr>
              <w:pStyle w:val="Tablewriting"/>
              <w:spacing w:before="40" w:after="40"/>
              <w:contextualSpacing/>
              <w:rPr>
                <w:highlight w:val="cyan"/>
              </w:rPr>
            </w:pPr>
            <w:r w:rsidRPr="001D6C85">
              <w:t>2898M</w:t>
            </w:r>
          </w:p>
        </w:tc>
        <w:tc>
          <w:tcPr>
            <w:tcW w:w="5528" w:type="dxa"/>
            <w:shd w:val="clear" w:color="auto" w:fill="auto"/>
          </w:tcPr>
          <w:p w14:paraId="0517F22F" w14:textId="77777777" w:rsidR="00023FA5" w:rsidRDefault="00023FA5" w:rsidP="00023FA5">
            <w:pPr>
              <w:pStyle w:val="Tablewriting"/>
            </w:pPr>
            <w:r>
              <w:t xml:space="preserve">teriflunomide 14 mg tablet, 28 </w:t>
            </w:r>
          </w:p>
        </w:tc>
        <w:tc>
          <w:tcPr>
            <w:tcW w:w="1134" w:type="dxa"/>
            <w:shd w:val="clear" w:color="auto" w:fill="auto"/>
          </w:tcPr>
          <w:p w14:paraId="02B2A3E9" w14:textId="77777777" w:rsidR="00023FA5" w:rsidRDefault="00023FA5" w:rsidP="00023FA5">
            <w:pPr>
              <w:pStyle w:val="Tablewriting"/>
              <w:jc w:val="center"/>
            </w:pPr>
            <w:r>
              <w:t>1</w:t>
            </w:r>
          </w:p>
        </w:tc>
        <w:tc>
          <w:tcPr>
            <w:tcW w:w="1134" w:type="dxa"/>
            <w:shd w:val="clear" w:color="auto" w:fill="auto"/>
          </w:tcPr>
          <w:p w14:paraId="1A46C2EA" w14:textId="77777777" w:rsidR="00023FA5" w:rsidRDefault="00023FA5" w:rsidP="00023FA5">
            <w:pPr>
              <w:pStyle w:val="Tablewriting"/>
              <w:jc w:val="center"/>
            </w:pPr>
            <w:r>
              <w:t>28</w:t>
            </w:r>
          </w:p>
        </w:tc>
        <w:tc>
          <w:tcPr>
            <w:tcW w:w="709" w:type="dxa"/>
            <w:shd w:val="clear" w:color="auto" w:fill="auto"/>
          </w:tcPr>
          <w:p w14:paraId="27B0575D" w14:textId="77777777" w:rsidR="00023FA5" w:rsidRDefault="00023FA5" w:rsidP="00023FA5">
            <w:pPr>
              <w:pStyle w:val="Tablewriting"/>
              <w:jc w:val="center"/>
            </w:pPr>
            <w:r>
              <w:t>5</w:t>
            </w:r>
          </w:p>
        </w:tc>
        <w:tc>
          <w:tcPr>
            <w:tcW w:w="1287" w:type="dxa"/>
            <w:shd w:val="clear" w:color="auto" w:fill="auto"/>
          </w:tcPr>
          <w:p w14:paraId="331458C9" w14:textId="77777777" w:rsidR="00023FA5" w:rsidRDefault="00023FA5" w:rsidP="00023FA5">
            <w:pPr>
              <w:pStyle w:val="Tablewriting"/>
              <w:jc w:val="center"/>
            </w:pPr>
            <w:r>
              <w:t>$497.86</w:t>
            </w:r>
          </w:p>
        </w:tc>
        <w:tc>
          <w:tcPr>
            <w:tcW w:w="2744" w:type="dxa"/>
            <w:shd w:val="clear" w:color="auto" w:fill="auto"/>
          </w:tcPr>
          <w:p w14:paraId="2E9EF43B" w14:textId="77777777" w:rsidR="00023FA5" w:rsidRDefault="00023FA5" w:rsidP="00023FA5">
            <w:pPr>
              <w:pStyle w:val="Tablewriting"/>
            </w:pPr>
            <w:r>
              <w:t>APO-TERIFLUNOMIDE</w:t>
            </w:r>
          </w:p>
          <w:p w14:paraId="230C53C7" w14:textId="77777777" w:rsidR="00023FA5" w:rsidRDefault="00023FA5" w:rsidP="00023FA5">
            <w:pPr>
              <w:pStyle w:val="Tablewriting"/>
            </w:pPr>
            <w:r>
              <w:t xml:space="preserve">Apotex Pty Ltd </w:t>
            </w:r>
          </w:p>
          <w:p w14:paraId="2AF6B2B1" w14:textId="77777777" w:rsidR="00023FA5" w:rsidRDefault="00023FA5" w:rsidP="00023FA5">
            <w:pPr>
              <w:pStyle w:val="Tablewriting"/>
            </w:pPr>
            <w:r>
              <w:t>Pharmacor Teriflunomide</w:t>
            </w:r>
          </w:p>
          <w:p w14:paraId="5531E905" w14:textId="77777777" w:rsidR="00023FA5" w:rsidRDefault="00023FA5" w:rsidP="00023FA5">
            <w:pPr>
              <w:pStyle w:val="Tablewriting"/>
            </w:pPr>
            <w:r>
              <w:t xml:space="preserve">Pharmacor Pty Limited </w:t>
            </w:r>
          </w:p>
          <w:p w14:paraId="76C551E9" w14:textId="77777777" w:rsidR="00023FA5" w:rsidRDefault="00023FA5" w:rsidP="00023FA5">
            <w:pPr>
              <w:pStyle w:val="Tablewriting"/>
            </w:pPr>
            <w:r>
              <w:t xml:space="preserve">TERIFLAGIO </w:t>
            </w:r>
          </w:p>
          <w:p w14:paraId="0AE44378" w14:textId="77777777" w:rsidR="00023FA5" w:rsidRDefault="00023FA5" w:rsidP="00023FA5">
            <w:pPr>
              <w:pStyle w:val="Tablewriting"/>
            </w:pPr>
            <w:r>
              <w:t xml:space="preserve">Arrow Pharma Pty Ltd </w:t>
            </w:r>
          </w:p>
          <w:p w14:paraId="71FD14C1" w14:textId="77777777" w:rsidR="00023FA5" w:rsidRDefault="00023FA5" w:rsidP="00023FA5">
            <w:pPr>
              <w:pStyle w:val="Tablewriting"/>
            </w:pPr>
            <w:r>
              <w:t xml:space="preserve">Teriflunomide Dr. Reddy’s </w:t>
            </w:r>
          </w:p>
          <w:p w14:paraId="151218DE" w14:textId="77777777" w:rsidR="00023FA5" w:rsidRDefault="00023FA5" w:rsidP="00023FA5">
            <w:pPr>
              <w:pStyle w:val="Tablewriting"/>
            </w:pPr>
            <w:r>
              <w:t xml:space="preserve">Dr Reddy’s Laboratories (Australia) Pty Ltd </w:t>
            </w:r>
          </w:p>
          <w:p w14:paraId="7250ADB9" w14:textId="77777777" w:rsidR="00023FA5" w:rsidRDefault="00023FA5" w:rsidP="00023FA5">
            <w:pPr>
              <w:pStyle w:val="Tablewriting"/>
            </w:pPr>
            <w:r>
              <w:t xml:space="preserve">Teriflunomide GH </w:t>
            </w:r>
          </w:p>
          <w:p w14:paraId="1C259170" w14:textId="77777777" w:rsidR="00023FA5" w:rsidRDefault="00023FA5" w:rsidP="00023FA5">
            <w:pPr>
              <w:pStyle w:val="Tablewriting"/>
            </w:pPr>
            <w:r>
              <w:t>Generic Health Pty Ltd</w:t>
            </w:r>
          </w:p>
          <w:p w14:paraId="684939A5" w14:textId="77777777" w:rsidR="00023FA5" w:rsidRDefault="00023FA5" w:rsidP="00023FA5">
            <w:pPr>
              <w:pStyle w:val="Tablewriting"/>
            </w:pPr>
            <w:r>
              <w:t>Teriflunomide Sandoz</w:t>
            </w:r>
          </w:p>
          <w:p w14:paraId="5C35657A" w14:textId="77777777" w:rsidR="00023FA5" w:rsidRDefault="00023FA5" w:rsidP="00023FA5">
            <w:pPr>
              <w:pStyle w:val="Tablewriting"/>
            </w:pPr>
            <w:r>
              <w:t xml:space="preserve">Sandoz Pty Ltd </w:t>
            </w:r>
          </w:p>
          <w:p w14:paraId="0782E0CD" w14:textId="77777777" w:rsidR="00023FA5" w:rsidRDefault="00023FA5" w:rsidP="00023FA5">
            <w:pPr>
              <w:pStyle w:val="Tablewriting"/>
            </w:pPr>
            <w:r>
              <w:t xml:space="preserve">Terimide </w:t>
            </w:r>
          </w:p>
          <w:p w14:paraId="42F6C607" w14:textId="77777777" w:rsidR="00023FA5" w:rsidRDefault="00023FA5" w:rsidP="00023FA5">
            <w:pPr>
              <w:pStyle w:val="Tablewriting"/>
            </w:pPr>
            <w:r>
              <w:t xml:space="preserve">Alphapharm Pty Ltd </w:t>
            </w:r>
          </w:p>
        </w:tc>
      </w:tr>
    </w:tbl>
    <w:p w14:paraId="7FBF684D" w14:textId="77777777" w:rsidR="00023FA5" w:rsidRDefault="00023FA5" w:rsidP="00023FA5">
      <w:pPr>
        <w:spacing w:line="276" w:lineRule="auto"/>
      </w:pPr>
    </w:p>
    <w:p w14:paraId="6D114F53" w14:textId="77777777" w:rsidR="00023FA5" w:rsidRDefault="00023FA5" w:rsidP="00023FA5">
      <w:pPr>
        <w:sectPr w:rsidR="00023FA5" w:rsidSect="00023FA5">
          <w:pgSz w:w="16838" w:h="11906" w:orient="landscape"/>
          <w:pgMar w:top="1588" w:right="1644" w:bottom="1361" w:left="1644" w:header="709" w:footer="709" w:gutter="0"/>
          <w:cols w:space="708"/>
          <w:docGrid w:linePitch="360"/>
        </w:sectPr>
      </w:pPr>
    </w:p>
    <w:p w14:paraId="4C1D1F02" w14:textId="77777777" w:rsidR="00023FA5" w:rsidRPr="00FD010D" w:rsidRDefault="00023FA5" w:rsidP="00023FA5">
      <w:pPr>
        <w:pStyle w:val="Heading2"/>
      </w:pPr>
      <w:r w:rsidRPr="00FD010D">
        <w:lastRenderedPageBreak/>
        <w:t>Appendix B: Chronology of PBS listed MS treatments</w:t>
      </w:r>
    </w:p>
    <w:tbl>
      <w:tblPr>
        <w:tblpPr w:leftFromText="180" w:rightFromText="180" w:vertAnchor="text" w:horzAnchor="margin" w:tblpXSpec="center" w:tblpY="86"/>
        <w:tblW w:w="8998" w:type="dxa"/>
        <w:tblLayout w:type="fixed"/>
        <w:tblLook w:val="04A0" w:firstRow="1" w:lastRow="0" w:firstColumn="1" w:lastColumn="0" w:noHBand="0" w:noVBand="1"/>
      </w:tblPr>
      <w:tblGrid>
        <w:gridCol w:w="1635"/>
        <w:gridCol w:w="1621"/>
        <w:gridCol w:w="850"/>
        <w:gridCol w:w="1134"/>
        <w:gridCol w:w="3758"/>
      </w:tblGrid>
      <w:tr w:rsidR="00023FA5" w:rsidRPr="006E2AC1" w14:paraId="77D9654D" w14:textId="77777777" w:rsidTr="00023FA5">
        <w:trPr>
          <w:trHeight w:val="485"/>
          <w:tblHeader/>
        </w:trPr>
        <w:tc>
          <w:tcPr>
            <w:tcW w:w="16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43B734F" w14:textId="77777777" w:rsidR="00023FA5" w:rsidRPr="00D36536" w:rsidRDefault="00023FA5" w:rsidP="00023FA5">
            <w:pPr>
              <w:spacing w:after="0"/>
              <w:jc w:val="center"/>
              <w:rPr>
                <w:rFonts w:ascii="Calibri" w:eastAsia="Times New Roman" w:hAnsi="Calibri" w:cs="Times New Roman"/>
                <w:b/>
                <w:sz w:val="18"/>
                <w:szCs w:val="18"/>
              </w:rPr>
            </w:pPr>
            <w:r w:rsidRPr="006E2AC1">
              <w:rPr>
                <w:rFonts w:ascii="Calibri" w:eastAsia="Times New Roman" w:hAnsi="Calibri" w:cs="Times New Roman"/>
                <w:b/>
                <w:sz w:val="18"/>
                <w:szCs w:val="18"/>
              </w:rPr>
              <w:t>Drug</w:t>
            </w:r>
          </w:p>
        </w:tc>
        <w:tc>
          <w:tcPr>
            <w:tcW w:w="1621" w:type="dxa"/>
            <w:tcBorders>
              <w:top w:val="single" w:sz="4" w:space="0" w:color="auto"/>
              <w:left w:val="nil"/>
              <w:bottom w:val="single" w:sz="4" w:space="0" w:color="auto"/>
              <w:right w:val="single" w:sz="4" w:space="0" w:color="auto"/>
            </w:tcBorders>
            <w:shd w:val="clear" w:color="auto" w:fill="BFBFBF" w:themeFill="background1" w:themeFillShade="BF"/>
            <w:hideMark/>
          </w:tcPr>
          <w:p w14:paraId="47C36089" w14:textId="77777777" w:rsidR="00023FA5" w:rsidRPr="00D36536" w:rsidRDefault="00023FA5" w:rsidP="00023FA5">
            <w:pPr>
              <w:spacing w:after="0"/>
              <w:jc w:val="center"/>
              <w:rPr>
                <w:rFonts w:ascii="Calibri" w:eastAsia="Times New Roman" w:hAnsi="Calibri" w:cs="Times New Roman"/>
                <w:b/>
                <w:sz w:val="18"/>
                <w:szCs w:val="18"/>
              </w:rPr>
            </w:pPr>
            <w:r w:rsidRPr="006E2AC1">
              <w:rPr>
                <w:rFonts w:ascii="Calibri" w:eastAsia="Times New Roman" w:hAnsi="Calibri" w:cs="Times New Roman"/>
                <w:b/>
                <w:sz w:val="18"/>
                <w:szCs w:val="18"/>
              </w:rPr>
              <w:t>Brand name</w:t>
            </w:r>
          </w:p>
        </w:tc>
        <w:tc>
          <w:tcPr>
            <w:tcW w:w="850" w:type="dxa"/>
            <w:tcBorders>
              <w:top w:val="single" w:sz="4" w:space="0" w:color="auto"/>
              <w:left w:val="nil"/>
              <w:bottom w:val="single" w:sz="4" w:space="0" w:color="auto"/>
              <w:right w:val="single" w:sz="4" w:space="0" w:color="auto"/>
            </w:tcBorders>
            <w:shd w:val="clear" w:color="auto" w:fill="BFBFBF" w:themeFill="background1" w:themeFillShade="BF"/>
            <w:hideMark/>
          </w:tcPr>
          <w:p w14:paraId="2D5B4282" w14:textId="77777777" w:rsidR="00023FA5" w:rsidRDefault="00023FA5" w:rsidP="00023FA5">
            <w:pPr>
              <w:spacing w:after="0"/>
              <w:jc w:val="center"/>
              <w:rPr>
                <w:rFonts w:ascii="Calibri" w:eastAsia="Times New Roman" w:hAnsi="Calibri" w:cs="Times New Roman"/>
                <w:b/>
                <w:sz w:val="18"/>
                <w:szCs w:val="18"/>
              </w:rPr>
            </w:pPr>
            <w:r w:rsidRPr="006E2AC1">
              <w:rPr>
                <w:rFonts w:ascii="Calibri" w:eastAsia="Times New Roman" w:hAnsi="Calibri" w:cs="Times New Roman"/>
                <w:b/>
                <w:sz w:val="18"/>
                <w:szCs w:val="18"/>
              </w:rPr>
              <w:t xml:space="preserve">Item </w:t>
            </w:r>
          </w:p>
          <w:p w14:paraId="21134DCB" w14:textId="77777777" w:rsidR="00023FA5" w:rsidRPr="00D36536" w:rsidRDefault="00023FA5" w:rsidP="00023FA5">
            <w:pPr>
              <w:spacing w:after="0"/>
              <w:jc w:val="center"/>
              <w:rPr>
                <w:rFonts w:ascii="Calibri" w:eastAsia="Times New Roman" w:hAnsi="Calibri" w:cs="Times New Roman"/>
                <w:b/>
                <w:sz w:val="18"/>
                <w:szCs w:val="18"/>
              </w:rPr>
            </w:pPr>
            <w:r w:rsidRPr="006E2AC1">
              <w:rPr>
                <w:rFonts w:ascii="Calibri" w:eastAsia="Times New Roman" w:hAnsi="Calibri" w:cs="Times New Roman"/>
                <w:b/>
                <w:sz w:val="18"/>
                <w:szCs w:val="18"/>
              </w:rPr>
              <w:t>code</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hideMark/>
          </w:tcPr>
          <w:p w14:paraId="7C9C330B" w14:textId="77777777" w:rsidR="00023FA5" w:rsidRPr="006E2AC1" w:rsidRDefault="00023FA5" w:rsidP="00023FA5">
            <w:pPr>
              <w:spacing w:after="0"/>
              <w:jc w:val="center"/>
              <w:rPr>
                <w:rFonts w:ascii="Calibri" w:eastAsia="Times New Roman" w:hAnsi="Calibri" w:cs="Times New Roman"/>
                <w:b/>
                <w:sz w:val="18"/>
                <w:szCs w:val="18"/>
              </w:rPr>
            </w:pPr>
            <w:r>
              <w:rPr>
                <w:rFonts w:ascii="Calibri" w:eastAsia="Times New Roman" w:hAnsi="Calibri" w:cs="Times New Roman"/>
                <w:b/>
                <w:sz w:val="18"/>
                <w:szCs w:val="18"/>
              </w:rPr>
              <w:t>First listing</w:t>
            </w:r>
          </w:p>
          <w:p w14:paraId="0F5F2615" w14:textId="77777777" w:rsidR="00023FA5" w:rsidRPr="00D36536" w:rsidRDefault="00023FA5" w:rsidP="00023FA5">
            <w:pPr>
              <w:spacing w:after="0"/>
              <w:jc w:val="center"/>
              <w:rPr>
                <w:rFonts w:ascii="Calibri" w:eastAsia="Times New Roman" w:hAnsi="Calibri" w:cs="Times New Roman"/>
                <w:b/>
                <w:sz w:val="18"/>
                <w:szCs w:val="18"/>
              </w:rPr>
            </w:pPr>
            <w:r w:rsidRPr="006E2AC1">
              <w:rPr>
                <w:rFonts w:ascii="Calibri" w:eastAsia="Times New Roman" w:hAnsi="Calibri" w:cs="Times New Roman"/>
                <w:b/>
                <w:sz w:val="18"/>
                <w:szCs w:val="18"/>
              </w:rPr>
              <w:t>date</w:t>
            </w:r>
          </w:p>
        </w:tc>
        <w:tc>
          <w:tcPr>
            <w:tcW w:w="3758" w:type="dxa"/>
            <w:tcBorders>
              <w:top w:val="single" w:sz="4" w:space="0" w:color="auto"/>
              <w:left w:val="nil"/>
              <w:bottom w:val="single" w:sz="4" w:space="0" w:color="auto"/>
              <w:right w:val="single" w:sz="4" w:space="0" w:color="auto"/>
            </w:tcBorders>
            <w:shd w:val="clear" w:color="auto" w:fill="BFBFBF" w:themeFill="background1" w:themeFillShade="BF"/>
            <w:hideMark/>
          </w:tcPr>
          <w:p w14:paraId="5044BB7C" w14:textId="77777777" w:rsidR="00023FA5" w:rsidRPr="00D36536" w:rsidRDefault="00023FA5" w:rsidP="00023FA5">
            <w:pPr>
              <w:spacing w:after="0"/>
              <w:jc w:val="center"/>
              <w:rPr>
                <w:rFonts w:ascii="Calibri" w:eastAsia="Times New Roman" w:hAnsi="Calibri" w:cs="Times New Roman"/>
                <w:b/>
                <w:sz w:val="18"/>
                <w:szCs w:val="18"/>
              </w:rPr>
            </w:pPr>
            <w:r w:rsidRPr="006E2AC1">
              <w:rPr>
                <w:rFonts w:ascii="Calibri" w:eastAsia="Times New Roman" w:hAnsi="Calibri" w:cs="Times New Roman"/>
                <w:b/>
                <w:sz w:val="18"/>
                <w:szCs w:val="18"/>
              </w:rPr>
              <w:t>Form and strength</w:t>
            </w:r>
          </w:p>
        </w:tc>
      </w:tr>
      <w:tr w:rsidR="00023FA5" w:rsidRPr="006E2AC1" w14:paraId="46EBCA13" w14:textId="77777777" w:rsidTr="00023FA5">
        <w:trPr>
          <w:trHeight w:val="451"/>
        </w:trPr>
        <w:tc>
          <w:tcPr>
            <w:tcW w:w="1635" w:type="dxa"/>
            <w:tcBorders>
              <w:top w:val="nil"/>
              <w:left w:val="single" w:sz="4" w:space="0" w:color="auto"/>
              <w:bottom w:val="single" w:sz="4" w:space="0" w:color="auto"/>
              <w:right w:val="single" w:sz="4" w:space="0" w:color="auto"/>
            </w:tcBorders>
            <w:shd w:val="clear" w:color="auto" w:fill="auto"/>
            <w:hideMark/>
          </w:tcPr>
          <w:p w14:paraId="6A103255"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interferon beta-1b</w:t>
            </w:r>
          </w:p>
        </w:tc>
        <w:tc>
          <w:tcPr>
            <w:tcW w:w="1621" w:type="dxa"/>
            <w:tcBorders>
              <w:top w:val="nil"/>
              <w:left w:val="nil"/>
              <w:bottom w:val="single" w:sz="4" w:space="0" w:color="auto"/>
              <w:right w:val="single" w:sz="4" w:space="0" w:color="auto"/>
            </w:tcBorders>
            <w:shd w:val="clear" w:color="auto" w:fill="auto"/>
            <w:hideMark/>
          </w:tcPr>
          <w:p w14:paraId="0A67CE5C"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Betaferon</w:t>
            </w:r>
          </w:p>
        </w:tc>
        <w:tc>
          <w:tcPr>
            <w:tcW w:w="850" w:type="dxa"/>
            <w:tcBorders>
              <w:top w:val="nil"/>
              <w:left w:val="nil"/>
              <w:bottom w:val="single" w:sz="4" w:space="0" w:color="auto"/>
              <w:right w:val="single" w:sz="4" w:space="0" w:color="auto"/>
            </w:tcBorders>
            <w:shd w:val="clear" w:color="auto" w:fill="auto"/>
            <w:hideMark/>
          </w:tcPr>
          <w:p w14:paraId="4B644CFA"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08101J</w:t>
            </w:r>
          </w:p>
        </w:tc>
        <w:tc>
          <w:tcPr>
            <w:tcW w:w="1134" w:type="dxa"/>
            <w:tcBorders>
              <w:top w:val="nil"/>
              <w:left w:val="nil"/>
              <w:bottom w:val="single" w:sz="4" w:space="0" w:color="auto"/>
              <w:right w:val="single" w:sz="4" w:space="0" w:color="auto"/>
            </w:tcBorders>
            <w:shd w:val="clear" w:color="auto" w:fill="auto"/>
            <w:hideMark/>
          </w:tcPr>
          <w:p w14:paraId="61E9FD71" w14:textId="77777777" w:rsidR="00023FA5" w:rsidRPr="00D36536" w:rsidRDefault="00023FA5" w:rsidP="00023FA5">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w:t>
            </w:r>
            <w:r>
              <w:rPr>
                <w:rFonts w:ascii="Calibri" w:eastAsia="Times New Roman" w:hAnsi="Calibri" w:cs="Times New Roman"/>
                <w:sz w:val="18"/>
                <w:szCs w:val="18"/>
              </w:rPr>
              <w:t xml:space="preserve"> </w:t>
            </w:r>
            <w:r w:rsidRPr="00D36536">
              <w:rPr>
                <w:rFonts w:ascii="Calibri" w:eastAsia="Times New Roman" w:hAnsi="Calibri" w:cs="Times New Roman"/>
                <w:sz w:val="18"/>
                <w:szCs w:val="18"/>
              </w:rPr>
              <w:t>Nov</w:t>
            </w:r>
            <w:r>
              <w:rPr>
                <w:rFonts w:ascii="Calibri" w:eastAsia="Times New Roman" w:hAnsi="Calibri" w:cs="Times New Roman"/>
                <w:sz w:val="18"/>
                <w:szCs w:val="18"/>
              </w:rPr>
              <w:t xml:space="preserve"> </w:t>
            </w:r>
            <w:r w:rsidRPr="00D36536">
              <w:rPr>
                <w:rFonts w:ascii="Calibri" w:eastAsia="Times New Roman" w:hAnsi="Calibri" w:cs="Times New Roman"/>
                <w:sz w:val="18"/>
                <w:szCs w:val="18"/>
              </w:rPr>
              <w:t>1996</w:t>
            </w:r>
          </w:p>
        </w:tc>
        <w:tc>
          <w:tcPr>
            <w:tcW w:w="3758" w:type="dxa"/>
            <w:tcBorders>
              <w:top w:val="nil"/>
              <w:left w:val="nil"/>
              <w:bottom w:val="single" w:sz="4" w:space="0" w:color="auto"/>
              <w:right w:val="single" w:sz="4" w:space="0" w:color="auto"/>
            </w:tcBorders>
            <w:shd w:val="clear" w:color="auto" w:fill="auto"/>
            <w:hideMark/>
          </w:tcPr>
          <w:p w14:paraId="68ACC418" w14:textId="1852832E"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injection set comprising 1 vial powder for injection providing a final dose of</w:t>
            </w:r>
            <w:r w:rsidR="00DF043D">
              <w:rPr>
                <w:rFonts w:ascii="Calibri" w:eastAsia="Times New Roman" w:hAnsi="Calibri" w:cs="Times New Roman"/>
                <w:sz w:val="18"/>
                <w:szCs w:val="18"/>
              </w:rPr>
              <w:t xml:space="preserve"> 250 micrograms</w:t>
            </w:r>
            <w:r w:rsidRPr="00D36536">
              <w:rPr>
                <w:rFonts w:ascii="Calibri" w:eastAsia="Times New Roman" w:hAnsi="Calibri" w:cs="Times New Roman"/>
                <w:sz w:val="18"/>
                <w:szCs w:val="18"/>
              </w:rPr>
              <w:t xml:space="preserve"> </w:t>
            </w:r>
            <w:r w:rsidR="00DF043D">
              <w:rPr>
                <w:rFonts w:ascii="Calibri" w:eastAsia="Times New Roman" w:hAnsi="Calibri" w:cs="Times New Roman"/>
                <w:sz w:val="18"/>
                <w:szCs w:val="18"/>
              </w:rPr>
              <w:t>(</w:t>
            </w:r>
            <w:r w:rsidRPr="00D36536">
              <w:rPr>
                <w:rFonts w:ascii="Calibri" w:eastAsia="Times New Roman" w:hAnsi="Calibri" w:cs="Times New Roman"/>
                <w:sz w:val="18"/>
                <w:szCs w:val="18"/>
              </w:rPr>
              <w:t>8,000,000 i.u.</w:t>
            </w:r>
            <w:r w:rsidR="00DF043D">
              <w:rPr>
                <w:rFonts w:ascii="Calibri" w:eastAsia="Times New Roman" w:hAnsi="Calibri" w:cs="Times New Roman"/>
                <w:sz w:val="18"/>
                <w:szCs w:val="18"/>
              </w:rPr>
              <w:t>)</w:t>
            </w:r>
            <w:r w:rsidRPr="00D36536">
              <w:rPr>
                <w:rFonts w:ascii="Calibri" w:eastAsia="Times New Roman" w:hAnsi="Calibri" w:cs="Times New Roman"/>
                <w:sz w:val="18"/>
                <w:szCs w:val="18"/>
              </w:rPr>
              <w:t xml:space="preserve"> and </w:t>
            </w:r>
            <w:r w:rsidR="00DF043D">
              <w:rPr>
                <w:rFonts w:ascii="Calibri" w:eastAsia="Times New Roman" w:hAnsi="Calibri" w:cs="Times New Roman"/>
                <w:sz w:val="18"/>
                <w:szCs w:val="18"/>
              </w:rPr>
              <w:t>2.25 ml pre-filled syringe with 1.2ml solvent</w:t>
            </w:r>
          </w:p>
        </w:tc>
      </w:tr>
      <w:tr w:rsidR="00023FA5" w:rsidRPr="006E2AC1" w14:paraId="70E1456C" w14:textId="77777777" w:rsidTr="00023FA5">
        <w:trPr>
          <w:trHeight w:val="414"/>
        </w:trPr>
        <w:tc>
          <w:tcPr>
            <w:tcW w:w="1635" w:type="dxa"/>
            <w:tcBorders>
              <w:top w:val="nil"/>
              <w:left w:val="single" w:sz="4" w:space="0" w:color="auto"/>
              <w:bottom w:val="single" w:sz="4" w:space="0" w:color="auto"/>
              <w:right w:val="single" w:sz="4" w:space="0" w:color="auto"/>
            </w:tcBorders>
            <w:shd w:val="clear" w:color="auto" w:fill="auto"/>
            <w:hideMark/>
          </w:tcPr>
          <w:p w14:paraId="5EB41052"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interferon beta-1a</w:t>
            </w:r>
            <w:r>
              <w:rPr>
                <w:rFonts w:ascii="Calibri" w:eastAsia="Times New Roman" w:hAnsi="Calibri" w:cs="Times New Roman"/>
                <w:sz w:val="18"/>
                <w:szCs w:val="18"/>
                <w:vertAlign w:val="superscript"/>
              </w:rPr>
              <w:t>a</w:t>
            </w:r>
          </w:p>
        </w:tc>
        <w:tc>
          <w:tcPr>
            <w:tcW w:w="1621" w:type="dxa"/>
            <w:tcBorders>
              <w:top w:val="nil"/>
              <w:left w:val="nil"/>
              <w:bottom w:val="single" w:sz="4" w:space="0" w:color="auto"/>
              <w:right w:val="single" w:sz="4" w:space="0" w:color="auto"/>
            </w:tcBorders>
            <w:shd w:val="clear" w:color="auto" w:fill="auto"/>
            <w:hideMark/>
          </w:tcPr>
          <w:p w14:paraId="3CE2F653"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Avonex</w:t>
            </w:r>
          </w:p>
        </w:tc>
        <w:tc>
          <w:tcPr>
            <w:tcW w:w="850" w:type="dxa"/>
            <w:tcBorders>
              <w:top w:val="nil"/>
              <w:left w:val="nil"/>
              <w:bottom w:val="single" w:sz="4" w:space="0" w:color="auto"/>
              <w:right w:val="single" w:sz="4" w:space="0" w:color="auto"/>
            </w:tcBorders>
            <w:shd w:val="clear" w:color="auto" w:fill="auto"/>
            <w:hideMark/>
          </w:tcPr>
          <w:p w14:paraId="6A10B481" w14:textId="77777777" w:rsidR="00023FA5" w:rsidRPr="007A40F2"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08289G</w:t>
            </w:r>
          </w:p>
        </w:tc>
        <w:tc>
          <w:tcPr>
            <w:tcW w:w="1134" w:type="dxa"/>
            <w:tcBorders>
              <w:top w:val="nil"/>
              <w:left w:val="nil"/>
              <w:bottom w:val="single" w:sz="4" w:space="0" w:color="auto"/>
              <w:right w:val="single" w:sz="4" w:space="0" w:color="auto"/>
            </w:tcBorders>
            <w:shd w:val="clear" w:color="auto" w:fill="auto"/>
            <w:hideMark/>
          </w:tcPr>
          <w:p w14:paraId="1DE9975A" w14:textId="77777777" w:rsidR="00023FA5" w:rsidRPr="00D36536" w:rsidRDefault="00023FA5" w:rsidP="00023FA5">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w:t>
            </w:r>
            <w:r>
              <w:rPr>
                <w:rFonts w:ascii="Calibri" w:eastAsia="Times New Roman" w:hAnsi="Calibri" w:cs="Times New Roman"/>
                <w:sz w:val="18"/>
                <w:szCs w:val="18"/>
              </w:rPr>
              <w:t xml:space="preserve"> </w:t>
            </w:r>
            <w:r w:rsidRPr="00D36536">
              <w:rPr>
                <w:rFonts w:ascii="Calibri" w:eastAsia="Times New Roman" w:hAnsi="Calibri" w:cs="Times New Roman"/>
                <w:sz w:val="18"/>
                <w:szCs w:val="18"/>
              </w:rPr>
              <w:t>Feb</w:t>
            </w:r>
            <w:r>
              <w:rPr>
                <w:rFonts w:ascii="Calibri" w:eastAsia="Times New Roman" w:hAnsi="Calibri" w:cs="Times New Roman"/>
                <w:sz w:val="18"/>
                <w:szCs w:val="18"/>
              </w:rPr>
              <w:t xml:space="preserve"> </w:t>
            </w:r>
            <w:r w:rsidRPr="00D36536">
              <w:rPr>
                <w:rFonts w:ascii="Calibri" w:eastAsia="Times New Roman" w:hAnsi="Calibri" w:cs="Times New Roman"/>
                <w:sz w:val="18"/>
                <w:szCs w:val="18"/>
              </w:rPr>
              <w:t>1999</w:t>
            </w:r>
          </w:p>
        </w:tc>
        <w:tc>
          <w:tcPr>
            <w:tcW w:w="3758" w:type="dxa"/>
            <w:tcBorders>
              <w:top w:val="nil"/>
              <w:left w:val="nil"/>
              <w:bottom w:val="single" w:sz="4" w:space="0" w:color="auto"/>
              <w:right w:val="single" w:sz="4" w:space="0" w:color="auto"/>
            </w:tcBorders>
            <w:shd w:val="clear" w:color="auto" w:fill="auto"/>
            <w:hideMark/>
          </w:tcPr>
          <w:p w14:paraId="25600D0C"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injection set comprising 1 vial powder for injection 30 micrograms (6,000,000 i.u.) and 1 ampoule solvent 2 ml</w:t>
            </w:r>
          </w:p>
        </w:tc>
      </w:tr>
      <w:tr w:rsidR="00023FA5" w:rsidRPr="006E2AC1" w14:paraId="120D3DD5" w14:textId="77777777" w:rsidTr="00023FA5">
        <w:trPr>
          <w:trHeight w:val="391"/>
        </w:trPr>
        <w:tc>
          <w:tcPr>
            <w:tcW w:w="1635" w:type="dxa"/>
            <w:tcBorders>
              <w:top w:val="nil"/>
              <w:left w:val="single" w:sz="4" w:space="0" w:color="auto"/>
              <w:bottom w:val="single" w:sz="4" w:space="0" w:color="auto"/>
              <w:right w:val="single" w:sz="4" w:space="0" w:color="auto"/>
            </w:tcBorders>
            <w:shd w:val="clear" w:color="auto" w:fill="auto"/>
            <w:hideMark/>
          </w:tcPr>
          <w:p w14:paraId="0D3125B1"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glatiramer acetate</w:t>
            </w:r>
            <w:r>
              <w:rPr>
                <w:rFonts w:ascii="Calibri" w:eastAsia="Times New Roman" w:hAnsi="Calibri" w:cs="Times New Roman"/>
                <w:sz w:val="18"/>
                <w:szCs w:val="18"/>
                <w:vertAlign w:val="superscript"/>
              </w:rPr>
              <w:t>b</w:t>
            </w:r>
          </w:p>
        </w:tc>
        <w:tc>
          <w:tcPr>
            <w:tcW w:w="1621" w:type="dxa"/>
            <w:tcBorders>
              <w:top w:val="nil"/>
              <w:left w:val="nil"/>
              <w:bottom w:val="single" w:sz="4" w:space="0" w:color="auto"/>
              <w:right w:val="single" w:sz="4" w:space="0" w:color="auto"/>
            </w:tcBorders>
            <w:shd w:val="clear" w:color="auto" w:fill="auto"/>
            <w:hideMark/>
          </w:tcPr>
          <w:p w14:paraId="317FA8AE"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Copaxone</w:t>
            </w:r>
          </w:p>
        </w:tc>
        <w:tc>
          <w:tcPr>
            <w:tcW w:w="850" w:type="dxa"/>
            <w:tcBorders>
              <w:top w:val="nil"/>
              <w:left w:val="nil"/>
              <w:bottom w:val="single" w:sz="4" w:space="0" w:color="auto"/>
              <w:right w:val="single" w:sz="4" w:space="0" w:color="auto"/>
            </w:tcBorders>
            <w:shd w:val="clear" w:color="auto" w:fill="auto"/>
            <w:hideMark/>
          </w:tcPr>
          <w:p w14:paraId="0976E997" w14:textId="77777777" w:rsidR="00023FA5" w:rsidRPr="007A40F2"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08352N</w:t>
            </w:r>
          </w:p>
        </w:tc>
        <w:tc>
          <w:tcPr>
            <w:tcW w:w="1134" w:type="dxa"/>
            <w:tcBorders>
              <w:top w:val="nil"/>
              <w:left w:val="nil"/>
              <w:bottom w:val="single" w:sz="4" w:space="0" w:color="auto"/>
              <w:right w:val="single" w:sz="4" w:space="0" w:color="auto"/>
            </w:tcBorders>
            <w:shd w:val="clear" w:color="auto" w:fill="auto"/>
            <w:hideMark/>
          </w:tcPr>
          <w:p w14:paraId="31EBF92F" w14:textId="77777777" w:rsidR="00023FA5" w:rsidRPr="00D36536" w:rsidRDefault="00023FA5" w:rsidP="00023FA5">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w:t>
            </w:r>
            <w:r>
              <w:rPr>
                <w:rFonts w:ascii="Calibri" w:eastAsia="Times New Roman" w:hAnsi="Calibri" w:cs="Times New Roman"/>
                <w:sz w:val="18"/>
                <w:szCs w:val="18"/>
              </w:rPr>
              <w:t xml:space="preserve"> </w:t>
            </w:r>
            <w:r w:rsidRPr="00D36536">
              <w:rPr>
                <w:rFonts w:ascii="Calibri" w:eastAsia="Times New Roman" w:hAnsi="Calibri" w:cs="Times New Roman"/>
                <w:sz w:val="18"/>
                <w:szCs w:val="18"/>
              </w:rPr>
              <w:t>Nov</w:t>
            </w:r>
            <w:r>
              <w:rPr>
                <w:rFonts w:ascii="Calibri" w:eastAsia="Times New Roman" w:hAnsi="Calibri" w:cs="Times New Roman"/>
                <w:sz w:val="18"/>
                <w:szCs w:val="18"/>
              </w:rPr>
              <w:t xml:space="preserve"> </w:t>
            </w:r>
            <w:r w:rsidRPr="00D36536">
              <w:rPr>
                <w:rFonts w:ascii="Calibri" w:eastAsia="Times New Roman" w:hAnsi="Calibri" w:cs="Times New Roman"/>
                <w:sz w:val="18"/>
                <w:szCs w:val="18"/>
              </w:rPr>
              <w:t>1999</w:t>
            </w:r>
          </w:p>
        </w:tc>
        <w:tc>
          <w:tcPr>
            <w:tcW w:w="3758" w:type="dxa"/>
            <w:tcBorders>
              <w:top w:val="nil"/>
              <w:left w:val="nil"/>
              <w:bottom w:val="single" w:sz="4" w:space="0" w:color="auto"/>
              <w:right w:val="single" w:sz="4" w:space="0" w:color="auto"/>
            </w:tcBorders>
            <w:shd w:val="clear" w:color="auto" w:fill="auto"/>
            <w:hideMark/>
          </w:tcPr>
          <w:p w14:paraId="44C343CF"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powder for subcutaneous injection 20 mg in single use vial and 1 ampoule diluent 1.1 ml</w:t>
            </w:r>
          </w:p>
        </w:tc>
      </w:tr>
      <w:tr w:rsidR="00023FA5" w:rsidRPr="006E2AC1" w14:paraId="36A57F49" w14:textId="77777777" w:rsidTr="00023FA5">
        <w:trPr>
          <w:trHeight w:val="497"/>
        </w:trPr>
        <w:tc>
          <w:tcPr>
            <w:tcW w:w="1635" w:type="dxa"/>
            <w:tcBorders>
              <w:top w:val="nil"/>
              <w:left w:val="single" w:sz="4" w:space="0" w:color="auto"/>
              <w:bottom w:val="single" w:sz="4" w:space="0" w:color="auto"/>
              <w:right w:val="single" w:sz="4" w:space="0" w:color="auto"/>
            </w:tcBorders>
            <w:shd w:val="clear" w:color="auto" w:fill="auto"/>
            <w:hideMark/>
          </w:tcPr>
          <w:p w14:paraId="2109E1DB"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interferon beta-1a</w:t>
            </w:r>
          </w:p>
        </w:tc>
        <w:tc>
          <w:tcPr>
            <w:tcW w:w="1621" w:type="dxa"/>
            <w:tcBorders>
              <w:top w:val="nil"/>
              <w:left w:val="nil"/>
              <w:bottom w:val="single" w:sz="4" w:space="0" w:color="auto"/>
              <w:right w:val="single" w:sz="4" w:space="0" w:color="auto"/>
            </w:tcBorders>
            <w:shd w:val="clear" w:color="auto" w:fill="auto"/>
            <w:hideMark/>
          </w:tcPr>
          <w:p w14:paraId="132A615B"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Rebif 22</w:t>
            </w:r>
          </w:p>
        </w:tc>
        <w:tc>
          <w:tcPr>
            <w:tcW w:w="850" w:type="dxa"/>
            <w:tcBorders>
              <w:top w:val="nil"/>
              <w:left w:val="nil"/>
              <w:bottom w:val="single" w:sz="4" w:space="0" w:color="auto"/>
              <w:right w:val="single" w:sz="4" w:space="0" w:color="auto"/>
            </w:tcBorders>
            <w:shd w:val="clear" w:color="auto" w:fill="auto"/>
            <w:hideMark/>
          </w:tcPr>
          <w:p w14:paraId="5BE5AEE2"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08402F</w:t>
            </w:r>
          </w:p>
        </w:tc>
        <w:tc>
          <w:tcPr>
            <w:tcW w:w="1134" w:type="dxa"/>
            <w:tcBorders>
              <w:top w:val="nil"/>
              <w:left w:val="nil"/>
              <w:bottom w:val="single" w:sz="4" w:space="0" w:color="auto"/>
              <w:right w:val="single" w:sz="4" w:space="0" w:color="auto"/>
            </w:tcBorders>
            <w:shd w:val="clear" w:color="auto" w:fill="auto"/>
            <w:hideMark/>
          </w:tcPr>
          <w:p w14:paraId="1572F13E" w14:textId="77777777" w:rsidR="00023FA5" w:rsidRPr="00D36536" w:rsidRDefault="00023FA5" w:rsidP="00023FA5">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w:t>
            </w:r>
            <w:r>
              <w:rPr>
                <w:rFonts w:ascii="Calibri" w:eastAsia="Times New Roman" w:hAnsi="Calibri" w:cs="Times New Roman"/>
                <w:sz w:val="18"/>
                <w:szCs w:val="18"/>
              </w:rPr>
              <w:t xml:space="preserve"> </w:t>
            </w:r>
            <w:r w:rsidRPr="00D36536">
              <w:rPr>
                <w:rFonts w:ascii="Calibri" w:eastAsia="Times New Roman" w:hAnsi="Calibri" w:cs="Times New Roman"/>
                <w:sz w:val="18"/>
                <w:szCs w:val="18"/>
              </w:rPr>
              <w:t>May</w:t>
            </w:r>
            <w:r>
              <w:rPr>
                <w:rFonts w:ascii="Calibri" w:eastAsia="Times New Roman" w:hAnsi="Calibri" w:cs="Times New Roman"/>
                <w:sz w:val="18"/>
                <w:szCs w:val="18"/>
              </w:rPr>
              <w:t xml:space="preserve"> </w:t>
            </w:r>
            <w:r w:rsidRPr="00D36536">
              <w:rPr>
                <w:rFonts w:ascii="Calibri" w:eastAsia="Times New Roman" w:hAnsi="Calibri" w:cs="Times New Roman"/>
                <w:sz w:val="18"/>
                <w:szCs w:val="18"/>
              </w:rPr>
              <w:t>2000</w:t>
            </w:r>
          </w:p>
        </w:tc>
        <w:tc>
          <w:tcPr>
            <w:tcW w:w="3758" w:type="dxa"/>
            <w:tcBorders>
              <w:top w:val="nil"/>
              <w:left w:val="nil"/>
              <w:bottom w:val="single" w:sz="4" w:space="0" w:color="auto"/>
              <w:right w:val="single" w:sz="4" w:space="0" w:color="auto"/>
            </w:tcBorders>
            <w:shd w:val="clear" w:color="auto" w:fill="auto"/>
            <w:hideMark/>
          </w:tcPr>
          <w:p w14:paraId="759D8288"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injection 22 micrograms (6,000,000 i.u.) in 0.5 ml single dose pre-filled syringe</w:t>
            </w:r>
          </w:p>
        </w:tc>
      </w:tr>
      <w:tr w:rsidR="00023FA5" w:rsidRPr="006E2AC1" w14:paraId="443C8314" w14:textId="77777777" w:rsidTr="00023FA5">
        <w:trPr>
          <w:trHeight w:val="419"/>
        </w:trPr>
        <w:tc>
          <w:tcPr>
            <w:tcW w:w="1635" w:type="dxa"/>
            <w:tcBorders>
              <w:top w:val="nil"/>
              <w:left w:val="single" w:sz="4" w:space="0" w:color="auto"/>
              <w:bottom w:val="single" w:sz="4" w:space="0" w:color="auto"/>
              <w:right w:val="single" w:sz="4" w:space="0" w:color="auto"/>
            </w:tcBorders>
            <w:shd w:val="clear" w:color="auto" w:fill="auto"/>
            <w:hideMark/>
          </w:tcPr>
          <w:p w14:paraId="0610F24F"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interferon beta-1a</w:t>
            </w:r>
          </w:p>
        </w:tc>
        <w:tc>
          <w:tcPr>
            <w:tcW w:w="1621" w:type="dxa"/>
            <w:tcBorders>
              <w:top w:val="nil"/>
              <w:left w:val="nil"/>
              <w:bottom w:val="single" w:sz="4" w:space="0" w:color="auto"/>
              <w:right w:val="single" w:sz="4" w:space="0" w:color="auto"/>
            </w:tcBorders>
            <w:shd w:val="clear" w:color="auto" w:fill="auto"/>
            <w:hideMark/>
          </w:tcPr>
          <w:p w14:paraId="532C6B8F"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Rebif 44</w:t>
            </w:r>
          </w:p>
        </w:tc>
        <w:tc>
          <w:tcPr>
            <w:tcW w:w="850" w:type="dxa"/>
            <w:tcBorders>
              <w:top w:val="nil"/>
              <w:left w:val="nil"/>
              <w:bottom w:val="single" w:sz="4" w:space="0" w:color="auto"/>
              <w:right w:val="single" w:sz="4" w:space="0" w:color="auto"/>
            </w:tcBorders>
            <w:shd w:val="clear" w:color="auto" w:fill="auto"/>
            <w:hideMark/>
          </w:tcPr>
          <w:p w14:paraId="6A2722E4"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8403G</w:t>
            </w:r>
          </w:p>
        </w:tc>
        <w:tc>
          <w:tcPr>
            <w:tcW w:w="1134" w:type="dxa"/>
            <w:tcBorders>
              <w:top w:val="nil"/>
              <w:left w:val="nil"/>
              <w:bottom w:val="single" w:sz="4" w:space="0" w:color="auto"/>
              <w:right w:val="single" w:sz="4" w:space="0" w:color="auto"/>
            </w:tcBorders>
            <w:shd w:val="clear" w:color="auto" w:fill="auto"/>
            <w:hideMark/>
          </w:tcPr>
          <w:p w14:paraId="7A726BC7" w14:textId="77777777" w:rsidR="00023FA5" w:rsidRPr="00D36536" w:rsidRDefault="00023FA5" w:rsidP="00023FA5">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w:t>
            </w:r>
            <w:r>
              <w:rPr>
                <w:rFonts w:ascii="Calibri" w:eastAsia="Times New Roman" w:hAnsi="Calibri" w:cs="Times New Roman"/>
                <w:sz w:val="18"/>
                <w:szCs w:val="18"/>
              </w:rPr>
              <w:t xml:space="preserve"> </w:t>
            </w:r>
            <w:r w:rsidRPr="00D36536">
              <w:rPr>
                <w:rFonts w:ascii="Calibri" w:eastAsia="Times New Roman" w:hAnsi="Calibri" w:cs="Times New Roman"/>
                <w:sz w:val="18"/>
                <w:szCs w:val="18"/>
              </w:rPr>
              <w:t>May</w:t>
            </w:r>
            <w:r>
              <w:rPr>
                <w:rFonts w:ascii="Calibri" w:eastAsia="Times New Roman" w:hAnsi="Calibri" w:cs="Times New Roman"/>
                <w:sz w:val="18"/>
                <w:szCs w:val="18"/>
              </w:rPr>
              <w:t xml:space="preserve"> </w:t>
            </w:r>
            <w:r w:rsidRPr="00D36536">
              <w:rPr>
                <w:rFonts w:ascii="Calibri" w:eastAsia="Times New Roman" w:hAnsi="Calibri" w:cs="Times New Roman"/>
                <w:sz w:val="18"/>
                <w:szCs w:val="18"/>
              </w:rPr>
              <w:t>2000</w:t>
            </w:r>
          </w:p>
        </w:tc>
        <w:tc>
          <w:tcPr>
            <w:tcW w:w="3758" w:type="dxa"/>
            <w:tcBorders>
              <w:top w:val="nil"/>
              <w:left w:val="nil"/>
              <w:bottom w:val="single" w:sz="4" w:space="0" w:color="auto"/>
              <w:right w:val="single" w:sz="4" w:space="0" w:color="auto"/>
            </w:tcBorders>
            <w:shd w:val="clear" w:color="auto" w:fill="auto"/>
            <w:hideMark/>
          </w:tcPr>
          <w:p w14:paraId="129DA12A"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injection 44 micrograms (12,000,000 i.u.) in 0.5 ml single dose pre-filled syringe</w:t>
            </w:r>
          </w:p>
        </w:tc>
      </w:tr>
      <w:tr w:rsidR="00023FA5" w:rsidRPr="006E2AC1" w14:paraId="30E44C9D" w14:textId="77777777" w:rsidTr="00023FA5">
        <w:trPr>
          <w:trHeight w:val="256"/>
        </w:trPr>
        <w:tc>
          <w:tcPr>
            <w:tcW w:w="1635" w:type="dxa"/>
            <w:tcBorders>
              <w:top w:val="nil"/>
              <w:left w:val="single" w:sz="4" w:space="0" w:color="auto"/>
              <w:bottom w:val="single" w:sz="4" w:space="0" w:color="auto"/>
              <w:right w:val="single" w:sz="4" w:space="0" w:color="auto"/>
            </w:tcBorders>
            <w:shd w:val="clear" w:color="auto" w:fill="auto"/>
            <w:hideMark/>
          </w:tcPr>
          <w:p w14:paraId="607D604B"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glatiramer acetate</w:t>
            </w:r>
            <w:r>
              <w:rPr>
                <w:rFonts w:ascii="Calibri" w:eastAsia="Times New Roman" w:hAnsi="Calibri" w:cs="Times New Roman"/>
                <w:sz w:val="18"/>
                <w:szCs w:val="18"/>
                <w:vertAlign w:val="superscript"/>
              </w:rPr>
              <w:t>c</w:t>
            </w:r>
          </w:p>
        </w:tc>
        <w:tc>
          <w:tcPr>
            <w:tcW w:w="1621" w:type="dxa"/>
            <w:tcBorders>
              <w:top w:val="nil"/>
              <w:left w:val="nil"/>
              <w:bottom w:val="single" w:sz="4" w:space="0" w:color="auto"/>
              <w:right w:val="single" w:sz="4" w:space="0" w:color="auto"/>
            </w:tcBorders>
            <w:shd w:val="clear" w:color="auto" w:fill="auto"/>
            <w:hideMark/>
          </w:tcPr>
          <w:p w14:paraId="44E408C5"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Copaxone</w:t>
            </w:r>
          </w:p>
        </w:tc>
        <w:tc>
          <w:tcPr>
            <w:tcW w:w="850" w:type="dxa"/>
            <w:tcBorders>
              <w:top w:val="nil"/>
              <w:left w:val="nil"/>
              <w:bottom w:val="single" w:sz="4" w:space="0" w:color="auto"/>
              <w:right w:val="single" w:sz="4" w:space="0" w:color="auto"/>
            </w:tcBorders>
            <w:shd w:val="clear" w:color="auto" w:fill="auto"/>
            <w:hideMark/>
          </w:tcPr>
          <w:p w14:paraId="7B313A24" w14:textId="77777777" w:rsidR="00023FA5" w:rsidRPr="007A40F2"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08726G</w:t>
            </w:r>
          </w:p>
        </w:tc>
        <w:tc>
          <w:tcPr>
            <w:tcW w:w="1134" w:type="dxa"/>
            <w:tcBorders>
              <w:top w:val="nil"/>
              <w:left w:val="nil"/>
              <w:bottom w:val="single" w:sz="4" w:space="0" w:color="auto"/>
              <w:right w:val="single" w:sz="4" w:space="0" w:color="auto"/>
            </w:tcBorders>
            <w:shd w:val="clear" w:color="auto" w:fill="auto"/>
            <w:hideMark/>
          </w:tcPr>
          <w:p w14:paraId="2A906958" w14:textId="77777777" w:rsidR="00023FA5" w:rsidRPr="00D36536" w:rsidRDefault="00023FA5" w:rsidP="00023FA5">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w:t>
            </w:r>
            <w:r>
              <w:rPr>
                <w:rFonts w:ascii="Calibri" w:eastAsia="Times New Roman" w:hAnsi="Calibri" w:cs="Times New Roman"/>
                <w:sz w:val="18"/>
                <w:szCs w:val="18"/>
              </w:rPr>
              <w:t xml:space="preserve"> </w:t>
            </w:r>
            <w:r w:rsidRPr="00D36536">
              <w:rPr>
                <w:rFonts w:ascii="Calibri" w:eastAsia="Times New Roman" w:hAnsi="Calibri" w:cs="Times New Roman"/>
                <w:sz w:val="18"/>
                <w:szCs w:val="18"/>
              </w:rPr>
              <w:t>May</w:t>
            </w:r>
            <w:r>
              <w:rPr>
                <w:rFonts w:ascii="Calibri" w:eastAsia="Times New Roman" w:hAnsi="Calibri" w:cs="Times New Roman"/>
                <w:sz w:val="18"/>
                <w:szCs w:val="18"/>
              </w:rPr>
              <w:t xml:space="preserve"> </w:t>
            </w:r>
            <w:r w:rsidRPr="00D36536">
              <w:rPr>
                <w:rFonts w:ascii="Calibri" w:eastAsia="Times New Roman" w:hAnsi="Calibri" w:cs="Times New Roman"/>
                <w:sz w:val="18"/>
                <w:szCs w:val="18"/>
              </w:rPr>
              <w:t>2004</w:t>
            </w:r>
          </w:p>
        </w:tc>
        <w:tc>
          <w:tcPr>
            <w:tcW w:w="3758" w:type="dxa"/>
            <w:tcBorders>
              <w:top w:val="nil"/>
              <w:left w:val="nil"/>
              <w:bottom w:val="single" w:sz="4" w:space="0" w:color="auto"/>
              <w:right w:val="single" w:sz="4" w:space="0" w:color="auto"/>
            </w:tcBorders>
            <w:shd w:val="clear" w:color="auto" w:fill="auto"/>
            <w:hideMark/>
          </w:tcPr>
          <w:p w14:paraId="01262EF6"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injection 20 mg in 1 ml single dose pre-filled syringe</w:t>
            </w:r>
          </w:p>
        </w:tc>
      </w:tr>
      <w:tr w:rsidR="00023FA5" w:rsidRPr="006E2AC1" w14:paraId="16EE3A46" w14:textId="77777777" w:rsidTr="00023FA5">
        <w:trPr>
          <w:trHeight w:val="401"/>
        </w:trPr>
        <w:tc>
          <w:tcPr>
            <w:tcW w:w="1635" w:type="dxa"/>
            <w:tcBorders>
              <w:top w:val="nil"/>
              <w:left w:val="single" w:sz="4" w:space="0" w:color="auto"/>
              <w:bottom w:val="single" w:sz="4" w:space="0" w:color="auto"/>
              <w:right w:val="single" w:sz="4" w:space="0" w:color="auto"/>
            </w:tcBorders>
            <w:shd w:val="clear" w:color="auto" w:fill="auto"/>
            <w:hideMark/>
          </w:tcPr>
          <w:p w14:paraId="415BF42F"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interferon beta-1a</w:t>
            </w:r>
          </w:p>
        </w:tc>
        <w:tc>
          <w:tcPr>
            <w:tcW w:w="1621" w:type="dxa"/>
            <w:tcBorders>
              <w:top w:val="nil"/>
              <w:left w:val="nil"/>
              <w:bottom w:val="single" w:sz="4" w:space="0" w:color="auto"/>
              <w:right w:val="single" w:sz="4" w:space="0" w:color="auto"/>
            </w:tcBorders>
            <w:shd w:val="clear" w:color="auto" w:fill="auto"/>
            <w:hideMark/>
          </w:tcPr>
          <w:p w14:paraId="7FB3898C"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Avonex</w:t>
            </w:r>
          </w:p>
        </w:tc>
        <w:tc>
          <w:tcPr>
            <w:tcW w:w="850" w:type="dxa"/>
            <w:tcBorders>
              <w:top w:val="nil"/>
              <w:left w:val="nil"/>
              <w:bottom w:val="single" w:sz="4" w:space="0" w:color="auto"/>
              <w:right w:val="single" w:sz="4" w:space="0" w:color="auto"/>
            </w:tcBorders>
            <w:shd w:val="clear" w:color="auto" w:fill="auto"/>
            <w:hideMark/>
          </w:tcPr>
          <w:p w14:paraId="25B0B98B"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08805K</w:t>
            </w:r>
          </w:p>
        </w:tc>
        <w:tc>
          <w:tcPr>
            <w:tcW w:w="1134" w:type="dxa"/>
            <w:tcBorders>
              <w:top w:val="nil"/>
              <w:left w:val="nil"/>
              <w:bottom w:val="single" w:sz="4" w:space="0" w:color="auto"/>
              <w:right w:val="single" w:sz="4" w:space="0" w:color="auto"/>
            </w:tcBorders>
            <w:shd w:val="clear" w:color="auto" w:fill="auto"/>
            <w:hideMark/>
          </w:tcPr>
          <w:p w14:paraId="07CAE2BD" w14:textId="77777777" w:rsidR="00023FA5" w:rsidRPr="00D36536" w:rsidRDefault="00023FA5" w:rsidP="00023FA5">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w:t>
            </w:r>
            <w:r>
              <w:rPr>
                <w:rFonts w:ascii="Calibri" w:eastAsia="Times New Roman" w:hAnsi="Calibri" w:cs="Times New Roman"/>
                <w:sz w:val="18"/>
                <w:szCs w:val="18"/>
              </w:rPr>
              <w:t xml:space="preserve"> </w:t>
            </w:r>
            <w:r w:rsidRPr="00D36536">
              <w:rPr>
                <w:rFonts w:ascii="Calibri" w:eastAsia="Times New Roman" w:hAnsi="Calibri" w:cs="Times New Roman"/>
                <w:sz w:val="18"/>
                <w:szCs w:val="18"/>
              </w:rPr>
              <w:t>Apr</w:t>
            </w:r>
            <w:r>
              <w:rPr>
                <w:rFonts w:ascii="Calibri" w:eastAsia="Times New Roman" w:hAnsi="Calibri" w:cs="Times New Roman"/>
                <w:sz w:val="18"/>
                <w:szCs w:val="18"/>
              </w:rPr>
              <w:t xml:space="preserve"> </w:t>
            </w:r>
            <w:r w:rsidRPr="00D36536">
              <w:rPr>
                <w:rFonts w:ascii="Calibri" w:eastAsia="Times New Roman" w:hAnsi="Calibri" w:cs="Times New Roman"/>
                <w:sz w:val="18"/>
                <w:szCs w:val="18"/>
              </w:rPr>
              <w:t>2005</w:t>
            </w:r>
          </w:p>
        </w:tc>
        <w:tc>
          <w:tcPr>
            <w:tcW w:w="3758" w:type="dxa"/>
            <w:tcBorders>
              <w:top w:val="nil"/>
              <w:left w:val="nil"/>
              <w:bottom w:val="single" w:sz="4" w:space="0" w:color="auto"/>
              <w:right w:val="single" w:sz="4" w:space="0" w:color="auto"/>
            </w:tcBorders>
            <w:shd w:val="clear" w:color="auto" w:fill="auto"/>
            <w:hideMark/>
          </w:tcPr>
          <w:p w14:paraId="0D692CF4"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injection 30 micrograms (6,000,000 i.u.) in 0.5 ml single dose pre-filled syringe</w:t>
            </w:r>
          </w:p>
        </w:tc>
      </w:tr>
      <w:tr w:rsidR="00023FA5" w:rsidRPr="006E2AC1" w14:paraId="34731F21" w14:textId="77777777" w:rsidTr="00023FA5">
        <w:trPr>
          <w:trHeight w:val="238"/>
        </w:trPr>
        <w:tc>
          <w:tcPr>
            <w:tcW w:w="1635" w:type="dxa"/>
            <w:tcBorders>
              <w:top w:val="nil"/>
              <w:left w:val="single" w:sz="4" w:space="0" w:color="auto"/>
              <w:bottom w:val="single" w:sz="4" w:space="0" w:color="auto"/>
              <w:right w:val="single" w:sz="4" w:space="0" w:color="auto"/>
            </w:tcBorders>
            <w:shd w:val="clear" w:color="auto" w:fill="auto"/>
            <w:hideMark/>
          </w:tcPr>
          <w:p w14:paraId="4C3E5AA8"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natalizumab</w:t>
            </w:r>
          </w:p>
        </w:tc>
        <w:tc>
          <w:tcPr>
            <w:tcW w:w="1621" w:type="dxa"/>
            <w:tcBorders>
              <w:top w:val="nil"/>
              <w:left w:val="nil"/>
              <w:bottom w:val="single" w:sz="4" w:space="0" w:color="auto"/>
              <w:right w:val="single" w:sz="4" w:space="0" w:color="auto"/>
            </w:tcBorders>
            <w:shd w:val="clear" w:color="auto" w:fill="auto"/>
            <w:hideMark/>
          </w:tcPr>
          <w:p w14:paraId="0F28C6F6"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Tysabri</w:t>
            </w:r>
          </w:p>
        </w:tc>
        <w:tc>
          <w:tcPr>
            <w:tcW w:w="850" w:type="dxa"/>
            <w:tcBorders>
              <w:top w:val="nil"/>
              <w:left w:val="nil"/>
              <w:bottom w:val="single" w:sz="4" w:space="0" w:color="auto"/>
              <w:right w:val="single" w:sz="4" w:space="0" w:color="auto"/>
            </w:tcBorders>
            <w:shd w:val="clear" w:color="auto" w:fill="auto"/>
            <w:hideMark/>
          </w:tcPr>
          <w:p w14:paraId="2A657C5F"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09624M</w:t>
            </w:r>
          </w:p>
        </w:tc>
        <w:tc>
          <w:tcPr>
            <w:tcW w:w="1134" w:type="dxa"/>
            <w:tcBorders>
              <w:top w:val="nil"/>
              <w:left w:val="nil"/>
              <w:bottom w:val="single" w:sz="4" w:space="0" w:color="auto"/>
              <w:right w:val="single" w:sz="4" w:space="0" w:color="auto"/>
            </w:tcBorders>
            <w:shd w:val="clear" w:color="auto" w:fill="auto"/>
            <w:hideMark/>
          </w:tcPr>
          <w:p w14:paraId="12611A69" w14:textId="77777777" w:rsidR="00023FA5" w:rsidRPr="00D36536" w:rsidRDefault="00023FA5" w:rsidP="00023FA5">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w:t>
            </w:r>
            <w:r>
              <w:rPr>
                <w:rFonts w:ascii="Calibri" w:eastAsia="Times New Roman" w:hAnsi="Calibri" w:cs="Times New Roman"/>
                <w:sz w:val="18"/>
                <w:szCs w:val="18"/>
              </w:rPr>
              <w:t xml:space="preserve"> </w:t>
            </w:r>
            <w:r w:rsidRPr="00D36536">
              <w:rPr>
                <w:rFonts w:ascii="Calibri" w:eastAsia="Times New Roman" w:hAnsi="Calibri" w:cs="Times New Roman"/>
                <w:sz w:val="18"/>
                <w:szCs w:val="18"/>
              </w:rPr>
              <w:t>Jul</w:t>
            </w:r>
            <w:r>
              <w:rPr>
                <w:rFonts w:ascii="Calibri" w:eastAsia="Times New Roman" w:hAnsi="Calibri" w:cs="Times New Roman"/>
                <w:sz w:val="18"/>
                <w:szCs w:val="18"/>
              </w:rPr>
              <w:t xml:space="preserve"> </w:t>
            </w:r>
            <w:r w:rsidRPr="00D36536">
              <w:rPr>
                <w:rFonts w:ascii="Calibri" w:eastAsia="Times New Roman" w:hAnsi="Calibri" w:cs="Times New Roman"/>
                <w:sz w:val="18"/>
                <w:szCs w:val="18"/>
              </w:rPr>
              <w:t>2008</w:t>
            </w:r>
          </w:p>
        </w:tc>
        <w:tc>
          <w:tcPr>
            <w:tcW w:w="3758" w:type="dxa"/>
            <w:tcBorders>
              <w:top w:val="nil"/>
              <w:left w:val="nil"/>
              <w:bottom w:val="single" w:sz="4" w:space="0" w:color="auto"/>
              <w:right w:val="single" w:sz="4" w:space="0" w:color="auto"/>
            </w:tcBorders>
            <w:shd w:val="clear" w:color="auto" w:fill="auto"/>
            <w:hideMark/>
          </w:tcPr>
          <w:p w14:paraId="323EF614"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solution concentrate for i.v. infusion 300 mg in 15 ml</w:t>
            </w:r>
          </w:p>
        </w:tc>
      </w:tr>
      <w:tr w:rsidR="00023FA5" w:rsidRPr="006E2AC1" w14:paraId="32F30867" w14:textId="77777777" w:rsidTr="00023FA5">
        <w:trPr>
          <w:trHeight w:val="254"/>
        </w:trPr>
        <w:tc>
          <w:tcPr>
            <w:tcW w:w="1635" w:type="dxa"/>
            <w:tcBorders>
              <w:top w:val="nil"/>
              <w:left w:val="single" w:sz="4" w:space="0" w:color="auto"/>
              <w:bottom w:val="single" w:sz="4" w:space="0" w:color="auto"/>
              <w:right w:val="single" w:sz="4" w:space="0" w:color="auto"/>
            </w:tcBorders>
            <w:shd w:val="clear" w:color="auto" w:fill="auto"/>
            <w:hideMark/>
          </w:tcPr>
          <w:p w14:paraId="3F7E01DD"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interferon beta-1a</w:t>
            </w:r>
          </w:p>
        </w:tc>
        <w:tc>
          <w:tcPr>
            <w:tcW w:w="1621" w:type="dxa"/>
            <w:tcBorders>
              <w:top w:val="nil"/>
              <w:left w:val="nil"/>
              <w:bottom w:val="single" w:sz="4" w:space="0" w:color="auto"/>
              <w:right w:val="single" w:sz="4" w:space="0" w:color="auto"/>
            </w:tcBorders>
            <w:shd w:val="clear" w:color="auto" w:fill="auto"/>
            <w:hideMark/>
          </w:tcPr>
          <w:p w14:paraId="601A630F"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Rebif 44</w:t>
            </w:r>
          </w:p>
        </w:tc>
        <w:tc>
          <w:tcPr>
            <w:tcW w:w="850" w:type="dxa"/>
            <w:tcBorders>
              <w:top w:val="nil"/>
              <w:left w:val="nil"/>
              <w:bottom w:val="single" w:sz="4" w:space="0" w:color="auto"/>
              <w:right w:val="single" w:sz="4" w:space="0" w:color="auto"/>
            </w:tcBorders>
            <w:shd w:val="clear" w:color="auto" w:fill="auto"/>
            <w:hideMark/>
          </w:tcPr>
          <w:p w14:paraId="6F57263D"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09332E</w:t>
            </w:r>
          </w:p>
        </w:tc>
        <w:tc>
          <w:tcPr>
            <w:tcW w:w="1134" w:type="dxa"/>
            <w:tcBorders>
              <w:top w:val="nil"/>
              <w:left w:val="nil"/>
              <w:bottom w:val="single" w:sz="4" w:space="0" w:color="auto"/>
              <w:right w:val="single" w:sz="4" w:space="0" w:color="auto"/>
            </w:tcBorders>
            <w:shd w:val="clear" w:color="auto" w:fill="auto"/>
            <w:hideMark/>
          </w:tcPr>
          <w:p w14:paraId="7D62F2A9" w14:textId="77777777" w:rsidR="00023FA5" w:rsidRPr="00D36536" w:rsidRDefault="00023FA5" w:rsidP="00023FA5">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w:t>
            </w:r>
            <w:r>
              <w:rPr>
                <w:rFonts w:ascii="Calibri" w:eastAsia="Times New Roman" w:hAnsi="Calibri" w:cs="Times New Roman"/>
                <w:sz w:val="18"/>
                <w:szCs w:val="18"/>
              </w:rPr>
              <w:t xml:space="preserve"> </w:t>
            </w:r>
            <w:r w:rsidRPr="00D36536">
              <w:rPr>
                <w:rFonts w:ascii="Calibri" w:eastAsia="Times New Roman" w:hAnsi="Calibri" w:cs="Times New Roman"/>
                <w:sz w:val="18"/>
                <w:szCs w:val="18"/>
              </w:rPr>
              <w:t>May</w:t>
            </w:r>
            <w:r>
              <w:rPr>
                <w:rFonts w:ascii="Calibri" w:eastAsia="Times New Roman" w:hAnsi="Calibri" w:cs="Times New Roman"/>
                <w:sz w:val="18"/>
                <w:szCs w:val="18"/>
              </w:rPr>
              <w:t xml:space="preserve"> </w:t>
            </w:r>
            <w:r w:rsidRPr="00D36536">
              <w:rPr>
                <w:rFonts w:ascii="Calibri" w:eastAsia="Times New Roman" w:hAnsi="Calibri" w:cs="Times New Roman"/>
                <w:sz w:val="18"/>
                <w:szCs w:val="18"/>
              </w:rPr>
              <w:t>2010</w:t>
            </w:r>
          </w:p>
        </w:tc>
        <w:tc>
          <w:tcPr>
            <w:tcW w:w="3758" w:type="dxa"/>
            <w:tcBorders>
              <w:top w:val="nil"/>
              <w:left w:val="nil"/>
              <w:bottom w:val="single" w:sz="4" w:space="0" w:color="auto"/>
              <w:right w:val="single" w:sz="4" w:space="0" w:color="auto"/>
            </w:tcBorders>
            <w:shd w:val="clear" w:color="auto" w:fill="auto"/>
            <w:hideMark/>
          </w:tcPr>
          <w:p w14:paraId="58042B03"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solution for injection 132 micrograms in 1.5 ml multidose cartridge</w:t>
            </w:r>
          </w:p>
        </w:tc>
      </w:tr>
      <w:tr w:rsidR="00023FA5" w:rsidRPr="006E2AC1" w14:paraId="72B0AD2E" w14:textId="77777777" w:rsidTr="00023FA5">
        <w:trPr>
          <w:trHeight w:val="262"/>
        </w:trPr>
        <w:tc>
          <w:tcPr>
            <w:tcW w:w="1635" w:type="dxa"/>
            <w:tcBorders>
              <w:top w:val="nil"/>
              <w:left w:val="single" w:sz="4" w:space="0" w:color="auto"/>
              <w:bottom w:val="single" w:sz="4" w:space="0" w:color="auto"/>
              <w:right w:val="single" w:sz="4" w:space="0" w:color="auto"/>
            </w:tcBorders>
            <w:shd w:val="clear" w:color="auto" w:fill="auto"/>
            <w:hideMark/>
          </w:tcPr>
          <w:p w14:paraId="309629FD"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natalizumab</w:t>
            </w:r>
          </w:p>
        </w:tc>
        <w:tc>
          <w:tcPr>
            <w:tcW w:w="1621" w:type="dxa"/>
            <w:tcBorders>
              <w:top w:val="nil"/>
              <w:left w:val="nil"/>
              <w:bottom w:val="single" w:sz="4" w:space="0" w:color="auto"/>
              <w:right w:val="single" w:sz="4" w:space="0" w:color="auto"/>
            </w:tcBorders>
            <w:shd w:val="clear" w:color="auto" w:fill="auto"/>
            <w:hideMark/>
          </w:tcPr>
          <w:p w14:paraId="0BD5AF32"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Tysabri</w:t>
            </w:r>
          </w:p>
        </w:tc>
        <w:tc>
          <w:tcPr>
            <w:tcW w:w="850" w:type="dxa"/>
            <w:tcBorders>
              <w:top w:val="nil"/>
              <w:left w:val="nil"/>
              <w:bottom w:val="single" w:sz="4" w:space="0" w:color="auto"/>
              <w:right w:val="single" w:sz="4" w:space="0" w:color="auto"/>
            </w:tcBorders>
            <w:shd w:val="clear" w:color="auto" w:fill="auto"/>
            <w:hideMark/>
          </w:tcPr>
          <w:p w14:paraId="1FAED44D"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09505G</w:t>
            </w:r>
          </w:p>
        </w:tc>
        <w:tc>
          <w:tcPr>
            <w:tcW w:w="1134" w:type="dxa"/>
            <w:tcBorders>
              <w:top w:val="nil"/>
              <w:left w:val="nil"/>
              <w:bottom w:val="single" w:sz="4" w:space="0" w:color="auto"/>
              <w:right w:val="single" w:sz="4" w:space="0" w:color="auto"/>
            </w:tcBorders>
            <w:shd w:val="clear" w:color="auto" w:fill="auto"/>
            <w:hideMark/>
          </w:tcPr>
          <w:p w14:paraId="11135E39" w14:textId="77777777" w:rsidR="00023FA5" w:rsidRPr="00D36536" w:rsidRDefault="00023FA5" w:rsidP="00023FA5">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w:t>
            </w:r>
            <w:r>
              <w:rPr>
                <w:rFonts w:ascii="Calibri" w:eastAsia="Times New Roman" w:hAnsi="Calibri" w:cs="Times New Roman"/>
                <w:sz w:val="18"/>
                <w:szCs w:val="18"/>
              </w:rPr>
              <w:t xml:space="preserve"> </w:t>
            </w:r>
            <w:r w:rsidRPr="00D36536">
              <w:rPr>
                <w:rFonts w:ascii="Calibri" w:eastAsia="Times New Roman" w:hAnsi="Calibri" w:cs="Times New Roman"/>
                <w:sz w:val="18"/>
                <w:szCs w:val="18"/>
              </w:rPr>
              <w:t>Jul</w:t>
            </w:r>
            <w:r>
              <w:rPr>
                <w:rFonts w:ascii="Calibri" w:eastAsia="Times New Roman" w:hAnsi="Calibri" w:cs="Times New Roman"/>
                <w:sz w:val="18"/>
                <w:szCs w:val="18"/>
              </w:rPr>
              <w:t xml:space="preserve"> </w:t>
            </w:r>
            <w:r w:rsidRPr="00D36536">
              <w:rPr>
                <w:rFonts w:ascii="Calibri" w:eastAsia="Times New Roman" w:hAnsi="Calibri" w:cs="Times New Roman"/>
                <w:sz w:val="18"/>
                <w:szCs w:val="18"/>
              </w:rPr>
              <w:t>2010</w:t>
            </w:r>
          </w:p>
        </w:tc>
        <w:tc>
          <w:tcPr>
            <w:tcW w:w="3758" w:type="dxa"/>
            <w:tcBorders>
              <w:top w:val="nil"/>
              <w:left w:val="nil"/>
              <w:bottom w:val="single" w:sz="4" w:space="0" w:color="auto"/>
              <w:right w:val="single" w:sz="4" w:space="0" w:color="auto"/>
            </w:tcBorders>
            <w:shd w:val="clear" w:color="auto" w:fill="auto"/>
            <w:hideMark/>
          </w:tcPr>
          <w:p w14:paraId="2F1278CA"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solution concentrate for i.v. infusion 300 mg in 15 ml</w:t>
            </w:r>
          </w:p>
        </w:tc>
      </w:tr>
      <w:tr w:rsidR="00023FA5" w:rsidRPr="006E2AC1" w14:paraId="15466236" w14:textId="77777777" w:rsidTr="00023FA5">
        <w:trPr>
          <w:trHeight w:val="422"/>
        </w:trPr>
        <w:tc>
          <w:tcPr>
            <w:tcW w:w="1635" w:type="dxa"/>
            <w:tcBorders>
              <w:top w:val="nil"/>
              <w:left w:val="single" w:sz="4" w:space="0" w:color="auto"/>
              <w:bottom w:val="single" w:sz="4" w:space="0" w:color="auto"/>
              <w:right w:val="single" w:sz="4" w:space="0" w:color="auto"/>
            </w:tcBorders>
            <w:shd w:val="clear" w:color="auto" w:fill="auto"/>
            <w:hideMark/>
          </w:tcPr>
          <w:p w14:paraId="7EF0A8B4"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interferon beta-1a</w:t>
            </w:r>
          </w:p>
        </w:tc>
        <w:tc>
          <w:tcPr>
            <w:tcW w:w="1621" w:type="dxa"/>
            <w:tcBorders>
              <w:top w:val="nil"/>
              <w:left w:val="nil"/>
              <w:bottom w:val="single" w:sz="4" w:space="0" w:color="auto"/>
              <w:right w:val="single" w:sz="4" w:space="0" w:color="auto"/>
            </w:tcBorders>
            <w:shd w:val="clear" w:color="auto" w:fill="auto"/>
            <w:hideMark/>
          </w:tcPr>
          <w:p w14:paraId="71851047"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Rebif 44</w:t>
            </w:r>
          </w:p>
        </w:tc>
        <w:tc>
          <w:tcPr>
            <w:tcW w:w="850" w:type="dxa"/>
            <w:tcBorders>
              <w:top w:val="nil"/>
              <w:left w:val="nil"/>
              <w:bottom w:val="single" w:sz="4" w:space="0" w:color="auto"/>
              <w:right w:val="single" w:sz="4" w:space="0" w:color="auto"/>
            </w:tcBorders>
            <w:shd w:val="clear" w:color="auto" w:fill="auto"/>
            <w:hideMark/>
          </w:tcPr>
          <w:p w14:paraId="18CE5C9F"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08968B</w:t>
            </w:r>
          </w:p>
        </w:tc>
        <w:tc>
          <w:tcPr>
            <w:tcW w:w="1134" w:type="dxa"/>
            <w:tcBorders>
              <w:top w:val="nil"/>
              <w:left w:val="nil"/>
              <w:bottom w:val="single" w:sz="4" w:space="0" w:color="auto"/>
              <w:right w:val="single" w:sz="4" w:space="0" w:color="auto"/>
            </w:tcBorders>
            <w:shd w:val="clear" w:color="auto" w:fill="auto"/>
            <w:hideMark/>
          </w:tcPr>
          <w:p w14:paraId="3FC3F7BC" w14:textId="77777777" w:rsidR="00023FA5" w:rsidRPr="00D36536" w:rsidRDefault="00023FA5" w:rsidP="00023FA5">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w:t>
            </w:r>
            <w:r>
              <w:rPr>
                <w:rFonts w:ascii="Calibri" w:eastAsia="Times New Roman" w:hAnsi="Calibri" w:cs="Times New Roman"/>
                <w:sz w:val="18"/>
                <w:szCs w:val="18"/>
              </w:rPr>
              <w:t xml:space="preserve"> </w:t>
            </w:r>
            <w:r w:rsidRPr="00D36536">
              <w:rPr>
                <w:rFonts w:ascii="Calibri" w:eastAsia="Times New Roman" w:hAnsi="Calibri" w:cs="Times New Roman"/>
                <w:sz w:val="18"/>
                <w:szCs w:val="18"/>
              </w:rPr>
              <w:t>May</w:t>
            </w:r>
            <w:r>
              <w:rPr>
                <w:rFonts w:ascii="Calibri" w:eastAsia="Times New Roman" w:hAnsi="Calibri" w:cs="Times New Roman"/>
                <w:sz w:val="18"/>
                <w:szCs w:val="18"/>
              </w:rPr>
              <w:t xml:space="preserve"> </w:t>
            </w:r>
            <w:r w:rsidRPr="00D36536">
              <w:rPr>
                <w:rFonts w:ascii="Calibri" w:eastAsia="Times New Roman" w:hAnsi="Calibri" w:cs="Times New Roman"/>
                <w:sz w:val="18"/>
                <w:szCs w:val="18"/>
              </w:rPr>
              <w:t>2011</w:t>
            </w:r>
          </w:p>
        </w:tc>
        <w:tc>
          <w:tcPr>
            <w:tcW w:w="3758" w:type="dxa"/>
            <w:tcBorders>
              <w:top w:val="nil"/>
              <w:left w:val="nil"/>
              <w:bottom w:val="single" w:sz="4" w:space="0" w:color="auto"/>
              <w:right w:val="single" w:sz="4" w:space="0" w:color="auto"/>
            </w:tcBorders>
            <w:shd w:val="clear" w:color="auto" w:fill="auto"/>
            <w:hideMark/>
          </w:tcPr>
          <w:p w14:paraId="5C03B512"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injection 44 micrograms (12,000,000 i.u.) in 0.5 ml single dose autoinjector</w:t>
            </w:r>
          </w:p>
        </w:tc>
      </w:tr>
      <w:tr w:rsidR="00023FA5" w:rsidRPr="006E2AC1" w14:paraId="067D11A9" w14:textId="77777777" w:rsidTr="00023FA5">
        <w:trPr>
          <w:trHeight w:val="243"/>
        </w:trPr>
        <w:tc>
          <w:tcPr>
            <w:tcW w:w="1635" w:type="dxa"/>
            <w:tcBorders>
              <w:top w:val="nil"/>
              <w:left w:val="single" w:sz="4" w:space="0" w:color="auto"/>
              <w:bottom w:val="single" w:sz="4" w:space="0" w:color="auto"/>
              <w:right w:val="single" w:sz="4" w:space="0" w:color="auto"/>
            </w:tcBorders>
            <w:shd w:val="clear" w:color="auto" w:fill="auto"/>
            <w:hideMark/>
          </w:tcPr>
          <w:p w14:paraId="48326FF5"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fingolimod</w:t>
            </w:r>
          </w:p>
        </w:tc>
        <w:tc>
          <w:tcPr>
            <w:tcW w:w="1621" w:type="dxa"/>
            <w:tcBorders>
              <w:top w:val="nil"/>
              <w:left w:val="nil"/>
              <w:bottom w:val="single" w:sz="4" w:space="0" w:color="auto"/>
              <w:right w:val="single" w:sz="4" w:space="0" w:color="auto"/>
            </w:tcBorders>
            <w:shd w:val="clear" w:color="auto" w:fill="auto"/>
            <w:hideMark/>
          </w:tcPr>
          <w:p w14:paraId="51FDE8A3"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Gilenya</w:t>
            </w:r>
          </w:p>
        </w:tc>
        <w:tc>
          <w:tcPr>
            <w:tcW w:w="850" w:type="dxa"/>
            <w:tcBorders>
              <w:top w:val="nil"/>
              <w:left w:val="nil"/>
              <w:bottom w:val="single" w:sz="4" w:space="0" w:color="auto"/>
              <w:right w:val="single" w:sz="4" w:space="0" w:color="auto"/>
            </w:tcBorders>
            <w:shd w:val="clear" w:color="auto" w:fill="auto"/>
            <w:hideMark/>
          </w:tcPr>
          <w:p w14:paraId="14D29EDE"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05262Y</w:t>
            </w:r>
          </w:p>
        </w:tc>
        <w:tc>
          <w:tcPr>
            <w:tcW w:w="1134" w:type="dxa"/>
            <w:tcBorders>
              <w:top w:val="nil"/>
              <w:left w:val="nil"/>
              <w:bottom w:val="single" w:sz="4" w:space="0" w:color="auto"/>
              <w:right w:val="single" w:sz="4" w:space="0" w:color="auto"/>
            </w:tcBorders>
            <w:shd w:val="clear" w:color="auto" w:fill="auto"/>
            <w:hideMark/>
          </w:tcPr>
          <w:p w14:paraId="6F256278" w14:textId="77777777" w:rsidR="00023FA5" w:rsidRPr="00D36536" w:rsidRDefault="00023FA5" w:rsidP="00023FA5">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w:t>
            </w:r>
            <w:r>
              <w:rPr>
                <w:rFonts w:ascii="Calibri" w:eastAsia="Times New Roman" w:hAnsi="Calibri" w:cs="Times New Roman"/>
                <w:sz w:val="18"/>
                <w:szCs w:val="18"/>
              </w:rPr>
              <w:t xml:space="preserve"> </w:t>
            </w:r>
            <w:r w:rsidRPr="00D36536">
              <w:rPr>
                <w:rFonts w:ascii="Calibri" w:eastAsia="Times New Roman" w:hAnsi="Calibri" w:cs="Times New Roman"/>
                <w:sz w:val="18"/>
                <w:szCs w:val="18"/>
              </w:rPr>
              <w:t>Sep</w:t>
            </w:r>
            <w:r>
              <w:rPr>
                <w:rFonts w:ascii="Calibri" w:eastAsia="Times New Roman" w:hAnsi="Calibri" w:cs="Times New Roman"/>
                <w:sz w:val="18"/>
                <w:szCs w:val="18"/>
              </w:rPr>
              <w:t xml:space="preserve"> </w:t>
            </w:r>
            <w:r w:rsidRPr="00D36536">
              <w:rPr>
                <w:rFonts w:ascii="Calibri" w:eastAsia="Times New Roman" w:hAnsi="Calibri" w:cs="Times New Roman"/>
                <w:sz w:val="18"/>
                <w:szCs w:val="18"/>
              </w:rPr>
              <w:t>2011</w:t>
            </w:r>
          </w:p>
        </w:tc>
        <w:tc>
          <w:tcPr>
            <w:tcW w:w="3758" w:type="dxa"/>
            <w:tcBorders>
              <w:top w:val="nil"/>
              <w:left w:val="nil"/>
              <w:bottom w:val="single" w:sz="4" w:space="0" w:color="auto"/>
              <w:right w:val="single" w:sz="4" w:space="0" w:color="auto"/>
            </w:tcBorders>
            <w:shd w:val="clear" w:color="auto" w:fill="auto"/>
            <w:hideMark/>
          </w:tcPr>
          <w:p w14:paraId="083F7BCD"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capsule 500 micrograms (as hydrochloride)</w:t>
            </w:r>
          </w:p>
        </w:tc>
      </w:tr>
      <w:tr w:rsidR="00023FA5" w:rsidRPr="006E2AC1" w14:paraId="7A2206D2" w14:textId="77777777" w:rsidTr="00023FA5">
        <w:trPr>
          <w:trHeight w:val="217"/>
        </w:trPr>
        <w:tc>
          <w:tcPr>
            <w:tcW w:w="1635" w:type="dxa"/>
            <w:tcBorders>
              <w:top w:val="nil"/>
              <w:left w:val="single" w:sz="4" w:space="0" w:color="auto"/>
              <w:bottom w:val="single" w:sz="4" w:space="0" w:color="auto"/>
              <w:right w:val="single" w:sz="4" w:space="0" w:color="auto"/>
            </w:tcBorders>
            <w:shd w:val="clear" w:color="auto" w:fill="auto"/>
            <w:hideMark/>
          </w:tcPr>
          <w:p w14:paraId="071B3DFD"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dimethyl fumarate</w:t>
            </w:r>
          </w:p>
        </w:tc>
        <w:tc>
          <w:tcPr>
            <w:tcW w:w="1621" w:type="dxa"/>
            <w:tcBorders>
              <w:top w:val="nil"/>
              <w:left w:val="nil"/>
              <w:bottom w:val="single" w:sz="4" w:space="0" w:color="auto"/>
              <w:right w:val="single" w:sz="4" w:space="0" w:color="auto"/>
            </w:tcBorders>
            <w:shd w:val="clear" w:color="auto" w:fill="auto"/>
            <w:hideMark/>
          </w:tcPr>
          <w:p w14:paraId="3B25D23A"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Tecfidera</w:t>
            </w:r>
          </w:p>
        </w:tc>
        <w:tc>
          <w:tcPr>
            <w:tcW w:w="850" w:type="dxa"/>
            <w:tcBorders>
              <w:top w:val="nil"/>
              <w:left w:val="nil"/>
              <w:bottom w:val="single" w:sz="4" w:space="0" w:color="auto"/>
              <w:right w:val="single" w:sz="4" w:space="0" w:color="auto"/>
            </w:tcBorders>
            <w:shd w:val="clear" w:color="auto" w:fill="auto"/>
            <w:hideMark/>
          </w:tcPr>
          <w:p w14:paraId="34FEC134"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02896K</w:t>
            </w:r>
          </w:p>
        </w:tc>
        <w:tc>
          <w:tcPr>
            <w:tcW w:w="1134" w:type="dxa"/>
            <w:tcBorders>
              <w:top w:val="nil"/>
              <w:left w:val="nil"/>
              <w:bottom w:val="single" w:sz="4" w:space="0" w:color="auto"/>
              <w:right w:val="single" w:sz="4" w:space="0" w:color="auto"/>
            </w:tcBorders>
            <w:shd w:val="clear" w:color="auto" w:fill="auto"/>
            <w:hideMark/>
          </w:tcPr>
          <w:p w14:paraId="2C46C255" w14:textId="77777777" w:rsidR="00023FA5" w:rsidRPr="00D36536" w:rsidRDefault="00023FA5" w:rsidP="00023FA5">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w:t>
            </w:r>
            <w:r>
              <w:rPr>
                <w:rFonts w:ascii="Calibri" w:eastAsia="Times New Roman" w:hAnsi="Calibri" w:cs="Times New Roman"/>
                <w:sz w:val="18"/>
                <w:szCs w:val="18"/>
              </w:rPr>
              <w:t xml:space="preserve"> </w:t>
            </w:r>
            <w:r w:rsidRPr="00D36536">
              <w:rPr>
                <w:rFonts w:ascii="Calibri" w:eastAsia="Times New Roman" w:hAnsi="Calibri" w:cs="Times New Roman"/>
                <w:sz w:val="18"/>
                <w:szCs w:val="18"/>
              </w:rPr>
              <w:t>Dec</w:t>
            </w:r>
            <w:r>
              <w:rPr>
                <w:rFonts w:ascii="Calibri" w:eastAsia="Times New Roman" w:hAnsi="Calibri" w:cs="Times New Roman"/>
                <w:sz w:val="18"/>
                <w:szCs w:val="18"/>
              </w:rPr>
              <w:t xml:space="preserve"> </w:t>
            </w:r>
            <w:r w:rsidRPr="00D36536">
              <w:rPr>
                <w:rFonts w:ascii="Calibri" w:eastAsia="Times New Roman" w:hAnsi="Calibri" w:cs="Times New Roman"/>
                <w:sz w:val="18"/>
                <w:szCs w:val="18"/>
              </w:rPr>
              <w:t>2013</w:t>
            </w:r>
          </w:p>
        </w:tc>
        <w:tc>
          <w:tcPr>
            <w:tcW w:w="3758" w:type="dxa"/>
            <w:tcBorders>
              <w:top w:val="nil"/>
              <w:left w:val="nil"/>
              <w:bottom w:val="single" w:sz="4" w:space="0" w:color="auto"/>
              <w:right w:val="single" w:sz="4" w:space="0" w:color="auto"/>
            </w:tcBorders>
            <w:shd w:val="clear" w:color="auto" w:fill="auto"/>
            <w:hideMark/>
          </w:tcPr>
          <w:p w14:paraId="3199F392"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capsule (modified release) 120 mg</w:t>
            </w:r>
          </w:p>
        </w:tc>
      </w:tr>
      <w:tr w:rsidR="00023FA5" w:rsidRPr="006E2AC1" w14:paraId="3BEA916A" w14:textId="77777777" w:rsidTr="00023FA5">
        <w:trPr>
          <w:trHeight w:val="179"/>
        </w:trPr>
        <w:tc>
          <w:tcPr>
            <w:tcW w:w="1635" w:type="dxa"/>
            <w:tcBorders>
              <w:top w:val="nil"/>
              <w:left w:val="single" w:sz="4" w:space="0" w:color="auto"/>
              <w:bottom w:val="single" w:sz="4" w:space="0" w:color="auto"/>
              <w:right w:val="single" w:sz="4" w:space="0" w:color="auto"/>
            </w:tcBorders>
            <w:shd w:val="clear" w:color="auto" w:fill="auto"/>
            <w:hideMark/>
          </w:tcPr>
          <w:p w14:paraId="066C9DE1"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dimethyl fumarate</w:t>
            </w:r>
          </w:p>
        </w:tc>
        <w:tc>
          <w:tcPr>
            <w:tcW w:w="1621" w:type="dxa"/>
            <w:tcBorders>
              <w:top w:val="nil"/>
              <w:left w:val="nil"/>
              <w:bottom w:val="single" w:sz="4" w:space="0" w:color="auto"/>
              <w:right w:val="single" w:sz="4" w:space="0" w:color="auto"/>
            </w:tcBorders>
            <w:shd w:val="clear" w:color="auto" w:fill="auto"/>
            <w:hideMark/>
          </w:tcPr>
          <w:p w14:paraId="0FF17052"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Tecfidera</w:t>
            </w:r>
          </w:p>
        </w:tc>
        <w:tc>
          <w:tcPr>
            <w:tcW w:w="850" w:type="dxa"/>
            <w:tcBorders>
              <w:top w:val="nil"/>
              <w:left w:val="nil"/>
              <w:bottom w:val="single" w:sz="4" w:space="0" w:color="auto"/>
              <w:right w:val="single" w:sz="4" w:space="0" w:color="auto"/>
            </w:tcBorders>
            <w:shd w:val="clear" w:color="auto" w:fill="auto"/>
            <w:hideMark/>
          </w:tcPr>
          <w:p w14:paraId="3C6EBA61"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02943X</w:t>
            </w:r>
          </w:p>
        </w:tc>
        <w:tc>
          <w:tcPr>
            <w:tcW w:w="1134" w:type="dxa"/>
            <w:tcBorders>
              <w:top w:val="nil"/>
              <w:left w:val="nil"/>
              <w:bottom w:val="single" w:sz="4" w:space="0" w:color="auto"/>
              <w:right w:val="single" w:sz="4" w:space="0" w:color="auto"/>
            </w:tcBorders>
            <w:shd w:val="clear" w:color="auto" w:fill="auto"/>
            <w:hideMark/>
          </w:tcPr>
          <w:p w14:paraId="7EF0E4BD" w14:textId="77777777" w:rsidR="00023FA5" w:rsidRPr="00D36536" w:rsidRDefault="00023FA5" w:rsidP="00023FA5">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w:t>
            </w:r>
            <w:r>
              <w:rPr>
                <w:rFonts w:ascii="Calibri" w:eastAsia="Times New Roman" w:hAnsi="Calibri" w:cs="Times New Roman"/>
                <w:sz w:val="18"/>
                <w:szCs w:val="18"/>
              </w:rPr>
              <w:t xml:space="preserve"> </w:t>
            </w:r>
            <w:r w:rsidRPr="00D36536">
              <w:rPr>
                <w:rFonts w:ascii="Calibri" w:eastAsia="Times New Roman" w:hAnsi="Calibri" w:cs="Times New Roman"/>
                <w:sz w:val="18"/>
                <w:szCs w:val="18"/>
              </w:rPr>
              <w:t>Dec</w:t>
            </w:r>
            <w:r>
              <w:rPr>
                <w:rFonts w:ascii="Calibri" w:eastAsia="Times New Roman" w:hAnsi="Calibri" w:cs="Times New Roman"/>
                <w:sz w:val="18"/>
                <w:szCs w:val="18"/>
              </w:rPr>
              <w:t xml:space="preserve"> </w:t>
            </w:r>
            <w:r w:rsidRPr="00D36536">
              <w:rPr>
                <w:rFonts w:ascii="Calibri" w:eastAsia="Times New Roman" w:hAnsi="Calibri" w:cs="Times New Roman"/>
                <w:sz w:val="18"/>
                <w:szCs w:val="18"/>
              </w:rPr>
              <w:t>2013</w:t>
            </w:r>
          </w:p>
        </w:tc>
        <w:tc>
          <w:tcPr>
            <w:tcW w:w="3758" w:type="dxa"/>
            <w:tcBorders>
              <w:top w:val="nil"/>
              <w:left w:val="nil"/>
              <w:bottom w:val="single" w:sz="4" w:space="0" w:color="auto"/>
              <w:right w:val="single" w:sz="4" w:space="0" w:color="auto"/>
            </w:tcBorders>
            <w:shd w:val="clear" w:color="auto" w:fill="auto"/>
            <w:hideMark/>
          </w:tcPr>
          <w:p w14:paraId="7A842E21"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capsule (modified release) 120 mg</w:t>
            </w:r>
          </w:p>
        </w:tc>
      </w:tr>
      <w:tr w:rsidR="00023FA5" w:rsidRPr="006E2AC1" w14:paraId="3B9C58FC" w14:textId="77777777" w:rsidTr="00023FA5">
        <w:trPr>
          <w:trHeight w:val="240"/>
        </w:trPr>
        <w:tc>
          <w:tcPr>
            <w:tcW w:w="1635" w:type="dxa"/>
            <w:tcBorders>
              <w:top w:val="nil"/>
              <w:left w:val="single" w:sz="4" w:space="0" w:color="auto"/>
              <w:bottom w:val="single" w:sz="4" w:space="0" w:color="auto"/>
              <w:right w:val="single" w:sz="4" w:space="0" w:color="auto"/>
            </w:tcBorders>
            <w:shd w:val="clear" w:color="auto" w:fill="auto"/>
            <w:hideMark/>
          </w:tcPr>
          <w:p w14:paraId="30D958DD"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dimethyl fumarate</w:t>
            </w:r>
          </w:p>
        </w:tc>
        <w:tc>
          <w:tcPr>
            <w:tcW w:w="1621" w:type="dxa"/>
            <w:tcBorders>
              <w:top w:val="nil"/>
              <w:left w:val="nil"/>
              <w:bottom w:val="single" w:sz="4" w:space="0" w:color="auto"/>
              <w:right w:val="single" w:sz="4" w:space="0" w:color="auto"/>
            </w:tcBorders>
            <w:shd w:val="clear" w:color="auto" w:fill="auto"/>
            <w:hideMark/>
          </w:tcPr>
          <w:p w14:paraId="1D32E975"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Tecfidera</w:t>
            </w:r>
          </w:p>
        </w:tc>
        <w:tc>
          <w:tcPr>
            <w:tcW w:w="850" w:type="dxa"/>
            <w:tcBorders>
              <w:top w:val="nil"/>
              <w:left w:val="nil"/>
              <w:bottom w:val="single" w:sz="4" w:space="0" w:color="auto"/>
              <w:right w:val="single" w:sz="4" w:space="0" w:color="auto"/>
            </w:tcBorders>
            <w:shd w:val="clear" w:color="auto" w:fill="auto"/>
            <w:hideMark/>
          </w:tcPr>
          <w:p w14:paraId="4532F8CF"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02966D</w:t>
            </w:r>
          </w:p>
        </w:tc>
        <w:tc>
          <w:tcPr>
            <w:tcW w:w="1134" w:type="dxa"/>
            <w:tcBorders>
              <w:top w:val="nil"/>
              <w:left w:val="nil"/>
              <w:bottom w:val="single" w:sz="4" w:space="0" w:color="auto"/>
              <w:right w:val="single" w:sz="4" w:space="0" w:color="auto"/>
            </w:tcBorders>
            <w:shd w:val="clear" w:color="auto" w:fill="auto"/>
            <w:hideMark/>
          </w:tcPr>
          <w:p w14:paraId="4F7FE5BB" w14:textId="77777777" w:rsidR="00023FA5" w:rsidRPr="00D36536" w:rsidRDefault="00023FA5" w:rsidP="00023FA5">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w:t>
            </w:r>
            <w:r>
              <w:rPr>
                <w:rFonts w:ascii="Calibri" w:eastAsia="Times New Roman" w:hAnsi="Calibri" w:cs="Times New Roman"/>
                <w:sz w:val="18"/>
                <w:szCs w:val="18"/>
              </w:rPr>
              <w:t xml:space="preserve"> </w:t>
            </w:r>
            <w:r w:rsidRPr="00D36536">
              <w:rPr>
                <w:rFonts w:ascii="Calibri" w:eastAsia="Times New Roman" w:hAnsi="Calibri" w:cs="Times New Roman"/>
                <w:sz w:val="18"/>
                <w:szCs w:val="18"/>
              </w:rPr>
              <w:t>Dec</w:t>
            </w:r>
            <w:r>
              <w:rPr>
                <w:rFonts w:ascii="Calibri" w:eastAsia="Times New Roman" w:hAnsi="Calibri" w:cs="Times New Roman"/>
                <w:sz w:val="18"/>
                <w:szCs w:val="18"/>
              </w:rPr>
              <w:t xml:space="preserve"> </w:t>
            </w:r>
            <w:r w:rsidRPr="00D36536">
              <w:rPr>
                <w:rFonts w:ascii="Calibri" w:eastAsia="Times New Roman" w:hAnsi="Calibri" w:cs="Times New Roman"/>
                <w:sz w:val="18"/>
                <w:szCs w:val="18"/>
              </w:rPr>
              <w:t>2013</w:t>
            </w:r>
          </w:p>
        </w:tc>
        <w:tc>
          <w:tcPr>
            <w:tcW w:w="3758" w:type="dxa"/>
            <w:tcBorders>
              <w:top w:val="nil"/>
              <w:left w:val="nil"/>
              <w:bottom w:val="single" w:sz="4" w:space="0" w:color="auto"/>
              <w:right w:val="single" w:sz="4" w:space="0" w:color="auto"/>
            </w:tcBorders>
            <w:shd w:val="clear" w:color="auto" w:fill="auto"/>
            <w:hideMark/>
          </w:tcPr>
          <w:p w14:paraId="789D0A2D"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capsule (modified release) 240 mg</w:t>
            </w:r>
          </w:p>
        </w:tc>
      </w:tr>
      <w:tr w:rsidR="00023FA5" w:rsidRPr="006E2AC1" w14:paraId="1A071C61" w14:textId="77777777" w:rsidTr="00023FA5">
        <w:trPr>
          <w:trHeight w:val="292"/>
        </w:trPr>
        <w:tc>
          <w:tcPr>
            <w:tcW w:w="1635" w:type="dxa"/>
            <w:tcBorders>
              <w:top w:val="nil"/>
              <w:left w:val="single" w:sz="4" w:space="0" w:color="auto"/>
              <w:bottom w:val="single" w:sz="4" w:space="0" w:color="auto"/>
              <w:right w:val="single" w:sz="4" w:space="0" w:color="auto"/>
            </w:tcBorders>
            <w:shd w:val="clear" w:color="auto" w:fill="auto"/>
            <w:hideMark/>
          </w:tcPr>
          <w:p w14:paraId="780E801A"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teriflunomide</w:t>
            </w:r>
          </w:p>
        </w:tc>
        <w:tc>
          <w:tcPr>
            <w:tcW w:w="1621" w:type="dxa"/>
            <w:tcBorders>
              <w:top w:val="nil"/>
              <w:left w:val="nil"/>
              <w:bottom w:val="single" w:sz="4" w:space="0" w:color="auto"/>
              <w:right w:val="single" w:sz="4" w:space="0" w:color="auto"/>
            </w:tcBorders>
            <w:shd w:val="clear" w:color="auto" w:fill="auto"/>
            <w:hideMark/>
          </w:tcPr>
          <w:p w14:paraId="5F556D5D"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Aubagio</w:t>
            </w:r>
          </w:p>
        </w:tc>
        <w:tc>
          <w:tcPr>
            <w:tcW w:w="850" w:type="dxa"/>
            <w:tcBorders>
              <w:top w:val="nil"/>
              <w:left w:val="nil"/>
              <w:bottom w:val="single" w:sz="4" w:space="0" w:color="auto"/>
              <w:right w:val="single" w:sz="4" w:space="0" w:color="auto"/>
            </w:tcBorders>
            <w:shd w:val="clear" w:color="auto" w:fill="auto"/>
            <w:hideMark/>
          </w:tcPr>
          <w:p w14:paraId="6B5175CE"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02898M</w:t>
            </w:r>
          </w:p>
        </w:tc>
        <w:tc>
          <w:tcPr>
            <w:tcW w:w="1134" w:type="dxa"/>
            <w:tcBorders>
              <w:top w:val="nil"/>
              <w:left w:val="nil"/>
              <w:bottom w:val="single" w:sz="4" w:space="0" w:color="auto"/>
              <w:right w:val="single" w:sz="4" w:space="0" w:color="auto"/>
            </w:tcBorders>
            <w:shd w:val="clear" w:color="auto" w:fill="auto"/>
            <w:hideMark/>
          </w:tcPr>
          <w:p w14:paraId="2F2144B1" w14:textId="77777777" w:rsidR="00023FA5" w:rsidRPr="00D36536" w:rsidRDefault="00023FA5" w:rsidP="00023FA5">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w:t>
            </w:r>
            <w:r>
              <w:rPr>
                <w:rFonts w:ascii="Calibri" w:eastAsia="Times New Roman" w:hAnsi="Calibri" w:cs="Times New Roman"/>
                <w:sz w:val="18"/>
                <w:szCs w:val="18"/>
              </w:rPr>
              <w:t xml:space="preserve"> </w:t>
            </w:r>
            <w:r w:rsidRPr="00D36536">
              <w:rPr>
                <w:rFonts w:ascii="Calibri" w:eastAsia="Times New Roman" w:hAnsi="Calibri" w:cs="Times New Roman"/>
                <w:sz w:val="18"/>
                <w:szCs w:val="18"/>
              </w:rPr>
              <w:t>Dec</w:t>
            </w:r>
            <w:r>
              <w:rPr>
                <w:rFonts w:ascii="Calibri" w:eastAsia="Times New Roman" w:hAnsi="Calibri" w:cs="Times New Roman"/>
                <w:sz w:val="18"/>
                <w:szCs w:val="18"/>
              </w:rPr>
              <w:t xml:space="preserve">  2</w:t>
            </w:r>
            <w:r w:rsidRPr="00D36536">
              <w:rPr>
                <w:rFonts w:ascii="Calibri" w:eastAsia="Times New Roman" w:hAnsi="Calibri" w:cs="Times New Roman"/>
                <w:sz w:val="18"/>
                <w:szCs w:val="18"/>
              </w:rPr>
              <w:t>013</w:t>
            </w:r>
          </w:p>
        </w:tc>
        <w:tc>
          <w:tcPr>
            <w:tcW w:w="3758" w:type="dxa"/>
            <w:tcBorders>
              <w:top w:val="nil"/>
              <w:left w:val="nil"/>
              <w:bottom w:val="single" w:sz="4" w:space="0" w:color="auto"/>
              <w:right w:val="single" w:sz="4" w:space="0" w:color="auto"/>
            </w:tcBorders>
            <w:shd w:val="clear" w:color="auto" w:fill="auto"/>
            <w:hideMark/>
          </w:tcPr>
          <w:p w14:paraId="2A5500A9"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tablet 14 mg</w:t>
            </w:r>
          </w:p>
        </w:tc>
      </w:tr>
      <w:tr w:rsidR="00023FA5" w:rsidRPr="006E2AC1" w14:paraId="2E36505A" w14:textId="77777777" w:rsidTr="00023FA5">
        <w:trPr>
          <w:trHeight w:val="248"/>
        </w:trPr>
        <w:tc>
          <w:tcPr>
            <w:tcW w:w="1635" w:type="dxa"/>
            <w:tcBorders>
              <w:top w:val="nil"/>
              <w:left w:val="single" w:sz="4" w:space="0" w:color="auto"/>
              <w:bottom w:val="single" w:sz="4" w:space="0" w:color="auto"/>
              <w:right w:val="single" w:sz="4" w:space="0" w:color="auto"/>
            </w:tcBorders>
            <w:shd w:val="clear" w:color="auto" w:fill="auto"/>
            <w:hideMark/>
          </w:tcPr>
          <w:p w14:paraId="1DD86592"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peginterferon beta-1a</w:t>
            </w:r>
          </w:p>
        </w:tc>
        <w:tc>
          <w:tcPr>
            <w:tcW w:w="1621" w:type="dxa"/>
            <w:tcBorders>
              <w:top w:val="nil"/>
              <w:left w:val="nil"/>
              <w:bottom w:val="single" w:sz="4" w:space="0" w:color="auto"/>
              <w:right w:val="single" w:sz="4" w:space="0" w:color="auto"/>
            </w:tcBorders>
            <w:shd w:val="clear" w:color="auto" w:fill="auto"/>
            <w:hideMark/>
          </w:tcPr>
          <w:p w14:paraId="11BD4B96"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Plegridy</w:t>
            </w:r>
          </w:p>
        </w:tc>
        <w:tc>
          <w:tcPr>
            <w:tcW w:w="850" w:type="dxa"/>
            <w:tcBorders>
              <w:top w:val="nil"/>
              <w:left w:val="nil"/>
              <w:bottom w:val="single" w:sz="4" w:space="0" w:color="auto"/>
              <w:right w:val="single" w:sz="4" w:space="0" w:color="auto"/>
            </w:tcBorders>
            <w:shd w:val="clear" w:color="auto" w:fill="auto"/>
            <w:hideMark/>
          </w:tcPr>
          <w:p w14:paraId="26098027"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10212L</w:t>
            </w:r>
          </w:p>
        </w:tc>
        <w:tc>
          <w:tcPr>
            <w:tcW w:w="1134" w:type="dxa"/>
            <w:tcBorders>
              <w:top w:val="nil"/>
              <w:left w:val="nil"/>
              <w:bottom w:val="single" w:sz="4" w:space="0" w:color="auto"/>
              <w:right w:val="single" w:sz="4" w:space="0" w:color="auto"/>
            </w:tcBorders>
            <w:shd w:val="clear" w:color="auto" w:fill="auto"/>
            <w:hideMark/>
          </w:tcPr>
          <w:p w14:paraId="558616A8" w14:textId="77777777" w:rsidR="00023FA5" w:rsidRPr="00D36536" w:rsidRDefault="00023FA5" w:rsidP="00023FA5">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w:t>
            </w:r>
            <w:r>
              <w:rPr>
                <w:rFonts w:ascii="Calibri" w:eastAsia="Times New Roman" w:hAnsi="Calibri" w:cs="Times New Roman"/>
                <w:sz w:val="18"/>
                <w:szCs w:val="18"/>
              </w:rPr>
              <w:t xml:space="preserve"> </w:t>
            </w:r>
            <w:r w:rsidRPr="00D36536">
              <w:rPr>
                <w:rFonts w:ascii="Calibri" w:eastAsia="Times New Roman" w:hAnsi="Calibri" w:cs="Times New Roman"/>
                <w:sz w:val="18"/>
                <w:szCs w:val="18"/>
              </w:rPr>
              <w:t>Mar</w:t>
            </w:r>
            <w:r>
              <w:rPr>
                <w:rFonts w:ascii="Calibri" w:eastAsia="Times New Roman" w:hAnsi="Calibri" w:cs="Times New Roman"/>
                <w:sz w:val="18"/>
                <w:szCs w:val="18"/>
              </w:rPr>
              <w:t xml:space="preserve"> </w:t>
            </w:r>
            <w:r w:rsidRPr="00D36536">
              <w:rPr>
                <w:rFonts w:ascii="Calibri" w:eastAsia="Times New Roman" w:hAnsi="Calibri" w:cs="Times New Roman"/>
                <w:sz w:val="18"/>
                <w:szCs w:val="18"/>
              </w:rPr>
              <w:t>2015</w:t>
            </w:r>
          </w:p>
        </w:tc>
        <w:tc>
          <w:tcPr>
            <w:tcW w:w="3758" w:type="dxa"/>
            <w:tcBorders>
              <w:top w:val="nil"/>
              <w:left w:val="nil"/>
              <w:bottom w:val="single" w:sz="4" w:space="0" w:color="auto"/>
              <w:right w:val="single" w:sz="4" w:space="0" w:color="auto"/>
            </w:tcBorders>
            <w:shd w:val="clear" w:color="auto" w:fill="auto"/>
            <w:hideMark/>
          </w:tcPr>
          <w:p w14:paraId="1420179B"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single use injection pen containing 125 micrograms in 0.5 ml</w:t>
            </w:r>
          </w:p>
        </w:tc>
      </w:tr>
      <w:tr w:rsidR="00023FA5" w:rsidRPr="006E2AC1" w14:paraId="4ABF4DC5" w14:textId="77777777" w:rsidTr="00023FA5">
        <w:trPr>
          <w:trHeight w:val="421"/>
        </w:trPr>
        <w:tc>
          <w:tcPr>
            <w:tcW w:w="1635" w:type="dxa"/>
            <w:tcBorders>
              <w:top w:val="nil"/>
              <w:left w:val="single" w:sz="4" w:space="0" w:color="auto"/>
              <w:bottom w:val="single" w:sz="4" w:space="0" w:color="auto"/>
              <w:right w:val="single" w:sz="4" w:space="0" w:color="auto"/>
            </w:tcBorders>
            <w:shd w:val="clear" w:color="auto" w:fill="auto"/>
            <w:hideMark/>
          </w:tcPr>
          <w:p w14:paraId="74B56BA0"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peginterferon beta-1a</w:t>
            </w:r>
          </w:p>
        </w:tc>
        <w:tc>
          <w:tcPr>
            <w:tcW w:w="1621" w:type="dxa"/>
            <w:tcBorders>
              <w:top w:val="nil"/>
              <w:left w:val="nil"/>
              <w:bottom w:val="single" w:sz="4" w:space="0" w:color="auto"/>
              <w:right w:val="single" w:sz="4" w:space="0" w:color="auto"/>
            </w:tcBorders>
            <w:shd w:val="clear" w:color="auto" w:fill="auto"/>
            <w:hideMark/>
          </w:tcPr>
          <w:p w14:paraId="6EEEDEA5"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Plegridy</w:t>
            </w:r>
          </w:p>
        </w:tc>
        <w:tc>
          <w:tcPr>
            <w:tcW w:w="850" w:type="dxa"/>
            <w:tcBorders>
              <w:top w:val="nil"/>
              <w:left w:val="nil"/>
              <w:bottom w:val="single" w:sz="4" w:space="0" w:color="auto"/>
              <w:right w:val="single" w:sz="4" w:space="0" w:color="auto"/>
            </w:tcBorders>
            <w:shd w:val="clear" w:color="auto" w:fill="auto"/>
            <w:hideMark/>
          </w:tcPr>
          <w:p w14:paraId="5CE05427"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10218T</w:t>
            </w:r>
          </w:p>
        </w:tc>
        <w:tc>
          <w:tcPr>
            <w:tcW w:w="1134" w:type="dxa"/>
            <w:tcBorders>
              <w:top w:val="nil"/>
              <w:left w:val="nil"/>
              <w:bottom w:val="single" w:sz="4" w:space="0" w:color="auto"/>
              <w:right w:val="single" w:sz="4" w:space="0" w:color="auto"/>
            </w:tcBorders>
            <w:shd w:val="clear" w:color="auto" w:fill="auto"/>
            <w:hideMark/>
          </w:tcPr>
          <w:p w14:paraId="250951E2" w14:textId="77777777" w:rsidR="00023FA5" w:rsidRPr="00D36536" w:rsidRDefault="00023FA5" w:rsidP="00023FA5">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w:t>
            </w:r>
            <w:r w:rsidRPr="00083007">
              <w:rPr>
                <w:rFonts w:ascii="Calibri" w:eastAsia="Times New Roman" w:hAnsi="Calibri" w:cs="Times New Roman"/>
                <w:sz w:val="18"/>
                <w:szCs w:val="18"/>
              </w:rPr>
              <w:t xml:space="preserve"> </w:t>
            </w:r>
            <w:r w:rsidRPr="00D36536">
              <w:rPr>
                <w:rFonts w:ascii="Calibri" w:eastAsia="Times New Roman" w:hAnsi="Calibri" w:cs="Times New Roman"/>
                <w:sz w:val="18"/>
                <w:szCs w:val="18"/>
              </w:rPr>
              <w:t>Mar</w:t>
            </w:r>
            <w:r w:rsidRPr="00083007">
              <w:rPr>
                <w:rFonts w:ascii="Calibri" w:eastAsia="Times New Roman" w:hAnsi="Calibri" w:cs="Times New Roman"/>
                <w:sz w:val="18"/>
                <w:szCs w:val="18"/>
              </w:rPr>
              <w:t xml:space="preserve"> </w:t>
            </w:r>
            <w:r w:rsidRPr="00D36536">
              <w:rPr>
                <w:rFonts w:ascii="Calibri" w:eastAsia="Times New Roman" w:hAnsi="Calibri" w:cs="Times New Roman"/>
                <w:sz w:val="18"/>
                <w:szCs w:val="18"/>
              </w:rPr>
              <w:t>2015</w:t>
            </w:r>
          </w:p>
        </w:tc>
        <w:tc>
          <w:tcPr>
            <w:tcW w:w="3758" w:type="dxa"/>
            <w:tcBorders>
              <w:top w:val="nil"/>
              <w:left w:val="nil"/>
              <w:bottom w:val="single" w:sz="4" w:space="0" w:color="auto"/>
              <w:right w:val="single" w:sz="4" w:space="0" w:color="auto"/>
            </w:tcBorders>
            <w:shd w:val="clear" w:color="auto" w:fill="auto"/>
            <w:hideMark/>
          </w:tcPr>
          <w:p w14:paraId="71970C49"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pack containing single use injection pens containing 63 micrograms in 0.5 ml and 94 micrograms in 0.5 ml</w:t>
            </w:r>
          </w:p>
        </w:tc>
      </w:tr>
      <w:tr w:rsidR="00023FA5" w:rsidRPr="006E2AC1" w14:paraId="327D9B62" w14:textId="77777777" w:rsidTr="00023FA5">
        <w:trPr>
          <w:trHeight w:val="258"/>
        </w:trPr>
        <w:tc>
          <w:tcPr>
            <w:tcW w:w="1635" w:type="dxa"/>
            <w:tcBorders>
              <w:top w:val="nil"/>
              <w:left w:val="single" w:sz="4" w:space="0" w:color="auto"/>
              <w:bottom w:val="single" w:sz="4" w:space="0" w:color="auto"/>
              <w:right w:val="single" w:sz="4" w:space="0" w:color="auto"/>
            </w:tcBorders>
            <w:shd w:val="clear" w:color="auto" w:fill="auto"/>
            <w:hideMark/>
          </w:tcPr>
          <w:p w14:paraId="28176525"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peginterferon beta-1a</w:t>
            </w:r>
          </w:p>
        </w:tc>
        <w:tc>
          <w:tcPr>
            <w:tcW w:w="1621" w:type="dxa"/>
            <w:tcBorders>
              <w:top w:val="nil"/>
              <w:left w:val="nil"/>
              <w:bottom w:val="single" w:sz="4" w:space="0" w:color="auto"/>
              <w:right w:val="single" w:sz="4" w:space="0" w:color="auto"/>
            </w:tcBorders>
            <w:shd w:val="clear" w:color="auto" w:fill="auto"/>
            <w:hideMark/>
          </w:tcPr>
          <w:p w14:paraId="24900978"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Plegridy</w:t>
            </w:r>
          </w:p>
        </w:tc>
        <w:tc>
          <w:tcPr>
            <w:tcW w:w="850" w:type="dxa"/>
            <w:tcBorders>
              <w:top w:val="nil"/>
              <w:left w:val="nil"/>
              <w:bottom w:val="single" w:sz="4" w:space="0" w:color="auto"/>
              <w:right w:val="single" w:sz="4" w:space="0" w:color="auto"/>
            </w:tcBorders>
            <w:shd w:val="clear" w:color="auto" w:fill="auto"/>
            <w:hideMark/>
          </w:tcPr>
          <w:p w14:paraId="44C80FF1"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10220X</w:t>
            </w:r>
          </w:p>
        </w:tc>
        <w:tc>
          <w:tcPr>
            <w:tcW w:w="1134" w:type="dxa"/>
            <w:tcBorders>
              <w:top w:val="nil"/>
              <w:left w:val="nil"/>
              <w:bottom w:val="single" w:sz="4" w:space="0" w:color="auto"/>
              <w:right w:val="single" w:sz="4" w:space="0" w:color="auto"/>
            </w:tcBorders>
            <w:shd w:val="clear" w:color="auto" w:fill="auto"/>
            <w:hideMark/>
          </w:tcPr>
          <w:p w14:paraId="4A18781A" w14:textId="77777777" w:rsidR="00023FA5" w:rsidRPr="00D36536" w:rsidRDefault="00023FA5" w:rsidP="00023FA5">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w:t>
            </w:r>
            <w:r w:rsidRPr="00083007">
              <w:rPr>
                <w:rFonts w:ascii="Calibri" w:eastAsia="Times New Roman" w:hAnsi="Calibri" w:cs="Times New Roman"/>
                <w:sz w:val="18"/>
                <w:szCs w:val="18"/>
              </w:rPr>
              <w:t xml:space="preserve"> </w:t>
            </w:r>
            <w:r w:rsidRPr="00D36536">
              <w:rPr>
                <w:rFonts w:ascii="Calibri" w:eastAsia="Times New Roman" w:hAnsi="Calibri" w:cs="Times New Roman"/>
                <w:sz w:val="18"/>
                <w:szCs w:val="18"/>
              </w:rPr>
              <w:t>Mar</w:t>
            </w:r>
            <w:r w:rsidRPr="00083007">
              <w:rPr>
                <w:rFonts w:ascii="Calibri" w:eastAsia="Times New Roman" w:hAnsi="Calibri" w:cs="Times New Roman"/>
                <w:sz w:val="18"/>
                <w:szCs w:val="18"/>
              </w:rPr>
              <w:t xml:space="preserve"> </w:t>
            </w:r>
            <w:r w:rsidRPr="00D36536">
              <w:rPr>
                <w:rFonts w:ascii="Calibri" w:eastAsia="Times New Roman" w:hAnsi="Calibri" w:cs="Times New Roman"/>
                <w:sz w:val="18"/>
                <w:szCs w:val="18"/>
              </w:rPr>
              <w:t>2015</w:t>
            </w:r>
          </w:p>
        </w:tc>
        <w:tc>
          <w:tcPr>
            <w:tcW w:w="3758" w:type="dxa"/>
            <w:tcBorders>
              <w:top w:val="nil"/>
              <w:left w:val="nil"/>
              <w:bottom w:val="single" w:sz="4" w:space="0" w:color="auto"/>
              <w:right w:val="single" w:sz="4" w:space="0" w:color="auto"/>
            </w:tcBorders>
            <w:shd w:val="clear" w:color="auto" w:fill="auto"/>
            <w:hideMark/>
          </w:tcPr>
          <w:p w14:paraId="27C45856"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single use injection pen containing 125 micrograms in 0.5 ml</w:t>
            </w:r>
          </w:p>
        </w:tc>
      </w:tr>
      <w:tr w:rsidR="00023FA5" w:rsidRPr="006E2AC1" w14:paraId="24565252" w14:textId="77777777" w:rsidTr="00023FA5">
        <w:trPr>
          <w:trHeight w:val="261"/>
        </w:trPr>
        <w:tc>
          <w:tcPr>
            <w:tcW w:w="1635" w:type="dxa"/>
            <w:tcBorders>
              <w:top w:val="nil"/>
              <w:left w:val="single" w:sz="4" w:space="0" w:color="auto"/>
              <w:bottom w:val="single" w:sz="4" w:space="0" w:color="auto"/>
              <w:right w:val="single" w:sz="4" w:space="0" w:color="auto"/>
            </w:tcBorders>
            <w:shd w:val="clear" w:color="auto" w:fill="auto"/>
            <w:hideMark/>
          </w:tcPr>
          <w:p w14:paraId="17BEC4AA"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alemtuzumab</w:t>
            </w:r>
          </w:p>
        </w:tc>
        <w:tc>
          <w:tcPr>
            <w:tcW w:w="1621" w:type="dxa"/>
            <w:tcBorders>
              <w:top w:val="nil"/>
              <w:left w:val="nil"/>
              <w:bottom w:val="single" w:sz="4" w:space="0" w:color="auto"/>
              <w:right w:val="single" w:sz="4" w:space="0" w:color="auto"/>
            </w:tcBorders>
            <w:shd w:val="clear" w:color="auto" w:fill="auto"/>
            <w:hideMark/>
          </w:tcPr>
          <w:p w14:paraId="0C8B5ADE"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Lemtrada</w:t>
            </w:r>
          </w:p>
        </w:tc>
        <w:tc>
          <w:tcPr>
            <w:tcW w:w="850" w:type="dxa"/>
            <w:tcBorders>
              <w:top w:val="nil"/>
              <w:left w:val="nil"/>
              <w:bottom w:val="single" w:sz="4" w:space="0" w:color="auto"/>
              <w:right w:val="single" w:sz="4" w:space="0" w:color="auto"/>
            </w:tcBorders>
            <w:shd w:val="clear" w:color="auto" w:fill="auto"/>
            <w:hideMark/>
          </w:tcPr>
          <w:p w14:paraId="5929B776"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10228H</w:t>
            </w:r>
          </w:p>
        </w:tc>
        <w:tc>
          <w:tcPr>
            <w:tcW w:w="1134" w:type="dxa"/>
            <w:tcBorders>
              <w:top w:val="nil"/>
              <w:left w:val="nil"/>
              <w:bottom w:val="single" w:sz="4" w:space="0" w:color="auto"/>
              <w:right w:val="single" w:sz="4" w:space="0" w:color="auto"/>
            </w:tcBorders>
            <w:shd w:val="clear" w:color="auto" w:fill="auto"/>
            <w:hideMark/>
          </w:tcPr>
          <w:p w14:paraId="30700847" w14:textId="77777777" w:rsidR="00023FA5" w:rsidRPr="00D36536" w:rsidRDefault="00023FA5" w:rsidP="00023FA5">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w:t>
            </w:r>
            <w:r w:rsidRPr="0019026B">
              <w:rPr>
                <w:rFonts w:ascii="Calibri" w:eastAsia="Times New Roman" w:hAnsi="Calibri" w:cs="Times New Roman"/>
                <w:sz w:val="18"/>
                <w:szCs w:val="18"/>
              </w:rPr>
              <w:t xml:space="preserve"> </w:t>
            </w:r>
            <w:r w:rsidRPr="00D36536">
              <w:rPr>
                <w:rFonts w:ascii="Calibri" w:eastAsia="Times New Roman" w:hAnsi="Calibri" w:cs="Times New Roman"/>
                <w:sz w:val="18"/>
                <w:szCs w:val="18"/>
              </w:rPr>
              <w:t>Apr</w:t>
            </w:r>
            <w:r w:rsidRPr="0019026B">
              <w:rPr>
                <w:rFonts w:ascii="Calibri" w:eastAsia="Times New Roman" w:hAnsi="Calibri" w:cs="Times New Roman"/>
                <w:sz w:val="18"/>
                <w:szCs w:val="18"/>
              </w:rPr>
              <w:t xml:space="preserve"> </w:t>
            </w:r>
            <w:r w:rsidRPr="00D36536">
              <w:rPr>
                <w:rFonts w:ascii="Calibri" w:eastAsia="Times New Roman" w:hAnsi="Calibri" w:cs="Times New Roman"/>
                <w:sz w:val="18"/>
                <w:szCs w:val="18"/>
              </w:rPr>
              <w:t>2015</w:t>
            </w:r>
          </w:p>
        </w:tc>
        <w:tc>
          <w:tcPr>
            <w:tcW w:w="3758" w:type="dxa"/>
            <w:tcBorders>
              <w:top w:val="nil"/>
              <w:left w:val="nil"/>
              <w:bottom w:val="single" w:sz="4" w:space="0" w:color="auto"/>
              <w:right w:val="single" w:sz="4" w:space="0" w:color="auto"/>
            </w:tcBorders>
            <w:shd w:val="clear" w:color="auto" w:fill="auto"/>
            <w:hideMark/>
          </w:tcPr>
          <w:p w14:paraId="54FA6089"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solution concentrate for i.v. infusion 12 mg in 1.2 ml</w:t>
            </w:r>
          </w:p>
        </w:tc>
      </w:tr>
      <w:tr w:rsidR="00023FA5" w:rsidRPr="006E2AC1" w14:paraId="6AAD92EC" w14:textId="77777777" w:rsidTr="00023FA5">
        <w:trPr>
          <w:trHeight w:val="284"/>
        </w:trPr>
        <w:tc>
          <w:tcPr>
            <w:tcW w:w="1635" w:type="dxa"/>
            <w:tcBorders>
              <w:top w:val="nil"/>
              <w:left w:val="single" w:sz="4" w:space="0" w:color="auto"/>
              <w:bottom w:val="single" w:sz="4" w:space="0" w:color="auto"/>
              <w:right w:val="single" w:sz="4" w:space="0" w:color="auto"/>
            </w:tcBorders>
            <w:shd w:val="clear" w:color="auto" w:fill="auto"/>
            <w:hideMark/>
          </w:tcPr>
          <w:p w14:paraId="1EA0D282"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alemtuzumab</w:t>
            </w:r>
          </w:p>
        </w:tc>
        <w:tc>
          <w:tcPr>
            <w:tcW w:w="1621" w:type="dxa"/>
            <w:tcBorders>
              <w:top w:val="nil"/>
              <w:left w:val="nil"/>
              <w:bottom w:val="single" w:sz="4" w:space="0" w:color="auto"/>
              <w:right w:val="single" w:sz="4" w:space="0" w:color="auto"/>
            </w:tcBorders>
            <w:shd w:val="clear" w:color="auto" w:fill="auto"/>
            <w:hideMark/>
          </w:tcPr>
          <w:p w14:paraId="1AB879FB"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Lemtrada</w:t>
            </w:r>
          </w:p>
        </w:tc>
        <w:tc>
          <w:tcPr>
            <w:tcW w:w="850" w:type="dxa"/>
            <w:tcBorders>
              <w:top w:val="nil"/>
              <w:left w:val="nil"/>
              <w:bottom w:val="single" w:sz="4" w:space="0" w:color="auto"/>
              <w:right w:val="single" w:sz="4" w:space="0" w:color="auto"/>
            </w:tcBorders>
            <w:shd w:val="clear" w:color="auto" w:fill="auto"/>
            <w:hideMark/>
          </w:tcPr>
          <w:p w14:paraId="322C40DD"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10232M</w:t>
            </w:r>
          </w:p>
        </w:tc>
        <w:tc>
          <w:tcPr>
            <w:tcW w:w="1134" w:type="dxa"/>
            <w:tcBorders>
              <w:top w:val="nil"/>
              <w:left w:val="nil"/>
              <w:bottom w:val="single" w:sz="4" w:space="0" w:color="auto"/>
              <w:right w:val="single" w:sz="4" w:space="0" w:color="auto"/>
            </w:tcBorders>
            <w:shd w:val="clear" w:color="auto" w:fill="auto"/>
            <w:hideMark/>
          </w:tcPr>
          <w:p w14:paraId="66C13E57" w14:textId="77777777" w:rsidR="00023FA5" w:rsidRPr="00D36536" w:rsidRDefault="00023FA5" w:rsidP="00023FA5">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w:t>
            </w:r>
            <w:r w:rsidRPr="0019026B">
              <w:rPr>
                <w:rFonts w:ascii="Calibri" w:eastAsia="Times New Roman" w:hAnsi="Calibri" w:cs="Times New Roman"/>
                <w:sz w:val="18"/>
                <w:szCs w:val="18"/>
              </w:rPr>
              <w:t xml:space="preserve"> </w:t>
            </w:r>
            <w:r w:rsidRPr="00D36536">
              <w:rPr>
                <w:rFonts w:ascii="Calibri" w:eastAsia="Times New Roman" w:hAnsi="Calibri" w:cs="Times New Roman"/>
                <w:sz w:val="18"/>
                <w:szCs w:val="18"/>
              </w:rPr>
              <w:t>Apr</w:t>
            </w:r>
            <w:r w:rsidRPr="0019026B">
              <w:rPr>
                <w:rFonts w:ascii="Calibri" w:eastAsia="Times New Roman" w:hAnsi="Calibri" w:cs="Times New Roman"/>
                <w:sz w:val="18"/>
                <w:szCs w:val="18"/>
              </w:rPr>
              <w:t xml:space="preserve"> </w:t>
            </w:r>
            <w:r w:rsidRPr="00D36536">
              <w:rPr>
                <w:rFonts w:ascii="Calibri" w:eastAsia="Times New Roman" w:hAnsi="Calibri" w:cs="Times New Roman"/>
                <w:sz w:val="18"/>
                <w:szCs w:val="18"/>
              </w:rPr>
              <w:t>2015</w:t>
            </w:r>
          </w:p>
        </w:tc>
        <w:tc>
          <w:tcPr>
            <w:tcW w:w="3758" w:type="dxa"/>
            <w:tcBorders>
              <w:top w:val="nil"/>
              <w:left w:val="nil"/>
              <w:bottom w:val="single" w:sz="4" w:space="0" w:color="auto"/>
              <w:right w:val="single" w:sz="4" w:space="0" w:color="auto"/>
            </w:tcBorders>
            <w:shd w:val="clear" w:color="auto" w:fill="auto"/>
            <w:hideMark/>
          </w:tcPr>
          <w:p w14:paraId="1E818A91"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solution concentrate for i.v. infusion 12 mg in 1.2 ml</w:t>
            </w:r>
          </w:p>
        </w:tc>
      </w:tr>
      <w:tr w:rsidR="00023FA5" w:rsidRPr="006E2AC1" w14:paraId="4C6EFBA9" w14:textId="77777777" w:rsidTr="00023FA5">
        <w:trPr>
          <w:trHeight w:val="239"/>
        </w:trPr>
        <w:tc>
          <w:tcPr>
            <w:tcW w:w="1635" w:type="dxa"/>
            <w:tcBorders>
              <w:top w:val="nil"/>
              <w:left w:val="single" w:sz="4" w:space="0" w:color="auto"/>
              <w:bottom w:val="single" w:sz="4" w:space="0" w:color="auto"/>
              <w:right w:val="single" w:sz="4" w:space="0" w:color="auto"/>
            </w:tcBorders>
            <w:shd w:val="clear" w:color="auto" w:fill="auto"/>
            <w:hideMark/>
          </w:tcPr>
          <w:p w14:paraId="1FEA550F"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alemtuzumab</w:t>
            </w:r>
          </w:p>
        </w:tc>
        <w:tc>
          <w:tcPr>
            <w:tcW w:w="1621" w:type="dxa"/>
            <w:tcBorders>
              <w:top w:val="nil"/>
              <w:left w:val="nil"/>
              <w:bottom w:val="single" w:sz="4" w:space="0" w:color="auto"/>
              <w:right w:val="single" w:sz="4" w:space="0" w:color="auto"/>
            </w:tcBorders>
            <w:shd w:val="clear" w:color="auto" w:fill="auto"/>
            <w:hideMark/>
          </w:tcPr>
          <w:p w14:paraId="7BCDD472"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Lemtrada</w:t>
            </w:r>
          </w:p>
        </w:tc>
        <w:tc>
          <w:tcPr>
            <w:tcW w:w="850" w:type="dxa"/>
            <w:tcBorders>
              <w:top w:val="nil"/>
              <w:left w:val="nil"/>
              <w:bottom w:val="single" w:sz="4" w:space="0" w:color="auto"/>
              <w:right w:val="single" w:sz="4" w:space="0" w:color="auto"/>
            </w:tcBorders>
            <w:shd w:val="clear" w:color="auto" w:fill="auto"/>
            <w:hideMark/>
          </w:tcPr>
          <w:p w14:paraId="225C1BDE"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10243D</w:t>
            </w:r>
          </w:p>
        </w:tc>
        <w:tc>
          <w:tcPr>
            <w:tcW w:w="1134" w:type="dxa"/>
            <w:tcBorders>
              <w:top w:val="nil"/>
              <w:left w:val="nil"/>
              <w:bottom w:val="single" w:sz="4" w:space="0" w:color="auto"/>
              <w:right w:val="single" w:sz="4" w:space="0" w:color="auto"/>
            </w:tcBorders>
            <w:shd w:val="clear" w:color="auto" w:fill="auto"/>
            <w:hideMark/>
          </w:tcPr>
          <w:p w14:paraId="42A5D044" w14:textId="77777777" w:rsidR="00023FA5" w:rsidRPr="00D36536" w:rsidRDefault="00023FA5" w:rsidP="00023FA5">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w:t>
            </w:r>
            <w:r>
              <w:rPr>
                <w:rFonts w:ascii="Calibri" w:eastAsia="Times New Roman" w:hAnsi="Calibri" w:cs="Times New Roman"/>
                <w:sz w:val="18"/>
                <w:szCs w:val="18"/>
              </w:rPr>
              <w:t xml:space="preserve"> </w:t>
            </w:r>
            <w:r w:rsidRPr="00D36536">
              <w:rPr>
                <w:rFonts w:ascii="Calibri" w:eastAsia="Times New Roman" w:hAnsi="Calibri" w:cs="Times New Roman"/>
                <w:sz w:val="18"/>
                <w:szCs w:val="18"/>
              </w:rPr>
              <w:t>Apr</w:t>
            </w:r>
            <w:r>
              <w:rPr>
                <w:rFonts w:ascii="Calibri" w:eastAsia="Times New Roman" w:hAnsi="Calibri" w:cs="Times New Roman"/>
                <w:sz w:val="18"/>
                <w:szCs w:val="18"/>
              </w:rPr>
              <w:t xml:space="preserve"> </w:t>
            </w:r>
            <w:r w:rsidRPr="00D36536">
              <w:rPr>
                <w:rFonts w:ascii="Calibri" w:eastAsia="Times New Roman" w:hAnsi="Calibri" w:cs="Times New Roman"/>
                <w:sz w:val="18"/>
                <w:szCs w:val="18"/>
              </w:rPr>
              <w:t>2015</w:t>
            </w:r>
          </w:p>
        </w:tc>
        <w:tc>
          <w:tcPr>
            <w:tcW w:w="3758" w:type="dxa"/>
            <w:tcBorders>
              <w:top w:val="nil"/>
              <w:left w:val="nil"/>
              <w:bottom w:val="single" w:sz="4" w:space="0" w:color="auto"/>
              <w:right w:val="single" w:sz="4" w:space="0" w:color="auto"/>
            </w:tcBorders>
            <w:shd w:val="clear" w:color="auto" w:fill="auto"/>
            <w:hideMark/>
          </w:tcPr>
          <w:p w14:paraId="6E339884"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solution concentrate for i.v. infusion 12 mg in 1.2 ml</w:t>
            </w:r>
          </w:p>
        </w:tc>
      </w:tr>
      <w:tr w:rsidR="00023FA5" w:rsidRPr="006E2AC1" w14:paraId="371BC5DE" w14:textId="77777777" w:rsidTr="00023FA5">
        <w:trPr>
          <w:trHeight w:val="280"/>
        </w:trPr>
        <w:tc>
          <w:tcPr>
            <w:tcW w:w="1635" w:type="dxa"/>
            <w:tcBorders>
              <w:top w:val="nil"/>
              <w:left w:val="single" w:sz="4" w:space="0" w:color="auto"/>
              <w:bottom w:val="single" w:sz="4" w:space="0" w:color="000000"/>
              <w:right w:val="single" w:sz="4" w:space="0" w:color="auto"/>
            </w:tcBorders>
            <w:shd w:val="clear" w:color="auto" w:fill="auto"/>
            <w:hideMark/>
          </w:tcPr>
          <w:p w14:paraId="58B95809"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alemtuzumab</w:t>
            </w:r>
          </w:p>
        </w:tc>
        <w:tc>
          <w:tcPr>
            <w:tcW w:w="1621" w:type="dxa"/>
            <w:tcBorders>
              <w:top w:val="nil"/>
              <w:left w:val="nil"/>
              <w:bottom w:val="single" w:sz="4" w:space="0" w:color="000000"/>
              <w:right w:val="single" w:sz="4" w:space="0" w:color="auto"/>
            </w:tcBorders>
            <w:shd w:val="clear" w:color="auto" w:fill="auto"/>
            <w:hideMark/>
          </w:tcPr>
          <w:p w14:paraId="597342B6"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Lemtrada</w:t>
            </w:r>
          </w:p>
        </w:tc>
        <w:tc>
          <w:tcPr>
            <w:tcW w:w="850" w:type="dxa"/>
            <w:tcBorders>
              <w:top w:val="nil"/>
              <w:left w:val="nil"/>
              <w:bottom w:val="single" w:sz="4" w:space="0" w:color="000000"/>
              <w:right w:val="single" w:sz="4" w:space="0" w:color="auto"/>
            </w:tcBorders>
            <w:shd w:val="clear" w:color="auto" w:fill="auto"/>
            <w:hideMark/>
          </w:tcPr>
          <w:p w14:paraId="35D31A1B"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10246G</w:t>
            </w:r>
          </w:p>
        </w:tc>
        <w:tc>
          <w:tcPr>
            <w:tcW w:w="1134" w:type="dxa"/>
            <w:tcBorders>
              <w:top w:val="nil"/>
              <w:left w:val="nil"/>
              <w:bottom w:val="single" w:sz="4" w:space="0" w:color="000000"/>
              <w:right w:val="single" w:sz="4" w:space="0" w:color="auto"/>
            </w:tcBorders>
            <w:shd w:val="clear" w:color="auto" w:fill="auto"/>
            <w:hideMark/>
          </w:tcPr>
          <w:p w14:paraId="7E9D5D6A" w14:textId="77777777" w:rsidR="00023FA5" w:rsidRPr="00D36536" w:rsidRDefault="00023FA5" w:rsidP="00023FA5">
            <w:pPr>
              <w:spacing w:after="0"/>
              <w:jc w:val="right"/>
              <w:rPr>
                <w:rFonts w:ascii="Calibri" w:eastAsia="Times New Roman" w:hAnsi="Calibri" w:cs="Times New Roman"/>
                <w:sz w:val="18"/>
                <w:szCs w:val="18"/>
              </w:rPr>
            </w:pPr>
            <w:r w:rsidRPr="00D36536">
              <w:rPr>
                <w:rFonts w:ascii="Calibri" w:eastAsia="Times New Roman" w:hAnsi="Calibri" w:cs="Times New Roman"/>
                <w:sz w:val="18"/>
                <w:szCs w:val="18"/>
              </w:rPr>
              <w:t>1</w:t>
            </w:r>
            <w:r>
              <w:rPr>
                <w:rFonts w:ascii="Calibri" w:eastAsia="Times New Roman" w:hAnsi="Calibri" w:cs="Times New Roman"/>
                <w:sz w:val="18"/>
                <w:szCs w:val="18"/>
              </w:rPr>
              <w:t xml:space="preserve"> </w:t>
            </w:r>
            <w:r w:rsidRPr="00D36536">
              <w:rPr>
                <w:rFonts w:ascii="Calibri" w:eastAsia="Times New Roman" w:hAnsi="Calibri" w:cs="Times New Roman"/>
                <w:sz w:val="18"/>
                <w:szCs w:val="18"/>
              </w:rPr>
              <w:t>Apr</w:t>
            </w:r>
            <w:r>
              <w:rPr>
                <w:rFonts w:ascii="Calibri" w:eastAsia="Times New Roman" w:hAnsi="Calibri" w:cs="Times New Roman"/>
                <w:sz w:val="18"/>
                <w:szCs w:val="18"/>
              </w:rPr>
              <w:t xml:space="preserve"> </w:t>
            </w:r>
            <w:r w:rsidRPr="00D36536">
              <w:rPr>
                <w:rFonts w:ascii="Calibri" w:eastAsia="Times New Roman" w:hAnsi="Calibri" w:cs="Times New Roman"/>
                <w:sz w:val="18"/>
                <w:szCs w:val="18"/>
              </w:rPr>
              <w:t>2015</w:t>
            </w:r>
          </w:p>
        </w:tc>
        <w:tc>
          <w:tcPr>
            <w:tcW w:w="3758" w:type="dxa"/>
            <w:tcBorders>
              <w:top w:val="nil"/>
              <w:left w:val="nil"/>
              <w:bottom w:val="single" w:sz="4" w:space="0" w:color="000000"/>
              <w:right w:val="single" w:sz="4" w:space="0" w:color="auto"/>
            </w:tcBorders>
            <w:shd w:val="clear" w:color="auto" w:fill="auto"/>
            <w:hideMark/>
          </w:tcPr>
          <w:p w14:paraId="7615A304" w14:textId="77777777" w:rsidR="00023FA5" w:rsidRPr="00D36536" w:rsidRDefault="00023FA5" w:rsidP="00023FA5">
            <w:pPr>
              <w:spacing w:after="0"/>
              <w:rPr>
                <w:rFonts w:ascii="Calibri" w:eastAsia="Times New Roman" w:hAnsi="Calibri" w:cs="Times New Roman"/>
                <w:sz w:val="18"/>
                <w:szCs w:val="18"/>
              </w:rPr>
            </w:pPr>
            <w:r w:rsidRPr="00D36536">
              <w:rPr>
                <w:rFonts w:ascii="Calibri" w:eastAsia="Times New Roman" w:hAnsi="Calibri" w:cs="Times New Roman"/>
                <w:sz w:val="18"/>
                <w:szCs w:val="18"/>
              </w:rPr>
              <w:t>solution concentrate for i.v. infusion 12 mg in 1.2 ml</w:t>
            </w:r>
          </w:p>
        </w:tc>
      </w:tr>
      <w:tr w:rsidR="00023FA5" w:rsidRPr="006E2AC1" w14:paraId="7B151550" w14:textId="77777777" w:rsidTr="00023FA5">
        <w:trPr>
          <w:trHeight w:val="280"/>
        </w:trPr>
        <w:tc>
          <w:tcPr>
            <w:tcW w:w="1635" w:type="dxa"/>
            <w:tcBorders>
              <w:top w:val="single" w:sz="4" w:space="0" w:color="000000"/>
              <w:left w:val="single" w:sz="4" w:space="0" w:color="auto"/>
              <w:bottom w:val="single" w:sz="4" w:space="0" w:color="000000"/>
              <w:right w:val="single" w:sz="4" w:space="0" w:color="auto"/>
            </w:tcBorders>
            <w:shd w:val="clear" w:color="auto" w:fill="auto"/>
          </w:tcPr>
          <w:p w14:paraId="3F82A167" w14:textId="77777777" w:rsidR="00023FA5" w:rsidRPr="00D36536"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glatiramer acetate</w:t>
            </w:r>
          </w:p>
        </w:tc>
        <w:tc>
          <w:tcPr>
            <w:tcW w:w="1621" w:type="dxa"/>
            <w:tcBorders>
              <w:top w:val="single" w:sz="4" w:space="0" w:color="000000"/>
              <w:left w:val="nil"/>
              <w:bottom w:val="single" w:sz="4" w:space="0" w:color="000000"/>
              <w:right w:val="single" w:sz="4" w:space="0" w:color="auto"/>
            </w:tcBorders>
            <w:shd w:val="clear" w:color="auto" w:fill="auto"/>
          </w:tcPr>
          <w:p w14:paraId="1176B866" w14:textId="77777777" w:rsidR="00023FA5" w:rsidRPr="00D36536"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Copaxone</w:t>
            </w:r>
          </w:p>
        </w:tc>
        <w:tc>
          <w:tcPr>
            <w:tcW w:w="850" w:type="dxa"/>
            <w:tcBorders>
              <w:top w:val="single" w:sz="4" w:space="0" w:color="000000"/>
              <w:left w:val="nil"/>
              <w:bottom w:val="single" w:sz="4" w:space="0" w:color="000000"/>
              <w:right w:val="single" w:sz="4" w:space="0" w:color="auto"/>
            </w:tcBorders>
            <w:shd w:val="clear" w:color="auto" w:fill="auto"/>
          </w:tcPr>
          <w:p w14:paraId="128CDB94" w14:textId="77777777" w:rsidR="00023FA5" w:rsidRPr="00D36536"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10416F</w:t>
            </w:r>
          </w:p>
        </w:tc>
        <w:tc>
          <w:tcPr>
            <w:tcW w:w="1134" w:type="dxa"/>
            <w:tcBorders>
              <w:top w:val="single" w:sz="4" w:space="0" w:color="000000"/>
              <w:left w:val="nil"/>
              <w:bottom w:val="single" w:sz="4" w:space="0" w:color="000000"/>
              <w:right w:val="single" w:sz="4" w:space="0" w:color="auto"/>
            </w:tcBorders>
            <w:shd w:val="clear" w:color="auto" w:fill="auto"/>
          </w:tcPr>
          <w:p w14:paraId="40D06AEC" w14:textId="77777777" w:rsidR="00023FA5" w:rsidRPr="00D36536" w:rsidRDefault="00023FA5" w:rsidP="00023FA5">
            <w:pPr>
              <w:spacing w:after="0"/>
              <w:jc w:val="right"/>
              <w:rPr>
                <w:rFonts w:ascii="Calibri" w:eastAsia="Times New Roman" w:hAnsi="Calibri" w:cs="Times New Roman"/>
                <w:sz w:val="18"/>
                <w:szCs w:val="18"/>
              </w:rPr>
            </w:pPr>
            <w:r>
              <w:rPr>
                <w:rFonts w:ascii="Calibri" w:eastAsia="Times New Roman" w:hAnsi="Calibri" w:cs="Times New Roman"/>
                <w:sz w:val="18"/>
                <w:szCs w:val="18"/>
              </w:rPr>
              <w:t xml:space="preserve">1 Aug 2015 </w:t>
            </w:r>
          </w:p>
        </w:tc>
        <w:tc>
          <w:tcPr>
            <w:tcW w:w="3758" w:type="dxa"/>
            <w:tcBorders>
              <w:top w:val="single" w:sz="4" w:space="0" w:color="000000"/>
              <w:left w:val="nil"/>
              <w:bottom w:val="single" w:sz="4" w:space="0" w:color="000000"/>
              <w:right w:val="single" w:sz="4" w:space="0" w:color="auto"/>
            </w:tcBorders>
            <w:shd w:val="clear" w:color="auto" w:fill="auto"/>
          </w:tcPr>
          <w:p w14:paraId="16A2B561" w14:textId="77777777" w:rsidR="00023FA5" w:rsidRPr="00D36536"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 xml:space="preserve">40 mg/mL, 12 </w:t>
            </w:r>
            <w:r>
              <w:rPr>
                <w:rFonts w:ascii="Calibri" w:eastAsia="Times New Roman" w:hAnsi="Calibri" w:cs="Calibri"/>
                <w:sz w:val="18"/>
                <w:szCs w:val="18"/>
              </w:rPr>
              <w:t>×</w:t>
            </w:r>
            <w:r>
              <w:rPr>
                <w:rFonts w:ascii="Calibri" w:eastAsia="Times New Roman" w:hAnsi="Calibri" w:cs="Times New Roman"/>
                <w:sz w:val="18"/>
                <w:szCs w:val="18"/>
              </w:rPr>
              <w:t xml:space="preserve"> 1 mL syringes</w:t>
            </w:r>
          </w:p>
        </w:tc>
      </w:tr>
      <w:tr w:rsidR="00023FA5" w:rsidRPr="006E2AC1" w14:paraId="5F8D1757" w14:textId="77777777" w:rsidTr="00023FA5">
        <w:trPr>
          <w:trHeight w:val="280"/>
        </w:trPr>
        <w:tc>
          <w:tcPr>
            <w:tcW w:w="1635" w:type="dxa"/>
            <w:tcBorders>
              <w:top w:val="single" w:sz="4" w:space="0" w:color="000000"/>
              <w:left w:val="single" w:sz="4" w:space="0" w:color="auto"/>
              <w:bottom w:val="nil"/>
              <w:right w:val="single" w:sz="4" w:space="0" w:color="auto"/>
            </w:tcBorders>
            <w:shd w:val="clear" w:color="auto" w:fill="auto"/>
          </w:tcPr>
          <w:p w14:paraId="72DF9E69" w14:textId="77777777" w:rsidR="00023FA5" w:rsidRPr="00D36536"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daclizumab</w:t>
            </w:r>
            <w:r>
              <w:rPr>
                <w:rFonts w:ascii="Calibri" w:eastAsia="Times New Roman" w:hAnsi="Calibri" w:cs="Times New Roman"/>
                <w:sz w:val="18"/>
                <w:szCs w:val="18"/>
                <w:vertAlign w:val="superscript"/>
              </w:rPr>
              <w:t>d</w:t>
            </w:r>
            <w:r>
              <w:rPr>
                <w:rFonts w:ascii="Calibri" w:eastAsia="Times New Roman" w:hAnsi="Calibri" w:cs="Times New Roman"/>
                <w:sz w:val="18"/>
                <w:szCs w:val="18"/>
              </w:rPr>
              <w:t xml:space="preserve"> </w:t>
            </w:r>
          </w:p>
        </w:tc>
        <w:tc>
          <w:tcPr>
            <w:tcW w:w="1621" w:type="dxa"/>
            <w:tcBorders>
              <w:top w:val="single" w:sz="4" w:space="0" w:color="000000"/>
              <w:left w:val="nil"/>
              <w:bottom w:val="nil"/>
              <w:right w:val="single" w:sz="4" w:space="0" w:color="auto"/>
            </w:tcBorders>
            <w:shd w:val="clear" w:color="auto" w:fill="auto"/>
          </w:tcPr>
          <w:p w14:paraId="07CD2832" w14:textId="77777777" w:rsidR="00023FA5" w:rsidRPr="00D36536"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Zinbryta</w:t>
            </w:r>
          </w:p>
        </w:tc>
        <w:tc>
          <w:tcPr>
            <w:tcW w:w="850" w:type="dxa"/>
            <w:tcBorders>
              <w:top w:val="single" w:sz="4" w:space="0" w:color="000000"/>
              <w:left w:val="nil"/>
              <w:bottom w:val="nil"/>
              <w:right w:val="single" w:sz="4" w:space="0" w:color="auto"/>
            </w:tcBorders>
            <w:shd w:val="clear" w:color="auto" w:fill="auto"/>
          </w:tcPr>
          <w:p w14:paraId="648BB7FD" w14:textId="77777777" w:rsidR="00023FA5" w:rsidRPr="007A40F2"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11101G</w:t>
            </w:r>
          </w:p>
        </w:tc>
        <w:tc>
          <w:tcPr>
            <w:tcW w:w="1134" w:type="dxa"/>
            <w:tcBorders>
              <w:top w:val="single" w:sz="4" w:space="0" w:color="000000"/>
              <w:left w:val="nil"/>
              <w:bottom w:val="nil"/>
              <w:right w:val="single" w:sz="4" w:space="0" w:color="auto"/>
            </w:tcBorders>
            <w:shd w:val="clear" w:color="auto" w:fill="auto"/>
          </w:tcPr>
          <w:p w14:paraId="5F1E5D18" w14:textId="77777777" w:rsidR="00023FA5" w:rsidRPr="00D36536" w:rsidRDefault="00023FA5" w:rsidP="00023FA5">
            <w:pPr>
              <w:spacing w:after="0"/>
              <w:jc w:val="right"/>
              <w:rPr>
                <w:rFonts w:ascii="Calibri" w:eastAsia="Times New Roman" w:hAnsi="Calibri" w:cs="Times New Roman"/>
                <w:sz w:val="18"/>
                <w:szCs w:val="18"/>
              </w:rPr>
            </w:pPr>
            <w:r>
              <w:rPr>
                <w:rFonts w:ascii="Calibri" w:eastAsia="Times New Roman" w:hAnsi="Calibri" w:cs="Times New Roman"/>
                <w:sz w:val="18"/>
                <w:szCs w:val="18"/>
              </w:rPr>
              <w:t xml:space="preserve">1 May 2017 </w:t>
            </w:r>
          </w:p>
        </w:tc>
        <w:tc>
          <w:tcPr>
            <w:tcW w:w="3758" w:type="dxa"/>
            <w:tcBorders>
              <w:top w:val="single" w:sz="4" w:space="0" w:color="000000"/>
              <w:left w:val="nil"/>
              <w:bottom w:val="nil"/>
              <w:right w:val="single" w:sz="4" w:space="0" w:color="auto"/>
            </w:tcBorders>
            <w:shd w:val="clear" w:color="auto" w:fill="auto"/>
          </w:tcPr>
          <w:p w14:paraId="2AE6490C" w14:textId="77777777" w:rsidR="00023FA5" w:rsidRPr="00D36536"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 xml:space="preserve">150 mg/mL injection, 1 mL injection device </w:t>
            </w:r>
          </w:p>
        </w:tc>
      </w:tr>
      <w:tr w:rsidR="00023FA5" w:rsidRPr="006E2AC1" w14:paraId="60B9C74B" w14:textId="77777777" w:rsidTr="00023FA5">
        <w:trPr>
          <w:trHeight w:val="280"/>
        </w:trPr>
        <w:tc>
          <w:tcPr>
            <w:tcW w:w="1635" w:type="dxa"/>
            <w:tcBorders>
              <w:top w:val="single" w:sz="4" w:space="0" w:color="000000"/>
              <w:left w:val="single" w:sz="4" w:space="0" w:color="auto"/>
              <w:bottom w:val="single" w:sz="4" w:space="0" w:color="000000"/>
              <w:right w:val="single" w:sz="4" w:space="0" w:color="auto"/>
            </w:tcBorders>
            <w:shd w:val="clear" w:color="auto" w:fill="auto"/>
          </w:tcPr>
          <w:p w14:paraId="42C55778" w14:textId="77777777" w:rsidR="00023FA5" w:rsidRPr="003A686D" w:rsidRDefault="00023FA5" w:rsidP="00023FA5">
            <w:pPr>
              <w:spacing w:after="0"/>
              <w:rPr>
                <w:rFonts w:ascii="Calibri" w:eastAsia="Times New Roman" w:hAnsi="Calibri" w:cs="Times New Roman"/>
                <w:sz w:val="18"/>
                <w:szCs w:val="18"/>
              </w:rPr>
            </w:pPr>
            <w:r w:rsidRPr="003A686D">
              <w:rPr>
                <w:rFonts w:ascii="Calibri" w:eastAsia="Times New Roman" w:hAnsi="Calibri" w:cs="Times New Roman"/>
                <w:sz w:val="18"/>
                <w:szCs w:val="18"/>
              </w:rPr>
              <w:t>Teriflunomide</w:t>
            </w:r>
            <w:r w:rsidRPr="003A686D">
              <w:rPr>
                <w:rFonts w:ascii="Calibri" w:eastAsia="Times New Roman" w:hAnsi="Calibri" w:cs="Times New Roman"/>
                <w:sz w:val="18"/>
                <w:szCs w:val="18"/>
                <w:vertAlign w:val="superscript"/>
              </w:rPr>
              <w:t>e</w:t>
            </w:r>
            <w:r w:rsidRPr="003A686D">
              <w:rPr>
                <w:rFonts w:ascii="Calibri" w:eastAsia="Times New Roman" w:hAnsi="Calibri" w:cs="Times New Roman"/>
                <w:sz w:val="18"/>
                <w:szCs w:val="18"/>
              </w:rPr>
              <w:t xml:space="preserve"> </w:t>
            </w:r>
          </w:p>
        </w:tc>
        <w:tc>
          <w:tcPr>
            <w:tcW w:w="1621" w:type="dxa"/>
            <w:tcBorders>
              <w:top w:val="single" w:sz="4" w:space="0" w:color="000000"/>
              <w:left w:val="nil"/>
              <w:bottom w:val="single" w:sz="4" w:space="0" w:color="000000"/>
              <w:right w:val="single" w:sz="4" w:space="0" w:color="auto"/>
            </w:tcBorders>
            <w:shd w:val="clear" w:color="auto" w:fill="auto"/>
          </w:tcPr>
          <w:p w14:paraId="27B981E5" w14:textId="77777777" w:rsidR="00023FA5" w:rsidRPr="003A686D" w:rsidRDefault="00023FA5" w:rsidP="00023FA5">
            <w:pPr>
              <w:tabs>
                <w:tab w:val="left" w:pos="734"/>
              </w:tabs>
              <w:spacing w:after="0"/>
              <w:rPr>
                <w:rFonts w:ascii="Calibri" w:eastAsia="Times New Roman" w:hAnsi="Calibri" w:cs="Times New Roman"/>
                <w:sz w:val="18"/>
                <w:szCs w:val="18"/>
              </w:rPr>
            </w:pPr>
            <w:r w:rsidRPr="003A686D">
              <w:rPr>
                <w:rFonts w:ascii="Calibri" w:eastAsia="Times New Roman" w:hAnsi="Calibri" w:cs="Times New Roman"/>
                <w:sz w:val="18"/>
                <w:szCs w:val="18"/>
              </w:rPr>
              <w:t>Aubagio</w:t>
            </w:r>
          </w:p>
        </w:tc>
        <w:tc>
          <w:tcPr>
            <w:tcW w:w="850" w:type="dxa"/>
            <w:tcBorders>
              <w:top w:val="single" w:sz="4" w:space="0" w:color="000000"/>
              <w:left w:val="nil"/>
              <w:bottom w:val="single" w:sz="4" w:space="0" w:color="000000"/>
              <w:right w:val="single" w:sz="4" w:space="0" w:color="auto"/>
            </w:tcBorders>
            <w:shd w:val="clear" w:color="auto" w:fill="auto"/>
          </w:tcPr>
          <w:p w14:paraId="12B8E5DE" w14:textId="77777777" w:rsidR="00023FA5" w:rsidRPr="003A686D" w:rsidRDefault="00023FA5" w:rsidP="00023FA5">
            <w:pPr>
              <w:spacing w:after="0"/>
              <w:rPr>
                <w:rFonts w:ascii="Calibri" w:eastAsia="Times New Roman" w:hAnsi="Calibri" w:cs="Times New Roman"/>
                <w:sz w:val="18"/>
                <w:szCs w:val="18"/>
              </w:rPr>
            </w:pPr>
            <w:r w:rsidRPr="003A686D">
              <w:rPr>
                <w:rFonts w:ascii="Calibri" w:eastAsia="Times New Roman" w:hAnsi="Calibri" w:cs="Times New Roman"/>
                <w:sz w:val="18"/>
                <w:szCs w:val="18"/>
              </w:rPr>
              <w:t>02898M</w:t>
            </w:r>
          </w:p>
        </w:tc>
        <w:tc>
          <w:tcPr>
            <w:tcW w:w="1134" w:type="dxa"/>
            <w:tcBorders>
              <w:top w:val="single" w:sz="4" w:space="0" w:color="000000"/>
              <w:left w:val="nil"/>
              <w:bottom w:val="single" w:sz="4" w:space="0" w:color="000000"/>
              <w:right w:val="single" w:sz="4" w:space="0" w:color="auto"/>
            </w:tcBorders>
            <w:shd w:val="clear" w:color="auto" w:fill="auto"/>
          </w:tcPr>
          <w:p w14:paraId="5A57278D" w14:textId="77777777" w:rsidR="00023FA5" w:rsidRPr="003A686D" w:rsidRDefault="00023FA5" w:rsidP="00023FA5">
            <w:pPr>
              <w:spacing w:after="0"/>
              <w:jc w:val="right"/>
              <w:rPr>
                <w:rFonts w:ascii="Calibri" w:eastAsia="Times New Roman" w:hAnsi="Calibri" w:cs="Times New Roman"/>
                <w:sz w:val="18"/>
                <w:szCs w:val="18"/>
              </w:rPr>
            </w:pPr>
            <w:r w:rsidRPr="003A686D">
              <w:rPr>
                <w:rFonts w:ascii="Calibri" w:eastAsia="Times New Roman" w:hAnsi="Calibri" w:cs="Times New Roman"/>
                <w:sz w:val="18"/>
                <w:szCs w:val="18"/>
              </w:rPr>
              <w:t xml:space="preserve">1 Jun 2017 </w:t>
            </w:r>
          </w:p>
        </w:tc>
        <w:tc>
          <w:tcPr>
            <w:tcW w:w="3758" w:type="dxa"/>
            <w:tcBorders>
              <w:top w:val="single" w:sz="4" w:space="0" w:color="000000"/>
              <w:left w:val="nil"/>
              <w:bottom w:val="single" w:sz="4" w:space="0" w:color="000000"/>
              <w:right w:val="single" w:sz="4" w:space="0" w:color="auto"/>
            </w:tcBorders>
            <w:shd w:val="clear" w:color="auto" w:fill="auto"/>
          </w:tcPr>
          <w:p w14:paraId="5C952503" w14:textId="77777777" w:rsidR="00023FA5" w:rsidRPr="003A686D" w:rsidRDefault="00023FA5" w:rsidP="00023FA5">
            <w:pPr>
              <w:spacing w:after="0"/>
              <w:rPr>
                <w:rFonts w:ascii="Calibri" w:eastAsia="Times New Roman" w:hAnsi="Calibri" w:cs="Times New Roman"/>
                <w:sz w:val="18"/>
                <w:szCs w:val="18"/>
              </w:rPr>
            </w:pPr>
            <w:r w:rsidRPr="003A686D">
              <w:rPr>
                <w:sz w:val="18"/>
              </w:rPr>
              <w:t>tablet 14 mg</w:t>
            </w:r>
          </w:p>
        </w:tc>
      </w:tr>
      <w:tr w:rsidR="00023FA5" w:rsidRPr="006E2AC1" w14:paraId="760FC7CB" w14:textId="77777777" w:rsidTr="00023FA5">
        <w:trPr>
          <w:trHeight w:val="280"/>
        </w:trPr>
        <w:tc>
          <w:tcPr>
            <w:tcW w:w="1635" w:type="dxa"/>
            <w:tcBorders>
              <w:top w:val="single" w:sz="4" w:space="0" w:color="000000"/>
              <w:left w:val="single" w:sz="4" w:space="0" w:color="auto"/>
              <w:bottom w:val="single" w:sz="4" w:space="0" w:color="000000"/>
              <w:right w:val="single" w:sz="4" w:space="0" w:color="auto"/>
            </w:tcBorders>
            <w:shd w:val="clear" w:color="auto" w:fill="auto"/>
          </w:tcPr>
          <w:p w14:paraId="521F74F7" w14:textId="77777777" w:rsidR="00023FA5" w:rsidRPr="00D36536"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 xml:space="preserve">ocrelizumab </w:t>
            </w:r>
          </w:p>
        </w:tc>
        <w:tc>
          <w:tcPr>
            <w:tcW w:w="1621" w:type="dxa"/>
            <w:tcBorders>
              <w:top w:val="single" w:sz="4" w:space="0" w:color="000000"/>
              <w:left w:val="nil"/>
              <w:bottom w:val="single" w:sz="4" w:space="0" w:color="000000"/>
              <w:right w:val="single" w:sz="4" w:space="0" w:color="auto"/>
            </w:tcBorders>
            <w:shd w:val="clear" w:color="auto" w:fill="auto"/>
          </w:tcPr>
          <w:p w14:paraId="1BD71714" w14:textId="77777777" w:rsidR="00023FA5" w:rsidRPr="00D36536"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Ocrevus</w:t>
            </w:r>
          </w:p>
        </w:tc>
        <w:tc>
          <w:tcPr>
            <w:tcW w:w="850" w:type="dxa"/>
            <w:tcBorders>
              <w:top w:val="single" w:sz="4" w:space="0" w:color="000000"/>
              <w:left w:val="nil"/>
              <w:bottom w:val="single" w:sz="4" w:space="0" w:color="000000"/>
              <w:right w:val="single" w:sz="4" w:space="0" w:color="auto"/>
            </w:tcBorders>
            <w:shd w:val="clear" w:color="auto" w:fill="auto"/>
          </w:tcPr>
          <w:p w14:paraId="259D0A99" w14:textId="77777777" w:rsidR="00023FA5" w:rsidRPr="00D36536"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11237K</w:t>
            </w:r>
          </w:p>
        </w:tc>
        <w:tc>
          <w:tcPr>
            <w:tcW w:w="1134" w:type="dxa"/>
            <w:tcBorders>
              <w:top w:val="single" w:sz="4" w:space="0" w:color="000000"/>
              <w:left w:val="nil"/>
              <w:bottom w:val="single" w:sz="4" w:space="0" w:color="000000"/>
              <w:right w:val="single" w:sz="4" w:space="0" w:color="auto"/>
            </w:tcBorders>
            <w:shd w:val="clear" w:color="auto" w:fill="auto"/>
          </w:tcPr>
          <w:p w14:paraId="14AC4921" w14:textId="77777777" w:rsidR="00023FA5" w:rsidRPr="00D36536" w:rsidRDefault="00023FA5" w:rsidP="00023FA5">
            <w:pPr>
              <w:spacing w:after="0"/>
              <w:jc w:val="right"/>
              <w:rPr>
                <w:rFonts w:ascii="Calibri" w:eastAsia="Times New Roman" w:hAnsi="Calibri" w:cs="Times New Roman"/>
                <w:sz w:val="18"/>
                <w:szCs w:val="18"/>
              </w:rPr>
            </w:pPr>
            <w:r>
              <w:rPr>
                <w:rFonts w:ascii="Calibri" w:eastAsia="Times New Roman" w:hAnsi="Calibri" w:cs="Times New Roman"/>
                <w:sz w:val="18"/>
                <w:szCs w:val="18"/>
              </w:rPr>
              <w:t xml:space="preserve">1 Feb 2018 </w:t>
            </w:r>
          </w:p>
        </w:tc>
        <w:tc>
          <w:tcPr>
            <w:tcW w:w="3758" w:type="dxa"/>
            <w:tcBorders>
              <w:top w:val="single" w:sz="4" w:space="0" w:color="000000"/>
              <w:left w:val="nil"/>
              <w:bottom w:val="single" w:sz="4" w:space="0" w:color="000000"/>
              <w:right w:val="single" w:sz="4" w:space="0" w:color="auto"/>
            </w:tcBorders>
            <w:shd w:val="clear" w:color="auto" w:fill="auto"/>
          </w:tcPr>
          <w:p w14:paraId="307E3DA6" w14:textId="77777777" w:rsidR="00023FA5" w:rsidRPr="00D36536"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 xml:space="preserve">300 mg/ 10 mL injection, 10 mL vial </w:t>
            </w:r>
          </w:p>
        </w:tc>
      </w:tr>
      <w:tr w:rsidR="00023FA5" w:rsidRPr="006E2AC1" w14:paraId="243225DA" w14:textId="77777777" w:rsidTr="00023FA5">
        <w:trPr>
          <w:trHeight w:val="280"/>
        </w:trPr>
        <w:tc>
          <w:tcPr>
            <w:tcW w:w="1635" w:type="dxa"/>
            <w:tcBorders>
              <w:top w:val="single" w:sz="4" w:space="0" w:color="000000"/>
              <w:left w:val="single" w:sz="4" w:space="0" w:color="auto"/>
              <w:bottom w:val="single" w:sz="4" w:space="0" w:color="auto"/>
              <w:right w:val="single" w:sz="4" w:space="0" w:color="auto"/>
            </w:tcBorders>
            <w:shd w:val="clear" w:color="auto" w:fill="auto"/>
          </w:tcPr>
          <w:p w14:paraId="5670A351" w14:textId="77777777" w:rsidR="00023FA5" w:rsidRPr="00D36536"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 xml:space="preserve">ocrelizumab </w:t>
            </w:r>
          </w:p>
        </w:tc>
        <w:tc>
          <w:tcPr>
            <w:tcW w:w="1621" w:type="dxa"/>
            <w:tcBorders>
              <w:top w:val="single" w:sz="4" w:space="0" w:color="000000"/>
              <w:left w:val="nil"/>
              <w:bottom w:val="single" w:sz="4" w:space="0" w:color="auto"/>
              <w:right w:val="single" w:sz="4" w:space="0" w:color="auto"/>
            </w:tcBorders>
            <w:shd w:val="clear" w:color="auto" w:fill="auto"/>
          </w:tcPr>
          <w:p w14:paraId="3A363BE8" w14:textId="77777777" w:rsidR="00023FA5" w:rsidRPr="00D36536"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Ocrevus</w:t>
            </w:r>
          </w:p>
        </w:tc>
        <w:tc>
          <w:tcPr>
            <w:tcW w:w="850" w:type="dxa"/>
            <w:tcBorders>
              <w:top w:val="single" w:sz="4" w:space="0" w:color="000000"/>
              <w:left w:val="nil"/>
              <w:bottom w:val="single" w:sz="4" w:space="0" w:color="auto"/>
              <w:right w:val="single" w:sz="4" w:space="0" w:color="auto"/>
            </w:tcBorders>
            <w:shd w:val="clear" w:color="auto" w:fill="auto"/>
          </w:tcPr>
          <w:p w14:paraId="4DA5192F" w14:textId="77777777" w:rsidR="00023FA5" w:rsidRPr="00D36536"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11242Q</w:t>
            </w:r>
          </w:p>
        </w:tc>
        <w:tc>
          <w:tcPr>
            <w:tcW w:w="1134" w:type="dxa"/>
            <w:tcBorders>
              <w:top w:val="single" w:sz="4" w:space="0" w:color="000000"/>
              <w:left w:val="nil"/>
              <w:bottom w:val="single" w:sz="4" w:space="0" w:color="auto"/>
              <w:right w:val="single" w:sz="4" w:space="0" w:color="auto"/>
            </w:tcBorders>
            <w:shd w:val="clear" w:color="auto" w:fill="auto"/>
          </w:tcPr>
          <w:p w14:paraId="51C3FB1D" w14:textId="77777777" w:rsidR="00023FA5" w:rsidRPr="00D36536" w:rsidRDefault="00023FA5" w:rsidP="00023FA5">
            <w:pPr>
              <w:spacing w:after="0"/>
              <w:jc w:val="right"/>
              <w:rPr>
                <w:rFonts w:ascii="Calibri" w:eastAsia="Times New Roman" w:hAnsi="Calibri" w:cs="Times New Roman"/>
                <w:sz w:val="18"/>
                <w:szCs w:val="18"/>
              </w:rPr>
            </w:pPr>
            <w:r>
              <w:rPr>
                <w:rFonts w:ascii="Calibri" w:eastAsia="Times New Roman" w:hAnsi="Calibri" w:cs="Times New Roman"/>
                <w:sz w:val="18"/>
                <w:szCs w:val="18"/>
              </w:rPr>
              <w:t xml:space="preserve">1 Feb 2018 </w:t>
            </w:r>
          </w:p>
        </w:tc>
        <w:tc>
          <w:tcPr>
            <w:tcW w:w="3758" w:type="dxa"/>
            <w:tcBorders>
              <w:top w:val="single" w:sz="4" w:space="0" w:color="000000"/>
              <w:left w:val="nil"/>
              <w:bottom w:val="single" w:sz="4" w:space="0" w:color="auto"/>
              <w:right w:val="single" w:sz="4" w:space="0" w:color="auto"/>
            </w:tcBorders>
            <w:shd w:val="clear" w:color="auto" w:fill="auto"/>
          </w:tcPr>
          <w:p w14:paraId="6685559C" w14:textId="77777777" w:rsidR="00023FA5" w:rsidRPr="00D36536"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300 mg/ 10 mL injection, 10 mL vial</w:t>
            </w:r>
          </w:p>
        </w:tc>
      </w:tr>
      <w:tr w:rsidR="00023FA5" w:rsidRPr="006E2AC1" w14:paraId="7350BD5A" w14:textId="77777777" w:rsidTr="00023FA5">
        <w:trPr>
          <w:trHeight w:val="280"/>
        </w:trPr>
        <w:tc>
          <w:tcPr>
            <w:tcW w:w="1635" w:type="dxa"/>
            <w:tcBorders>
              <w:top w:val="single" w:sz="4" w:space="0" w:color="000000"/>
              <w:left w:val="single" w:sz="4" w:space="0" w:color="auto"/>
              <w:bottom w:val="single" w:sz="4" w:space="0" w:color="auto"/>
              <w:right w:val="single" w:sz="4" w:space="0" w:color="auto"/>
            </w:tcBorders>
            <w:shd w:val="clear" w:color="auto" w:fill="auto"/>
          </w:tcPr>
          <w:p w14:paraId="32E2F06A" w14:textId="77777777" w:rsidR="00023FA5"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 xml:space="preserve">cladribine </w:t>
            </w:r>
          </w:p>
        </w:tc>
        <w:tc>
          <w:tcPr>
            <w:tcW w:w="1621" w:type="dxa"/>
            <w:tcBorders>
              <w:top w:val="single" w:sz="4" w:space="0" w:color="000000"/>
              <w:left w:val="nil"/>
              <w:bottom w:val="single" w:sz="4" w:space="0" w:color="auto"/>
              <w:right w:val="single" w:sz="4" w:space="0" w:color="auto"/>
            </w:tcBorders>
            <w:shd w:val="clear" w:color="auto" w:fill="auto"/>
          </w:tcPr>
          <w:p w14:paraId="472DF2A4" w14:textId="77777777" w:rsidR="00023FA5" w:rsidRPr="00D36536"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Mavenclad</w:t>
            </w:r>
          </w:p>
        </w:tc>
        <w:tc>
          <w:tcPr>
            <w:tcW w:w="850" w:type="dxa"/>
            <w:tcBorders>
              <w:top w:val="single" w:sz="4" w:space="0" w:color="000000"/>
              <w:left w:val="nil"/>
              <w:bottom w:val="single" w:sz="4" w:space="0" w:color="auto"/>
              <w:right w:val="single" w:sz="4" w:space="0" w:color="auto"/>
            </w:tcBorders>
            <w:shd w:val="clear" w:color="auto" w:fill="auto"/>
          </w:tcPr>
          <w:p w14:paraId="48C25924" w14:textId="77777777" w:rsidR="00023FA5" w:rsidRPr="00D36536"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11611D</w:t>
            </w:r>
          </w:p>
        </w:tc>
        <w:tc>
          <w:tcPr>
            <w:tcW w:w="1134" w:type="dxa"/>
            <w:tcBorders>
              <w:top w:val="single" w:sz="4" w:space="0" w:color="000000"/>
              <w:left w:val="nil"/>
              <w:bottom w:val="single" w:sz="4" w:space="0" w:color="auto"/>
              <w:right w:val="single" w:sz="4" w:space="0" w:color="auto"/>
            </w:tcBorders>
            <w:shd w:val="clear" w:color="auto" w:fill="auto"/>
          </w:tcPr>
          <w:p w14:paraId="62E29291" w14:textId="77777777" w:rsidR="00023FA5" w:rsidRPr="00D36536" w:rsidRDefault="00023FA5" w:rsidP="00023FA5">
            <w:pPr>
              <w:spacing w:after="0"/>
              <w:jc w:val="right"/>
              <w:rPr>
                <w:rFonts w:ascii="Calibri" w:eastAsia="Times New Roman" w:hAnsi="Calibri" w:cs="Times New Roman"/>
                <w:sz w:val="18"/>
                <w:szCs w:val="18"/>
              </w:rPr>
            </w:pPr>
            <w:r>
              <w:rPr>
                <w:rFonts w:ascii="Calibri" w:eastAsia="Times New Roman" w:hAnsi="Calibri" w:cs="Times New Roman"/>
                <w:sz w:val="18"/>
                <w:szCs w:val="18"/>
              </w:rPr>
              <w:t>1 Jan 2019</w:t>
            </w:r>
          </w:p>
        </w:tc>
        <w:tc>
          <w:tcPr>
            <w:tcW w:w="3758" w:type="dxa"/>
            <w:tcBorders>
              <w:top w:val="single" w:sz="4" w:space="0" w:color="000000"/>
              <w:left w:val="nil"/>
              <w:bottom w:val="single" w:sz="4" w:space="0" w:color="auto"/>
              <w:right w:val="single" w:sz="4" w:space="0" w:color="auto"/>
            </w:tcBorders>
            <w:shd w:val="clear" w:color="auto" w:fill="auto"/>
          </w:tcPr>
          <w:p w14:paraId="291DB25F" w14:textId="77777777" w:rsidR="00023FA5" w:rsidRPr="00D36536"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 xml:space="preserve">10 mg tablet </w:t>
            </w:r>
          </w:p>
        </w:tc>
      </w:tr>
      <w:tr w:rsidR="00023FA5" w:rsidRPr="006E2AC1" w14:paraId="0716A98B" w14:textId="77777777" w:rsidTr="00023FA5">
        <w:trPr>
          <w:trHeight w:val="280"/>
        </w:trPr>
        <w:tc>
          <w:tcPr>
            <w:tcW w:w="1635" w:type="dxa"/>
            <w:tcBorders>
              <w:top w:val="single" w:sz="4" w:space="0" w:color="000000"/>
              <w:left w:val="single" w:sz="4" w:space="0" w:color="auto"/>
              <w:bottom w:val="single" w:sz="4" w:space="0" w:color="auto"/>
              <w:right w:val="single" w:sz="4" w:space="0" w:color="auto"/>
            </w:tcBorders>
            <w:shd w:val="clear" w:color="auto" w:fill="auto"/>
          </w:tcPr>
          <w:p w14:paraId="7B7D1389" w14:textId="77777777" w:rsidR="00023FA5"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 xml:space="preserve">cladribine </w:t>
            </w:r>
          </w:p>
        </w:tc>
        <w:tc>
          <w:tcPr>
            <w:tcW w:w="1621" w:type="dxa"/>
            <w:tcBorders>
              <w:top w:val="single" w:sz="4" w:space="0" w:color="000000"/>
              <w:left w:val="nil"/>
              <w:bottom w:val="single" w:sz="4" w:space="0" w:color="auto"/>
              <w:right w:val="single" w:sz="4" w:space="0" w:color="auto"/>
            </w:tcBorders>
            <w:shd w:val="clear" w:color="auto" w:fill="auto"/>
          </w:tcPr>
          <w:p w14:paraId="08637A11" w14:textId="77777777" w:rsidR="00023FA5" w:rsidRPr="00D36536"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Mavenclad</w:t>
            </w:r>
          </w:p>
        </w:tc>
        <w:tc>
          <w:tcPr>
            <w:tcW w:w="850" w:type="dxa"/>
            <w:tcBorders>
              <w:top w:val="single" w:sz="4" w:space="0" w:color="000000"/>
              <w:left w:val="nil"/>
              <w:bottom w:val="single" w:sz="4" w:space="0" w:color="auto"/>
              <w:right w:val="single" w:sz="4" w:space="0" w:color="auto"/>
            </w:tcBorders>
            <w:shd w:val="clear" w:color="auto" w:fill="auto"/>
          </w:tcPr>
          <w:p w14:paraId="6B4E8510" w14:textId="77777777" w:rsidR="00023FA5" w:rsidRPr="00D36536"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11603Q</w:t>
            </w:r>
          </w:p>
        </w:tc>
        <w:tc>
          <w:tcPr>
            <w:tcW w:w="1134" w:type="dxa"/>
            <w:tcBorders>
              <w:top w:val="single" w:sz="4" w:space="0" w:color="000000"/>
              <w:left w:val="nil"/>
              <w:bottom w:val="single" w:sz="4" w:space="0" w:color="auto"/>
              <w:right w:val="single" w:sz="4" w:space="0" w:color="auto"/>
            </w:tcBorders>
            <w:shd w:val="clear" w:color="auto" w:fill="auto"/>
          </w:tcPr>
          <w:p w14:paraId="3E539B11" w14:textId="77777777" w:rsidR="00023FA5" w:rsidRPr="00D36536" w:rsidRDefault="00023FA5" w:rsidP="00023FA5">
            <w:pPr>
              <w:spacing w:after="0"/>
              <w:jc w:val="right"/>
              <w:rPr>
                <w:rFonts w:ascii="Calibri" w:eastAsia="Times New Roman" w:hAnsi="Calibri" w:cs="Times New Roman"/>
                <w:sz w:val="18"/>
                <w:szCs w:val="18"/>
              </w:rPr>
            </w:pPr>
            <w:r>
              <w:rPr>
                <w:rFonts w:ascii="Calibri" w:eastAsia="Times New Roman" w:hAnsi="Calibri" w:cs="Times New Roman"/>
                <w:sz w:val="18"/>
                <w:szCs w:val="18"/>
              </w:rPr>
              <w:t xml:space="preserve">1 Jan 2019 </w:t>
            </w:r>
          </w:p>
        </w:tc>
        <w:tc>
          <w:tcPr>
            <w:tcW w:w="3758" w:type="dxa"/>
            <w:tcBorders>
              <w:top w:val="single" w:sz="4" w:space="0" w:color="000000"/>
              <w:left w:val="nil"/>
              <w:bottom w:val="single" w:sz="4" w:space="0" w:color="auto"/>
              <w:right w:val="single" w:sz="4" w:space="0" w:color="auto"/>
            </w:tcBorders>
            <w:shd w:val="clear" w:color="auto" w:fill="auto"/>
          </w:tcPr>
          <w:p w14:paraId="2870B684" w14:textId="77777777" w:rsidR="00023FA5" w:rsidRPr="00D36536"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 xml:space="preserve">10 mg tablet </w:t>
            </w:r>
          </w:p>
        </w:tc>
      </w:tr>
      <w:tr w:rsidR="00023FA5" w:rsidRPr="006E2AC1" w14:paraId="7644C531" w14:textId="77777777" w:rsidTr="00023FA5">
        <w:trPr>
          <w:trHeight w:val="280"/>
        </w:trPr>
        <w:tc>
          <w:tcPr>
            <w:tcW w:w="1635" w:type="dxa"/>
            <w:tcBorders>
              <w:top w:val="single" w:sz="4" w:space="0" w:color="000000"/>
              <w:left w:val="single" w:sz="4" w:space="0" w:color="auto"/>
              <w:bottom w:val="single" w:sz="4" w:space="0" w:color="auto"/>
              <w:right w:val="single" w:sz="4" w:space="0" w:color="auto"/>
            </w:tcBorders>
            <w:shd w:val="clear" w:color="auto" w:fill="auto"/>
          </w:tcPr>
          <w:p w14:paraId="0B72E6D5" w14:textId="77777777" w:rsidR="00023FA5"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lastRenderedPageBreak/>
              <w:t xml:space="preserve">cladribine </w:t>
            </w:r>
          </w:p>
        </w:tc>
        <w:tc>
          <w:tcPr>
            <w:tcW w:w="1621" w:type="dxa"/>
            <w:tcBorders>
              <w:top w:val="single" w:sz="4" w:space="0" w:color="000000"/>
              <w:left w:val="nil"/>
              <w:bottom w:val="single" w:sz="4" w:space="0" w:color="auto"/>
              <w:right w:val="single" w:sz="4" w:space="0" w:color="auto"/>
            </w:tcBorders>
            <w:shd w:val="clear" w:color="auto" w:fill="auto"/>
          </w:tcPr>
          <w:p w14:paraId="520E28BC" w14:textId="77777777" w:rsidR="00023FA5" w:rsidRPr="00D36536"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Mavenclad</w:t>
            </w:r>
          </w:p>
        </w:tc>
        <w:tc>
          <w:tcPr>
            <w:tcW w:w="850" w:type="dxa"/>
            <w:tcBorders>
              <w:top w:val="single" w:sz="4" w:space="0" w:color="000000"/>
              <w:left w:val="nil"/>
              <w:bottom w:val="single" w:sz="4" w:space="0" w:color="auto"/>
              <w:right w:val="single" w:sz="4" w:space="0" w:color="auto"/>
            </w:tcBorders>
            <w:shd w:val="clear" w:color="auto" w:fill="auto"/>
          </w:tcPr>
          <w:p w14:paraId="043D8659" w14:textId="77777777" w:rsidR="00023FA5" w:rsidRPr="00D36536"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11604R</w:t>
            </w:r>
          </w:p>
        </w:tc>
        <w:tc>
          <w:tcPr>
            <w:tcW w:w="1134" w:type="dxa"/>
            <w:tcBorders>
              <w:top w:val="single" w:sz="4" w:space="0" w:color="000000"/>
              <w:left w:val="nil"/>
              <w:bottom w:val="single" w:sz="4" w:space="0" w:color="auto"/>
              <w:right w:val="single" w:sz="4" w:space="0" w:color="auto"/>
            </w:tcBorders>
            <w:shd w:val="clear" w:color="auto" w:fill="auto"/>
          </w:tcPr>
          <w:p w14:paraId="4757B3D6" w14:textId="77777777" w:rsidR="00023FA5" w:rsidRPr="00D36536" w:rsidRDefault="00023FA5" w:rsidP="00023FA5">
            <w:pPr>
              <w:spacing w:after="0"/>
              <w:jc w:val="right"/>
              <w:rPr>
                <w:rFonts w:ascii="Calibri" w:eastAsia="Times New Roman" w:hAnsi="Calibri" w:cs="Times New Roman"/>
                <w:sz w:val="18"/>
                <w:szCs w:val="18"/>
              </w:rPr>
            </w:pPr>
            <w:r>
              <w:rPr>
                <w:rFonts w:ascii="Calibri" w:eastAsia="Times New Roman" w:hAnsi="Calibri" w:cs="Times New Roman"/>
                <w:sz w:val="18"/>
                <w:szCs w:val="18"/>
              </w:rPr>
              <w:t xml:space="preserve">1 Jan 2019 </w:t>
            </w:r>
          </w:p>
        </w:tc>
        <w:tc>
          <w:tcPr>
            <w:tcW w:w="3758" w:type="dxa"/>
            <w:tcBorders>
              <w:top w:val="single" w:sz="4" w:space="0" w:color="000000"/>
              <w:left w:val="nil"/>
              <w:bottom w:val="single" w:sz="4" w:space="0" w:color="auto"/>
              <w:right w:val="single" w:sz="4" w:space="0" w:color="auto"/>
            </w:tcBorders>
            <w:shd w:val="clear" w:color="auto" w:fill="auto"/>
          </w:tcPr>
          <w:p w14:paraId="0A9AF8BB" w14:textId="77777777" w:rsidR="00023FA5" w:rsidRPr="00D36536"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 xml:space="preserve">10 mg tablet </w:t>
            </w:r>
          </w:p>
        </w:tc>
      </w:tr>
      <w:tr w:rsidR="00023FA5" w:rsidRPr="006E2AC1" w14:paraId="42A849B1" w14:textId="77777777" w:rsidTr="00023FA5">
        <w:trPr>
          <w:trHeight w:val="280"/>
        </w:trPr>
        <w:tc>
          <w:tcPr>
            <w:tcW w:w="1635" w:type="dxa"/>
            <w:tcBorders>
              <w:top w:val="single" w:sz="4" w:space="0" w:color="000000"/>
              <w:left w:val="single" w:sz="4" w:space="0" w:color="auto"/>
              <w:bottom w:val="single" w:sz="4" w:space="0" w:color="auto"/>
              <w:right w:val="single" w:sz="4" w:space="0" w:color="auto"/>
            </w:tcBorders>
            <w:shd w:val="clear" w:color="auto" w:fill="auto"/>
          </w:tcPr>
          <w:p w14:paraId="474DEFE5" w14:textId="77777777" w:rsidR="00023FA5"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 xml:space="preserve">Teriflunomide </w:t>
            </w:r>
          </w:p>
        </w:tc>
        <w:tc>
          <w:tcPr>
            <w:tcW w:w="1621" w:type="dxa"/>
            <w:tcBorders>
              <w:top w:val="single" w:sz="4" w:space="0" w:color="000000"/>
              <w:left w:val="nil"/>
              <w:bottom w:val="single" w:sz="4" w:space="0" w:color="auto"/>
              <w:right w:val="single" w:sz="4" w:space="0" w:color="auto"/>
            </w:tcBorders>
            <w:shd w:val="clear" w:color="auto" w:fill="auto"/>
          </w:tcPr>
          <w:p w14:paraId="13F91137" w14:textId="77777777" w:rsidR="00023FA5"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Teriflunomide Sandoz</w:t>
            </w:r>
          </w:p>
        </w:tc>
        <w:tc>
          <w:tcPr>
            <w:tcW w:w="850" w:type="dxa"/>
            <w:tcBorders>
              <w:top w:val="single" w:sz="4" w:space="0" w:color="000000"/>
              <w:left w:val="nil"/>
              <w:bottom w:val="single" w:sz="4" w:space="0" w:color="auto"/>
              <w:right w:val="single" w:sz="4" w:space="0" w:color="auto"/>
            </w:tcBorders>
            <w:shd w:val="clear" w:color="auto" w:fill="auto"/>
          </w:tcPr>
          <w:p w14:paraId="55162978" w14:textId="77777777" w:rsidR="00023FA5"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2898M</w:t>
            </w:r>
          </w:p>
        </w:tc>
        <w:tc>
          <w:tcPr>
            <w:tcW w:w="1134" w:type="dxa"/>
            <w:tcBorders>
              <w:top w:val="single" w:sz="4" w:space="0" w:color="000000"/>
              <w:left w:val="nil"/>
              <w:bottom w:val="single" w:sz="4" w:space="0" w:color="auto"/>
              <w:right w:val="single" w:sz="4" w:space="0" w:color="auto"/>
            </w:tcBorders>
            <w:shd w:val="clear" w:color="auto" w:fill="auto"/>
          </w:tcPr>
          <w:p w14:paraId="4E41CD2A" w14:textId="77777777" w:rsidR="00023FA5" w:rsidRDefault="00023FA5" w:rsidP="00023FA5">
            <w:pPr>
              <w:spacing w:after="0"/>
              <w:jc w:val="right"/>
              <w:rPr>
                <w:rFonts w:ascii="Calibri" w:eastAsia="Times New Roman" w:hAnsi="Calibri" w:cs="Times New Roman"/>
                <w:sz w:val="18"/>
                <w:szCs w:val="18"/>
              </w:rPr>
            </w:pPr>
            <w:r>
              <w:rPr>
                <w:rFonts w:ascii="Calibri" w:eastAsia="Times New Roman" w:hAnsi="Calibri" w:cs="Times New Roman"/>
                <w:sz w:val="18"/>
                <w:szCs w:val="18"/>
              </w:rPr>
              <w:t xml:space="preserve">1 Jun 2019 </w:t>
            </w:r>
          </w:p>
        </w:tc>
        <w:tc>
          <w:tcPr>
            <w:tcW w:w="3758" w:type="dxa"/>
            <w:tcBorders>
              <w:top w:val="single" w:sz="4" w:space="0" w:color="000000"/>
              <w:left w:val="nil"/>
              <w:bottom w:val="single" w:sz="4" w:space="0" w:color="auto"/>
              <w:right w:val="single" w:sz="4" w:space="0" w:color="auto"/>
            </w:tcBorders>
            <w:shd w:val="clear" w:color="auto" w:fill="auto"/>
          </w:tcPr>
          <w:p w14:paraId="4D68A5AA" w14:textId="77777777" w:rsidR="00023FA5"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 xml:space="preserve">Tablet 14 mg </w:t>
            </w:r>
          </w:p>
        </w:tc>
      </w:tr>
      <w:tr w:rsidR="00023FA5" w:rsidRPr="006E2AC1" w14:paraId="26FE15B1" w14:textId="77777777" w:rsidTr="00023FA5">
        <w:trPr>
          <w:trHeight w:val="280"/>
        </w:trPr>
        <w:tc>
          <w:tcPr>
            <w:tcW w:w="1635" w:type="dxa"/>
            <w:tcBorders>
              <w:top w:val="single" w:sz="4" w:space="0" w:color="000000"/>
              <w:left w:val="single" w:sz="4" w:space="0" w:color="auto"/>
              <w:bottom w:val="single" w:sz="4" w:space="0" w:color="auto"/>
              <w:right w:val="single" w:sz="4" w:space="0" w:color="auto"/>
            </w:tcBorders>
            <w:shd w:val="clear" w:color="auto" w:fill="auto"/>
          </w:tcPr>
          <w:p w14:paraId="4D1FEA76" w14:textId="77777777" w:rsidR="00023FA5"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 xml:space="preserve">Teriflunomide </w:t>
            </w:r>
          </w:p>
        </w:tc>
        <w:tc>
          <w:tcPr>
            <w:tcW w:w="1621" w:type="dxa"/>
            <w:tcBorders>
              <w:top w:val="single" w:sz="4" w:space="0" w:color="000000"/>
              <w:left w:val="nil"/>
              <w:bottom w:val="single" w:sz="4" w:space="0" w:color="auto"/>
              <w:right w:val="single" w:sz="4" w:space="0" w:color="auto"/>
            </w:tcBorders>
            <w:shd w:val="clear" w:color="auto" w:fill="auto"/>
          </w:tcPr>
          <w:p w14:paraId="5C727E91" w14:textId="77777777" w:rsidR="00023FA5"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 xml:space="preserve">Teriflago </w:t>
            </w:r>
          </w:p>
        </w:tc>
        <w:tc>
          <w:tcPr>
            <w:tcW w:w="850" w:type="dxa"/>
            <w:tcBorders>
              <w:top w:val="single" w:sz="4" w:space="0" w:color="000000"/>
              <w:left w:val="nil"/>
              <w:bottom w:val="single" w:sz="4" w:space="0" w:color="auto"/>
              <w:right w:val="single" w:sz="4" w:space="0" w:color="auto"/>
            </w:tcBorders>
            <w:shd w:val="clear" w:color="auto" w:fill="auto"/>
          </w:tcPr>
          <w:p w14:paraId="2F6E6861" w14:textId="77777777" w:rsidR="00023FA5"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2898M</w:t>
            </w:r>
          </w:p>
        </w:tc>
        <w:tc>
          <w:tcPr>
            <w:tcW w:w="1134" w:type="dxa"/>
            <w:tcBorders>
              <w:top w:val="single" w:sz="4" w:space="0" w:color="000000"/>
              <w:left w:val="nil"/>
              <w:bottom w:val="single" w:sz="4" w:space="0" w:color="auto"/>
              <w:right w:val="single" w:sz="4" w:space="0" w:color="auto"/>
            </w:tcBorders>
            <w:shd w:val="clear" w:color="auto" w:fill="auto"/>
          </w:tcPr>
          <w:p w14:paraId="39A713B3" w14:textId="77777777" w:rsidR="00023FA5" w:rsidRDefault="00023FA5" w:rsidP="00023FA5">
            <w:pPr>
              <w:spacing w:after="0"/>
              <w:jc w:val="right"/>
              <w:rPr>
                <w:rFonts w:ascii="Calibri" w:eastAsia="Times New Roman" w:hAnsi="Calibri" w:cs="Times New Roman"/>
                <w:sz w:val="18"/>
                <w:szCs w:val="18"/>
              </w:rPr>
            </w:pPr>
            <w:r>
              <w:rPr>
                <w:rFonts w:ascii="Calibri" w:eastAsia="Times New Roman" w:hAnsi="Calibri" w:cs="Times New Roman"/>
                <w:sz w:val="18"/>
                <w:szCs w:val="18"/>
              </w:rPr>
              <w:t xml:space="preserve">1 Sept 2019 </w:t>
            </w:r>
          </w:p>
        </w:tc>
        <w:tc>
          <w:tcPr>
            <w:tcW w:w="3758" w:type="dxa"/>
            <w:tcBorders>
              <w:top w:val="single" w:sz="4" w:space="0" w:color="000000"/>
              <w:left w:val="nil"/>
              <w:bottom w:val="single" w:sz="4" w:space="0" w:color="auto"/>
              <w:right w:val="single" w:sz="4" w:space="0" w:color="auto"/>
            </w:tcBorders>
            <w:shd w:val="clear" w:color="auto" w:fill="auto"/>
          </w:tcPr>
          <w:p w14:paraId="59AB9849" w14:textId="77777777" w:rsidR="00023FA5"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Tablet 14 mg</w:t>
            </w:r>
          </w:p>
        </w:tc>
      </w:tr>
      <w:tr w:rsidR="00023FA5" w:rsidRPr="006E2AC1" w14:paraId="748DFB5B" w14:textId="77777777" w:rsidTr="00023FA5">
        <w:trPr>
          <w:trHeight w:val="280"/>
        </w:trPr>
        <w:tc>
          <w:tcPr>
            <w:tcW w:w="1635" w:type="dxa"/>
            <w:tcBorders>
              <w:top w:val="single" w:sz="4" w:space="0" w:color="000000"/>
              <w:left w:val="single" w:sz="4" w:space="0" w:color="auto"/>
              <w:bottom w:val="single" w:sz="4" w:space="0" w:color="auto"/>
              <w:right w:val="single" w:sz="4" w:space="0" w:color="auto"/>
            </w:tcBorders>
            <w:shd w:val="clear" w:color="auto" w:fill="auto"/>
          </w:tcPr>
          <w:p w14:paraId="7C92F3B9" w14:textId="77777777" w:rsidR="00023FA5"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 xml:space="preserve">Teriflunomide </w:t>
            </w:r>
          </w:p>
        </w:tc>
        <w:tc>
          <w:tcPr>
            <w:tcW w:w="1621" w:type="dxa"/>
            <w:tcBorders>
              <w:top w:val="single" w:sz="4" w:space="0" w:color="000000"/>
              <w:left w:val="nil"/>
              <w:bottom w:val="single" w:sz="4" w:space="0" w:color="auto"/>
              <w:right w:val="single" w:sz="4" w:space="0" w:color="auto"/>
            </w:tcBorders>
            <w:shd w:val="clear" w:color="auto" w:fill="auto"/>
          </w:tcPr>
          <w:p w14:paraId="2C9D0AE7" w14:textId="77777777" w:rsidR="00023FA5"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 xml:space="preserve">APO-teriflunomide </w:t>
            </w:r>
          </w:p>
        </w:tc>
        <w:tc>
          <w:tcPr>
            <w:tcW w:w="850" w:type="dxa"/>
            <w:tcBorders>
              <w:top w:val="single" w:sz="4" w:space="0" w:color="000000"/>
              <w:left w:val="nil"/>
              <w:bottom w:val="single" w:sz="4" w:space="0" w:color="auto"/>
              <w:right w:val="single" w:sz="4" w:space="0" w:color="auto"/>
            </w:tcBorders>
            <w:shd w:val="clear" w:color="auto" w:fill="auto"/>
          </w:tcPr>
          <w:p w14:paraId="1FB7FBCA" w14:textId="77777777" w:rsidR="00023FA5"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 xml:space="preserve">2898m </w:t>
            </w:r>
          </w:p>
        </w:tc>
        <w:tc>
          <w:tcPr>
            <w:tcW w:w="1134" w:type="dxa"/>
            <w:tcBorders>
              <w:top w:val="single" w:sz="4" w:space="0" w:color="000000"/>
              <w:left w:val="nil"/>
              <w:bottom w:val="single" w:sz="4" w:space="0" w:color="auto"/>
              <w:right w:val="single" w:sz="4" w:space="0" w:color="auto"/>
            </w:tcBorders>
            <w:shd w:val="clear" w:color="auto" w:fill="auto"/>
          </w:tcPr>
          <w:p w14:paraId="70432CE0" w14:textId="77777777" w:rsidR="00023FA5" w:rsidRDefault="00023FA5" w:rsidP="00023FA5">
            <w:pPr>
              <w:spacing w:after="0"/>
              <w:jc w:val="right"/>
              <w:rPr>
                <w:rFonts w:ascii="Calibri" w:eastAsia="Times New Roman" w:hAnsi="Calibri" w:cs="Times New Roman"/>
                <w:sz w:val="18"/>
                <w:szCs w:val="18"/>
              </w:rPr>
            </w:pPr>
            <w:r>
              <w:rPr>
                <w:rFonts w:ascii="Calibri" w:eastAsia="Times New Roman" w:hAnsi="Calibri" w:cs="Times New Roman"/>
                <w:sz w:val="18"/>
                <w:szCs w:val="18"/>
              </w:rPr>
              <w:t xml:space="preserve">1 Nov 2019 </w:t>
            </w:r>
          </w:p>
        </w:tc>
        <w:tc>
          <w:tcPr>
            <w:tcW w:w="3758" w:type="dxa"/>
            <w:tcBorders>
              <w:top w:val="single" w:sz="4" w:space="0" w:color="000000"/>
              <w:left w:val="nil"/>
              <w:bottom w:val="single" w:sz="4" w:space="0" w:color="auto"/>
              <w:right w:val="single" w:sz="4" w:space="0" w:color="auto"/>
            </w:tcBorders>
            <w:shd w:val="clear" w:color="auto" w:fill="auto"/>
          </w:tcPr>
          <w:p w14:paraId="5C1D8BED" w14:textId="77777777" w:rsidR="00023FA5"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 xml:space="preserve">Tablet 14 mg </w:t>
            </w:r>
          </w:p>
        </w:tc>
      </w:tr>
      <w:tr w:rsidR="00023FA5" w:rsidRPr="006E2AC1" w14:paraId="0ED53AE2" w14:textId="77777777" w:rsidTr="00023FA5">
        <w:trPr>
          <w:trHeight w:val="280"/>
        </w:trPr>
        <w:tc>
          <w:tcPr>
            <w:tcW w:w="1635" w:type="dxa"/>
            <w:tcBorders>
              <w:top w:val="single" w:sz="4" w:space="0" w:color="000000"/>
              <w:left w:val="single" w:sz="4" w:space="0" w:color="auto"/>
              <w:bottom w:val="single" w:sz="4" w:space="0" w:color="auto"/>
              <w:right w:val="single" w:sz="4" w:space="0" w:color="auto"/>
            </w:tcBorders>
            <w:shd w:val="clear" w:color="auto" w:fill="auto"/>
          </w:tcPr>
          <w:p w14:paraId="05F0C05B" w14:textId="77777777" w:rsidR="00023FA5"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 xml:space="preserve">Teriflunomide </w:t>
            </w:r>
          </w:p>
        </w:tc>
        <w:tc>
          <w:tcPr>
            <w:tcW w:w="1621" w:type="dxa"/>
            <w:tcBorders>
              <w:top w:val="single" w:sz="4" w:space="0" w:color="000000"/>
              <w:left w:val="nil"/>
              <w:bottom w:val="single" w:sz="4" w:space="0" w:color="auto"/>
              <w:right w:val="single" w:sz="4" w:space="0" w:color="auto"/>
            </w:tcBorders>
            <w:shd w:val="clear" w:color="auto" w:fill="auto"/>
          </w:tcPr>
          <w:p w14:paraId="001024ED" w14:textId="77777777" w:rsidR="00023FA5"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 xml:space="preserve">Pharmacor Teriflunomide </w:t>
            </w:r>
          </w:p>
        </w:tc>
        <w:tc>
          <w:tcPr>
            <w:tcW w:w="850" w:type="dxa"/>
            <w:tcBorders>
              <w:top w:val="single" w:sz="4" w:space="0" w:color="000000"/>
              <w:left w:val="nil"/>
              <w:bottom w:val="single" w:sz="4" w:space="0" w:color="auto"/>
              <w:right w:val="single" w:sz="4" w:space="0" w:color="auto"/>
            </w:tcBorders>
            <w:shd w:val="clear" w:color="auto" w:fill="auto"/>
          </w:tcPr>
          <w:p w14:paraId="06653E9D" w14:textId="77777777" w:rsidR="00023FA5"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 xml:space="preserve">2898M </w:t>
            </w:r>
          </w:p>
        </w:tc>
        <w:tc>
          <w:tcPr>
            <w:tcW w:w="1134" w:type="dxa"/>
            <w:tcBorders>
              <w:top w:val="single" w:sz="4" w:space="0" w:color="000000"/>
              <w:left w:val="nil"/>
              <w:bottom w:val="single" w:sz="4" w:space="0" w:color="auto"/>
              <w:right w:val="single" w:sz="4" w:space="0" w:color="auto"/>
            </w:tcBorders>
            <w:shd w:val="clear" w:color="auto" w:fill="auto"/>
          </w:tcPr>
          <w:p w14:paraId="751FCE72" w14:textId="77777777" w:rsidR="00023FA5" w:rsidRDefault="00023FA5" w:rsidP="00023FA5">
            <w:pPr>
              <w:spacing w:after="0"/>
              <w:jc w:val="right"/>
              <w:rPr>
                <w:rFonts w:ascii="Calibri" w:eastAsia="Times New Roman" w:hAnsi="Calibri" w:cs="Times New Roman"/>
                <w:sz w:val="18"/>
                <w:szCs w:val="18"/>
              </w:rPr>
            </w:pPr>
            <w:r>
              <w:rPr>
                <w:rFonts w:ascii="Calibri" w:eastAsia="Times New Roman" w:hAnsi="Calibri" w:cs="Times New Roman"/>
                <w:sz w:val="18"/>
                <w:szCs w:val="18"/>
              </w:rPr>
              <w:t xml:space="preserve">1 Jan 2020 </w:t>
            </w:r>
          </w:p>
        </w:tc>
        <w:tc>
          <w:tcPr>
            <w:tcW w:w="3758" w:type="dxa"/>
            <w:tcBorders>
              <w:top w:val="single" w:sz="4" w:space="0" w:color="000000"/>
              <w:left w:val="nil"/>
              <w:bottom w:val="single" w:sz="4" w:space="0" w:color="auto"/>
              <w:right w:val="single" w:sz="4" w:space="0" w:color="auto"/>
            </w:tcBorders>
            <w:shd w:val="clear" w:color="auto" w:fill="auto"/>
          </w:tcPr>
          <w:p w14:paraId="603FE8DC" w14:textId="77777777" w:rsidR="00023FA5"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 xml:space="preserve">Tablet 14 mg </w:t>
            </w:r>
          </w:p>
        </w:tc>
      </w:tr>
      <w:tr w:rsidR="00023FA5" w:rsidRPr="006E2AC1" w14:paraId="0BB3C090" w14:textId="77777777" w:rsidTr="00023FA5">
        <w:trPr>
          <w:trHeight w:val="280"/>
        </w:trPr>
        <w:tc>
          <w:tcPr>
            <w:tcW w:w="1635" w:type="dxa"/>
            <w:tcBorders>
              <w:top w:val="single" w:sz="4" w:space="0" w:color="000000"/>
              <w:left w:val="single" w:sz="4" w:space="0" w:color="auto"/>
              <w:bottom w:val="single" w:sz="4" w:space="0" w:color="auto"/>
              <w:right w:val="single" w:sz="4" w:space="0" w:color="auto"/>
            </w:tcBorders>
            <w:shd w:val="clear" w:color="auto" w:fill="auto"/>
          </w:tcPr>
          <w:p w14:paraId="2540A65A" w14:textId="77777777" w:rsidR="00023FA5"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Teriflunomide</w:t>
            </w:r>
          </w:p>
        </w:tc>
        <w:tc>
          <w:tcPr>
            <w:tcW w:w="1621" w:type="dxa"/>
            <w:tcBorders>
              <w:top w:val="single" w:sz="4" w:space="0" w:color="000000"/>
              <w:left w:val="nil"/>
              <w:bottom w:val="single" w:sz="4" w:space="0" w:color="auto"/>
              <w:right w:val="single" w:sz="4" w:space="0" w:color="auto"/>
            </w:tcBorders>
            <w:shd w:val="clear" w:color="auto" w:fill="auto"/>
          </w:tcPr>
          <w:p w14:paraId="3C3A91A7" w14:textId="77777777" w:rsidR="00023FA5"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Teriflunomide GH</w:t>
            </w:r>
          </w:p>
        </w:tc>
        <w:tc>
          <w:tcPr>
            <w:tcW w:w="850" w:type="dxa"/>
            <w:tcBorders>
              <w:top w:val="single" w:sz="4" w:space="0" w:color="000000"/>
              <w:left w:val="nil"/>
              <w:bottom w:val="single" w:sz="4" w:space="0" w:color="auto"/>
              <w:right w:val="single" w:sz="4" w:space="0" w:color="auto"/>
            </w:tcBorders>
            <w:shd w:val="clear" w:color="auto" w:fill="auto"/>
          </w:tcPr>
          <w:p w14:paraId="2DF28E08" w14:textId="77777777" w:rsidR="00023FA5"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2898M</w:t>
            </w:r>
          </w:p>
        </w:tc>
        <w:tc>
          <w:tcPr>
            <w:tcW w:w="1134" w:type="dxa"/>
            <w:tcBorders>
              <w:top w:val="single" w:sz="4" w:space="0" w:color="000000"/>
              <w:left w:val="nil"/>
              <w:bottom w:val="single" w:sz="4" w:space="0" w:color="auto"/>
              <w:right w:val="single" w:sz="4" w:space="0" w:color="auto"/>
            </w:tcBorders>
            <w:shd w:val="clear" w:color="auto" w:fill="auto"/>
          </w:tcPr>
          <w:p w14:paraId="4D3FA4FE" w14:textId="77777777" w:rsidR="00023FA5" w:rsidRDefault="00023FA5" w:rsidP="00023FA5">
            <w:pPr>
              <w:spacing w:after="0"/>
              <w:jc w:val="right"/>
              <w:rPr>
                <w:rFonts w:ascii="Calibri" w:eastAsia="Times New Roman" w:hAnsi="Calibri" w:cs="Times New Roman"/>
                <w:sz w:val="18"/>
                <w:szCs w:val="18"/>
              </w:rPr>
            </w:pPr>
            <w:r>
              <w:rPr>
                <w:rFonts w:ascii="Calibri" w:eastAsia="Times New Roman" w:hAnsi="Calibri" w:cs="Times New Roman"/>
                <w:sz w:val="18"/>
                <w:szCs w:val="18"/>
              </w:rPr>
              <w:t xml:space="preserve">1 Jan 2020 </w:t>
            </w:r>
          </w:p>
        </w:tc>
        <w:tc>
          <w:tcPr>
            <w:tcW w:w="3758" w:type="dxa"/>
            <w:tcBorders>
              <w:top w:val="single" w:sz="4" w:space="0" w:color="000000"/>
              <w:left w:val="nil"/>
              <w:bottom w:val="single" w:sz="4" w:space="0" w:color="auto"/>
              <w:right w:val="single" w:sz="4" w:space="0" w:color="auto"/>
            </w:tcBorders>
            <w:shd w:val="clear" w:color="auto" w:fill="auto"/>
          </w:tcPr>
          <w:p w14:paraId="1DA9872E" w14:textId="77777777" w:rsidR="00023FA5"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Tablet 14 mg</w:t>
            </w:r>
          </w:p>
        </w:tc>
      </w:tr>
      <w:tr w:rsidR="00023FA5" w:rsidRPr="006E2AC1" w14:paraId="44AB347B" w14:textId="77777777" w:rsidTr="00023FA5">
        <w:trPr>
          <w:trHeight w:val="280"/>
        </w:trPr>
        <w:tc>
          <w:tcPr>
            <w:tcW w:w="1635" w:type="dxa"/>
            <w:tcBorders>
              <w:top w:val="single" w:sz="4" w:space="0" w:color="000000"/>
              <w:left w:val="single" w:sz="4" w:space="0" w:color="auto"/>
              <w:bottom w:val="single" w:sz="4" w:space="0" w:color="auto"/>
              <w:right w:val="single" w:sz="4" w:space="0" w:color="auto"/>
            </w:tcBorders>
            <w:shd w:val="clear" w:color="auto" w:fill="auto"/>
          </w:tcPr>
          <w:p w14:paraId="09EF076B" w14:textId="77777777" w:rsidR="00023FA5"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Teriflunomide</w:t>
            </w:r>
          </w:p>
        </w:tc>
        <w:tc>
          <w:tcPr>
            <w:tcW w:w="1621" w:type="dxa"/>
            <w:tcBorders>
              <w:top w:val="single" w:sz="4" w:space="0" w:color="000000"/>
              <w:left w:val="nil"/>
              <w:bottom w:val="single" w:sz="4" w:space="0" w:color="auto"/>
              <w:right w:val="single" w:sz="4" w:space="0" w:color="auto"/>
            </w:tcBorders>
            <w:shd w:val="clear" w:color="auto" w:fill="auto"/>
          </w:tcPr>
          <w:p w14:paraId="31FC42B4" w14:textId="77777777" w:rsidR="00023FA5"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 xml:space="preserve">Teriflunomide Dr Reddy’s </w:t>
            </w:r>
          </w:p>
        </w:tc>
        <w:tc>
          <w:tcPr>
            <w:tcW w:w="850" w:type="dxa"/>
            <w:tcBorders>
              <w:top w:val="single" w:sz="4" w:space="0" w:color="000000"/>
              <w:left w:val="nil"/>
              <w:bottom w:val="single" w:sz="4" w:space="0" w:color="auto"/>
              <w:right w:val="single" w:sz="4" w:space="0" w:color="auto"/>
            </w:tcBorders>
            <w:shd w:val="clear" w:color="auto" w:fill="auto"/>
          </w:tcPr>
          <w:p w14:paraId="3597BB06" w14:textId="77777777" w:rsidR="00023FA5"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2898M</w:t>
            </w:r>
          </w:p>
        </w:tc>
        <w:tc>
          <w:tcPr>
            <w:tcW w:w="1134" w:type="dxa"/>
            <w:tcBorders>
              <w:top w:val="single" w:sz="4" w:space="0" w:color="000000"/>
              <w:left w:val="nil"/>
              <w:bottom w:val="single" w:sz="4" w:space="0" w:color="auto"/>
              <w:right w:val="single" w:sz="4" w:space="0" w:color="auto"/>
            </w:tcBorders>
            <w:shd w:val="clear" w:color="auto" w:fill="auto"/>
          </w:tcPr>
          <w:p w14:paraId="18EEA189" w14:textId="77777777" w:rsidR="00023FA5" w:rsidRDefault="00023FA5" w:rsidP="00023FA5">
            <w:pPr>
              <w:spacing w:after="0"/>
              <w:jc w:val="right"/>
              <w:rPr>
                <w:rFonts w:ascii="Calibri" w:eastAsia="Times New Roman" w:hAnsi="Calibri" w:cs="Times New Roman"/>
                <w:sz w:val="18"/>
                <w:szCs w:val="18"/>
              </w:rPr>
            </w:pPr>
            <w:r>
              <w:rPr>
                <w:rFonts w:ascii="Calibri" w:eastAsia="Times New Roman" w:hAnsi="Calibri" w:cs="Times New Roman"/>
                <w:sz w:val="18"/>
                <w:szCs w:val="18"/>
              </w:rPr>
              <w:t xml:space="preserve">1 Mar 2020 </w:t>
            </w:r>
          </w:p>
        </w:tc>
        <w:tc>
          <w:tcPr>
            <w:tcW w:w="3758" w:type="dxa"/>
            <w:tcBorders>
              <w:top w:val="single" w:sz="4" w:space="0" w:color="000000"/>
              <w:left w:val="nil"/>
              <w:bottom w:val="single" w:sz="4" w:space="0" w:color="auto"/>
              <w:right w:val="single" w:sz="4" w:space="0" w:color="auto"/>
            </w:tcBorders>
            <w:shd w:val="clear" w:color="auto" w:fill="auto"/>
          </w:tcPr>
          <w:p w14:paraId="15B7BBC5" w14:textId="77777777" w:rsidR="00023FA5"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Tablet 14 mg</w:t>
            </w:r>
          </w:p>
        </w:tc>
      </w:tr>
      <w:tr w:rsidR="00023FA5" w:rsidRPr="006E2AC1" w14:paraId="558ACB29" w14:textId="77777777" w:rsidTr="00023FA5">
        <w:trPr>
          <w:trHeight w:val="280"/>
        </w:trPr>
        <w:tc>
          <w:tcPr>
            <w:tcW w:w="1635" w:type="dxa"/>
            <w:tcBorders>
              <w:top w:val="single" w:sz="4" w:space="0" w:color="000000"/>
              <w:left w:val="single" w:sz="4" w:space="0" w:color="auto"/>
              <w:bottom w:val="single" w:sz="4" w:space="0" w:color="auto"/>
              <w:right w:val="single" w:sz="4" w:space="0" w:color="auto"/>
            </w:tcBorders>
            <w:shd w:val="clear" w:color="auto" w:fill="auto"/>
          </w:tcPr>
          <w:p w14:paraId="77092A32" w14:textId="77777777" w:rsidR="00023FA5"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 xml:space="preserve">siponimod </w:t>
            </w:r>
          </w:p>
        </w:tc>
        <w:tc>
          <w:tcPr>
            <w:tcW w:w="1621" w:type="dxa"/>
            <w:tcBorders>
              <w:top w:val="single" w:sz="4" w:space="0" w:color="000000"/>
              <w:left w:val="nil"/>
              <w:bottom w:val="single" w:sz="4" w:space="0" w:color="auto"/>
              <w:right w:val="single" w:sz="4" w:space="0" w:color="auto"/>
            </w:tcBorders>
            <w:shd w:val="clear" w:color="auto" w:fill="auto"/>
          </w:tcPr>
          <w:p w14:paraId="35A4C65D" w14:textId="77777777" w:rsidR="00023FA5" w:rsidRPr="00D36536"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Mayzent</w:t>
            </w:r>
          </w:p>
        </w:tc>
        <w:tc>
          <w:tcPr>
            <w:tcW w:w="850" w:type="dxa"/>
            <w:tcBorders>
              <w:top w:val="single" w:sz="4" w:space="0" w:color="000000"/>
              <w:left w:val="nil"/>
              <w:bottom w:val="single" w:sz="4" w:space="0" w:color="auto"/>
              <w:right w:val="single" w:sz="4" w:space="0" w:color="auto"/>
            </w:tcBorders>
            <w:shd w:val="clear" w:color="auto" w:fill="auto"/>
          </w:tcPr>
          <w:p w14:paraId="0D5A9D8D" w14:textId="77777777" w:rsidR="00023FA5" w:rsidRPr="00D36536"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 xml:space="preserve">12172P </w:t>
            </w:r>
          </w:p>
        </w:tc>
        <w:tc>
          <w:tcPr>
            <w:tcW w:w="1134" w:type="dxa"/>
            <w:tcBorders>
              <w:top w:val="single" w:sz="4" w:space="0" w:color="000000"/>
              <w:left w:val="nil"/>
              <w:bottom w:val="single" w:sz="4" w:space="0" w:color="auto"/>
              <w:right w:val="single" w:sz="4" w:space="0" w:color="auto"/>
            </w:tcBorders>
            <w:shd w:val="clear" w:color="auto" w:fill="auto"/>
          </w:tcPr>
          <w:p w14:paraId="685AF3CD" w14:textId="77777777" w:rsidR="00023FA5" w:rsidRPr="00D36536" w:rsidRDefault="00023FA5" w:rsidP="00023FA5">
            <w:pPr>
              <w:spacing w:after="0"/>
              <w:jc w:val="right"/>
              <w:rPr>
                <w:rFonts w:ascii="Calibri" w:eastAsia="Times New Roman" w:hAnsi="Calibri" w:cs="Times New Roman"/>
                <w:sz w:val="18"/>
                <w:szCs w:val="18"/>
              </w:rPr>
            </w:pPr>
            <w:r>
              <w:rPr>
                <w:rFonts w:ascii="Calibri" w:eastAsia="Times New Roman" w:hAnsi="Calibri" w:cs="Times New Roman"/>
                <w:sz w:val="18"/>
                <w:szCs w:val="18"/>
              </w:rPr>
              <w:t xml:space="preserve">1 Nov 2020 </w:t>
            </w:r>
          </w:p>
        </w:tc>
        <w:tc>
          <w:tcPr>
            <w:tcW w:w="3758" w:type="dxa"/>
            <w:tcBorders>
              <w:top w:val="single" w:sz="4" w:space="0" w:color="000000"/>
              <w:left w:val="nil"/>
              <w:bottom w:val="single" w:sz="4" w:space="0" w:color="auto"/>
              <w:right w:val="single" w:sz="4" w:space="0" w:color="auto"/>
            </w:tcBorders>
            <w:shd w:val="clear" w:color="auto" w:fill="auto"/>
          </w:tcPr>
          <w:p w14:paraId="0447E78D" w14:textId="77777777" w:rsidR="00023FA5" w:rsidRPr="00D36536"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 xml:space="preserve">Tablet 2 mg </w:t>
            </w:r>
          </w:p>
        </w:tc>
      </w:tr>
      <w:tr w:rsidR="00023FA5" w:rsidRPr="006E2AC1" w14:paraId="0D87085D" w14:textId="77777777" w:rsidTr="00023FA5">
        <w:trPr>
          <w:trHeight w:val="280"/>
        </w:trPr>
        <w:tc>
          <w:tcPr>
            <w:tcW w:w="1635" w:type="dxa"/>
            <w:tcBorders>
              <w:top w:val="single" w:sz="4" w:space="0" w:color="000000"/>
              <w:left w:val="single" w:sz="4" w:space="0" w:color="auto"/>
              <w:bottom w:val="single" w:sz="4" w:space="0" w:color="auto"/>
              <w:right w:val="single" w:sz="4" w:space="0" w:color="auto"/>
            </w:tcBorders>
            <w:shd w:val="clear" w:color="auto" w:fill="auto"/>
          </w:tcPr>
          <w:p w14:paraId="48A0D3EA" w14:textId="77777777" w:rsidR="00023FA5"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 xml:space="preserve">siponimod </w:t>
            </w:r>
          </w:p>
        </w:tc>
        <w:tc>
          <w:tcPr>
            <w:tcW w:w="1621" w:type="dxa"/>
            <w:tcBorders>
              <w:top w:val="single" w:sz="4" w:space="0" w:color="000000"/>
              <w:left w:val="nil"/>
              <w:bottom w:val="single" w:sz="4" w:space="0" w:color="auto"/>
              <w:right w:val="single" w:sz="4" w:space="0" w:color="auto"/>
            </w:tcBorders>
            <w:shd w:val="clear" w:color="auto" w:fill="auto"/>
          </w:tcPr>
          <w:p w14:paraId="5CEE80B0" w14:textId="77777777" w:rsidR="00023FA5" w:rsidRPr="00D36536"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Mayzent</w:t>
            </w:r>
          </w:p>
        </w:tc>
        <w:tc>
          <w:tcPr>
            <w:tcW w:w="850" w:type="dxa"/>
            <w:tcBorders>
              <w:top w:val="single" w:sz="4" w:space="0" w:color="000000"/>
              <w:left w:val="nil"/>
              <w:bottom w:val="single" w:sz="4" w:space="0" w:color="auto"/>
              <w:right w:val="single" w:sz="4" w:space="0" w:color="auto"/>
            </w:tcBorders>
            <w:shd w:val="clear" w:color="auto" w:fill="auto"/>
          </w:tcPr>
          <w:p w14:paraId="44CBC11F" w14:textId="77777777" w:rsidR="00023FA5" w:rsidRPr="00D36536"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 xml:space="preserve">12158X </w:t>
            </w:r>
          </w:p>
        </w:tc>
        <w:tc>
          <w:tcPr>
            <w:tcW w:w="1134" w:type="dxa"/>
            <w:tcBorders>
              <w:top w:val="single" w:sz="4" w:space="0" w:color="000000"/>
              <w:left w:val="nil"/>
              <w:bottom w:val="single" w:sz="4" w:space="0" w:color="auto"/>
              <w:right w:val="single" w:sz="4" w:space="0" w:color="auto"/>
            </w:tcBorders>
            <w:shd w:val="clear" w:color="auto" w:fill="auto"/>
          </w:tcPr>
          <w:p w14:paraId="57BC8C4A" w14:textId="77777777" w:rsidR="00023FA5" w:rsidRPr="00D36536" w:rsidRDefault="00023FA5" w:rsidP="00023FA5">
            <w:pPr>
              <w:spacing w:after="0"/>
              <w:jc w:val="right"/>
              <w:rPr>
                <w:rFonts w:ascii="Calibri" w:eastAsia="Times New Roman" w:hAnsi="Calibri" w:cs="Times New Roman"/>
                <w:sz w:val="18"/>
                <w:szCs w:val="18"/>
              </w:rPr>
            </w:pPr>
            <w:r>
              <w:rPr>
                <w:rFonts w:ascii="Calibri" w:eastAsia="Times New Roman" w:hAnsi="Calibri" w:cs="Times New Roman"/>
                <w:sz w:val="18"/>
                <w:szCs w:val="18"/>
              </w:rPr>
              <w:t xml:space="preserve">1 Nov 2020 </w:t>
            </w:r>
          </w:p>
        </w:tc>
        <w:tc>
          <w:tcPr>
            <w:tcW w:w="3758" w:type="dxa"/>
            <w:tcBorders>
              <w:top w:val="single" w:sz="4" w:space="0" w:color="000000"/>
              <w:left w:val="nil"/>
              <w:bottom w:val="single" w:sz="4" w:space="0" w:color="auto"/>
              <w:right w:val="single" w:sz="4" w:space="0" w:color="auto"/>
            </w:tcBorders>
            <w:shd w:val="clear" w:color="auto" w:fill="auto"/>
          </w:tcPr>
          <w:p w14:paraId="775EDE67" w14:textId="77777777" w:rsidR="00023FA5" w:rsidRPr="00D36536"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 xml:space="preserve">Tablet 250 microgram </w:t>
            </w:r>
          </w:p>
        </w:tc>
      </w:tr>
      <w:tr w:rsidR="00023FA5" w:rsidRPr="006E2AC1" w14:paraId="26A3FF40" w14:textId="77777777" w:rsidTr="00023FA5">
        <w:trPr>
          <w:trHeight w:val="280"/>
        </w:trPr>
        <w:tc>
          <w:tcPr>
            <w:tcW w:w="1635" w:type="dxa"/>
            <w:tcBorders>
              <w:top w:val="single" w:sz="4" w:space="0" w:color="000000"/>
              <w:left w:val="single" w:sz="4" w:space="0" w:color="auto"/>
              <w:bottom w:val="single" w:sz="4" w:space="0" w:color="auto"/>
              <w:right w:val="single" w:sz="4" w:space="0" w:color="auto"/>
            </w:tcBorders>
            <w:shd w:val="clear" w:color="auto" w:fill="auto"/>
          </w:tcPr>
          <w:p w14:paraId="10587D7A" w14:textId="77777777" w:rsidR="00023FA5"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 xml:space="preserve">siponimod </w:t>
            </w:r>
          </w:p>
        </w:tc>
        <w:tc>
          <w:tcPr>
            <w:tcW w:w="1621" w:type="dxa"/>
            <w:tcBorders>
              <w:top w:val="single" w:sz="4" w:space="0" w:color="000000"/>
              <w:left w:val="nil"/>
              <w:bottom w:val="single" w:sz="4" w:space="0" w:color="auto"/>
              <w:right w:val="single" w:sz="4" w:space="0" w:color="auto"/>
            </w:tcBorders>
            <w:shd w:val="clear" w:color="auto" w:fill="auto"/>
          </w:tcPr>
          <w:p w14:paraId="2DD272CF" w14:textId="77777777" w:rsidR="00023FA5" w:rsidRPr="00D36536"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Mayzent</w:t>
            </w:r>
          </w:p>
        </w:tc>
        <w:tc>
          <w:tcPr>
            <w:tcW w:w="850" w:type="dxa"/>
            <w:tcBorders>
              <w:top w:val="single" w:sz="4" w:space="0" w:color="000000"/>
              <w:left w:val="nil"/>
              <w:bottom w:val="single" w:sz="4" w:space="0" w:color="auto"/>
              <w:right w:val="single" w:sz="4" w:space="0" w:color="auto"/>
            </w:tcBorders>
            <w:shd w:val="clear" w:color="auto" w:fill="auto"/>
          </w:tcPr>
          <w:p w14:paraId="7D8B3F98" w14:textId="77777777" w:rsidR="00023FA5" w:rsidRPr="00D36536"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12160B</w:t>
            </w:r>
          </w:p>
        </w:tc>
        <w:tc>
          <w:tcPr>
            <w:tcW w:w="1134" w:type="dxa"/>
            <w:tcBorders>
              <w:top w:val="single" w:sz="4" w:space="0" w:color="000000"/>
              <w:left w:val="nil"/>
              <w:bottom w:val="single" w:sz="4" w:space="0" w:color="auto"/>
              <w:right w:val="single" w:sz="4" w:space="0" w:color="auto"/>
            </w:tcBorders>
            <w:shd w:val="clear" w:color="auto" w:fill="auto"/>
          </w:tcPr>
          <w:p w14:paraId="6213A699" w14:textId="77777777" w:rsidR="00023FA5" w:rsidRPr="00D36536" w:rsidRDefault="00023FA5" w:rsidP="00023FA5">
            <w:pPr>
              <w:spacing w:after="0"/>
              <w:jc w:val="right"/>
              <w:rPr>
                <w:rFonts w:ascii="Calibri" w:eastAsia="Times New Roman" w:hAnsi="Calibri" w:cs="Times New Roman"/>
                <w:sz w:val="18"/>
                <w:szCs w:val="18"/>
              </w:rPr>
            </w:pPr>
            <w:r>
              <w:rPr>
                <w:rFonts w:ascii="Calibri" w:eastAsia="Times New Roman" w:hAnsi="Calibri" w:cs="Times New Roman"/>
                <w:sz w:val="18"/>
                <w:szCs w:val="18"/>
              </w:rPr>
              <w:t>1 Nov 2020</w:t>
            </w:r>
          </w:p>
        </w:tc>
        <w:tc>
          <w:tcPr>
            <w:tcW w:w="3758" w:type="dxa"/>
            <w:tcBorders>
              <w:top w:val="single" w:sz="4" w:space="0" w:color="000000"/>
              <w:left w:val="nil"/>
              <w:bottom w:val="single" w:sz="4" w:space="0" w:color="auto"/>
              <w:right w:val="single" w:sz="4" w:space="0" w:color="auto"/>
            </w:tcBorders>
            <w:shd w:val="clear" w:color="auto" w:fill="auto"/>
          </w:tcPr>
          <w:p w14:paraId="26EB2981" w14:textId="77777777" w:rsidR="00023FA5" w:rsidRPr="00D36536"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 xml:space="preserve">Tablet 250 microgram </w:t>
            </w:r>
          </w:p>
        </w:tc>
      </w:tr>
      <w:tr w:rsidR="00023FA5" w:rsidRPr="006E2AC1" w14:paraId="1B87946C" w14:textId="77777777" w:rsidTr="00023FA5">
        <w:trPr>
          <w:trHeight w:val="280"/>
        </w:trPr>
        <w:tc>
          <w:tcPr>
            <w:tcW w:w="1635" w:type="dxa"/>
            <w:tcBorders>
              <w:top w:val="single" w:sz="4" w:space="0" w:color="000000"/>
              <w:left w:val="single" w:sz="4" w:space="0" w:color="auto"/>
              <w:bottom w:val="single" w:sz="4" w:space="0" w:color="auto"/>
              <w:right w:val="single" w:sz="4" w:space="0" w:color="auto"/>
            </w:tcBorders>
            <w:shd w:val="clear" w:color="auto" w:fill="auto"/>
          </w:tcPr>
          <w:p w14:paraId="7C83F55D" w14:textId="77777777" w:rsidR="00023FA5"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 xml:space="preserve">ozanimod </w:t>
            </w:r>
          </w:p>
        </w:tc>
        <w:tc>
          <w:tcPr>
            <w:tcW w:w="1621" w:type="dxa"/>
            <w:tcBorders>
              <w:top w:val="single" w:sz="4" w:space="0" w:color="000000"/>
              <w:left w:val="nil"/>
              <w:bottom w:val="single" w:sz="4" w:space="0" w:color="auto"/>
              <w:right w:val="single" w:sz="4" w:space="0" w:color="auto"/>
            </w:tcBorders>
            <w:shd w:val="clear" w:color="auto" w:fill="auto"/>
          </w:tcPr>
          <w:p w14:paraId="6D68FD0C" w14:textId="77777777" w:rsidR="00023FA5" w:rsidRPr="00D36536"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Zeposia</w:t>
            </w:r>
          </w:p>
        </w:tc>
        <w:tc>
          <w:tcPr>
            <w:tcW w:w="850" w:type="dxa"/>
            <w:tcBorders>
              <w:top w:val="single" w:sz="4" w:space="0" w:color="000000"/>
              <w:left w:val="nil"/>
              <w:bottom w:val="single" w:sz="4" w:space="0" w:color="auto"/>
              <w:right w:val="single" w:sz="4" w:space="0" w:color="auto"/>
            </w:tcBorders>
            <w:shd w:val="clear" w:color="auto" w:fill="auto"/>
          </w:tcPr>
          <w:p w14:paraId="6FC0B6C2" w14:textId="77777777" w:rsidR="00023FA5" w:rsidRPr="00D36536"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12278F</w:t>
            </w:r>
          </w:p>
        </w:tc>
        <w:tc>
          <w:tcPr>
            <w:tcW w:w="1134" w:type="dxa"/>
            <w:tcBorders>
              <w:top w:val="single" w:sz="4" w:space="0" w:color="000000"/>
              <w:left w:val="nil"/>
              <w:bottom w:val="single" w:sz="4" w:space="0" w:color="auto"/>
              <w:right w:val="single" w:sz="4" w:space="0" w:color="auto"/>
            </w:tcBorders>
            <w:shd w:val="clear" w:color="auto" w:fill="auto"/>
          </w:tcPr>
          <w:p w14:paraId="4F3024FD" w14:textId="77777777" w:rsidR="00023FA5" w:rsidRPr="00D36536" w:rsidRDefault="00023FA5" w:rsidP="00023FA5">
            <w:pPr>
              <w:spacing w:after="0"/>
              <w:jc w:val="right"/>
              <w:rPr>
                <w:rFonts w:ascii="Calibri" w:eastAsia="Times New Roman" w:hAnsi="Calibri" w:cs="Times New Roman"/>
                <w:sz w:val="18"/>
                <w:szCs w:val="18"/>
              </w:rPr>
            </w:pPr>
            <w:r>
              <w:rPr>
                <w:rFonts w:ascii="Calibri" w:eastAsia="Times New Roman" w:hAnsi="Calibri" w:cs="Times New Roman"/>
                <w:sz w:val="18"/>
                <w:szCs w:val="18"/>
              </w:rPr>
              <w:t xml:space="preserve">1 Mar 2021 </w:t>
            </w:r>
          </w:p>
        </w:tc>
        <w:tc>
          <w:tcPr>
            <w:tcW w:w="3758" w:type="dxa"/>
            <w:tcBorders>
              <w:top w:val="single" w:sz="4" w:space="0" w:color="000000"/>
              <w:left w:val="nil"/>
              <w:bottom w:val="single" w:sz="4" w:space="0" w:color="auto"/>
              <w:right w:val="single" w:sz="4" w:space="0" w:color="auto"/>
            </w:tcBorders>
            <w:shd w:val="clear" w:color="auto" w:fill="auto"/>
          </w:tcPr>
          <w:p w14:paraId="0507E923" w14:textId="77777777" w:rsidR="00023FA5" w:rsidRPr="00D36536"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230 microgram capsule [4] (&amp;) 460 microgram capsule [3]</w:t>
            </w:r>
          </w:p>
        </w:tc>
      </w:tr>
      <w:tr w:rsidR="00023FA5" w:rsidRPr="006E2AC1" w14:paraId="555DD651" w14:textId="77777777" w:rsidTr="00023FA5">
        <w:trPr>
          <w:trHeight w:val="280"/>
        </w:trPr>
        <w:tc>
          <w:tcPr>
            <w:tcW w:w="1635" w:type="dxa"/>
            <w:tcBorders>
              <w:top w:val="single" w:sz="4" w:space="0" w:color="000000"/>
              <w:left w:val="single" w:sz="4" w:space="0" w:color="auto"/>
              <w:bottom w:val="single" w:sz="4" w:space="0" w:color="auto"/>
              <w:right w:val="single" w:sz="4" w:space="0" w:color="auto"/>
            </w:tcBorders>
            <w:shd w:val="clear" w:color="auto" w:fill="auto"/>
          </w:tcPr>
          <w:p w14:paraId="3B55A942" w14:textId="77777777" w:rsidR="00023FA5"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 xml:space="preserve">Teriflunomide </w:t>
            </w:r>
          </w:p>
        </w:tc>
        <w:tc>
          <w:tcPr>
            <w:tcW w:w="1621" w:type="dxa"/>
            <w:tcBorders>
              <w:top w:val="single" w:sz="4" w:space="0" w:color="000000"/>
              <w:left w:val="nil"/>
              <w:bottom w:val="single" w:sz="4" w:space="0" w:color="auto"/>
              <w:right w:val="single" w:sz="4" w:space="0" w:color="auto"/>
            </w:tcBorders>
            <w:shd w:val="clear" w:color="auto" w:fill="auto"/>
          </w:tcPr>
          <w:p w14:paraId="604B2164" w14:textId="77777777" w:rsidR="00023FA5"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 xml:space="preserve">Terimide </w:t>
            </w:r>
          </w:p>
        </w:tc>
        <w:tc>
          <w:tcPr>
            <w:tcW w:w="850" w:type="dxa"/>
            <w:tcBorders>
              <w:top w:val="single" w:sz="4" w:space="0" w:color="000000"/>
              <w:left w:val="nil"/>
              <w:bottom w:val="single" w:sz="4" w:space="0" w:color="auto"/>
              <w:right w:val="single" w:sz="4" w:space="0" w:color="auto"/>
            </w:tcBorders>
            <w:shd w:val="clear" w:color="auto" w:fill="auto"/>
          </w:tcPr>
          <w:p w14:paraId="3D4CE00E" w14:textId="77777777" w:rsidR="00023FA5"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 xml:space="preserve">2898M </w:t>
            </w:r>
          </w:p>
        </w:tc>
        <w:tc>
          <w:tcPr>
            <w:tcW w:w="1134" w:type="dxa"/>
            <w:tcBorders>
              <w:top w:val="single" w:sz="4" w:space="0" w:color="000000"/>
              <w:left w:val="nil"/>
              <w:bottom w:val="single" w:sz="4" w:space="0" w:color="auto"/>
              <w:right w:val="single" w:sz="4" w:space="0" w:color="auto"/>
            </w:tcBorders>
            <w:shd w:val="clear" w:color="auto" w:fill="auto"/>
          </w:tcPr>
          <w:p w14:paraId="493C540C" w14:textId="77777777" w:rsidR="00023FA5" w:rsidRDefault="00023FA5" w:rsidP="00023FA5">
            <w:pPr>
              <w:spacing w:after="0"/>
              <w:jc w:val="right"/>
              <w:rPr>
                <w:rFonts w:ascii="Calibri" w:eastAsia="Times New Roman" w:hAnsi="Calibri" w:cs="Times New Roman"/>
                <w:sz w:val="18"/>
                <w:szCs w:val="18"/>
              </w:rPr>
            </w:pPr>
            <w:r>
              <w:rPr>
                <w:rFonts w:ascii="Calibri" w:eastAsia="Times New Roman" w:hAnsi="Calibri" w:cs="Times New Roman"/>
                <w:sz w:val="18"/>
                <w:szCs w:val="18"/>
              </w:rPr>
              <w:t xml:space="preserve">1 Apr 2021 </w:t>
            </w:r>
          </w:p>
        </w:tc>
        <w:tc>
          <w:tcPr>
            <w:tcW w:w="3758" w:type="dxa"/>
            <w:tcBorders>
              <w:top w:val="single" w:sz="4" w:space="0" w:color="000000"/>
              <w:left w:val="nil"/>
              <w:bottom w:val="single" w:sz="4" w:space="0" w:color="auto"/>
              <w:right w:val="single" w:sz="4" w:space="0" w:color="auto"/>
            </w:tcBorders>
            <w:shd w:val="clear" w:color="auto" w:fill="auto"/>
          </w:tcPr>
          <w:p w14:paraId="2A713DD5" w14:textId="77777777" w:rsidR="00023FA5"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 xml:space="preserve">Tablet 14 mg </w:t>
            </w:r>
          </w:p>
        </w:tc>
      </w:tr>
      <w:tr w:rsidR="00023FA5" w:rsidRPr="006E2AC1" w14:paraId="57C95A84" w14:textId="77777777" w:rsidTr="00023FA5">
        <w:trPr>
          <w:trHeight w:val="280"/>
        </w:trPr>
        <w:tc>
          <w:tcPr>
            <w:tcW w:w="1635" w:type="dxa"/>
            <w:tcBorders>
              <w:top w:val="single" w:sz="4" w:space="0" w:color="000000"/>
              <w:left w:val="single" w:sz="4" w:space="0" w:color="auto"/>
              <w:bottom w:val="single" w:sz="4" w:space="0" w:color="auto"/>
              <w:right w:val="single" w:sz="4" w:space="0" w:color="auto"/>
            </w:tcBorders>
            <w:shd w:val="clear" w:color="auto" w:fill="auto"/>
          </w:tcPr>
          <w:p w14:paraId="0BF3B546" w14:textId="77777777" w:rsidR="00023FA5"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 xml:space="preserve">ofatumumab </w:t>
            </w:r>
          </w:p>
        </w:tc>
        <w:tc>
          <w:tcPr>
            <w:tcW w:w="1621" w:type="dxa"/>
            <w:tcBorders>
              <w:top w:val="single" w:sz="4" w:space="0" w:color="000000"/>
              <w:left w:val="nil"/>
              <w:bottom w:val="single" w:sz="4" w:space="0" w:color="auto"/>
              <w:right w:val="single" w:sz="4" w:space="0" w:color="auto"/>
            </w:tcBorders>
            <w:shd w:val="clear" w:color="auto" w:fill="auto"/>
          </w:tcPr>
          <w:p w14:paraId="1F7DFBB9" w14:textId="77777777" w:rsidR="00023FA5" w:rsidRPr="00D36536"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Kesimpta</w:t>
            </w:r>
          </w:p>
        </w:tc>
        <w:tc>
          <w:tcPr>
            <w:tcW w:w="850" w:type="dxa"/>
            <w:tcBorders>
              <w:top w:val="single" w:sz="4" w:space="0" w:color="000000"/>
              <w:left w:val="nil"/>
              <w:bottom w:val="single" w:sz="4" w:space="0" w:color="auto"/>
              <w:right w:val="single" w:sz="4" w:space="0" w:color="auto"/>
            </w:tcBorders>
            <w:shd w:val="clear" w:color="auto" w:fill="auto"/>
          </w:tcPr>
          <w:p w14:paraId="3F2EB203" w14:textId="77777777" w:rsidR="00023FA5" w:rsidRPr="00D36536"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12641H</w:t>
            </w:r>
          </w:p>
        </w:tc>
        <w:tc>
          <w:tcPr>
            <w:tcW w:w="1134" w:type="dxa"/>
            <w:tcBorders>
              <w:top w:val="single" w:sz="4" w:space="0" w:color="000000"/>
              <w:left w:val="nil"/>
              <w:bottom w:val="single" w:sz="4" w:space="0" w:color="auto"/>
              <w:right w:val="single" w:sz="4" w:space="0" w:color="auto"/>
            </w:tcBorders>
            <w:shd w:val="clear" w:color="auto" w:fill="auto"/>
          </w:tcPr>
          <w:p w14:paraId="7D6FF3B4" w14:textId="77777777" w:rsidR="00023FA5" w:rsidRPr="00D36536" w:rsidRDefault="00023FA5" w:rsidP="00023FA5">
            <w:pPr>
              <w:spacing w:after="0"/>
              <w:jc w:val="right"/>
              <w:rPr>
                <w:rFonts w:ascii="Calibri" w:eastAsia="Times New Roman" w:hAnsi="Calibri" w:cs="Times New Roman"/>
                <w:sz w:val="18"/>
                <w:szCs w:val="18"/>
              </w:rPr>
            </w:pPr>
            <w:r>
              <w:rPr>
                <w:rFonts w:ascii="Calibri" w:eastAsia="Times New Roman" w:hAnsi="Calibri" w:cs="Times New Roman"/>
                <w:sz w:val="18"/>
                <w:szCs w:val="18"/>
              </w:rPr>
              <w:t xml:space="preserve">1 Oct 2021 </w:t>
            </w:r>
          </w:p>
        </w:tc>
        <w:tc>
          <w:tcPr>
            <w:tcW w:w="3758" w:type="dxa"/>
            <w:tcBorders>
              <w:top w:val="single" w:sz="4" w:space="0" w:color="000000"/>
              <w:left w:val="nil"/>
              <w:bottom w:val="single" w:sz="4" w:space="0" w:color="auto"/>
              <w:right w:val="single" w:sz="4" w:space="0" w:color="auto"/>
            </w:tcBorders>
            <w:shd w:val="clear" w:color="auto" w:fill="auto"/>
          </w:tcPr>
          <w:p w14:paraId="4AE53FB2" w14:textId="77777777" w:rsidR="00023FA5" w:rsidRPr="00D36536"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20 mg/0.4 mL injection, 0.4 mL pen device</w:t>
            </w:r>
          </w:p>
        </w:tc>
      </w:tr>
      <w:tr w:rsidR="00023FA5" w:rsidRPr="006E2AC1" w14:paraId="580606F3" w14:textId="77777777" w:rsidTr="00023FA5">
        <w:trPr>
          <w:trHeight w:val="280"/>
        </w:trPr>
        <w:tc>
          <w:tcPr>
            <w:tcW w:w="1635" w:type="dxa"/>
            <w:tcBorders>
              <w:top w:val="single" w:sz="4" w:space="0" w:color="000000"/>
              <w:left w:val="single" w:sz="4" w:space="0" w:color="auto"/>
              <w:bottom w:val="single" w:sz="4" w:space="0" w:color="auto"/>
              <w:right w:val="single" w:sz="4" w:space="0" w:color="auto"/>
            </w:tcBorders>
            <w:shd w:val="clear" w:color="auto" w:fill="auto"/>
          </w:tcPr>
          <w:p w14:paraId="62A26566" w14:textId="77777777" w:rsidR="00023FA5"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 xml:space="preserve">ofatumumab </w:t>
            </w:r>
          </w:p>
        </w:tc>
        <w:tc>
          <w:tcPr>
            <w:tcW w:w="1621" w:type="dxa"/>
            <w:tcBorders>
              <w:top w:val="single" w:sz="4" w:space="0" w:color="000000"/>
              <w:left w:val="nil"/>
              <w:bottom w:val="single" w:sz="4" w:space="0" w:color="auto"/>
              <w:right w:val="single" w:sz="4" w:space="0" w:color="auto"/>
            </w:tcBorders>
            <w:shd w:val="clear" w:color="auto" w:fill="auto"/>
          </w:tcPr>
          <w:p w14:paraId="0B18E608" w14:textId="77777777" w:rsidR="00023FA5" w:rsidRPr="00D36536"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Kesimpta</w:t>
            </w:r>
          </w:p>
        </w:tc>
        <w:tc>
          <w:tcPr>
            <w:tcW w:w="850" w:type="dxa"/>
            <w:tcBorders>
              <w:top w:val="single" w:sz="4" w:space="0" w:color="000000"/>
              <w:left w:val="nil"/>
              <w:bottom w:val="single" w:sz="4" w:space="0" w:color="auto"/>
              <w:right w:val="single" w:sz="4" w:space="0" w:color="auto"/>
            </w:tcBorders>
            <w:shd w:val="clear" w:color="auto" w:fill="auto"/>
          </w:tcPr>
          <w:p w14:paraId="553D6A91" w14:textId="77777777" w:rsidR="00023FA5" w:rsidRPr="00D36536"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 xml:space="preserve">12642J </w:t>
            </w:r>
          </w:p>
        </w:tc>
        <w:tc>
          <w:tcPr>
            <w:tcW w:w="1134" w:type="dxa"/>
            <w:tcBorders>
              <w:top w:val="single" w:sz="4" w:space="0" w:color="000000"/>
              <w:left w:val="nil"/>
              <w:bottom w:val="single" w:sz="4" w:space="0" w:color="auto"/>
              <w:right w:val="single" w:sz="4" w:space="0" w:color="auto"/>
            </w:tcBorders>
            <w:shd w:val="clear" w:color="auto" w:fill="auto"/>
          </w:tcPr>
          <w:p w14:paraId="302E1637" w14:textId="77777777" w:rsidR="00023FA5" w:rsidRPr="00D36536" w:rsidRDefault="00023FA5" w:rsidP="00023FA5">
            <w:pPr>
              <w:spacing w:after="0"/>
              <w:jc w:val="right"/>
              <w:rPr>
                <w:rFonts w:ascii="Calibri" w:eastAsia="Times New Roman" w:hAnsi="Calibri" w:cs="Times New Roman"/>
                <w:sz w:val="18"/>
                <w:szCs w:val="18"/>
              </w:rPr>
            </w:pPr>
            <w:r>
              <w:rPr>
                <w:rFonts w:ascii="Calibri" w:eastAsia="Times New Roman" w:hAnsi="Calibri" w:cs="Times New Roman"/>
                <w:sz w:val="18"/>
                <w:szCs w:val="18"/>
              </w:rPr>
              <w:t xml:space="preserve">1 Oct 2021 </w:t>
            </w:r>
          </w:p>
        </w:tc>
        <w:tc>
          <w:tcPr>
            <w:tcW w:w="3758" w:type="dxa"/>
            <w:tcBorders>
              <w:top w:val="single" w:sz="4" w:space="0" w:color="000000"/>
              <w:left w:val="nil"/>
              <w:bottom w:val="single" w:sz="4" w:space="0" w:color="auto"/>
              <w:right w:val="single" w:sz="4" w:space="0" w:color="auto"/>
            </w:tcBorders>
            <w:shd w:val="clear" w:color="auto" w:fill="auto"/>
          </w:tcPr>
          <w:p w14:paraId="73171824" w14:textId="77777777" w:rsidR="00023FA5" w:rsidRPr="00D36536" w:rsidRDefault="00023FA5" w:rsidP="00023FA5">
            <w:pPr>
              <w:spacing w:after="0"/>
              <w:rPr>
                <w:rFonts w:ascii="Calibri" w:eastAsia="Times New Roman" w:hAnsi="Calibri" w:cs="Times New Roman"/>
                <w:sz w:val="18"/>
                <w:szCs w:val="18"/>
              </w:rPr>
            </w:pPr>
            <w:r>
              <w:rPr>
                <w:rFonts w:ascii="Calibri" w:eastAsia="Times New Roman" w:hAnsi="Calibri" w:cs="Times New Roman"/>
                <w:sz w:val="18"/>
                <w:szCs w:val="18"/>
              </w:rPr>
              <w:t xml:space="preserve">20 mg/0.4 mL injection, 0.4 mL pen device </w:t>
            </w:r>
          </w:p>
        </w:tc>
      </w:tr>
    </w:tbl>
    <w:p w14:paraId="7A458B70" w14:textId="77777777" w:rsidR="00023FA5" w:rsidRDefault="00023FA5" w:rsidP="00023FA5">
      <w:pPr>
        <w:spacing w:after="0"/>
        <w:rPr>
          <w:sz w:val="20"/>
        </w:rPr>
      </w:pPr>
      <w:r w:rsidRPr="007A40F2">
        <w:rPr>
          <w:sz w:val="20"/>
        </w:rPr>
        <w:t xml:space="preserve">Note: </w:t>
      </w:r>
    </w:p>
    <w:p w14:paraId="59034EDB" w14:textId="77777777" w:rsidR="00023FA5" w:rsidRDefault="00023FA5" w:rsidP="00023FA5">
      <w:pPr>
        <w:spacing w:after="0"/>
        <w:rPr>
          <w:sz w:val="20"/>
        </w:rPr>
      </w:pPr>
      <w:r>
        <w:rPr>
          <w:sz w:val="20"/>
          <w:vertAlign w:val="superscript"/>
        </w:rPr>
        <w:t>a</w:t>
      </w:r>
      <w:r>
        <w:rPr>
          <w:sz w:val="20"/>
        </w:rPr>
        <w:t xml:space="preserve"> Delisted 31 January 2017 </w:t>
      </w:r>
    </w:p>
    <w:p w14:paraId="6EF51B78" w14:textId="77777777" w:rsidR="00023FA5" w:rsidRDefault="00023FA5" w:rsidP="00023FA5">
      <w:pPr>
        <w:spacing w:after="0"/>
        <w:rPr>
          <w:sz w:val="20"/>
        </w:rPr>
      </w:pPr>
      <w:r>
        <w:rPr>
          <w:sz w:val="20"/>
          <w:vertAlign w:val="superscript"/>
        </w:rPr>
        <w:t>b</w:t>
      </w:r>
      <w:r>
        <w:rPr>
          <w:sz w:val="20"/>
        </w:rPr>
        <w:t xml:space="preserve"> Delisted 30 November 2004 </w:t>
      </w:r>
    </w:p>
    <w:p w14:paraId="4C2BCAB9" w14:textId="77777777" w:rsidR="00023FA5" w:rsidRDefault="00023FA5" w:rsidP="00023FA5">
      <w:pPr>
        <w:spacing w:after="0"/>
        <w:rPr>
          <w:sz w:val="20"/>
        </w:rPr>
      </w:pPr>
      <w:r>
        <w:rPr>
          <w:sz w:val="20"/>
          <w:vertAlign w:val="superscript"/>
        </w:rPr>
        <w:t>c</w:t>
      </w:r>
      <w:r>
        <w:rPr>
          <w:sz w:val="20"/>
        </w:rPr>
        <w:t xml:space="preserve"> Delisted 30 June 2019</w:t>
      </w:r>
    </w:p>
    <w:p w14:paraId="470CE60F" w14:textId="77777777" w:rsidR="00023FA5" w:rsidRDefault="00023FA5" w:rsidP="00023FA5">
      <w:pPr>
        <w:spacing w:after="0"/>
        <w:rPr>
          <w:sz w:val="20"/>
        </w:rPr>
      </w:pPr>
      <w:r>
        <w:rPr>
          <w:sz w:val="20"/>
          <w:vertAlign w:val="superscript"/>
        </w:rPr>
        <w:t>d</w:t>
      </w:r>
      <w:r>
        <w:rPr>
          <w:sz w:val="20"/>
        </w:rPr>
        <w:t xml:space="preserve"> daclizumab (2898M) was delisted 31 May 2018.  </w:t>
      </w:r>
    </w:p>
    <w:p w14:paraId="54E2B8E5" w14:textId="77777777" w:rsidR="00023FA5" w:rsidRPr="007A40F2" w:rsidRDefault="00023FA5" w:rsidP="00023FA5">
      <w:pPr>
        <w:spacing w:after="0"/>
        <w:rPr>
          <w:sz w:val="20"/>
        </w:rPr>
      </w:pPr>
      <w:r w:rsidRPr="00EA697D">
        <w:rPr>
          <w:sz w:val="20"/>
          <w:vertAlign w:val="superscript"/>
        </w:rPr>
        <w:t>e</w:t>
      </w:r>
      <w:r>
        <w:rPr>
          <w:sz w:val="20"/>
        </w:rPr>
        <w:t xml:space="preserve"> Aubagio brand delisted 1 October 2021. </w:t>
      </w:r>
    </w:p>
    <w:p w14:paraId="18DC152A" w14:textId="77777777" w:rsidR="00023FA5" w:rsidRDefault="00023FA5" w:rsidP="00023FA5"/>
    <w:p w14:paraId="4E24BC48" w14:textId="77777777" w:rsidR="00023FA5" w:rsidRDefault="00023FA5" w:rsidP="00023FA5">
      <w:pPr>
        <w:spacing w:line="276" w:lineRule="auto"/>
        <w:rPr>
          <w:b/>
          <w:sz w:val="28"/>
        </w:rPr>
      </w:pPr>
      <w:r>
        <w:rPr>
          <w:b/>
          <w:sz w:val="28"/>
        </w:rPr>
        <w:br w:type="page"/>
      </w:r>
    </w:p>
    <w:p w14:paraId="7257EFB1" w14:textId="77777777" w:rsidR="00023FA5" w:rsidRPr="00FD010D" w:rsidRDefault="00023FA5" w:rsidP="00023FA5">
      <w:pPr>
        <w:pStyle w:val="Heading2"/>
      </w:pPr>
      <w:r>
        <w:lastRenderedPageBreak/>
        <w:t xml:space="preserve">Appendix </w:t>
      </w:r>
      <w:r w:rsidRPr="00FD010D">
        <w:t xml:space="preserve">C: Summary of restrictions as at </w:t>
      </w:r>
      <w:r>
        <w:t>November</w:t>
      </w:r>
      <w:r w:rsidRPr="00FD010D">
        <w:t xml:space="preserve"> 2021</w:t>
      </w:r>
      <w:r>
        <w:rPr>
          <w:b w:val="0"/>
        </w:rPr>
        <w:t xml:space="preserve"> </w:t>
      </w:r>
    </w:p>
    <w:p w14:paraId="32935BD4" w14:textId="77777777" w:rsidR="00023FA5" w:rsidRDefault="00023FA5" w:rsidP="00023FA5">
      <w:pPr>
        <w:shd w:val="clear" w:color="auto" w:fill="FFFFFF"/>
        <w:spacing w:after="240"/>
      </w:pPr>
      <w:r>
        <w:t xml:space="preserve">Infusion treatments (alemtuzumab, natalizumab and ocrelizumab) are listed on Section 100 Highly Specialised Drugs Program (Private and Public Hospital). </w:t>
      </w:r>
    </w:p>
    <w:p w14:paraId="5A3697AD" w14:textId="77777777" w:rsidR="00023FA5" w:rsidRDefault="00023FA5" w:rsidP="00023FA5">
      <w:pPr>
        <w:shd w:val="clear" w:color="auto" w:fill="FFFFFF"/>
        <w:spacing w:after="240"/>
      </w:pPr>
      <w:r>
        <w:t xml:space="preserve">Oral treatments (cladribine, dimethyl fumarate, fingolimod, ozanimod, siponimod, teriflunomide) and injection treatments (glatiramer acetate, interferon beta-1a, interferon beta-1b, ofatumumab and peginterferon beta-1a) are listed on Section 85 General Schedule. </w:t>
      </w:r>
    </w:p>
    <w:p w14:paraId="7B65A282" w14:textId="77777777" w:rsidR="00023FA5" w:rsidRDefault="00023FA5" w:rsidP="00023FA5">
      <w:pPr>
        <w:shd w:val="clear" w:color="auto" w:fill="FFFFFF"/>
        <w:spacing w:after="240"/>
      </w:pPr>
      <w:r>
        <w:t xml:space="preserve">All current PBS listings for RRMS are Authority Required (Streamlined). </w:t>
      </w:r>
    </w:p>
    <w:p w14:paraId="05184D31" w14:textId="77777777" w:rsidR="00023FA5" w:rsidRDefault="00023FA5" w:rsidP="00023FA5">
      <w:pPr>
        <w:shd w:val="clear" w:color="auto" w:fill="FFFFFF"/>
        <w:spacing w:after="240"/>
      </w:pPr>
      <w:r>
        <w:t xml:space="preserve">All listings for initial treatment require: </w:t>
      </w:r>
    </w:p>
    <w:p w14:paraId="1055FCF0" w14:textId="77777777" w:rsidR="00023FA5" w:rsidRDefault="00023FA5" w:rsidP="00023FA5">
      <w:pPr>
        <w:pStyle w:val="ListParagraph"/>
        <w:numPr>
          <w:ilvl w:val="0"/>
          <w:numId w:val="20"/>
        </w:numPr>
        <w:autoSpaceDE w:val="0"/>
        <w:autoSpaceDN w:val="0"/>
        <w:adjustRightInd w:val="0"/>
        <w:spacing w:after="0"/>
        <w:rPr>
          <w:rFonts w:ascii="Calibri" w:hAnsi="Calibri" w:cs="Calibri"/>
        </w:rPr>
      </w:pPr>
      <w:r w:rsidRPr="00291BA9">
        <w:rPr>
          <w:rFonts w:ascii="Calibri" w:hAnsi="Calibri" w:cs="Calibri"/>
        </w:rPr>
        <w:t>diagnosis confirmed by magnetic resonance imaging (MRI) of the brain and/or spinal cord and the date of the scan included in the authority application, unless the authority application is accompanied by written certification provided by a radiologist that an MRI scan is contraindicated because of the risk of physical (not psychological) injury to the patient;</w:t>
      </w:r>
      <w:r>
        <w:rPr>
          <w:rFonts w:ascii="Calibri" w:hAnsi="Calibri" w:cs="Calibri"/>
        </w:rPr>
        <w:t xml:space="preserve"> and</w:t>
      </w:r>
    </w:p>
    <w:p w14:paraId="4DD53623" w14:textId="77777777" w:rsidR="00023FA5" w:rsidRDefault="00023FA5" w:rsidP="00023FA5">
      <w:pPr>
        <w:pStyle w:val="ListParagraph"/>
        <w:numPr>
          <w:ilvl w:val="0"/>
          <w:numId w:val="20"/>
        </w:numPr>
        <w:autoSpaceDE w:val="0"/>
        <w:autoSpaceDN w:val="0"/>
        <w:adjustRightInd w:val="0"/>
        <w:spacing w:after="0"/>
        <w:rPr>
          <w:rFonts w:ascii="Calibri" w:hAnsi="Calibri" w:cs="Calibri"/>
        </w:rPr>
      </w:pPr>
      <w:r w:rsidRPr="00291BA9">
        <w:rPr>
          <w:rFonts w:ascii="Calibri" w:hAnsi="Calibri" w:cs="Calibri"/>
        </w:rPr>
        <w:t>patients to be ambulatory, wi</w:t>
      </w:r>
      <w:r>
        <w:rPr>
          <w:rFonts w:ascii="Calibri" w:hAnsi="Calibri" w:cs="Calibri"/>
        </w:rPr>
        <w:t xml:space="preserve">thout assistance or support; </w:t>
      </w:r>
    </w:p>
    <w:p w14:paraId="078ACA57" w14:textId="77777777" w:rsidR="00023FA5" w:rsidRPr="00385B53" w:rsidRDefault="00023FA5" w:rsidP="00023FA5">
      <w:pPr>
        <w:autoSpaceDE w:val="0"/>
        <w:autoSpaceDN w:val="0"/>
        <w:adjustRightInd w:val="0"/>
        <w:spacing w:after="0"/>
        <w:rPr>
          <w:rFonts w:ascii="Calibri" w:hAnsi="Calibri" w:cs="Calibri"/>
        </w:rPr>
      </w:pPr>
    </w:p>
    <w:p w14:paraId="7281151D" w14:textId="77777777" w:rsidR="00023FA5" w:rsidRDefault="00023FA5" w:rsidP="00023FA5">
      <w:pPr>
        <w:autoSpaceDE w:val="0"/>
        <w:autoSpaceDN w:val="0"/>
        <w:adjustRightInd w:val="0"/>
        <w:spacing w:after="0"/>
        <w:rPr>
          <w:rFonts w:ascii="Calibri" w:hAnsi="Calibri" w:cs="Calibri"/>
        </w:rPr>
      </w:pPr>
      <w:r>
        <w:rPr>
          <w:rFonts w:ascii="Calibri" w:hAnsi="Calibri" w:cs="Calibri"/>
        </w:rPr>
        <w:t xml:space="preserve">Initial treatment with infusion and oral treatments specify the requirement to be that it must be sole PBS-subsidised disease modifying therapy for this condition. </w:t>
      </w:r>
    </w:p>
    <w:p w14:paraId="5D13EB80" w14:textId="77777777" w:rsidR="00023FA5" w:rsidRDefault="00023FA5" w:rsidP="00023FA5">
      <w:pPr>
        <w:autoSpaceDE w:val="0"/>
        <w:autoSpaceDN w:val="0"/>
        <w:adjustRightInd w:val="0"/>
        <w:spacing w:after="0"/>
        <w:rPr>
          <w:rFonts w:ascii="Calibri" w:hAnsi="Calibri" w:cs="Calibri"/>
        </w:rPr>
      </w:pPr>
    </w:p>
    <w:p w14:paraId="603E71FA" w14:textId="77777777" w:rsidR="00023FA5" w:rsidRDefault="00023FA5" w:rsidP="00023FA5">
      <w:pPr>
        <w:autoSpaceDE w:val="0"/>
        <w:autoSpaceDN w:val="0"/>
        <w:adjustRightInd w:val="0"/>
        <w:spacing w:after="0"/>
        <w:rPr>
          <w:rFonts w:ascii="Calibri" w:hAnsi="Calibri" w:cs="Calibri"/>
        </w:rPr>
      </w:pPr>
      <w:r>
        <w:rPr>
          <w:rFonts w:ascii="Calibri" w:hAnsi="Calibri" w:cs="Calibri"/>
        </w:rPr>
        <w:t xml:space="preserve">Initial treatment with infusion treatments specify the requirement for treatment with a neurologist. Initial treatment with cladribine specifies the requirement for the condition to be diagnosed by a neurologist. </w:t>
      </w:r>
    </w:p>
    <w:p w14:paraId="56A773E9" w14:textId="77777777" w:rsidR="00023FA5" w:rsidRDefault="00023FA5" w:rsidP="00023FA5">
      <w:pPr>
        <w:autoSpaceDE w:val="0"/>
        <w:autoSpaceDN w:val="0"/>
        <w:adjustRightInd w:val="0"/>
        <w:spacing w:after="0"/>
        <w:rPr>
          <w:rFonts w:ascii="Calibri" w:hAnsi="Calibri" w:cs="Calibri"/>
        </w:rPr>
      </w:pPr>
    </w:p>
    <w:p w14:paraId="7116A7A7" w14:textId="77777777" w:rsidR="00023FA5" w:rsidRDefault="00023FA5" w:rsidP="00023FA5">
      <w:pPr>
        <w:autoSpaceDE w:val="0"/>
        <w:autoSpaceDN w:val="0"/>
        <w:adjustRightInd w:val="0"/>
        <w:spacing w:after="0"/>
        <w:rPr>
          <w:rFonts w:ascii="Calibri" w:hAnsi="Calibri" w:cs="Calibri"/>
        </w:rPr>
      </w:pPr>
      <w:r>
        <w:rPr>
          <w:rFonts w:ascii="Calibri" w:hAnsi="Calibri" w:cs="Calibri"/>
        </w:rPr>
        <w:t xml:space="preserve">Initial treatment with siponimod specifies the requirement for mild disability in at least 3 functional systems or moderate disability in at least 1 functional system. Functional systems include: visual, brain stem, pyramidal, cerebellar, sensory, bowel/bladder and the cerebral/cognitive systems. Appropriate dose and pack size is selected based on the patient’s CYP2C9 metabolising enzyme status. </w:t>
      </w:r>
    </w:p>
    <w:p w14:paraId="0D2AB518" w14:textId="77777777" w:rsidR="00023FA5" w:rsidRDefault="00023FA5" w:rsidP="00023FA5">
      <w:pPr>
        <w:autoSpaceDE w:val="0"/>
        <w:autoSpaceDN w:val="0"/>
        <w:adjustRightInd w:val="0"/>
        <w:spacing w:after="0"/>
        <w:rPr>
          <w:rFonts w:ascii="Calibri" w:hAnsi="Calibri" w:cs="Calibri"/>
        </w:rPr>
      </w:pPr>
    </w:p>
    <w:p w14:paraId="3A722446" w14:textId="77777777" w:rsidR="00023FA5" w:rsidRDefault="00023FA5" w:rsidP="00023FA5">
      <w:pPr>
        <w:autoSpaceDE w:val="0"/>
        <w:autoSpaceDN w:val="0"/>
        <w:adjustRightInd w:val="0"/>
        <w:spacing w:after="0"/>
        <w:rPr>
          <w:rFonts w:ascii="Calibri" w:hAnsi="Calibri" w:cs="Calibri"/>
        </w:rPr>
      </w:pPr>
      <w:r>
        <w:rPr>
          <w:rFonts w:ascii="Calibri" w:hAnsi="Calibri" w:cs="Calibri"/>
        </w:rPr>
        <w:t xml:space="preserve">All listings for continuing treatment require </w:t>
      </w:r>
      <w:r w:rsidRPr="00385B53">
        <w:rPr>
          <w:rFonts w:ascii="Calibri" w:hAnsi="Calibri" w:cs="Calibri"/>
        </w:rPr>
        <w:t>that the patient does not show continuing progression of disability while on treatment and has demonstrated compliance with, and an ability to tolerate, the therapy.</w:t>
      </w:r>
    </w:p>
    <w:p w14:paraId="47E66101" w14:textId="77777777" w:rsidR="00023FA5" w:rsidRDefault="00023FA5" w:rsidP="00023FA5">
      <w:pPr>
        <w:autoSpaceDE w:val="0"/>
        <w:autoSpaceDN w:val="0"/>
        <w:adjustRightInd w:val="0"/>
        <w:spacing w:after="0"/>
        <w:rPr>
          <w:rFonts w:ascii="Calibri" w:hAnsi="Calibri" w:cs="Calibri"/>
        </w:rPr>
      </w:pPr>
    </w:p>
    <w:p w14:paraId="6C243974" w14:textId="77777777" w:rsidR="00023FA5" w:rsidRPr="00385B53" w:rsidRDefault="00023FA5" w:rsidP="00023FA5">
      <w:pPr>
        <w:autoSpaceDE w:val="0"/>
        <w:autoSpaceDN w:val="0"/>
        <w:adjustRightInd w:val="0"/>
        <w:spacing w:after="0"/>
        <w:rPr>
          <w:rFonts w:ascii="Calibri" w:hAnsi="Calibri" w:cs="Calibri"/>
        </w:rPr>
      </w:pPr>
      <w:r>
        <w:rPr>
          <w:rFonts w:ascii="Calibri" w:hAnsi="Calibri" w:cs="Calibri"/>
        </w:rPr>
        <w:t xml:space="preserve">Continuing treatment with alemtuzumab, cladribine, natalizumab and teriflunomide require the condition to be diagnosed as clinically definite RRMS by MRI of the brain and/or spinal cord, </w:t>
      </w:r>
      <w:r w:rsidRPr="00291BA9">
        <w:rPr>
          <w:rFonts w:ascii="Calibri" w:hAnsi="Calibri" w:cs="Calibri"/>
        </w:rPr>
        <w:t>unless the authority application is accompanied by written certification provided by a radiologist that an MRI scan is contraindicated because of the risk of physical (not psych</w:t>
      </w:r>
      <w:r>
        <w:rPr>
          <w:rFonts w:ascii="Calibri" w:hAnsi="Calibri" w:cs="Calibri"/>
        </w:rPr>
        <w:t xml:space="preserve">ological) injury to the patient. Continuing treatment with alemtuzumab only specifies the requirement for the condition to be diagnosed as clinically definite RRMS by MRI. </w:t>
      </w:r>
    </w:p>
    <w:p w14:paraId="44BD0C07" w14:textId="77777777" w:rsidR="00023FA5" w:rsidRPr="00291BA9" w:rsidRDefault="00023FA5" w:rsidP="00023FA5">
      <w:pPr>
        <w:autoSpaceDE w:val="0"/>
        <w:autoSpaceDN w:val="0"/>
        <w:adjustRightInd w:val="0"/>
        <w:spacing w:after="0"/>
        <w:rPr>
          <w:rFonts w:ascii="Calibri" w:hAnsi="Calibri" w:cs="Calibri"/>
        </w:rPr>
      </w:pPr>
    </w:p>
    <w:p w14:paraId="2383502C" w14:textId="77777777" w:rsidR="00023FA5" w:rsidRDefault="00023FA5" w:rsidP="00023FA5">
      <w:pPr>
        <w:autoSpaceDE w:val="0"/>
        <w:autoSpaceDN w:val="0"/>
        <w:adjustRightInd w:val="0"/>
        <w:spacing w:after="0"/>
        <w:rPr>
          <w:rFonts w:ascii="Calibri" w:hAnsi="Calibri" w:cs="Calibri"/>
        </w:rPr>
      </w:pPr>
      <w:r>
        <w:rPr>
          <w:rFonts w:ascii="Calibri" w:hAnsi="Calibri" w:cs="Calibri"/>
        </w:rPr>
        <w:lastRenderedPageBreak/>
        <w:t xml:space="preserve">Continuing treatment with infusion and oral treatments specify the requirement that it must be sole PBS-subsidised disease modifying therapy for this condition. </w:t>
      </w:r>
    </w:p>
    <w:p w14:paraId="7FA76379" w14:textId="77777777" w:rsidR="00023FA5" w:rsidRDefault="00023FA5" w:rsidP="00023FA5">
      <w:pPr>
        <w:autoSpaceDE w:val="0"/>
        <w:autoSpaceDN w:val="0"/>
        <w:adjustRightInd w:val="0"/>
        <w:spacing w:after="0"/>
        <w:rPr>
          <w:rFonts w:ascii="Calibri" w:hAnsi="Calibri" w:cs="Calibri"/>
        </w:rPr>
      </w:pPr>
    </w:p>
    <w:p w14:paraId="53A021B3" w14:textId="77777777" w:rsidR="00023FA5" w:rsidRDefault="00023FA5" w:rsidP="00023FA5">
      <w:pPr>
        <w:autoSpaceDE w:val="0"/>
        <w:autoSpaceDN w:val="0"/>
        <w:adjustRightInd w:val="0"/>
        <w:spacing w:after="0"/>
        <w:rPr>
          <w:rFonts w:ascii="Calibri" w:hAnsi="Calibri" w:cs="Calibri"/>
        </w:rPr>
      </w:pPr>
      <w:r>
        <w:rPr>
          <w:rFonts w:ascii="Calibri" w:hAnsi="Calibri" w:cs="Calibri"/>
        </w:rPr>
        <w:t xml:space="preserve">Continuing treatment with injection therapies as well as fingolimod, ofatumumab, and ozanimod specify the requirement for the condition to be diagnosed as clinically definite RRMS. </w:t>
      </w:r>
    </w:p>
    <w:p w14:paraId="4139BCE6" w14:textId="77777777" w:rsidR="00023FA5" w:rsidRDefault="00023FA5" w:rsidP="00023FA5">
      <w:pPr>
        <w:autoSpaceDE w:val="0"/>
        <w:autoSpaceDN w:val="0"/>
        <w:adjustRightInd w:val="0"/>
        <w:spacing w:after="0"/>
        <w:rPr>
          <w:rFonts w:ascii="Calibri" w:hAnsi="Calibri" w:cs="Calibri"/>
        </w:rPr>
      </w:pPr>
    </w:p>
    <w:p w14:paraId="5F109A78" w14:textId="77777777" w:rsidR="00023FA5" w:rsidRDefault="00023FA5" w:rsidP="00023FA5">
      <w:pPr>
        <w:autoSpaceDE w:val="0"/>
        <w:autoSpaceDN w:val="0"/>
        <w:adjustRightInd w:val="0"/>
        <w:spacing w:after="0"/>
        <w:rPr>
          <w:rFonts w:ascii="Calibri" w:hAnsi="Calibri" w:cs="Calibri"/>
        </w:rPr>
      </w:pPr>
      <w:r>
        <w:rPr>
          <w:rFonts w:ascii="Calibri" w:hAnsi="Calibri" w:cs="Calibri"/>
        </w:rPr>
        <w:t xml:space="preserve">Continuing treatment with natalizumab and siponimod specifies the requirement for the patient to be ambulatory, with/without assistance/support </w:t>
      </w:r>
    </w:p>
    <w:p w14:paraId="1B02E269" w14:textId="77777777" w:rsidR="00023FA5" w:rsidRDefault="00023FA5" w:rsidP="00023FA5">
      <w:pPr>
        <w:autoSpaceDE w:val="0"/>
        <w:autoSpaceDN w:val="0"/>
        <w:adjustRightInd w:val="0"/>
        <w:spacing w:after="0"/>
        <w:rPr>
          <w:rFonts w:ascii="Calibri" w:hAnsi="Calibri" w:cs="Calibri"/>
        </w:rPr>
      </w:pPr>
    </w:p>
    <w:p w14:paraId="58B49070" w14:textId="77777777" w:rsidR="00023FA5" w:rsidRDefault="00023FA5" w:rsidP="00023FA5">
      <w:pPr>
        <w:autoSpaceDE w:val="0"/>
        <w:autoSpaceDN w:val="0"/>
        <w:adjustRightInd w:val="0"/>
        <w:spacing w:after="0"/>
        <w:rPr>
          <w:rFonts w:ascii="Calibri" w:hAnsi="Calibri" w:cs="Calibri"/>
        </w:rPr>
      </w:pPr>
      <w:r>
        <w:rPr>
          <w:rFonts w:ascii="Calibri" w:hAnsi="Calibri" w:cs="Calibri"/>
        </w:rPr>
        <w:t xml:space="preserve">Continuing treatment with alemtuzumab specifies the requirement for patients to not receive more than one PBS-subsidised treatment per year. </w:t>
      </w:r>
    </w:p>
    <w:p w14:paraId="2215FEAB" w14:textId="77777777" w:rsidR="00023FA5" w:rsidRDefault="00023FA5" w:rsidP="00023FA5">
      <w:pPr>
        <w:autoSpaceDE w:val="0"/>
        <w:autoSpaceDN w:val="0"/>
        <w:adjustRightInd w:val="0"/>
        <w:spacing w:after="0"/>
        <w:rPr>
          <w:rFonts w:ascii="Calibri" w:hAnsi="Calibri" w:cs="Calibri"/>
        </w:rPr>
      </w:pPr>
    </w:p>
    <w:p w14:paraId="40D7A1C4" w14:textId="77777777" w:rsidR="00023FA5" w:rsidRDefault="00023FA5" w:rsidP="00023FA5">
      <w:pPr>
        <w:autoSpaceDE w:val="0"/>
        <w:autoSpaceDN w:val="0"/>
        <w:adjustRightInd w:val="0"/>
        <w:spacing w:after="0"/>
        <w:rPr>
          <w:rFonts w:ascii="Calibri" w:hAnsi="Calibri" w:cs="Calibri"/>
        </w:rPr>
      </w:pPr>
      <w:r>
        <w:rPr>
          <w:rFonts w:ascii="Calibri" w:hAnsi="Calibri" w:cs="Calibri"/>
        </w:rPr>
        <w:t xml:space="preserve">Continuing treatment with infusion therapies as well as cladribine specify the requirement for patients to be treated by a neurologist. </w:t>
      </w:r>
    </w:p>
    <w:p w14:paraId="2B65A629" w14:textId="77777777" w:rsidR="00023FA5" w:rsidRDefault="00023FA5" w:rsidP="00023FA5">
      <w:pPr>
        <w:autoSpaceDE w:val="0"/>
        <w:autoSpaceDN w:val="0"/>
        <w:adjustRightInd w:val="0"/>
        <w:spacing w:after="0"/>
        <w:rPr>
          <w:rFonts w:ascii="Calibri" w:hAnsi="Calibri" w:cs="Calibri"/>
        </w:rPr>
      </w:pPr>
    </w:p>
    <w:p w14:paraId="75A43115" w14:textId="77777777" w:rsidR="00023FA5" w:rsidRDefault="00023FA5" w:rsidP="00023FA5">
      <w:pPr>
        <w:autoSpaceDE w:val="0"/>
        <w:autoSpaceDN w:val="0"/>
        <w:adjustRightInd w:val="0"/>
        <w:spacing w:after="0"/>
        <w:rPr>
          <w:rFonts w:ascii="Calibri" w:hAnsi="Calibri" w:cs="Calibri"/>
        </w:rPr>
      </w:pPr>
      <w:r>
        <w:rPr>
          <w:rFonts w:ascii="Calibri" w:hAnsi="Calibri" w:cs="Calibri"/>
        </w:rPr>
        <w:t xml:space="preserve">Continuing treatment with natalizumab specifies the requirement for patients to have experienced at least 2 documented attacks of neurological dysfunction, believed to be due to multiple sclerosis, in the preceding 2 years of commencing a PBS-subsidised disease modifying therapy for this condition. </w:t>
      </w:r>
    </w:p>
    <w:p w14:paraId="36FBE9B1" w14:textId="77777777" w:rsidR="00023FA5" w:rsidRPr="00531EA3" w:rsidRDefault="00023FA5" w:rsidP="00023FA5">
      <w:pPr>
        <w:autoSpaceDE w:val="0"/>
        <w:autoSpaceDN w:val="0"/>
        <w:adjustRightInd w:val="0"/>
        <w:spacing w:after="0"/>
        <w:rPr>
          <w:rFonts w:ascii="Calibri" w:hAnsi="Calibri" w:cs="Calibri"/>
        </w:rPr>
      </w:pPr>
    </w:p>
    <w:p w14:paraId="7940F6E6" w14:textId="77777777" w:rsidR="00023FA5" w:rsidRDefault="00023FA5" w:rsidP="00023FA5">
      <w:pPr>
        <w:spacing w:line="276" w:lineRule="auto"/>
      </w:pPr>
      <w:r>
        <w:br w:type="page"/>
      </w:r>
    </w:p>
    <w:p w14:paraId="4C4CE052" w14:textId="77777777" w:rsidR="00023FA5" w:rsidRDefault="00023FA5" w:rsidP="00023FA5">
      <w:pPr>
        <w:pStyle w:val="Heading2"/>
        <w:spacing w:after="0"/>
      </w:pPr>
      <w:r>
        <w:lastRenderedPageBreak/>
        <w:t>Appendix D:</w:t>
      </w:r>
      <w:r w:rsidRPr="00FD010D">
        <w:t xml:space="preserve"> Summary of </w:t>
      </w:r>
      <w:r>
        <w:t xml:space="preserve">PBAC considerations published in Public Summary Documents </w:t>
      </w:r>
    </w:p>
    <w:tbl>
      <w:tblPr>
        <w:tblStyle w:val="TableGrid"/>
        <w:tblW w:w="0" w:type="auto"/>
        <w:tblLook w:val="04A0" w:firstRow="1" w:lastRow="0" w:firstColumn="1" w:lastColumn="0" w:noHBand="0" w:noVBand="1"/>
      </w:tblPr>
      <w:tblGrid>
        <w:gridCol w:w="1129"/>
        <w:gridCol w:w="7818"/>
      </w:tblGrid>
      <w:tr w:rsidR="00023FA5" w:rsidRPr="00094ECD" w14:paraId="7A7EEEC6" w14:textId="77777777" w:rsidTr="00023FA5">
        <w:trPr>
          <w:trHeight w:val="206"/>
        </w:trPr>
        <w:tc>
          <w:tcPr>
            <w:tcW w:w="8947" w:type="dxa"/>
            <w:gridSpan w:val="2"/>
            <w:shd w:val="clear" w:color="auto" w:fill="BFBFBF" w:themeFill="background1" w:themeFillShade="BF"/>
          </w:tcPr>
          <w:p w14:paraId="3C4692EA" w14:textId="77777777" w:rsidR="00023FA5" w:rsidRPr="00C87F2B" w:rsidRDefault="00023FA5" w:rsidP="00023FA5">
            <w:pPr>
              <w:rPr>
                <w:b/>
                <w:sz w:val="20"/>
                <w:szCs w:val="20"/>
              </w:rPr>
            </w:pPr>
            <w:r w:rsidRPr="00C87F2B">
              <w:rPr>
                <w:b/>
                <w:sz w:val="20"/>
                <w:szCs w:val="20"/>
              </w:rPr>
              <w:t>Alemtuzumab</w:t>
            </w:r>
          </w:p>
        </w:tc>
      </w:tr>
      <w:tr w:rsidR="00023FA5" w:rsidRPr="00094ECD" w14:paraId="59AA0B5C" w14:textId="77777777" w:rsidTr="00023FA5">
        <w:trPr>
          <w:trHeight w:val="206"/>
        </w:trPr>
        <w:tc>
          <w:tcPr>
            <w:tcW w:w="1129" w:type="dxa"/>
          </w:tcPr>
          <w:p w14:paraId="729B24FA" w14:textId="77777777" w:rsidR="00023FA5" w:rsidRPr="00094ECD" w:rsidRDefault="00023FA5" w:rsidP="00023FA5">
            <w:pPr>
              <w:rPr>
                <w:sz w:val="20"/>
                <w:szCs w:val="20"/>
              </w:rPr>
            </w:pPr>
            <w:r>
              <w:rPr>
                <w:sz w:val="20"/>
                <w:szCs w:val="20"/>
              </w:rPr>
              <w:t>Jul</w:t>
            </w:r>
            <w:r w:rsidRPr="00094ECD">
              <w:rPr>
                <w:sz w:val="20"/>
                <w:szCs w:val="20"/>
              </w:rPr>
              <w:t xml:space="preserve"> 2014 </w:t>
            </w:r>
          </w:p>
        </w:tc>
        <w:tc>
          <w:tcPr>
            <w:tcW w:w="7818" w:type="dxa"/>
          </w:tcPr>
          <w:p w14:paraId="44E67F2F" w14:textId="77777777" w:rsidR="00023FA5" w:rsidRPr="00094ECD" w:rsidRDefault="00023FA5" w:rsidP="00023FA5">
            <w:pPr>
              <w:rPr>
                <w:sz w:val="20"/>
                <w:szCs w:val="20"/>
              </w:rPr>
            </w:pPr>
            <w:r w:rsidRPr="005617CA">
              <w:rPr>
                <w:sz w:val="20"/>
              </w:rPr>
              <w:t xml:space="preserve">The PBAC recommended the Authority Required Section 100 (Highly Specialised Drugs Program) listing of alemtuzumab for the treatment of </w:t>
            </w:r>
            <w:r>
              <w:rPr>
                <w:sz w:val="20"/>
              </w:rPr>
              <w:t>RRMS</w:t>
            </w:r>
            <w:r w:rsidRPr="005617CA">
              <w:rPr>
                <w:sz w:val="20"/>
              </w:rPr>
              <w:t>, on the basis of non-inferior effectiveness and a different safety profile to fingolimod and natalizumab.</w:t>
            </w:r>
          </w:p>
        </w:tc>
      </w:tr>
      <w:tr w:rsidR="00023FA5" w:rsidRPr="00094ECD" w14:paraId="02429C94" w14:textId="77777777" w:rsidTr="00023FA5">
        <w:trPr>
          <w:trHeight w:val="911"/>
        </w:trPr>
        <w:tc>
          <w:tcPr>
            <w:tcW w:w="1129" w:type="dxa"/>
          </w:tcPr>
          <w:p w14:paraId="6B82A7BA" w14:textId="77777777" w:rsidR="00023FA5" w:rsidRPr="00094ECD" w:rsidRDefault="00023FA5" w:rsidP="00023FA5">
            <w:pPr>
              <w:rPr>
                <w:sz w:val="20"/>
                <w:szCs w:val="20"/>
              </w:rPr>
            </w:pPr>
            <w:r w:rsidRPr="00094ECD">
              <w:rPr>
                <w:sz w:val="20"/>
                <w:szCs w:val="20"/>
              </w:rPr>
              <w:t>Nov 2014</w:t>
            </w:r>
          </w:p>
        </w:tc>
        <w:tc>
          <w:tcPr>
            <w:tcW w:w="7818" w:type="dxa"/>
          </w:tcPr>
          <w:p w14:paraId="0E698C93" w14:textId="77777777" w:rsidR="00023FA5" w:rsidRPr="00094ECD" w:rsidRDefault="00023FA5" w:rsidP="00023FA5">
            <w:pPr>
              <w:rPr>
                <w:sz w:val="20"/>
                <w:szCs w:val="20"/>
              </w:rPr>
            </w:pPr>
            <w:r w:rsidRPr="005617CA">
              <w:rPr>
                <w:sz w:val="20"/>
              </w:rPr>
              <w:t xml:space="preserve">The PBAC reiterated its </w:t>
            </w:r>
            <w:r>
              <w:rPr>
                <w:sz w:val="20"/>
              </w:rPr>
              <w:t xml:space="preserve">previous recommendation for the </w:t>
            </w:r>
            <w:r w:rsidRPr="005617CA">
              <w:rPr>
                <w:sz w:val="20"/>
              </w:rPr>
              <w:t xml:space="preserve">Authority Required Section 100 (Highly Specialised Drugs Program) listing of alemtuzumab for the treatment of </w:t>
            </w:r>
            <w:r>
              <w:rPr>
                <w:sz w:val="20"/>
              </w:rPr>
              <w:t>RRMS</w:t>
            </w:r>
            <w:r w:rsidRPr="005617CA">
              <w:rPr>
                <w:sz w:val="20"/>
              </w:rPr>
              <w:t>. The PBAC rejected the re</w:t>
            </w:r>
            <w:r>
              <w:rPr>
                <w:sz w:val="20"/>
              </w:rPr>
              <w:t xml:space="preserve"> </w:t>
            </w:r>
            <w:r w:rsidRPr="005617CA">
              <w:rPr>
                <w:sz w:val="20"/>
              </w:rPr>
              <w:t xml:space="preserve">submission to amend </w:t>
            </w:r>
            <w:r>
              <w:rPr>
                <w:sz w:val="20"/>
              </w:rPr>
              <w:t xml:space="preserve">the basis of the July 2014 PBAC </w:t>
            </w:r>
            <w:r w:rsidRPr="005617CA">
              <w:rPr>
                <w:sz w:val="20"/>
              </w:rPr>
              <w:t>recommendation to list alemtuzumab</w:t>
            </w:r>
            <w:r>
              <w:t>.</w:t>
            </w:r>
          </w:p>
        </w:tc>
      </w:tr>
      <w:tr w:rsidR="00023FA5" w:rsidRPr="00094ECD" w14:paraId="4974DC68" w14:textId="77777777" w:rsidTr="00023FA5">
        <w:trPr>
          <w:trHeight w:val="1750"/>
        </w:trPr>
        <w:tc>
          <w:tcPr>
            <w:tcW w:w="1129" w:type="dxa"/>
          </w:tcPr>
          <w:p w14:paraId="507D7D95" w14:textId="77777777" w:rsidR="00023FA5" w:rsidRPr="00094ECD" w:rsidRDefault="00023FA5" w:rsidP="00023FA5">
            <w:pPr>
              <w:rPr>
                <w:sz w:val="20"/>
                <w:szCs w:val="20"/>
              </w:rPr>
            </w:pPr>
            <w:r>
              <w:rPr>
                <w:sz w:val="20"/>
                <w:szCs w:val="20"/>
              </w:rPr>
              <w:t>Nov</w:t>
            </w:r>
            <w:r w:rsidRPr="00094ECD">
              <w:rPr>
                <w:sz w:val="20"/>
                <w:szCs w:val="20"/>
              </w:rPr>
              <w:t xml:space="preserve"> 2018 </w:t>
            </w:r>
          </w:p>
        </w:tc>
        <w:tc>
          <w:tcPr>
            <w:tcW w:w="7818" w:type="dxa"/>
          </w:tcPr>
          <w:p w14:paraId="79479039" w14:textId="77777777" w:rsidR="00023FA5" w:rsidRPr="00AE68E0" w:rsidRDefault="00023FA5" w:rsidP="00023FA5">
            <w:pPr>
              <w:rPr>
                <w:sz w:val="20"/>
                <w:szCs w:val="20"/>
              </w:rPr>
            </w:pPr>
            <w:r w:rsidRPr="00AE68E0">
              <w:rPr>
                <w:sz w:val="20"/>
              </w:rPr>
              <w:t>The PBAC did not recommend the request to increase the price per v</w:t>
            </w:r>
            <w:r>
              <w:rPr>
                <w:sz w:val="20"/>
              </w:rPr>
              <w:t>ial for alemtuzumab for RRMS</w:t>
            </w:r>
            <w:r w:rsidRPr="00AE68E0">
              <w:rPr>
                <w:sz w:val="20"/>
              </w:rPr>
              <w:t xml:space="preserve"> based on a claim of extended clinical benefit from two years to six years. The PBAC also did not recommend a change to the current listing to include an additional continuation restriction for the third and fourth courses of alemtuzumab for patients with RRMS who meet proposed re-treatment criteria. The PBAC did not accept the comparator presented and considered that there was insufficient clinical evidence to support the claimed extended clinical benefit of alemtuzumab from two years to six years which formed the basis of the two requests. The PBAC also considered that the cost analysis presented was inappropriate to value the durability of alemtuzumab.</w:t>
            </w:r>
          </w:p>
        </w:tc>
      </w:tr>
      <w:tr w:rsidR="00023FA5" w:rsidRPr="00794768" w14:paraId="468C9880" w14:textId="77777777" w:rsidTr="00023FA5">
        <w:trPr>
          <w:trHeight w:val="219"/>
        </w:trPr>
        <w:tc>
          <w:tcPr>
            <w:tcW w:w="8947" w:type="dxa"/>
            <w:gridSpan w:val="2"/>
            <w:shd w:val="clear" w:color="auto" w:fill="BFBFBF" w:themeFill="background1" w:themeFillShade="BF"/>
          </w:tcPr>
          <w:p w14:paraId="23386BCF" w14:textId="77777777" w:rsidR="00023FA5" w:rsidRPr="00794768" w:rsidRDefault="00023FA5" w:rsidP="00023FA5">
            <w:pPr>
              <w:rPr>
                <w:b/>
                <w:sz w:val="20"/>
                <w:szCs w:val="20"/>
              </w:rPr>
            </w:pPr>
            <w:r w:rsidRPr="00794768">
              <w:rPr>
                <w:b/>
                <w:sz w:val="20"/>
                <w:szCs w:val="20"/>
              </w:rPr>
              <w:t>Cladribine</w:t>
            </w:r>
          </w:p>
        </w:tc>
      </w:tr>
      <w:tr w:rsidR="00023FA5" w:rsidRPr="00094ECD" w14:paraId="5149CC35" w14:textId="77777777" w:rsidTr="00023FA5">
        <w:trPr>
          <w:trHeight w:val="219"/>
        </w:trPr>
        <w:tc>
          <w:tcPr>
            <w:tcW w:w="1129" w:type="dxa"/>
          </w:tcPr>
          <w:p w14:paraId="1AC33819" w14:textId="77777777" w:rsidR="00023FA5" w:rsidRPr="00094ECD" w:rsidRDefault="00023FA5" w:rsidP="00023FA5">
            <w:pPr>
              <w:rPr>
                <w:sz w:val="20"/>
                <w:szCs w:val="20"/>
              </w:rPr>
            </w:pPr>
            <w:r>
              <w:rPr>
                <w:sz w:val="20"/>
                <w:szCs w:val="20"/>
              </w:rPr>
              <w:t>Mar</w:t>
            </w:r>
            <w:r w:rsidRPr="00094ECD">
              <w:rPr>
                <w:sz w:val="20"/>
                <w:szCs w:val="20"/>
              </w:rPr>
              <w:t xml:space="preserve"> 2011 </w:t>
            </w:r>
          </w:p>
        </w:tc>
        <w:tc>
          <w:tcPr>
            <w:tcW w:w="7818" w:type="dxa"/>
          </w:tcPr>
          <w:p w14:paraId="4E4BE981" w14:textId="77777777" w:rsidR="00023FA5" w:rsidRPr="00EA697D" w:rsidRDefault="00023FA5" w:rsidP="00023FA5">
            <w:pPr>
              <w:rPr>
                <w:sz w:val="20"/>
                <w:szCs w:val="20"/>
              </w:rPr>
            </w:pPr>
            <w:r w:rsidRPr="00EA697D">
              <w:rPr>
                <w:rFonts w:cstheme="minorHAnsi"/>
                <w:color w:val="222222"/>
                <w:sz w:val="20"/>
                <w:szCs w:val="20"/>
                <w:shd w:val="clear" w:color="auto" w:fill="FFFFFF"/>
              </w:rPr>
              <w:t>The PBAC did not recommended the listing of cladribine for the treatment of RRMS, on the basis of an inappropriate comparator, uncertain clinical benefit and uncertain and unacceptable cost effectiveness in comparison with the appropriate comparator.</w:t>
            </w:r>
          </w:p>
        </w:tc>
      </w:tr>
      <w:tr w:rsidR="00023FA5" w:rsidRPr="00AE68E0" w14:paraId="3D8FA9D7" w14:textId="77777777" w:rsidTr="00023FA5">
        <w:trPr>
          <w:trHeight w:val="206"/>
        </w:trPr>
        <w:tc>
          <w:tcPr>
            <w:tcW w:w="1129" w:type="dxa"/>
          </w:tcPr>
          <w:p w14:paraId="172BFEFF" w14:textId="77777777" w:rsidR="00023FA5" w:rsidRPr="00094ECD" w:rsidRDefault="00023FA5" w:rsidP="00023FA5">
            <w:pPr>
              <w:rPr>
                <w:sz w:val="20"/>
                <w:szCs w:val="20"/>
              </w:rPr>
            </w:pPr>
            <w:r>
              <w:rPr>
                <w:sz w:val="20"/>
                <w:szCs w:val="20"/>
              </w:rPr>
              <w:t>Nov</w:t>
            </w:r>
            <w:r w:rsidRPr="00094ECD">
              <w:rPr>
                <w:sz w:val="20"/>
                <w:szCs w:val="20"/>
              </w:rPr>
              <w:t xml:space="preserve"> 2017 </w:t>
            </w:r>
          </w:p>
        </w:tc>
        <w:tc>
          <w:tcPr>
            <w:tcW w:w="7818" w:type="dxa"/>
          </w:tcPr>
          <w:p w14:paraId="0DE24C24" w14:textId="77777777" w:rsidR="00023FA5" w:rsidRPr="00AE68E0" w:rsidRDefault="00023FA5" w:rsidP="00023FA5">
            <w:pPr>
              <w:rPr>
                <w:sz w:val="20"/>
                <w:szCs w:val="20"/>
              </w:rPr>
            </w:pPr>
            <w:r w:rsidRPr="00AE68E0">
              <w:rPr>
                <w:sz w:val="20"/>
              </w:rPr>
              <w:t>The PBAC did not recommend the listing of cladribi</w:t>
            </w:r>
            <w:r>
              <w:rPr>
                <w:sz w:val="20"/>
              </w:rPr>
              <w:t>ne for the treatment of RRMS</w:t>
            </w:r>
            <w:r w:rsidRPr="00AE68E0">
              <w:rPr>
                <w:sz w:val="20"/>
              </w:rPr>
              <w:t>, on the basis of uncertainty in the non-inferior efficacy claim of cladribine versus fingolimod over two and four years. The PBAC considered there was insufficient clinical evidence to support the time horizon of four years for estimating the equi-effective doses of cladribine and fingolimod. The PBAC also considered that it was unrealistic to assume that patients who receive cladribine and experience disease relapse would not be prescribed another medicine for RRMS before the four-year period or that patients would be persistent to fingolimod. Therefore, the PBAC did not accept two years of cladribine treatment versus four years of fingolimod treatment as the basis for the cost-minimisation analysis proposed by the resubmission. The PBAC noted that there were significant uncertainties in the financial analysis, including the persistence rates assumed by the resubmission. The PBAC further noted that the financial analysis estimated a significant net cost to the PBS, which undermines the first principles of a cost minimisation analysis.</w:t>
            </w:r>
          </w:p>
        </w:tc>
      </w:tr>
      <w:tr w:rsidR="00023FA5" w:rsidRPr="00AE68E0" w14:paraId="7073E560" w14:textId="77777777" w:rsidTr="00023FA5">
        <w:trPr>
          <w:trHeight w:val="219"/>
        </w:trPr>
        <w:tc>
          <w:tcPr>
            <w:tcW w:w="1129" w:type="dxa"/>
          </w:tcPr>
          <w:p w14:paraId="4B736FC0" w14:textId="77777777" w:rsidR="00023FA5" w:rsidRPr="00094ECD" w:rsidRDefault="00023FA5" w:rsidP="00023FA5">
            <w:pPr>
              <w:rPr>
                <w:sz w:val="20"/>
                <w:szCs w:val="20"/>
              </w:rPr>
            </w:pPr>
            <w:r>
              <w:rPr>
                <w:sz w:val="20"/>
                <w:szCs w:val="20"/>
              </w:rPr>
              <w:t xml:space="preserve">Mar </w:t>
            </w:r>
            <w:r w:rsidRPr="00094ECD">
              <w:rPr>
                <w:sz w:val="20"/>
                <w:szCs w:val="20"/>
              </w:rPr>
              <w:t xml:space="preserve">2018 </w:t>
            </w:r>
          </w:p>
        </w:tc>
        <w:tc>
          <w:tcPr>
            <w:tcW w:w="7818" w:type="dxa"/>
          </w:tcPr>
          <w:p w14:paraId="26930001" w14:textId="77777777" w:rsidR="00023FA5" w:rsidRPr="00AE68E0" w:rsidRDefault="00023FA5" w:rsidP="00023FA5">
            <w:pPr>
              <w:rPr>
                <w:sz w:val="20"/>
                <w:szCs w:val="20"/>
              </w:rPr>
            </w:pPr>
            <w:r w:rsidRPr="00AE68E0">
              <w:rPr>
                <w:sz w:val="20"/>
              </w:rPr>
              <w:t>The PBAC did not recommend the listing of cladribine for t</w:t>
            </w:r>
            <w:r>
              <w:rPr>
                <w:sz w:val="20"/>
              </w:rPr>
              <w:t>he treatment of RRMS</w:t>
            </w:r>
            <w:r w:rsidRPr="00AE68E0">
              <w:rPr>
                <w:sz w:val="20"/>
              </w:rPr>
              <w:t>, on the basis of uncertainty in the non-inferior efficacy claim of cladribine versus fingolimod over two and four years. The PBAC recalled that in November 2017 it considered there was insufficient clinical evidence to support the time horizon of four years for estimating the equi-effective doses of cladribine and fingolimod. The PBAC noted that the minor resubmission did not provide additional clinical evidence to address its concerns. Therefore, the PBAC again did not accept two years of cladribine treatment versus four years of fingolimod treatment as the basis for the cost-minimisation analysis proposed by the minor resubmission. The PBAC noted that there remained significant uncertainties in the financial analysis, including the persistence rates assumed by the resubmission. The PBAC further noted that the financial analysis estimated a significant net cost to the PBS, which undermines the first principles of a cost minimisation analysis.</w:t>
            </w:r>
          </w:p>
        </w:tc>
      </w:tr>
      <w:tr w:rsidR="00023FA5" w:rsidRPr="00094ECD" w14:paraId="56B0370D" w14:textId="77777777" w:rsidTr="00023FA5">
        <w:trPr>
          <w:trHeight w:val="219"/>
        </w:trPr>
        <w:tc>
          <w:tcPr>
            <w:tcW w:w="1129" w:type="dxa"/>
          </w:tcPr>
          <w:p w14:paraId="29338ADD" w14:textId="77777777" w:rsidR="00023FA5" w:rsidRPr="00094ECD" w:rsidRDefault="00023FA5" w:rsidP="00023FA5">
            <w:pPr>
              <w:rPr>
                <w:sz w:val="20"/>
                <w:szCs w:val="20"/>
              </w:rPr>
            </w:pPr>
            <w:r>
              <w:rPr>
                <w:sz w:val="20"/>
                <w:szCs w:val="20"/>
              </w:rPr>
              <w:t>Jul</w:t>
            </w:r>
            <w:r w:rsidRPr="00094ECD">
              <w:rPr>
                <w:sz w:val="20"/>
                <w:szCs w:val="20"/>
              </w:rPr>
              <w:t xml:space="preserve"> 2018 </w:t>
            </w:r>
          </w:p>
        </w:tc>
        <w:tc>
          <w:tcPr>
            <w:tcW w:w="7818" w:type="dxa"/>
          </w:tcPr>
          <w:p w14:paraId="396304D8" w14:textId="77777777" w:rsidR="00023FA5" w:rsidRDefault="00023FA5" w:rsidP="00023FA5">
            <w:pPr>
              <w:rPr>
                <w:sz w:val="20"/>
              </w:rPr>
            </w:pPr>
            <w:r w:rsidRPr="00AE68E0">
              <w:rPr>
                <w:sz w:val="20"/>
              </w:rPr>
              <w:t>The PBAC recommended the Authority Required listing of cladribi</w:t>
            </w:r>
            <w:r>
              <w:rPr>
                <w:sz w:val="20"/>
              </w:rPr>
              <w:t>ne for the treatment of RRMS.</w:t>
            </w:r>
            <w:r w:rsidRPr="00AE68E0">
              <w:rPr>
                <w:sz w:val="20"/>
              </w:rPr>
              <w:t xml:space="preserve"> The PBAC’s recommendation for listing was based on, amongst other matters, its assessment than the cost-effectiveness of cladribine would be acceptable if it were cost</w:t>
            </w:r>
            <w:r>
              <w:rPr>
                <w:sz w:val="20"/>
              </w:rPr>
              <w:t>-</w:t>
            </w:r>
            <w:r w:rsidRPr="00AE68E0">
              <w:rPr>
                <w:sz w:val="20"/>
              </w:rPr>
              <w:t>minimised against fingolimod based on a claim that two years of cladribine treatment is non-inferior in efficacy to two years’ of fingolimod treatment.</w:t>
            </w:r>
          </w:p>
          <w:p w14:paraId="26BDB407" w14:textId="77777777" w:rsidR="00023FA5" w:rsidRPr="00094ECD" w:rsidRDefault="00023FA5" w:rsidP="00023FA5">
            <w:pPr>
              <w:rPr>
                <w:sz w:val="20"/>
                <w:szCs w:val="20"/>
              </w:rPr>
            </w:pPr>
          </w:p>
        </w:tc>
      </w:tr>
      <w:tr w:rsidR="00023FA5" w:rsidRPr="00794768" w14:paraId="53509607" w14:textId="77777777" w:rsidTr="00023FA5">
        <w:trPr>
          <w:trHeight w:val="219"/>
        </w:trPr>
        <w:tc>
          <w:tcPr>
            <w:tcW w:w="8947" w:type="dxa"/>
            <w:gridSpan w:val="2"/>
            <w:shd w:val="clear" w:color="auto" w:fill="BFBFBF" w:themeFill="background1" w:themeFillShade="BF"/>
          </w:tcPr>
          <w:p w14:paraId="413CC4A4" w14:textId="77777777" w:rsidR="00023FA5" w:rsidRPr="00794768" w:rsidRDefault="00023FA5" w:rsidP="00023FA5">
            <w:pPr>
              <w:rPr>
                <w:b/>
                <w:sz w:val="20"/>
              </w:rPr>
            </w:pPr>
            <w:r w:rsidRPr="00794768">
              <w:rPr>
                <w:b/>
                <w:sz w:val="20"/>
                <w:szCs w:val="20"/>
              </w:rPr>
              <w:lastRenderedPageBreak/>
              <w:t>Dimethyl fumarate</w:t>
            </w:r>
          </w:p>
        </w:tc>
      </w:tr>
      <w:tr w:rsidR="00023FA5" w:rsidRPr="00094ECD" w14:paraId="117A43F8" w14:textId="77777777" w:rsidTr="00023FA5">
        <w:trPr>
          <w:trHeight w:val="219"/>
        </w:trPr>
        <w:tc>
          <w:tcPr>
            <w:tcW w:w="1129" w:type="dxa"/>
          </w:tcPr>
          <w:p w14:paraId="55986B33" w14:textId="77777777" w:rsidR="00023FA5" w:rsidRPr="00094ECD" w:rsidRDefault="00023FA5" w:rsidP="00023FA5">
            <w:pPr>
              <w:rPr>
                <w:sz w:val="20"/>
                <w:szCs w:val="20"/>
              </w:rPr>
            </w:pPr>
            <w:r>
              <w:rPr>
                <w:sz w:val="20"/>
                <w:szCs w:val="20"/>
              </w:rPr>
              <w:t>Jul</w:t>
            </w:r>
            <w:r w:rsidRPr="00094ECD">
              <w:rPr>
                <w:sz w:val="20"/>
                <w:szCs w:val="20"/>
              </w:rPr>
              <w:t xml:space="preserve"> 2013</w:t>
            </w:r>
          </w:p>
        </w:tc>
        <w:tc>
          <w:tcPr>
            <w:tcW w:w="7818" w:type="dxa"/>
          </w:tcPr>
          <w:p w14:paraId="53556981" w14:textId="77777777" w:rsidR="00023FA5" w:rsidRDefault="00023FA5" w:rsidP="00023FA5">
            <w:pPr>
              <w:rPr>
                <w:sz w:val="20"/>
                <w:szCs w:val="20"/>
              </w:rPr>
            </w:pPr>
            <w:r>
              <w:rPr>
                <w:sz w:val="20"/>
                <w:szCs w:val="20"/>
              </w:rPr>
              <w:t xml:space="preserve">The PBAC rejected the listing of dimethyl fumarate at the price requested in the submission, on the grounds that the claims of superior efficacy over the ABCR therapies (intramuscular interferon beta-1a, subcutaneous interferon beta-1a, interferon beta-1b and glatiramer acetate) and non-inferior efficacy compared to fingolimod were not adequately supported by the evidence presented. </w:t>
            </w:r>
          </w:p>
          <w:p w14:paraId="0EBD5BDF" w14:textId="77777777" w:rsidR="00023FA5" w:rsidRPr="00094ECD" w:rsidRDefault="00023FA5" w:rsidP="00023FA5">
            <w:pPr>
              <w:rPr>
                <w:sz w:val="20"/>
                <w:szCs w:val="20"/>
              </w:rPr>
            </w:pPr>
            <w:r>
              <w:rPr>
                <w:sz w:val="20"/>
                <w:szCs w:val="20"/>
              </w:rPr>
              <w:t xml:space="preserve">The PBAC considered that the appropriate clinical claim based on the data provided was that dimethyl fumarate is non-inferior to the ABCR therapies in terms of efficacy and safety. Therefore the Committee recommended the listing of dimethyl fumarate on a cost-minimisation basis with the ABCR therapies. </w:t>
            </w:r>
          </w:p>
        </w:tc>
      </w:tr>
      <w:tr w:rsidR="00023FA5" w:rsidRPr="00094ECD" w14:paraId="588EC3DF" w14:textId="77777777" w:rsidTr="00023FA5">
        <w:trPr>
          <w:trHeight w:val="206"/>
        </w:trPr>
        <w:tc>
          <w:tcPr>
            <w:tcW w:w="1129" w:type="dxa"/>
          </w:tcPr>
          <w:p w14:paraId="1A8E3F49" w14:textId="77777777" w:rsidR="00023FA5" w:rsidRPr="00094ECD" w:rsidRDefault="00023FA5" w:rsidP="00023FA5">
            <w:pPr>
              <w:rPr>
                <w:sz w:val="20"/>
                <w:szCs w:val="20"/>
              </w:rPr>
            </w:pPr>
            <w:r>
              <w:rPr>
                <w:sz w:val="20"/>
                <w:szCs w:val="20"/>
              </w:rPr>
              <w:t>Jul</w:t>
            </w:r>
            <w:r w:rsidRPr="00094ECD">
              <w:rPr>
                <w:sz w:val="20"/>
                <w:szCs w:val="20"/>
              </w:rPr>
              <w:t xml:space="preserve"> 2016 </w:t>
            </w:r>
          </w:p>
        </w:tc>
        <w:tc>
          <w:tcPr>
            <w:tcW w:w="7818" w:type="dxa"/>
          </w:tcPr>
          <w:p w14:paraId="5E1EA437" w14:textId="77777777" w:rsidR="00023FA5" w:rsidRPr="00094ECD" w:rsidRDefault="00023FA5" w:rsidP="00023FA5">
            <w:pPr>
              <w:rPr>
                <w:sz w:val="20"/>
                <w:szCs w:val="20"/>
              </w:rPr>
            </w:pPr>
            <w:r w:rsidRPr="00AE68E0">
              <w:rPr>
                <w:sz w:val="20"/>
              </w:rPr>
              <w:t>The PBAC recommended increasing the maximum quantities of 120 mg dimethyl fumarate from one to two packs for both the initial and continuing titration periods.</w:t>
            </w:r>
          </w:p>
        </w:tc>
      </w:tr>
      <w:tr w:rsidR="00023FA5" w:rsidRPr="00094ECD" w14:paraId="1FF937F1" w14:textId="77777777" w:rsidTr="00023FA5">
        <w:trPr>
          <w:trHeight w:val="437"/>
        </w:trPr>
        <w:tc>
          <w:tcPr>
            <w:tcW w:w="1129" w:type="dxa"/>
          </w:tcPr>
          <w:p w14:paraId="77FD1F72" w14:textId="77777777" w:rsidR="00023FA5" w:rsidRPr="00094ECD" w:rsidRDefault="00023FA5" w:rsidP="00023FA5">
            <w:pPr>
              <w:rPr>
                <w:sz w:val="20"/>
                <w:szCs w:val="20"/>
              </w:rPr>
            </w:pPr>
            <w:r>
              <w:rPr>
                <w:sz w:val="20"/>
                <w:szCs w:val="20"/>
              </w:rPr>
              <w:t>Nov</w:t>
            </w:r>
            <w:r w:rsidRPr="00094ECD">
              <w:rPr>
                <w:sz w:val="20"/>
                <w:szCs w:val="20"/>
              </w:rPr>
              <w:t xml:space="preserve"> 2019 </w:t>
            </w:r>
          </w:p>
        </w:tc>
        <w:tc>
          <w:tcPr>
            <w:tcW w:w="7818" w:type="dxa"/>
          </w:tcPr>
          <w:p w14:paraId="44AC45A9" w14:textId="77777777" w:rsidR="00023FA5" w:rsidRPr="00094ECD" w:rsidRDefault="00023FA5" w:rsidP="00023FA5">
            <w:pPr>
              <w:rPr>
                <w:sz w:val="20"/>
                <w:szCs w:val="20"/>
              </w:rPr>
            </w:pPr>
            <w:r w:rsidRPr="00AE68E0">
              <w:rPr>
                <w:sz w:val="20"/>
              </w:rPr>
              <w:t xml:space="preserve">The PBAC recommended amending the listing of dimethyl fumarate to Authority Required (STREAMLINED) for the </w:t>
            </w:r>
            <w:r>
              <w:rPr>
                <w:sz w:val="20"/>
              </w:rPr>
              <w:t xml:space="preserve">treatment of RRMS. </w:t>
            </w:r>
            <w:r w:rsidRPr="00AE68E0">
              <w:rPr>
                <w:sz w:val="20"/>
              </w:rPr>
              <w:t>The PBAC also recommended amending the listings of fingolimod, teriflunomide and cladribine to Authority Required (STREAMLINED) for the treatment of RRMS.</w:t>
            </w:r>
          </w:p>
        </w:tc>
      </w:tr>
      <w:tr w:rsidR="00023FA5" w:rsidRPr="00794768" w14:paraId="5F21F72A" w14:textId="77777777" w:rsidTr="00023FA5">
        <w:trPr>
          <w:trHeight w:val="83"/>
        </w:trPr>
        <w:tc>
          <w:tcPr>
            <w:tcW w:w="8947" w:type="dxa"/>
            <w:gridSpan w:val="2"/>
            <w:shd w:val="clear" w:color="auto" w:fill="BFBFBF" w:themeFill="background1" w:themeFillShade="BF"/>
          </w:tcPr>
          <w:p w14:paraId="36E3E055" w14:textId="77777777" w:rsidR="00023FA5" w:rsidRPr="00794768" w:rsidRDefault="00023FA5" w:rsidP="00023FA5">
            <w:pPr>
              <w:rPr>
                <w:b/>
                <w:sz w:val="20"/>
              </w:rPr>
            </w:pPr>
            <w:r w:rsidRPr="00794768">
              <w:rPr>
                <w:b/>
                <w:sz w:val="20"/>
                <w:szCs w:val="20"/>
              </w:rPr>
              <w:t>Fingolimod</w:t>
            </w:r>
          </w:p>
        </w:tc>
      </w:tr>
      <w:tr w:rsidR="00023FA5" w:rsidRPr="00094ECD" w14:paraId="4808AE69" w14:textId="77777777" w:rsidTr="00023FA5">
        <w:trPr>
          <w:trHeight w:val="219"/>
        </w:trPr>
        <w:tc>
          <w:tcPr>
            <w:tcW w:w="1129" w:type="dxa"/>
          </w:tcPr>
          <w:p w14:paraId="351401BE" w14:textId="77777777" w:rsidR="00023FA5" w:rsidRPr="00094ECD" w:rsidRDefault="00023FA5" w:rsidP="00023FA5">
            <w:pPr>
              <w:rPr>
                <w:sz w:val="20"/>
                <w:szCs w:val="20"/>
              </w:rPr>
            </w:pPr>
            <w:r>
              <w:rPr>
                <w:sz w:val="20"/>
                <w:szCs w:val="20"/>
              </w:rPr>
              <w:t>Mar</w:t>
            </w:r>
            <w:r w:rsidRPr="00094ECD">
              <w:rPr>
                <w:sz w:val="20"/>
                <w:szCs w:val="20"/>
              </w:rPr>
              <w:t xml:space="preserve"> 2011 </w:t>
            </w:r>
          </w:p>
        </w:tc>
        <w:tc>
          <w:tcPr>
            <w:tcW w:w="7818" w:type="dxa"/>
          </w:tcPr>
          <w:p w14:paraId="5B9396AF" w14:textId="77777777" w:rsidR="00023FA5" w:rsidRPr="00094ECD" w:rsidRDefault="00023FA5" w:rsidP="00023FA5">
            <w:pPr>
              <w:rPr>
                <w:sz w:val="20"/>
                <w:szCs w:val="20"/>
              </w:rPr>
            </w:pPr>
            <w:r>
              <w:rPr>
                <w:sz w:val="20"/>
                <w:szCs w:val="20"/>
              </w:rPr>
              <w:t xml:space="preserve">The PBAC recommended out-of-session listing on the basis of an acceptable cost-effectiveness ratio compared with interferon beta-1a. </w:t>
            </w:r>
          </w:p>
        </w:tc>
      </w:tr>
      <w:tr w:rsidR="00023FA5" w:rsidRPr="00094ECD" w14:paraId="3EAE2124" w14:textId="77777777" w:rsidTr="00023FA5">
        <w:trPr>
          <w:trHeight w:val="424"/>
        </w:trPr>
        <w:tc>
          <w:tcPr>
            <w:tcW w:w="1129" w:type="dxa"/>
          </w:tcPr>
          <w:p w14:paraId="1017CF22" w14:textId="77777777" w:rsidR="00023FA5" w:rsidRPr="00094ECD" w:rsidRDefault="00023FA5" w:rsidP="00023FA5">
            <w:pPr>
              <w:rPr>
                <w:sz w:val="20"/>
                <w:szCs w:val="20"/>
              </w:rPr>
            </w:pPr>
            <w:r>
              <w:rPr>
                <w:sz w:val="20"/>
                <w:szCs w:val="20"/>
              </w:rPr>
              <w:t>Jul</w:t>
            </w:r>
            <w:r w:rsidRPr="00094ECD">
              <w:rPr>
                <w:sz w:val="20"/>
                <w:szCs w:val="20"/>
              </w:rPr>
              <w:t xml:space="preserve"> 2019 </w:t>
            </w:r>
          </w:p>
        </w:tc>
        <w:tc>
          <w:tcPr>
            <w:tcW w:w="7818" w:type="dxa"/>
          </w:tcPr>
          <w:p w14:paraId="7C720EC9" w14:textId="77777777" w:rsidR="00023FA5" w:rsidRPr="00094ECD" w:rsidRDefault="00023FA5" w:rsidP="00023FA5">
            <w:pPr>
              <w:rPr>
                <w:sz w:val="20"/>
                <w:szCs w:val="20"/>
              </w:rPr>
            </w:pPr>
            <w:r w:rsidRPr="00AE68E0">
              <w:rPr>
                <w:sz w:val="20"/>
              </w:rPr>
              <w:t>The PBAC recommended the Authority Required (telephone) listing of fingolimod, in the form 250 microgram capsules, on the general schedu</w:t>
            </w:r>
            <w:r>
              <w:rPr>
                <w:sz w:val="20"/>
              </w:rPr>
              <w:t>le for treatment of RRMS</w:t>
            </w:r>
            <w:r w:rsidRPr="00AE68E0">
              <w:rPr>
                <w:sz w:val="20"/>
              </w:rPr>
              <w:t xml:space="preserve"> in patients weighing 40kg or less. In making this recommendation, the PBAC considered that fingolimod 250 mcg used in RRMS patients weighing 40kg or less was equivalent to fingolimod 500 mcg used in RRMS patients weighing more than 40kg.</w:t>
            </w:r>
          </w:p>
        </w:tc>
      </w:tr>
      <w:tr w:rsidR="00023FA5" w:rsidRPr="00794768" w14:paraId="0ABA70CE" w14:textId="77777777" w:rsidTr="00023FA5">
        <w:trPr>
          <w:trHeight w:val="219"/>
        </w:trPr>
        <w:tc>
          <w:tcPr>
            <w:tcW w:w="8947" w:type="dxa"/>
            <w:gridSpan w:val="2"/>
            <w:shd w:val="clear" w:color="auto" w:fill="BFBFBF" w:themeFill="background1" w:themeFillShade="BF"/>
          </w:tcPr>
          <w:p w14:paraId="393A401D" w14:textId="77777777" w:rsidR="00023FA5" w:rsidRPr="00794768" w:rsidRDefault="00023FA5" w:rsidP="00023FA5">
            <w:pPr>
              <w:rPr>
                <w:b/>
                <w:sz w:val="20"/>
                <w:szCs w:val="20"/>
              </w:rPr>
            </w:pPr>
            <w:r w:rsidRPr="00794768">
              <w:rPr>
                <w:b/>
                <w:sz w:val="20"/>
                <w:szCs w:val="20"/>
              </w:rPr>
              <w:t>Glatiramer acetate</w:t>
            </w:r>
          </w:p>
        </w:tc>
      </w:tr>
      <w:tr w:rsidR="00023FA5" w:rsidRPr="00094ECD" w14:paraId="3509E338" w14:textId="77777777" w:rsidTr="00023FA5">
        <w:trPr>
          <w:trHeight w:val="219"/>
        </w:trPr>
        <w:tc>
          <w:tcPr>
            <w:tcW w:w="1129" w:type="dxa"/>
          </w:tcPr>
          <w:p w14:paraId="2D864144" w14:textId="77777777" w:rsidR="00023FA5" w:rsidRPr="00094ECD" w:rsidRDefault="00023FA5" w:rsidP="00023FA5">
            <w:pPr>
              <w:rPr>
                <w:sz w:val="20"/>
                <w:szCs w:val="20"/>
              </w:rPr>
            </w:pPr>
            <w:r>
              <w:rPr>
                <w:sz w:val="20"/>
                <w:szCs w:val="20"/>
              </w:rPr>
              <w:t>Mar</w:t>
            </w:r>
            <w:r w:rsidRPr="00094ECD">
              <w:rPr>
                <w:sz w:val="20"/>
                <w:szCs w:val="20"/>
              </w:rPr>
              <w:t xml:space="preserve"> 2015</w:t>
            </w:r>
          </w:p>
        </w:tc>
        <w:tc>
          <w:tcPr>
            <w:tcW w:w="7818" w:type="dxa"/>
          </w:tcPr>
          <w:p w14:paraId="12828A8C" w14:textId="77777777" w:rsidR="00023FA5" w:rsidRPr="00094ECD" w:rsidRDefault="00023FA5" w:rsidP="00023FA5">
            <w:pPr>
              <w:rPr>
                <w:sz w:val="20"/>
                <w:szCs w:val="20"/>
              </w:rPr>
            </w:pPr>
            <w:r>
              <w:rPr>
                <w:sz w:val="20"/>
                <w:szCs w:val="20"/>
              </w:rPr>
              <w:t xml:space="preserve">The PBAC recommended the listing of glatiramer acetate 40 mg/mL injection for the treatment of multiple sclerosis. The PBAC noted that the TGA was satisfied that the three-times-weekly regimen (providing 480 mg per month) would deliver a similar treatment benefit compared with the daily regimen (providing 560 mg per month), and therefore concluded that the sponsor’s claim of non-inferiority in terms of efficacy and safety was reasonable. </w:t>
            </w:r>
          </w:p>
        </w:tc>
      </w:tr>
      <w:tr w:rsidR="00023FA5" w:rsidRPr="00094ECD" w14:paraId="08227061" w14:textId="77777777" w:rsidTr="00023FA5">
        <w:trPr>
          <w:trHeight w:val="206"/>
        </w:trPr>
        <w:tc>
          <w:tcPr>
            <w:tcW w:w="1129" w:type="dxa"/>
          </w:tcPr>
          <w:p w14:paraId="575EA453" w14:textId="77777777" w:rsidR="00023FA5" w:rsidRPr="00094ECD" w:rsidRDefault="00023FA5" w:rsidP="00023FA5">
            <w:pPr>
              <w:rPr>
                <w:sz w:val="20"/>
                <w:szCs w:val="20"/>
              </w:rPr>
            </w:pPr>
            <w:r>
              <w:rPr>
                <w:sz w:val="20"/>
                <w:szCs w:val="20"/>
              </w:rPr>
              <w:t>Jul</w:t>
            </w:r>
            <w:r w:rsidRPr="00094ECD">
              <w:rPr>
                <w:sz w:val="20"/>
                <w:szCs w:val="20"/>
              </w:rPr>
              <w:t xml:space="preserve"> 2017 </w:t>
            </w:r>
          </w:p>
        </w:tc>
        <w:tc>
          <w:tcPr>
            <w:tcW w:w="7818" w:type="dxa"/>
          </w:tcPr>
          <w:p w14:paraId="64D2DAD8" w14:textId="77777777" w:rsidR="00023FA5" w:rsidRPr="00094ECD" w:rsidRDefault="00023FA5" w:rsidP="00023FA5">
            <w:pPr>
              <w:rPr>
                <w:sz w:val="20"/>
                <w:szCs w:val="20"/>
              </w:rPr>
            </w:pPr>
            <w:r>
              <w:rPr>
                <w:sz w:val="20"/>
                <w:szCs w:val="20"/>
              </w:rPr>
              <w:t xml:space="preserve">The PBAC did not recommend the listing of glatiramer acetate for the treatment of patients with clinically isolated syndrome suggestive of multiple sclerosis in patients thought to be at high risk of subsequent diagnosis with multiple sclerosis, on the basis of uncertainty regarding the clinical benefit and resulting cost-effectiveness, concerns about the plausibility of assumptions used in the economic model, and uncertainty with the utilisation estimates associated with difficulties in defining the target PBS population. </w:t>
            </w:r>
          </w:p>
        </w:tc>
      </w:tr>
      <w:tr w:rsidR="00023FA5" w:rsidRPr="00094ECD" w14:paraId="40296791" w14:textId="77777777" w:rsidTr="00023FA5">
        <w:trPr>
          <w:trHeight w:val="1406"/>
        </w:trPr>
        <w:tc>
          <w:tcPr>
            <w:tcW w:w="1129" w:type="dxa"/>
          </w:tcPr>
          <w:p w14:paraId="2C3DFFE6" w14:textId="77777777" w:rsidR="00023FA5" w:rsidRPr="00094ECD" w:rsidRDefault="00023FA5" w:rsidP="00023FA5">
            <w:pPr>
              <w:rPr>
                <w:sz w:val="20"/>
                <w:szCs w:val="20"/>
              </w:rPr>
            </w:pPr>
            <w:r>
              <w:rPr>
                <w:sz w:val="20"/>
                <w:szCs w:val="20"/>
              </w:rPr>
              <w:t>Mar</w:t>
            </w:r>
            <w:r w:rsidRPr="00094ECD">
              <w:rPr>
                <w:sz w:val="20"/>
                <w:szCs w:val="20"/>
              </w:rPr>
              <w:t xml:space="preserve"> 2021 </w:t>
            </w:r>
          </w:p>
        </w:tc>
        <w:tc>
          <w:tcPr>
            <w:tcW w:w="7818" w:type="dxa"/>
          </w:tcPr>
          <w:p w14:paraId="618ED90B" w14:textId="77777777" w:rsidR="00023FA5" w:rsidRPr="00094ECD" w:rsidRDefault="00023FA5" w:rsidP="00023FA5">
            <w:pPr>
              <w:rPr>
                <w:sz w:val="20"/>
                <w:szCs w:val="20"/>
              </w:rPr>
            </w:pPr>
            <w:r w:rsidRPr="00094ECD">
              <w:rPr>
                <w:sz w:val="20"/>
              </w:rPr>
              <w:t>The PBAC recommended the listing of a new brand of glatiramer, Glatira 40 mg/mL injection, and the listing of Glatira 20 mg/mL injection, on the PBS for the treatment of multiple sclerosis. The PBAC recommended the listings on a cost</w:t>
            </w:r>
            <w:r>
              <w:rPr>
                <w:sz w:val="20"/>
              </w:rPr>
              <w:t xml:space="preserve"> </w:t>
            </w:r>
            <w:r w:rsidRPr="00094ECD">
              <w:rPr>
                <w:sz w:val="20"/>
              </w:rPr>
              <w:t>minimisation basis to the Copaxone brand of glatiramer. The PBAC noted that the TGA considered Glatira and Copaxone to be therapeutically equivalent. The PBAC advised, under Section 101 (4AACD) of the National Health Act 1953, that Glatira 40 mg/mL injection and Copaxone 40 mg/mL injection should be considered equivalent for the purposes of substitution.</w:t>
            </w:r>
          </w:p>
        </w:tc>
      </w:tr>
      <w:tr w:rsidR="00023FA5" w:rsidRPr="00094ECD" w14:paraId="64578F90" w14:textId="77777777" w:rsidTr="00023FA5">
        <w:trPr>
          <w:trHeight w:val="219"/>
        </w:trPr>
        <w:tc>
          <w:tcPr>
            <w:tcW w:w="8947" w:type="dxa"/>
            <w:gridSpan w:val="2"/>
            <w:shd w:val="clear" w:color="auto" w:fill="BFBFBF" w:themeFill="background1" w:themeFillShade="BF"/>
          </w:tcPr>
          <w:p w14:paraId="0F770716" w14:textId="77777777" w:rsidR="00023FA5" w:rsidRPr="00794768" w:rsidRDefault="00023FA5" w:rsidP="00023FA5">
            <w:pPr>
              <w:rPr>
                <w:b/>
                <w:sz w:val="20"/>
                <w:szCs w:val="20"/>
              </w:rPr>
            </w:pPr>
            <w:r w:rsidRPr="00794768">
              <w:rPr>
                <w:b/>
                <w:sz w:val="20"/>
                <w:szCs w:val="20"/>
              </w:rPr>
              <w:t>Interferon beta 1b</w:t>
            </w:r>
          </w:p>
        </w:tc>
      </w:tr>
      <w:tr w:rsidR="00023FA5" w:rsidRPr="00094ECD" w14:paraId="513DFDBB" w14:textId="77777777" w:rsidTr="00023FA5">
        <w:trPr>
          <w:trHeight w:val="219"/>
        </w:trPr>
        <w:tc>
          <w:tcPr>
            <w:tcW w:w="1129" w:type="dxa"/>
          </w:tcPr>
          <w:p w14:paraId="0E2B667A" w14:textId="77777777" w:rsidR="00023FA5" w:rsidRPr="00094ECD" w:rsidRDefault="00023FA5" w:rsidP="00023FA5">
            <w:pPr>
              <w:rPr>
                <w:sz w:val="20"/>
                <w:szCs w:val="20"/>
              </w:rPr>
            </w:pPr>
            <w:r>
              <w:rPr>
                <w:sz w:val="20"/>
                <w:szCs w:val="20"/>
              </w:rPr>
              <w:t xml:space="preserve">Mar </w:t>
            </w:r>
            <w:r w:rsidRPr="00094ECD">
              <w:rPr>
                <w:sz w:val="20"/>
                <w:szCs w:val="20"/>
              </w:rPr>
              <w:t xml:space="preserve">2007 </w:t>
            </w:r>
          </w:p>
        </w:tc>
        <w:tc>
          <w:tcPr>
            <w:tcW w:w="7818" w:type="dxa"/>
          </w:tcPr>
          <w:p w14:paraId="3206FDA9" w14:textId="77777777" w:rsidR="00023FA5" w:rsidRPr="00094ECD" w:rsidRDefault="00023FA5" w:rsidP="00023FA5">
            <w:pPr>
              <w:rPr>
                <w:sz w:val="20"/>
                <w:szCs w:val="20"/>
              </w:rPr>
            </w:pPr>
            <w:r>
              <w:rPr>
                <w:sz w:val="20"/>
                <w:szCs w:val="20"/>
              </w:rPr>
              <w:t xml:space="preserve">The PBAC did not recommend the amendment of the Authority Required criteria to allow patients diagnosed using the McDonald Criteria to access treatment rather than the current Poser Criteria, because of uncertain clinical benefit and uncertain cost effectiveness. </w:t>
            </w:r>
          </w:p>
        </w:tc>
      </w:tr>
      <w:tr w:rsidR="00023FA5" w:rsidRPr="00C87F2B" w14:paraId="5CD10BBC" w14:textId="77777777" w:rsidTr="00023FA5">
        <w:trPr>
          <w:trHeight w:val="219"/>
        </w:trPr>
        <w:tc>
          <w:tcPr>
            <w:tcW w:w="8947" w:type="dxa"/>
            <w:gridSpan w:val="2"/>
            <w:shd w:val="clear" w:color="auto" w:fill="BFBFBF" w:themeFill="background1" w:themeFillShade="BF"/>
          </w:tcPr>
          <w:p w14:paraId="523BD7C2" w14:textId="77777777" w:rsidR="00023FA5" w:rsidRPr="00C87F2B" w:rsidRDefault="00023FA5" w:rsidP="00023FA5">
            <w:pPr>
              <w:rPr>
                <w:b/>
                <w:sz w:val="20"/>
              </w:rPr>
            </w:pPr>
            <w:r w:rsidRPr="00C87F2B">
              <w:rPr>
                <w:b/>
                <w:sz w:val="20"/>
                <w:szCs w:val="20"/>
              </w:rPr>
              <w:t>Natalizumab</w:t>
            </w:r>
          </w:p>
        </w:tc>
      </w:tr>
      <w:tr w:rsidR="00023FA5" w:rsidRPr="00094ECD" w14:paraId="0A532426" w14:textId="77777777" w:rsidTr="00023FA5">
        <w:trPr>
          <w:trHeight w:val="219"/>
        </w:trPr>
        <w:tc>
          <w:tcPr>
            <w:tcW w:w="1129" w:type="dxa"/>
          </w:tcPr>
          <w:p w14:paraId="5ABC1877" w14:textId="77777777" w:rsidR="00023FA5" w:rsidRPr="00094ECD" w:rsidRDefault="00023FA5" w:rsidP="00023FA5">
            <w:pPr>
              <w:rPr>
                <w:sz w:val="20"/>
                <w:szCs w:val="20"/>
              </w:rPr>
            </w:pPr>
            <w:r>
              <w:rPr>
                <w:sz w:val="20"/>
                <w:szCs w:val="20"/>
              </w:rPr>
              <w:t>Nov</w:t>
            </w:r>
            <w:r w:rsidRPr="00094ECD">
              <w:rPr>
                <w:sz w:val="20"/>
                <w:szCs w:val="20"/>
              </w:rPr>
              <w:t xml:space="preserve"> 2006</w:t>
            </w:r>
          </w:p>
        </w:tc>
        <w:tc>
          <w:tcPr>
            <w:tcW w:w="7818" w:type="dxa"/>
          </w:tcPr>
          <w:p w14:paraId="7D038004" w14:textId="77777777" w:rsidR="00023FA5" w:rsidRPr="00094ECD" w:rsidRDefault="00023FA5" w:rsidP="00023FA5">
            <w:pPr>
              <w:rPr>
                <w:sz w:val="20"/>
                <w:szCs w:val="20"/>
              </w:rPr>
            </w:pPr>
            <w:r>
              <w:rPr>
                <w:sz w:val="20"/>
                <w:szCs w:val="20"/>
              </w:rPr>
              <w:t xml:space="preserve">The PBAC did not recommend the Section 100 Authority Required listing for initial and continuing treatment by neurologists of clinical definite relapsing-remitting multiple sclerosis in ambulatory patients 18 years or older who meet certain criteria, because although it agreed clinical benefit had been demonstrated the cost-effectiveness ratio was unfavourable and uncertain. </w:t>
            </w:r>
          </w:p>
        </w:tc>
      </w:tr>
      <w:tr w:rsidR="00023FA5" w:rsidRPr="00094ECD" w14:paraId="37524229" w14:textId="77777777" w:rsidTr="00023FA5">
        <w:trPr>
          <w:trHeight w:val="206"/>
        </w:trPr>
        <w:tc>
          <w:tcPr>
            <w:tcW w:w="1129" w:type="dxa"/>
          </w:tcPr>
          <w:p w14:paraId="329E81AC" w14:textId="77777777" w:rsidR="00023FA5" w:rsidRPr="00094ECD" w:rsidRDefault="00023FA5" w:rsidP="00023FA5">
            <w:pPr>
              <w:rPr>
                <w:sz w:val="20"/>
                <w:szCs w:val="20"/>
              </w:rPr>
            </w:pPr>
            <w:r>
              <w:rPr>
                <w:sz w:val="20"/>
                <w:szCs w:val="20"/>
              </w:rPr>
              <w:lastRenderedPageBreak/>
              <w:t>Nov</w:t>
            </w:r>
            <w:r w:rsidRPr="00094ECD">
              <w:rPr>
                <w:sz w:val="20"/>
                <w:szCs w:val="20"/>
              </w:rPr>
              <w:t xml:space="preserve"> 2007 </w:t>
            </w:r>
          </w:p>
        </w:tc>
        <w:tc>
          <w:tcPr>
            <w:tcW w:w="7818" w:type="dxa"/>
          </w:tcPr>
          <w:p w14:paraId="05E18259" w14:textId="77777777" w:rsidR="00023FA5" w:rsidRPr="00094ECD" w:rsidRDefault="00023FA5" w:rsidP="00023FA5">
            <w:pPr>
              <w:rPr>
                <w:sz w:val="20"/>
                <w:szCs w:val="20"/>
              </w:rPr>
            </w:pPr>
            <w:r>
              <w:rPr>
                <w:sz w:val="20"/>
                <w:szCs w:val="20"/>
              </w:rPr>
              <w:t xml:space="preserve">The PBAC recommended the listing of natalizumab on the PBS for initial and continuing treatment by neurologist, of clinically definite relapsing-remitting multiple sclerosis (RRMS) in an ambulatory patient eighteen years of age or older on the basis of a high but acceptable cost-effectiveness ratio compared with interferon beta-1b. </w:t>
            </w:r>
          </w:p>
        </w:tc>
      </w:tr>
      <w:tr w:rsidR="00023FA5" w:rsidRPr="00094ECD" w14:paraId="7ED0622E" w14:textId="77777777" w:rsidTr="00023FA5">
        <w:trPr>
          <w:trHeight w:val="219"/>
        </w:trPr>
        <w:tc>
          <w:tcPr>
            <w:tcW w:w="1129" w:type="dxa"/>
          </w:tcPr>
          <w:p w14:paraId="69C0F0B7" w14:textId="77777777" w:rsidR="00023FA5" w:rsidRPr="00094ECD" w:rsidRDefault="00023FA5" w:rsidP="00023FA5">
            <w:pPr>
              <w:rPr>
                <w:sz w:val="20"/>
                <w:szCs w:val="20"/>
              </w:rPr>
            </w:pPr>
            <w:r>
              <w:rPr>
                <w:sz w:val="20"/>
                <w:szCs w:val="20"/>
              </w:rPr>
              <w:t>Jul</w:t>
            </w:r>
            <w:r w:rsidRPr="00094ECD">
              <w:rPr>
                <w:sz w:val="20"/>
                <w:szCs w:val="20"/>
              </w:rPr>
              <w:t xml:space="preserve"> 2019 </w:t>
            </w:r>
          </w:p>
        </w:tc>
        <w:tc>
          <w:tcPr>
            <w:tcW w:w="7818" w:type="dxa"/>
          </w:tcPr>
          <w:p w14:paraId="29DF83CF" w14:textId="77777777" w:rsidR="00023FA5" w:rsidRPr="00094ECD" w:rsidRDefault="00023FA5" w:rsidP="00023FA5">
            <w:pPr>
              <w:rPr>
                <w:sz w:val="20"/>
                <w:szCs w:val="20"/>
              </w:rPr>
            </w:pPr>
            <w:r w:rsidRPr="00AE68E0">
              <w:rPr>
                <w:sz w:val="20"/>
              </w:rPr>
              <w:t xml:space="preserve">The PBAC recommended removal of the age restriction from the PBS listings of natalizumab </w:t>
            </w:r>
            <w:r>
              <w:rPr>
                <w:sz w:val="20"/>
              </w:rPr>
              <w:t>for clinically definite RRMS</w:t>
            </w:r>
            <w:r w:rsidRPr="00AE68E0">
              <w:rPr>
                <w:sz w:val="20"/>
              </w:rPr>
              <w:t>. In making this recommendation, the PBAC noted the TGA Delegate was satisfied there was sufficient clinical evidence to remove the paediatric contraindication from the registration of natalizumab.</w:t>
            </w:r>
          </w:p>
        </w:tc>
      </w:tr>
      <w:tr w:rsidR="00023FA5" w:rsidRPr="00C87F2B" w14:paraId="6B38FFC6" w14:textId="77777777" w:rsidTr="00023FA5">
        <w:trPr>
          <w:trHeight w:val="219"/>
        </w:trPr>
        <w:tc>
          <w:tcPr>
            <w:tcW w:w="8947" w:type="dxa"/>
            <w:gridSpan w:val="2"/>
            <w:shd w:val="clear" w:color="auto" w:fill="BFBFBF" w:themeFill="background1" w:themeFillShade="BF"/>
          </w:tcPr>
          <w:p w14:paraId="1B537194" w14:textId="77777777" w:rsidR="00023FA5" w:rsidRPr="00C87F2B" w:rsidRDefault="00023FA5" w:rsidP="00023FA5">
            <w:pPr>
              <w:rPr>
                <w:b/>
                <w:sz w:val="20"/>
              </w:rPr>
            </w:pPr>
            <w:r w:rsidRPr="00C87F2B">
              <w:rPr>
                <w:b/>
                <w:sz w:val="20"/>
                <w:szCs w:val="20"/>
              </w:rPr>
              <w:t>Ocrelizumab</w:t>
            </w:r>
          </w:p>
        </w:tc>
      </w:tr>
      <w:tr w:rsidR="00023FA5" w:rsidRPr="00AE68E0" w14:paraId="3145A242" w14:textId="77777777" w:rsidTr="00023FA5">
        <w:trPr>
          <w:trHeight w:val="219"/>
        </w:trPr>
        <w:tc>
          <w:tcPr>
            <w:tcW w:w="1129" w:type="dxa"/>
          </w:tcPr>
          <w:p w14:paraId="04B933F0" w14:textId="77777777" w:rsidR="00023FA5" w:rsidRPr="00094ECD" w:rsidRDefault="00023FA5" w:rsidP="00023FA5">
            <w:pPr>
              <w:rPr>
                <w:sz w:val="20"/>
                <w:szCs w:val="20"/>
              </w:rPr>
            </w:pPr>
            <w:r>
              <w:rPr>
                <w:sz w:val="20"/>
                <w:szCs w:val="20"/>
              </w:rPr>
              <w:t>Jul</w:t>
            </w:r>
            <w:r w:rsidRPr="00094ECD">
              <w:rPr>
                <w:sz w:val="20"/>
                <w:szCs w:val="20"/>
              </w:rPr>
              <w:t xml:space="preserve"> 2017 </w:t>
            </w:r>
          </w:p>
        </w:tc>
        <w:tc>
          <w:tcPr>
            <w:tcW w:w="7818" w:type="dxa"/>
          </w:tcPr>
          <w:p w14:paraId="500A2BF8" w14:textId="77777777" w:rsidR="00023FA5" w:rsidRPr="00AE68E0" w:rsidRDefault="00023FA5" w:rsidP="00023FA5">
            <w:pPr>
              <w:rPr>
                <w:sz w:val="20"/>
                <w:szCs w:val="20"/>
              </w:rPr>
            </w:pPr>
            <w:r w:rsidRPr="00AE68E0">
              <w:rPr>
                <w:sz w:val="20"/>
              </w:rPr>
              <w:t xml:space="preserve">The PBAC recommended the listing of ocrelizumab for the treatment of </w:t>
            </w:r>
            <w:r>
              <w:rPr>
                <w:sz w:val="20"/>
              </w:rPr>
              <w:t>RRMS</w:t>
            </w:r>
            <w:r w:rsidRPr="00AE68E0">
              <w:rPr>
                <w:sz w:val="20"/>
              </w:rPr>
              <w:t xml:space="preserve"> on a cost-minimisation basis with fingolimod. The PBAC recommended ocrelizumab on the basis that it should be available only under special arrangements under Section 100 (Highly Specialised Drugs Program – public and private hospital).</w:t>
            </w:r>
          </w:p>
        </w:tc>
      </w:tr>
      <w:tr w:rsidR="00023FA5" w:rsidRPr="00094ECD" w14:paraId="15225072" w14:textId="77777777" w:rsidTr="00023FA5">
        <w:trPr>
          <w:trHeight w:val="206"/>
        </w:trPr>
        <w:tc>
          <w:tcPr>
            <w:tcW w:w="1129" w:type="dxa"/>
          </w:tcPr>
          <w:p w14:paraId="576E9DA9" w14:textId="77777777" w:rsidR="00023FA5" w:rsidRPr="00094ECD" w:rsidRDefault="00023FA5" w:rsidP="00023FA5">
            <w:pPr>
              <w:rPr>
                <w:sz w:val="20"/>
                <w:szCs w:val="20"/>
              </w:rPr>
            </w:pPr>
            <w:r>
              <w:rPr>
                <w:sz w:val="20"/>
                <w:szCs w:val="20"/>
              </w:rPr>
              <w:t>Nov</w:t>
            </w:r>
            <w:r w:rsidRPr="00094ECD">
              <w:rPr>
                <w:sz w:val="20"/>
                <w:szCs w:val="20"/>
              </w:rPr>
              <w:t xml:space="preserve"> 2017 </w:t>
            </w:r>
          </w:p>
        </w:tc>
        <w:tc>
          <w:tcPr>
            <w:tcW w:w="7818" w:type="dxa"/>
            <w:shd w:val="clear" w:color="auto" w:fill="auto"/>
          </w:tcPr>
          <w:p w14:paraId="49A33483" w14:textId="77777777" w:rsidR="00023FA5" w:rsidRPr="00094ECD" w:rsidRDefault="00023FA5" w:rsidP="00023FA5">
            <w:pPr>
              <w:rPr>
                <w:sz w:val="20"/>
                <w:szCs w:val="20"/>
              </w:rPr>
            </w:pPr>
            <w:r w:rsidRPr="00AE68E0">
              <w:rPr>
                <w:sz w:val="20"/>
              </w:rPr>
              <w:t>The PBAC did not recommend the listing of ocrelizumab for the treatment of patients with primary progressive multiple sclerosis (PPMS), on the basis of modest clinical benefit and the resulting high and uncertain incremental cost-effectiveness ratio (ICER). The PBAC was concerned about the applicability of trial results to the potential PBS population, and that the base case ICER presented by the submission may be underestimated as ocrelizumab is likely to be less effective in the PBS population than observed in the ORATORIO trial. The PBAC was also concerned about the uncertainty with the utilisation estimates due to issues with defining the target PBS population, and the high and likely underestimated financial impact.</w:t>
            </w:r>
          </w:p>
        </w:tc>
      </w:tr>
      <w:tr w:rsidR="00023FA5" w:rsidRPr="00094ECD" w14:paraId="56726032" w14:textId="77777777" w:rsidTr="00023FA5">
        <w:trPr>
          <w:trHeight w:val="219"/>
        </w:trPr>
        <w:tc>
          <w:tcPr>
            <w:tcW w:w="1129" w:type="dxa"/>
          </w:tcPr>
          <w:p w14:paraId="6074EA7F" w14:textId="77777777" w:rsidR="00023FA5" w:rsidRPr="00094ECD" w:rsidRDefault="00023FA5" w:rsidP="00023FA5">
            <w:pPr>
              <w:rPr>
                <w:sz w:val="20"/>
                <w:szCs w:val="20"/>
              </w:rPr>
            </w:pPr>
            <w:r>
              <w:rPr>
                <w:sz w:val="20"/>
                <w:szCs w:val="20"/>
              </w:rPr>
              <w:t>Jul</w:t>
            </w:r>
            <w:r w:rsidRPr="00094ECD">
              <w:rPr>
                <w:sz w:val="20"/>
                <w:szCs w:val="20"/>
              </w:rPr>
              <w:t xml:space="preserve"> 2020 </w:t>
            </w:r>
          </w:p>
        </w:tc>
        <w:tc>
          <w:tcPr>
            <w:tcW w:w="7818" w:type="dxa"/>
          </w:tcPr>
          <w:p w14:paraId="0054F61D" w14:textId="77777777" w:rsidR="00023FA5" w:rsidRPr="00094ECD" w:rsidRDefault="00023FA5" w:rsidP="00023FA5">
            <w:pPr>
              <w:rPr>
                <w:sz w:val="20"/>
                <w:szCs w:val="20"/>
              </w:rPr>
            </w:pPr>
            <w:r w:rsidRPr="00AE68E0">
              <w:rPr>
                <w:sz w:val="20"/>
              </w:rPr>
              <w:t>The PBAC did not recommend extending the Section 100 (Highly Specialised Drugs Program – Public and Private Hospitals) listing of ocrelizumab to include the treatment of patients with early (diagnosed within the past five years), MRI-active primary progressive multiple sclerosis (PPMS). The PBAC considered that the key subgroup analysis that was relied on in the submission was inconsistent with the requested PBS population which led to difficulties in assessing the cost-effectiveness of ocrelizumab. The PBAC considered that the economic model had likely underestimated the ICER as the likely treatment effect and nursing home care costs had been overestimated.</w:t>
            </w:r>
          </w:p>
        </w:tc>
      </w:tr>
      <w:tr w:rsidR="00023FA5" w:rsidRPr="00794768" w14:paraId="6722DEF0" w14:textId="77777777" w:rsidTr="00023FA5">
        <w:trPr>
          <w:trHeight w:val="219"/>
        </w:trPr>
        <w:tc>
          <w:tcPr>
            <w:tcW w:w="8947" w:type="dxa"/>
            <w:gridSpan w:val="2"/>
            <w:shd w:val="clear" w:color="auto" w:fill="BFBFBF" w:themeFill="background1" w:themeFillShade="BF"/>
          </w:tcPr>
          <w:p w14:paraId="7CE137B4" w14:textId="77777777" w:rsidR="00023FA5" w:rsidRPr="00794768" w:rsidRDefault="00023FA5" w:rsidP="00023FA5">
            <w:pPr>
              <w:rPr>
                <w:b/>
                <w:sz w:val="20"/>
                <w:szCs w:val="20"/>
              </w:rPr>
            </w:pPr>
            <w:r w:rsidRPr="00794768">
              <w:rPr>
                <w:b/>
                <w:sz w:val="20"/>
                <w:szCs w:val="20"/>
              </w:rPr>
              <w:t>Ofatumumab</w:t>
            </w:r>
          </w:p>
        </w:tc>
      </w:tr>
      <w:tr w:rsidR="00023FA5" w:rsidRPr="00094ECD" w14:paraId="05A10BC1" w14:textId="77777777" w:rsidTr="00023FA5">
        <w:trPr>
          <w:trHeight w:val="1239"/>
        </w:trPr>
        <w:tc>
          <w:tcPr>
            <w:tcW w:w="1129" w:type="dxa"/>
          </w:tcPr>
          <w:p w14:paraId="3FCF826A" w14:textId="77777777" w:rsidR="00023FA5" w:rsidRPr="00094ECD" w:rsidRDefault="00023FA5" w:rsidP="00023FA5">
            <w:pPr>
              <w:rPr>
                <w:sz w:val="20"/>
                <w:szCs w:val="20"/>
              </w:rPr>
            </w:pPr>
            <w:r>
              <w:rPr>
                <w:sz w:val="20"/>
                <w:szCs w:val="20"/>
              </w:rPr>
              <w:t>Mar</w:t>
            </w:r>
            <w:r w:rsidRPr="00094ECD">
              <w:rPr>
                <w:sz w:val="20"/>
                <w:szCs w:val="20"/>
              </w:rPr>
              <w:t xml:space="preserve"> 2021 </w:t>
            </w:r>
          </w:p>
        </w:tc>
        <w:tc>
          <w:tcPr>
            <w:tcW w:w="7818" w:type="dxa"/>
          </w:tcPr>
          <w:p w14:paraId="16CB058F" w14:textId="77777777" w:rsidR="00023FA5" w:rsidRPr="00094ECD" w:rsidRDefault="00023FA5" w:rsidP="00023FA5">
            <w:pPr>
              <w:rPr>
                <w:sz w:val="20"/>
                <w:szCs w:val="20"/>
              </w:rPr>
            </w:pPr>
            <w:r w:rsidRPr="00094ECD">
              <w:rPr>
                <w:sz w:val="20"/>
                <w:szCs w:val="20"/>
              </w:rPr>
              <w:t>The PBAC recommended the Authority Required (STREAMLINED) listing of ofatumumab for the treatment or relapsing-remitting multiple sclerosis (RRMS). The PBAC’s recommendation for listing was based on, among other matters, its assessment that the cost-effectiveness of ofatumumab would be acceptable if it were cost minimised to the least costly of fingolimod, natalizumab, alemtuzumab, ocrelizumab, cladribine and ozanimod.</w:t>
            </w:r>
          </w:p>
        </w:tc>
      </w:tr>
      <w:tr w:rsidR="00023FA5" w:rsidRPr="00794768" w14:paraId="2D782C80" w14:textId="77777777" w:rsidTr="00023FA5">
        <w:trPr>
          <w:trHeight w:val="64"/>
        </w:trPr>
        <w:tc>
          <w:tcPr>
            <w:tcW w:w="8947" w:type="dxa"/>
            <w:gridSpan w:val="2"/>
            <w:shd w:val="clear" w:color="auto" w:fill="BFBFBF" w:themeFill="background1" w:themeFillShade="BF"/>
          </w:tcPr>
          <w:p w14:paraId="0E4CA590" w14:textId="77777777" w:rsidR="00023FA5" w:rsidRPr="00794768" w:rsidRDefault="00023FA5" w:rsidP="00023FA5">
            <w:pPr>
              <w:rPr>
                <w:b/>
                <w:sz w:val="20"/>
              </w:rPr>
            </w:pPr>
            <w:r w:rsidRPr="00794768">
              <w:rPr>
                <w:b/>
                <w:sz w:val="20"/>
                <w:szCs w:val="20"/>
              </w:rPr>
              <w:t>Ozanimod</w:t>
            </w:r>
          </w:p>
        </w:tc>
      </w:tr>
      <w:tr w:rsidR="00023FA5" w:rsidRPr="00094ECD" w14:paraId="4F7EC65E" w14:textId="77777777" w:rsidTr="00023FA5">
        <w:trPr>
          <w:trHeight w:val="219"/>
        </w:trPr>
        <w:tc>
          <w:tcPr>
            <w:tcW w:w="1129" w:type="dxa"/>
          </w:tcPr>
          <w:p w14:paraId="76500443" w14:textId="77777777" w:rsidR="00023FA5" w:rsidRPr="00094ECD" w:rsidRDefault="00023FA5" w:rsidP="00023FA5">
            <w:pPr>
              <w:rPr>
                <w:sz w:val="20"/>
                <w:szCs w:val="20"/>
              </w:rPr>
            </w:pPr>
            <w:r>
              <w:rPr>
                <w:sz w:val="20"/>
                <w:szCs w:val="20"/>
              </w:rPr>
              <w:t>Mar</w:t>
            </w:r>
            <w:r w:rsidRPr="00094ECD">
              <w:rPr>
                <w:sz w:val="20"/>
                <w:szCs w:val="20"/>
              </w:rPr>
              <w:t xml:space="preserve"> 2020 </w:t>
            </w:r>
          </w:p>
        </w:tc>
        <w:tc>
          <w:tcPr>
            <w:tcW w:w="7818" w:type="dxa"/>
          </w:tcPr>
          <w:p w14:paraId="76C06F67" w14:textId="77777777" w:rsidR="00023FA5" w:rsidRPr="00094ECD" w:rsidRDefault="00023FA5" w:rsidP="00023FA5">
            <w:pPr>
              <w:rPr>
                <w:sz w:val="20"/>
                <w:szCs w:val="20"/>
              </w:rPr>
            </w:pPr>
            <w:r w:rsidRPr="00283026">
              <w:rPr>
                <w:sz w:val="20"/>
              </w:rPr>
              <w:t>The PBAC deferred making a recommendation for the listing of ozanimod on the PBS as the TGA Delegate’s Overview was not available at the time of consideration. However, the PBAC was of a mind to recommend the Authority Required (STREAMLINED) listing of ozanimod fo</w:t>
            </w:r>
            <w:r>
              <w:rPr>
                <w:sz w:val="20"/>
              </w:rPr>
              <w:t>r the treatment of RRMS</w:t>
            </w:r>
            <w:r w:rsidRPr="00283026">
              <w:rPr>
                <w:sz w:val="20"/>
              </w:rPr>
              <w:t xml:space="preserve"> on a cost minimisation basis with fingolimod</w:t>
            </w:r>
          </w:p>
        </w:tc>
      </w:tr>
      <w:tr w:rsidR="00023FA5" w:rsidRPr="00094ECD" w14:paraId="5BEE54BC" w14:textId="77777777" w:rsidTr="00023FA5">
        <w:trPr>
          <w:trHeight w:val="219"/>
        </w:trPr>
        <w:tc>
          <w:tcPr>
            <w:tcW w:w="1129" w:type="dxa"/>
          </w:tcPr>
          <w:p w14:paraId="4D8CD90B" w14:textId="77777777" w:rsidR="00023FA5" w:rsidRPr="00094ECD" w:rsidRDefault="00023FA5" w:rsidP="00023FA5">
            <w:pPr>
              <w:rPr>
                <w:sz w:val="20"/>
                <w:szCs w:val="20"/>
              </w:rPr>
            </w:pPr>
            <w:r>
              <w:rPr>
                <w:sz w:val="20"/>
                <w:szCs w:val="20"/>
              </w:rPr>
              <w:t>Sep 2020</w:t>
            </w:r>
          </w:p>
        </w:tc>
        <w:tc>
          <w:tcPr>
            <w:tcW w:w="7818" w:type="dxa"/>
          </w:tcPr>
          <w:p w14:paraId="2F6F4D1E" w14:textId="77777777" w:rsidR="00023FA5" w:rsidRPr="00094ECD" w:rsidRDefault="00023FA5" w:rsidP="00023FA5">
            <w:pPr>
              <w:rPr>
                <w:sz w:val="20"/>
                <w:szCs w:val="20"/>
              </w:rPr>
            </w:pPr>
            <w:r w:rsidRPr="00283026">
              <w:rPr>
                <w:sz w:val="20"/>
              </w:rPr>
              <w:t>The PBAC recommended, out of session, the General Schedule, Authority Required (STREAMLINED) listing of ozanimod f</w:t>
            </w:r>
            <w:r>
              <w:rPr>
                <w:sz w:val="20"/>
              </w:rPr>
              <w:t>or the treatment of RRMS</w:t>
            </w:r>
            <w:r w:rsidRPr="00283026">
              <w:rPr>
                <w:sz w:val="20"/>
              </w:rPr>
              <w:t>, on a cost minimisation basis with fingolimod. In making this recommendation, the PBAC noted it had advised in March it had no additional concerns regarding the listing of ozanimod for RRMS and was awaiting the TGA evaluation to progress further prior to making a recommendation.</w:t>
            </w:r>
          </w:p>
        </w:tc>
      </w:tr>
      <w:tr w:rsidR="00023FA5" w:rsidRPr="00094ECD" w14:paraId="5E4ECEE5" w14:textId="77777777" w:rsidTr="00023FA5">
        <w:trPr>
          <w:trHeight w:val="219"/>
        </w:trPr>
        <w:tc>
          <w:tcPr>
            <w:tcW w:w="8947" w:type="dxa"/>
            <w:gridSpan w:val="2"/>
            <w:shd w:val="clear" w:color="auto" w:fill="BFBFBF" w:themeFill="background1" w:themeFillShade="BF"/>
          </w:tcPr>
          <w:p w14:paraId="61358C28" w14:textId="77777777" w:rsidR="00023FA5" w:rsidRPr="00794768" w:rsidRDefault="00023FA5" w:rsidP="00023FA5">
            <w:pPr>
              <w:rPr>
                <w:b/>
                <w:sz w:val="20"/>
                <w:szCs w:val="20"/>
              </w:rPr>
            </w:pPr>
            <w:r w:rsidRPr="00794768">
              <w:rPr>
                <w:b/>
                <w:sz w:val="20"/>
                <w:szCs w:val="20"/>
              </w:rPr>
              <w:t>Peginterferon beta-1a</w:t>
            </w:r>
          </w:p>
        </w:tc>
      </w:tr>
      <w:tr w:rsidR="00023FA5" w:rsidRPr="00094ECD" w14:paraId="5874E13C" w14:textId="77777777" w:rsidTr="00023FA5">
        <w:trPr>
          <w:trHeight w:val="219"/>
        </w:trPr>
        <w:tc>
          <w:tcPr>
            <w:tcW w:w="1129" w:type="dxa"/>
          </w:tcPr>
          <w:p w14:paraId="10640468" w14:textId="77777777" w:rsidR="00023FA5" w:rsidRPr="00094ECD" w:rsidRDefault="00023FA5" w:rsidP="00023FA5">
            <w:pPr>
              <w:rPr>
                <w:sz w:val="20"/>
                <w:szCs w:val="20"/>
              </w:rPr>
            </w:pPr>
            <w:r>
              <w:rPr>
                <w:sz w:val="20"/>
                <w:szCs w:val="20"/>
              </w:rPr>
              <w:t>Nov</w:t>
            </w:r>
            <w:r w:rsidRPr="00094ECD">
              <w:rPr>
                <w:sz w:val="20"/>
                <w:szCs w:val="20"/>
              </w:rPr>
              <w:t xml:space="preserve"> 2014 </w:t>
            </w:r>
          </w:p>
        </w:tc>
        <w:tc>
          <w:tcPr>
            <w:tcW w:w="7818" w:type="dxa"/>
          </w:tcPr>
          <w:p w14:paraId="6809BBC2" w14:textId="77777777" w:rsidR="00023FA5" w:rsidRPr="00672430" w:rsidRDefault="00023FA5" w:rsidP="00023FA5">
            <w:pPr>
              <w:widowControl w:val="0"/>
              <w:rPr>
                <w:rFonts w:cstheme="minorHAnsi"/>
              </w:rPr>
            </w:pPr>
            <w:r w:rsidRPr="00672430">
              <w:rPr>
                <w:rFonts w:cstheme="minorHAnsi"/>
                <w:sz w:val="20"/>
              </w:rPr>
              <w:t>The PBAC recommended the listing of peginterferon beta-1a as an Authority Required listing on a cost-minimisation basis compared with interferon beta-1a. The PBAC noted that the listing of peginterferon beta-1a would offer an alternative first line treatment for patients with remitting, relapsing multiple sclerosis.</w:t>
            </w:r>
          </w:p>
        </w:tc>
      </w:tr>
      <w:tr w:rsidR="00023FA5" w:rsidRPr="00794768" w14:paraId="4DA939D5" w14:textId="77777777" w:rsidTr="00023FA5">
        <w:trPr>
          <w:trHeight w:val="219"/>
        </w:trPr>
        <w:tc>
          <w:tcPr>
            <w:tcW w:w="8947" w:type="dxa"/>
            <w:gridSpan w:val="2"/>
            <w:shd w:val="clear" w:color="auto" w:fill="BFBFBF" w:themeFill="background1" w:themeFillShade="BF"/>
          </w:tcPr>
          <w:p w14:paraId="16F199E2" w14:textId="77777777" w:rsidR="00023FA5" w:rsidRPr="00794768" w:rsidRDefault="00023FA5" w:rsidP="00023FA5">
            <w:pPr>
              <w:rPr>
                <w:b/>
                <w:sz w:val="20"/>
              </w:rPr>
            </w:pPr>
            <w:r w:rsidRPr="00794768">
              <w:rPr>
                <w:b/>
                <w:sz w:val="20"/>
                <w:szCs w:val="20"/>
              </w:rPr>
              <w:t>Siponimod</w:t>
            </w:r>
          </w:p>
        </w:tc>
      </w:tr>
      <w:tr w:rsidR="00023FA5" w:rsidRPr="00094ECD" w14:paraId="0C3720C1" w14:textId="77777777" w:rsidTr="00023FA5">
        <w:trPr>
          <w:trHeight w:val="219"/>
        </w:trPr>
        <w:tc>
          <w:tcPr>
            <w:tcW w:w="1129" w:type="dxa"/>
          </w:tcPr>
          <w:p w14:paraId="701C8C33" w14:textId="77777777" w:rsidR="00023FA5" w:rsidRPr="00094ECD" w:rsidRDefault="00023FA5" w:rsidP="00023FA5">
            <w:pPr>
              <w:rPr>
                <w:sz w:val="20"/>
                <w:szCs w:val="20"/>
              </w:rPr>
            </w:pPr>
            <w:r>
              <w:rPr>
                <w:sz w:val="20"/>
                <w:szCs w:val="20"/>
              </w:rPr>
              <w:t>Nov</w:t>
            </w:r>
            <w:r w:rsidRPr="00094ECD">
              <w:rPr>
                <w:sz w:val="20"/>
                <w:szCs w:val="20"/>
              </w:rPr>
              <w:t xml:space="preserve"> 2019 </w:t>
            </w:r>
          </w:p>
        </w:tc>
        <w:tc>
          <w:tcPr>
            <w:tcW w:w="7818" w:type="dxa"/>
          </w:tcPr>
          <w:p w14:paraId="123B68FB" w14:textId="77777777" w:rsidR="00023FA5" w:rsidRPr="00094ECD" w:rsidRDefault="00023FA5" w:rsidP="00023FA5">
            <w:pPr>
              <w:rPr>
                <w:sz w:val="20"/>
                <w:szCs w:val="20"/>
              </w:rPr>
            </w:pPr>
            <w:r w:rsidRPr="00283026">
              <w:rPr>
                <w:sz w:val="20"/>
              </w:rPr>
              <w:t xml:space="preserve">The PBAC did not recommend the listing of siponimod for the treatment of secondary progressive multiple sclerosis (SPMS). The PBAC acknowledged the high clinical need for effective treatments in this therapeutic area. However, the PBAC considered that the </w:t>
            </w:r>
            <w:r w:rsidRPr="00283026">
              <w:rPr>
                <w:sz w:val="20"/>
              </w:rPr>
              <w:lastRenderedPageBreak/>
              <w:t>appropriate place of siponimod in the treatment algorithm for multiple sclerosis (MS) was uncertain, and the submission did not provide a reliable basis to assess the cost-effectiveness of siponimod. The PBAC also considered the financial estimates to be uncertain.</w:t>
            </w:r>
          </w:p>
        </w:tc>
      </w:tr>
      <w:tr w:rsidR="00023FA5" w:rsidRPr="00094ECD" w14:paraId="420194CD" w14:textId="77777777" w:rsidTr="00023FA5">
        <w:trPr>
          <w:trHeight w:val="1291"/>
        </w:trPr>
        <w:tc>
          <w:tcPr>
            <w:tcW w:w="1129" w:type="dxa"/>
          </w:tcPr>
          <w:p w14:paraId="39F04F1A" w14:textId="77777777" w:rsidR="00023FA5" w:rsidRPr="00094ECD" w:rsidRDefault="00023FA5" w:rsidP="00023FA5">
            <w:pPr>
              <w:rPr>
                <w:sz w:val="20"/>
                <w:szCs w:val="20"/>
              </w:rPr>
            </w:pPr>
            <w:r>
              <w:rPr>
                <w:sz w:val="20"/>
                <w:szCs w:val="20"/>
              </w:rPr>
              <w:lastRenderedPageBreak/>
              <w:t>Jul</w:t>
            </w:r>
            <w:r w:rsidRPr="00094ECD">
              <w:rPr>
                <w:sz w:val="20"/>
                <w:szCs w:val="20"/>
              </w:rPr>
              <w:t xml:space="preserve"> 2020 </w:t>
            </w:r>
          </w:p>
        </w:tc>
        <w:tc>
          <w:tcPr>
            <w:tcW w:w="7818" w:type="dxa"/>
          </w:tcPr>
          <w:p w14:paraId="53175AC2" w14:textId="77777777" w:rsidR="00023FA5" w:rsidRPr="00094ECD" w:rsidRDefault="00023FA5" w:rsidP="00023FA5">
            <w:pPr>
              <w:rPr>
                <w:sz w:val="20"/>
                <w:szCs w:val="20"/>
              </w:rPr>
            </w:pPr>
            <w:r w:rsidRPr="006F2AFF">
              <w:rPr>
                <w:sz w:val="20"/>
              </w:rPr>
              <w:t>The PBAC recommended the listing of siponimod for patients with secondary progressive MS who are ambulant (with or without support). The PBAC recommended listing on a cost-minimisation basis compared with fingolimod. The PBAC considered that the cost-effectiveness of siponimod when used in a broader patient population than fingolimod was adequately addressed with a reduced price for this population.</w:t>
            </w:r>
          </w:p>
        </w:tc>
      </w:tr>
      <w:tr w:rsidR="00023FA5" w:rsidRPr="00794768" w14:paraId="597C1F5B" w14:textId="77777777" w:rsidTr="00023FA5">
        <w:trPr>
          <w:trHeight w:val="64"/>
        </w:trPr>
        <w:tc>
          <w:tcPr>
            <w:tcW w:w="8947" w:type="dxa"/>
            <w:gridSpan w:val="2"/>
            <w:shd w:val="clear" w:color="auto" w:fill="BFBFBF" w:themeFill="background1" w:themeFillShade="BF"/>
          </w:tcPr>
          <w:p w14:paraId="51B64B85" w14:textId="77777777" w:rsidR="00023FA5" w:rsidRPr="00794768" w:rsidRDefault="00023FA5" w:rsidP="00023FA5">
            <w:pPr>
              <w:rPr>
                <w:b/>
                <w:sz w:val="20"/>
              </w:rPr>
            </w:pPr>
            <w:r w:rsidRPr="00794768">
              <w:rPr>
                <w:b/>
                <w:sz w:val="20"/>
                <w:szCs w:val="20"/>
              </w:rPr>
              <w:t>Teriflunomide</w:t>
            </w:r>
          </w:p>
        </w:tc>
      </w:tr>
      <w:tr w:rsidR="00023FA5" w:rsidRPr="00094ECD" w14:paraId="6A71D0DF" w14:textId="77777777" w:rsidTr="00023FA5">
        <w:trPr>
          <w:trHeight w:val="219"/>
        </w:trPr>
        <w:tc>
          <w:tcPr>
            <w:tcW w:w="1129" w:type="dxa"/>
          </w:tcPr>
          <w:p w14:paraId="09CBD16F" w14:textId="77777777" w:rsidR="00023FA5" w:rsidRPr="00094ECD" w:rsidRDefault="00023FA5" w:rsidP="00023FA5">
            <w:pPr>
              <w:rPr>
                <w:sz w:val="20"/>
                <w:szCs w:val="20"/>
              </w:rPr>
            </w:pPr>
            <w:r>
              <w:rPr>
                <w:sz w:val="20"/>
                <w:szCs w:val="20"/>
              </w:rPr>
              <w:t>Nov</w:t>
            </w:r>
            <w:r w:rsidRPr="00094ECD">
              <w:rPr>
                <w:sz w:val="20"/>
                <w:szCs w:val="20"/>
              </w:rPr>
              <w:t xml:space="preserve"> 2012</w:t>
            </w:r>
          </w:p>
        </w:tc>
        <w:tc>
          <w:tcPr>
            <w:tcW w:w="7818" w:type="dxa"/>
          </w:tcPr>
          <w:p w14:paraId="6B2E4DF6" w14:textId="77777777" w:rsidR="00023FA5" w:rsidRPr="00094ECD" w:rsidRDefault="00023FA5" w:rsidP="00023FA5">
            <w:pPr>
              <w:rPr>
                <w:sz w:val="20"/>
                <w:szCs w:val="20"/>
              </w:rPr>
            </w:pPr>
            <w:r>
              <w:rPr>
                <w:sz w:val="20"/>
                <w:szCs w:val="20"/>
              </w:rPr>
              <w:t xml:space="preserve">The PBAC did not recommend the Authority Required listing for the initial and continuing treatment of clinically definite relapsing-remitting multiple sclerosis in ambulatory patients who meet certain criteria, on the basis of uncertain clinical benefit, no formal economic analysis provided and uncertain uptake and hence uncertain cost to the PBS. </w:t>
            </w:r>
          </w:p>
        </w:tc>
      </w:tr>
      <w:tr w:rsidR="00023FA5" w:rsidRPr="00094ECD" w14:paraId="7FFD16EE" w14:textId="77777777" w:rsidTr="00023FA5">
        <w:trPr>
          <w:trHeight w:val="206"/>
        </w:trPr>
        <w:tc>
          <w:tcPr>
            <w:tcW w:w="1129" w:type="dxa"/>
          </w:tcPr>
          <w:p w14:paraId="2B66FA9E" w14:textId="77777777" w:rsidR="00023FA5" w:rsidRPr="00094ECD" w:rsidRDefault="00023FA5" w:rsidP="00023FA5">
            <w:pPr>
              <w:rPr>
                <w:sz w:val="20"/>
                <w:szCs w:val="20"/>
              </w:rPr>
            </w:pPr>
            <w:r>
              <w:rPr>
                <w:sz w:val="20"/>
                <w:szCs w:val="20"/>
              </w:rPr>
              <w:t>Jul</w:t>
            </w:r>
            <w:r w:rsidRPr="00094ECD">
              <w:rPr>
                <w:sz w:val="20"/>
                <w:szCs w:val="20"/>
              </w:rPr>
              <w:t xml:space="preserve"> 2013</w:t>
            </w:r>
          </w:p>
        </w:tc>
        <w:tc>
          <w:tcPr>
            <w:tcW w:w="7818" w:type="dxa"/>
          </w:tcPr>
          <w:p w14:paraId="28A93FB0" w14:textId="77777777" w:rsidR="00023FA5" w:rsidRPr="00094ECD" w:rsidRDefault="00023FA5" w:rsidP="00023FA5">
            <w:pPr>
              <w:rPr>
                <w:sz w:val="20"/>
                <w:szCs w:val="20"/>
              </w:rPr>
            </w:pPr>
            <w:r>
              <w:rPr>
                <w:sz w:val="20"/>
                <w:szCs w:val="20"/>
              </w:rPr>
              <w:t xml:space="preserve">The PBAC recommended teriflunomide 14 mg as an Authority required listing for the initial and continuing treatment of RRMS in ambulatory patients who meet certain criteria on a cost-minimisation basis to interferon beta-1a and interferon beta-1b. </w:t>
            </w:r>
          </w:p>
        </w:tc>
      </w:tr>
      <w:tr w:rsidR="00023FA5" w:rsidRPr="00094ECD" w14:paraId="1F5ED3AC" w14:textId="77777777" w:rsidTr="00023FA5">
        <w:trPr>
          <w:trHeight w:val="437"/>
        </w:trPr>
        <w:tc>
          <w:tcPr>
            <w:tcW w:w="1129" w:type="dxa"/>
          </w:tcPr>
          <w:p w14:paraId="2B659A0E" w14:textId="77777777" w:rsidR="00023FA5" w:rsidRPr="00094ECD" w:rsidRDefault="00023FA5" w:rsidP="00023FA5">
            <w:pPr>
              <w:rPr>
                <w:sz w:val="20"/>
                <w:szCs w:val="20"/>
              </w:rPr>
            </w:pPr>
            <w:r>
              <w:rPr>
                <w:sz w:val="20"/>
                <w:szCs w:val="20"/>
              </w:rPr>
              <w:t>Nov</w:t>
            </w:r>
            <w:r w:rsidRPr="00094ECD">
              <w:rPr>
                <w:sz w:val="20"/>
                <w:szCs w:val="20"/>
              </w:rPr>
              <w:t xml:space="preserve"> 2016 </w:t>
            </w:r>
          </w:p>
        </w:tc>
        <w:tc>
          <w:tcPr>
            <w:tcW w:w="7818" w:type="dxa"/>
          </w:tcPr>
          <w:p w14:paraId="73D3CCA5" w14:textId="77777777" w:rsidR="00023FA5" w:rsidRPr="00094ECD" w:rsidRDefault="00023FA5" w:rsidP="00023FA5">
            <w:pPr>
              <w:rPr>
                <w:sz w:val="20"/>
                <w:szCs w:val="20"/>
              </w:rPr>
            </w:pPr>
            <w:r w:rsidRPr="00283026">
              <w:rPr>
                <w:sz w:val="20"/>
              </w:rPr>
              <w:t>The PBAC decided not to recommend amending the listing of teriflunomide to Authority Required (STREAMLINED), as it considered that the market for oral therapies for R</w:t>
            </w:r>
            <w:r>
              <w:rPr>
                <w:sz w:val="20"/>
              </w:rPr>
              <w:t xml:space="preserve">RMS had not yet stabilised. </w:t>
            </w:r>
            <w:r w:rsidRPr="00283026">
              <w:rPr>
                <w:sz w:val="20"/>
              </w:rPr>
              <w:t>The PBAC noted the input from the DUSC secretariat with regards to the utilisation of all RRMS therapies, and noted that the utilisation of the other oral therapies, fingolimod and DMF, was higher than teriflunomide and the market for oral treatments was still growing.</w:t>
            </w:r>
          </w:p>
        </w:tc>
      </w:tr>
    </w:tbl>
    <w:p w14:paraId="13EB3F89" w14:textId="77777777" w:rsidR="00023FA5" w:rsidRPr="00094ECD" w:rsidRDefault="00023FA5" w:rsidP="00023FA5">
      <w:pPr>
        <w:rPr>
          <w:b/>
        </w:rPr>
      </w:pPr>
    </w:p>
    <w:p w14:paraId="1BAFDB26" w14:textId="77777777" w:rsidR="00023FA5" w:rsidRPr="002835C1" w:rsidRDefault="00023FA5" w:rsidP="00705E98"/>
    <w:p w14:paraId="5525AFB2" w14:textId="77777777" w:rsidR="00705E98" w:rsidRPr="00335A02" w:rsidRDefault="00705E98" w:rsidP="00705E98"/>
    <w:p w14:paraId="30F7386A" w14:textId="4552C31D" w:rsidR="00336816" w:rsidRPr="0033504C" w:rsidRDefault="00336816" w:rsidP="00AE6BE6">
      <w:pPr>
        <w:pStyle w:val="Heading1"/>
      </w:pPr>
    </w:p>
    <w:sectPr w:rsidR="00336816" w:rsidRPr="0033504C" w:rsidSect="00DD188C">
      <w:footerReference w:type="even" r:id="rId44"/>
      <w:footerReference w:type="default" r:id="rId45"/>
      <w:footerReference w:type="first" r:id="rId46"/>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0CA1A" w14:textId="77777777" w:rsidR="00CD1FF7" w:rsidRDefault="00CD1FF7" w:rsidP="00A35800">
      <w:r>
        <w:separator/>
      </w:r>
    </w:p>
  </w:endnote>
  <w:endnote w:type="continuationSeparator" w:id="0">
    <w:p w14:paraId="40F4737F" w14:textId="77777777" w:rsidR="00CD1FF7" w:rsidRDefault="00CD1FF7"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CIDFont+F1">
    <w:panose1 w:val="00000000000000000000"/>
    <w:charset w:val="00"/>
    <w:family w:val="auto"/>
    <w:notTrueType/>
    <w:pitch w:val="default"/>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58296" w14:textId="77777777" w:rsidR="00B110A0" w:rsidRDefault="00B110A0"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95F7D66" w14:textId="77777777" w:rsidR="00B110A0" w:rsidRDefault="00B110A0" w:rsidP="00A3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9446998"/>
      <w:docPartObj>
        <w:docPartGallery w:val="Page Numbers (Bottom of Page)"/>
        <w:docPartUnique/>
      </w:docPartObj>
    </w:sdtPr>
    <w:sdtEndPr/>
    <w:sdtContent>
      <w:sdt>
        <w:sdtPr>
          <w:id w:val="-1724748195"/>
          <w:docPartObj>
            <w:docPartGallery w:val="Page Numbers (Top of Page)"/>
            <w:docPartUnique/>
          </w:docPartObj>
        </w:sdtPr>
        <w:sdtEndPr/>
        <w:sdtContent>
          <w:p w14:paraId="3EA06EC6" w14:textId="03375568" w:rsidR="00B110A0" w:rsidRPr="000E72C6" w:rsidRDefault="00B110A0" w:rsidP="009E58C4">
            <w:pPr>
              <w:pStyle w:val="Footer"/>
              <w:jc w:val="center"/>
              <w:rPr>
                <w:i/>
                <w:sz w:val="20"/>
              </w:rPr>
            </w:pPr>
            <w:r>
              <w:rPr>
                <w:i/>
                <w:sz w:val="20"/>
              </w:rPr>
              <w:t xml:space="preserve">Public Release Document, February 2022 DUSC meeting </w:t>
            </w:r>
          </w:p>
          <w:p w14:paraId="2EED9D70" w14:textId="77777777" w:rsidR="00B110A0" w:rsidRDefault="00B110A0"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Pr>
                <w:bCs/>
                <w:i/>
                <w:noProof/>
                <w:sz w:val="20"/>
              </w:rPr>
              <w:t>1</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Pr>
                <w:bCs/>
                <w:i/>
                <w:noProof/>
                <w:sz w:val="20"/>
              </w:rPr>
              <w:t>37</w:t>
            </w:r>
            <w:r w:rsidRPr="00DD188C">
              <w:rPr>
                <w:bCs/>
                <w:i/>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814D7" w14:textId="77777777" w:rsidR="00B110A0" w:rsidRDefault="00B110A0" w:rsidP="007A5733">
    <w:pPr>
      <w:pStyle w:val="Footer"/>
      <w:jc w:val="center"/>
      <w:rPr>
        <w:rStyle w:val="PageNumber"/>
      </w:rPr>
    </w:pPr>
    <w:r>
      <w:rPr>
        <w:rStyle w:val="PageNumber"/>
      </w:rPr>
      <w:t>Committee-in-Confidence</w:t>
    </w:r>
  </w:p>
  <w:p w14:paraId="5FA45BA3" w14:textId="77777777" w:rsidR="00B110A0" w:rsidRDefault="00B110A0" w:rsidP="007A5733">
    <w:pPr>
      <w:pStyle w:val="Footer"/>
      <w:jc w:val="center"/>
      <w:rPr>
        <w:rStyle w:val="PageNumbe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9D5E5" w14:textId="77777777" w:rsidR="00B110A0" w:rsidRDefault="00B110A0"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9F9A1E" w14:textId="77777777" w:rsidR="00B110A0" w:rsidRDefault="00B110A0" w:rsidP="00A358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0733839"/>
      <w:docPartObj>
        <w:docPartGallery w:val="Page Numbers (Bottom of Page)"/>
        <w:docPartUnique/>
      </w:docPartObj>
    </w:sdtPr>
    <w:sdtEndPr/>
    <w:sdtContent>
      <w:sdt>
        <w:sdtPr>
          <w:id w:val="-1669238322"/>
          <w:docPartObj>
            <w:docPartGallery w:val="Page Numbers (Top of Page)"/>
            <w:docPartUnique/>
          </w:docPartObj>
        </w:sdtPr>
        <w:sdtEndPr/>
        <w:sdtContent>
          <w:p w14:paraId="5040813A" w14:textId="32B27B83" w:rsidR="00B110A0" w:rsidRPr="000E72C6" w:rsidRDefault="00B110A0" w:rsidP="00705E98">
            <w:pPr>
              <w:pStyle w:val="Footer"/>
              <w:jc w:val="center"/>
              <w:rPr>
                <w:i/>
                <w:sz w:val="20"/>
              </w:rPr>
            </w:pPr>
            <w:r>
              <w:rPr>
                <w:i/>
                <w:sz w:val="20"/>
              </w:rPr>
              <w:t xml:space="preserve">Public Release Document, February 2022 DUSC meeting </w:t>
            </w:r>
          </w:p>
          <w:p w14:paraId="10292A9A" w14:textId="7D864046" w:rsidR="00B110A0" w:rsidRDefault="00B110A0"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Pr>
                <w:bCs/>
                <w:i/>
                <w:noProof/>
                <w:sz w:val="20"/>
              </w:rPr>
              <w:t>4</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Pr>
                <w:bCs/>
                <w:i/>
                <w:noProof/>
                <w:sz w:val="20"/>
              </w:rPr>
              <w:t>13</w:t>
            </w:r>
            <w:r w:rsidRPr="00DD188C">
              <w:rPr>
                <w:bCs/>
                <w:i/>
                <w:sz w:val="20"/>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22E1F" w14:textId="77777777" w:rsidR="00B110A0" w:rsidRDefault="00B110A0" w:rsidP="007A5733">
    <w:pPr>
      <w:pStyle w:val="Footer"/>
      <w:jc w:val="center"/>
      <w:rPr>
        <w:rStyle w:val="PageNumber"/>
      </w:rPr>
    </w:pPr>
    <w:r>
      <w:rPr>
        <w:rStyle w:val="PageNumber"/>
      </w:rPr>
      <w:t>Committee-in-Confidence</w:t>
    </w:r>
  </w:p>
  <w:p w14:paraId="3CE6880B" w14:textId="77777777" w:rsidR="00B110A0" w:rsidRDefault="00B110A0" w:rsidP="007A573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426428" w14:textId="77777777" w:rsidR="00CD1FF7" w:rsidRDefault="00CD1FF7" w:rsidP="00A35800">
      <w:r>
        <w:separator/>
      </w:r>
    </w:p>
  </w:footnote>
  <w:footnote w:type="continuationSeparator" w:id="0">
    <w:p w14:paraId="43E74D7D" w14:textId="77777777" w:rsidR="00CD1FF7" w:rsidRDefault="00CD1FF7" w:rsidP="00A35800">
      <w:r>
        <w:continuationSeparator/>
      </w:r>
    </w:p>
  </w:footnote>
  <w:footnote w:id="1">
    <w:p w14:paraId="0A7BD42F" w14:textId="77777777" w:rsidR="00B110A0" w:rsidRDefault="00B110A0" w:rsidP="00023FA5">
      <w:pPr>
        <w:pStyle w:val="FootnoteText"/>
      </w:pPr>
      <w:r>
        <w:rPr>
          <w:rStyle w:val="FootnoteReference"/>
        </w:rPr>
        <w:footnoteRef/>
      </w:r>
      <w:r>
        <w:t xml:space="preserve">  Gruchot J, Weyers V, Göttle P, Förster M, Hartung H-P, Küry P, Kremer D. The Molecular Basis for Remyelination Failure in Multiple Sclerosis. Cells (2019),8, 825, doi:10.3390/cells8080825</w:t>
      </w:r>
    </w:p>
  </w:footnote>
  <w:footnote w:id="2">
    <w:p w14:paraId="4B87C998" w14:textId="77777777" w:rsidR="00B110A0" w:rsidRDefault="00B110A0" w:rsidP="00023FA5">
      <w:pPr>
        <w:pStyle w:val="FootnoteText"/>
      </w:pPr>
      <w:r>
        <w:rPr>
          <w:rStyle w:val="FootnoteReference"/>
        </w:rPr>
        <w:footnoteRef/>
      </w:r>
      <w:r>
        <w:t xml:space="preserve"> Lemus H.N, Warrington A.E, Rodriguez M. Multiple Sclerosis: Mechanisms of Disease and Strategies for Myelin and Axonal Repair.  Neurol Clin (2018), 36; 1-11. https://doi.org/10.1016/j.ncl.2017.08.002</w:t>
      </w:r>
    </w:p>
  </w:footnote>
  <w:footnote w:id="3">
    <w:p w14:paraId="334DA0BD" w14:textId="77777777" w:rsidR="00B110A0" w:rsidRPr="001274E2" w:rsidRDefault="00B110A0" w:rsidP="00023FA5">
      <w:pPr>
        <w:autoSpaceDE w:val="0"/>
        <w:autoSpaceDN w:val="0"/>
        <w:adjustRightInd w:val="0"/>
        <w:spacing w:after="0"/>
        <w:rPr>
          <w:rFonts w:cs="CIDFont+F1"/>
          <w:sz w:val="18"/>
          <w:szCs w:val="17"/>
        </w:rPr>
      </w:pPr>
      <w:r>
        <w:rPr>
          <w:rStyle w:val="FootnoteReference"/>
        </w:rPr>
        <w:footnoteRef/>
      </w:r>
      <w:r>
        <w:t xml:space="preserve"> </w:t>
      </w:r>
      <w:r w:rsidRPr="001274E2">
        <w:rPr>
          <w:rFonts w:cs="CIDFont+F1"/>
          <w:sz w:val="18"/>
          <w:szCs w:val="17"/>
        </w:rPr>
        <w:t xml:space="preserve">MS Australia (Internet). </w:t>
      </w:r>
      <w:r>
        <w:rPr>
          <w:rFonts w:cs="CIDFont+F1"/>
          <w:sz w:val="18"/>
          <w:szCs w:val="17"/>
        </w:rPr>
        <w:t>What is Multiple Sclerosis (MS)</w:t>
      </w:r>
      <w:r w:rsidRPr="001274E2">
        <w:rPr>
          <w:rFonts w:cs="CIDFont+F1"/>
          <w:sz w:val="18"/>
          <w:szCs w:val="17"/>
        </w:rPr>
        <w:t xml:space="preserve"> Accessed on </w:t>
      </w:r>
      <w:r>
        <w:rPr>
          <w:rFonts w:cs="CIDFont+F1"/>
          <w:sz w:val="18"/>
          <w:szCs w:val="17"/>
        </w:rPr>
        <w:t>12 November 2021</w:t>
      </w:r>
      <w:r w:rsidRPr="001274E2">
        <w:rPr>
          <w:rFonts w:cs="CIDFont+F1"/>
          <w:sz w:val="18"/>
          <w:szCs w:val="17"/>
        </w:rPr>
        <w:t>,</w:t>
      </w:r>
    </w:p>
    <w:p w14:paraId="441C484E" w14:textId="77777777" w:rsidR="00B110A0" w:rsidRDefault="00B110A0" w:rsidP="00023FA5">
      <w:pPr>
        <w:pStyle w:val="FootnoteText"/>
      </w:pPr>
      <w:r w:rsidRPr="001274E2">
        <w:rPr>
          <w:rFonts w:cs="CIDFont+F1"/>
          <w:szCs w:val="17"/>
        </w:rPr>
        <w:t>Available from: https://www.msaustralia.org.au/what-ms</w:t>
      </w:r>
    </w:p>
  </w:footnote>
  <w:footnote w:id="4">
    <w:p w14:paraId="0C0EA36B" w14:textId="77777777" w:rsidR="00B110A0" w:rsidRDefault="00B110A0" w:rsidP="00023FA5">
      <w:pPr>
        <w:autoSpaceDE w:val="0"/>
        <w:autoSpaceDN w:val="0"/>
        <w:adjustRightInd w:val="0"/>
        <w:spacing w:after="0"/>
      </w:pPr>
      <w:r>
        <w:rPr>
          <w:rStyle w:val="FootnoteReference"/>
        </w:rPr>
        <w:footnoteRef/>
      </w:r>
      <w:r>
        <w:t xml:space="preserve"> </w:t>
      </w:r>
      <w:r w:rsidRPr="009B50AE">
        <w:rPr>
          <w:rFonts w:cs="CIDFont+F1"/>
          <w:sz w:val="18"/>
          <w:szCs w:val="17"/>
        </w:rPr>
        <w:t>MS Australia (Internet). Key facts and figures about multiple sclerosis (updated September 2020). Accessed on 12 November 2021, Available from: https://www.msaustralia.org.au/about-ms/information-sheets</w:t>
      </w:r>
    </w:p>
  </w:footnote>
  <w:footnote w:id="5">
    <w:p w14:paraId="289FF380" w14:textId="77777777" w:rsidR="00B110A0" w:rsidRDefault="00B110A0" w:rsidP="00023FA5">
      <w:pPr>
        <w:pStyle w:val="FootnoteText"/>
      </w:pPr>
      <w:r>
        <w:rPr>
          <w:rStyle w:val="FootnoteReference"/>
        </w:rPr>
        <w:footnoteRef/>
      </w:r>
      <w:r>
        <w:t xml:space="preserve"> </w:t>
      </w:r>
      <w:r w:rsidRPr="009B50AE">
        <w:rPr>
          <w:rFonts w:cs="CIDFont+F1"/>
          <w:szCs w:val="17"/>
        </w:rPr>
        <w:t xml:space="preserve">MS Australia (Internet). </w:t>
      </w:r>
      <w:r>
        <w:rPr>
          <w:rFonts w:cs="CIDFont+F1"/>
          <w:szCs w:val="17"/>
        </w:rPr>
        <w:t>Understanding Multiple Sclerosis: A Brief Overview</w:t>
      </w:r>
      <w:r w:rsidRPr="009B50AE">
        <w:rPr>
          <w:rFonts w:cs="CIDFont+F1"/>
          <w:szCs w:val="17"/>
        </w:rPr>
        <w:t>. Accessed on 12 November 2021, Available from: https://www.msaustralia.org.au/about-ms/information-sheets</w:t>
      </w:r>
    </w:p>
  </w:footnote>
  <w:footnote w:id="6">
    <w:p w14:paraId="1B4D2EBF" w14:textId="77777777" w:rsidR="00B110A0" w:rsidRPr="008142B4" w:rsidRDefault="00B110A0" w:rsidP="00023FA5">
      <w:pPr>
        <w:pStyle w:val="FootnoteText"/>
        <w:rPr>
          <w:szCs w:val="18"/>
        </w:rPr>
      </w:pPr>
      <w:r w:rsidRPr="008142B4">
        <w:rPr>
          <w:rStyle w:val="FootnoteReference"/>
          <w:szCs w:val="18"/>
        </w:rPr>
        <w:footnoteRef/>
      </w:r>
      <w:r w:rsidRPr="008142B4">
        <w:rPr>
          <w:szCs w:val="18"/>
        </w:rPr>
        <w:t xml:space="preserve"> </w:t>
      </w:r>
      <w:r>
        <w:rPr>
          <w:szCs w:val="18"/>
        </w:rPr>
        <w:t>Mavenclad (cladribine). Australian Approved Product Information. Macquarie Park: Merck Healthcare Pty Ltd. Approved 9 September 2010, updated 3 May 2021. Available from &lt;</w:t>
      </w:r>
      <w:r w:rsidRPr="00CD4486">
        <w:t xml:space="preserve"> </w:t>
      </w:r>
      <w:r w:rsidRPr="00CD4486">
        <w:rPr>
          <w:szCs w:val="18"/>
        </w:rPr>
        <w:t>https://www.tga.gov.au/product-information-pi</w:t>
      </w:r>
      <w:r>
        <w:rPr>
          <w:szCs w:val="18"/>
        </w:rPr>
        <w:t>.&gt;</w:t>
      </w:r>
    </w:p>
  </w:footnote>
  <w:footnote w:id="7">
    <w:p w14:paraId="7B072688" w14:textId="77777777" w:rsidR="00B110A0" w:rsidRPr="00BC5AE2" w:rsidRDefault="00B110A0" w:rsidP="00023FA5">
      <w:pPr>
        <w:pStyle w:val="FootnoteText"/>
        <w:rPr>
          <w:sz w:val="20"/>
        </w:rPr>
      </w:pPr>
      <w:r w:rsidRPr="00BC5AE2">
        <w:rPr>
          <w:rStyle w:val="FootnoteReference"/>
          <w:sz w:val="20"/>
        </w:rPr>
        <w:footnoteRef/>
      </w:r>
      <w:r w:rsidRPr="00BC5AE2">
        <w:rPr>
          <w:sz w:val="20"/>
        </w:rPr>
        <w:t xml:space="preserve"> PBS statistics</w:t>
      </w:r>
      <w:r>
        <w:rPr>
          <w:sz w:val="20"/>
        </w:rPr>
        <w:t>. Australian Government Department of Human Services Medicare. Canberra. Available from &lt;</w:t>
      </w:r>
      <w:hyperlink r:id="rId1" w:history="1">
        <w:r>
          <w:rPr>
            <w:rStyle w:val="Hyperlink"/>
            <w:sz w:val="20"/>
          </w:rPr>
          <w:t>http://www.medicareaustralia.gov.au/provider/pbs/stats.jsp</w:t>
        </w:r>
      </w:hyperlink>
      <w:r>
        <w:rPr>
          <w:sz w:val="20"/>
        </w:rPr>
        <w:t>&gt;.</w:t>
      </w:r>
    </w:p>
  </w:footnote>
  <w:footnote w:id="8">
    <w:p w14:paraId="5C5E24BE" w14:textId="77777777" w:rsidR="00B110A0" w:rsidRPr="00A12789" w:rsidRDefault="00B110A0" w:rsidP="00023FA5">
      <w:pPr>
        <w:pStyle w:val="Default"/>
        <w:rPr>
          <w:rFonts w:asciiTheme="minorHAnsi" w:eastAsiaTheme="minorEastAsia" w:hAnsiTheme="minorHAnsi" w:cstheme="minorHAnsi"/>
          <w:sz w:val="18"/>
          <w:szCs w:val="18"/>
          <w:lang w:eastAsia="en-AU"/>
        </w:rPr>
      </w:pPr>
      <w:r w:rsidRPr="00B65F31">
        <w:rPr>
          <w:rStyle w:val="FootnoteReference"/>
          <w:sz w:val="18"/>
          <w:szCs w:val="18"/>
        </w:rPr>
        <w:footnoteRef/>
      </w:r>
      <w:r w:rsidRPr="00B65F31">
        <w:rPr>
          <w:sz w:val="22"/>
          <w:szCs w:val="22"/>
        </w:rPr>
        <w:t xml:space="preserve"> </w:t>
      </w:r>
      <w:r w:rsidRPr="00A12789">
        <w:rPr>
          <w:rFonts w:asciiTheme="minorHAnsi" w:hAnsiTheme="minorHAnsi" w:cstheme="minorHAnsi"/>
          <w:sz w:val="18"/>
          <w:szCs w:val="18"/>
        </w:rPr>
        <w:t>Hillen J, Ward M, Slee M, Standord T, Roughead E, Kalisch Ellett L, Pratt N. Utilisation of disease modifying treatment and diversity of treatment pathways in relapsing remitting multiple sclerosis. Multiple Sclerosis and Related Di</w:t>
      </w:r>
      <w:r>
        <w:rPr>
          <w:rFonts w:asciiTheme="minorHAnsi" w:hAnsiTheme="minorHAnsi" w:cstheme="minorHAnsi"/>
          <w:sz w:val="18"/>
          <w:szCs w:val="18"/>
        </w:rPr>
        <w:t>sorders (2022)</w:t>
      </w:r>
      <w:r w:rsidRPr="00A12789">
        <w:rPr>
          <w:rFonts w:asciiTheme="minorHAnsi" w:hAnsiTheme="minorHAnsi" w:cstheme="minorHAnsi"/>
          <w:sz w:val="18"/>
          <w:szCs w:val="18"/>
        </w:rPr>
        <w:t xml:space="preserve"> https://doi.org/10.1016/j.msard.2021.103412</w:t>
      </w:r>
    </w:p>
  </w:footnote>
  <w:footnote w:id="9">
    <w:p w14:paraId="22B4783F" w14:textId="77777777" w:rsidR="00B110A0" w:rsidRDefault="00B110A0" w:rsidP="00023FA5">
      <w:pPr>
        <w:pStyle w:val="FootnoteText"/>
      </w:pPr>
      <w:r>
        <w:rPr>
          <w:rStyle w:val="FootnoteReference"/>
        </w:rPr>
        <w:footnoteRef/>
      </w:r>
      <w:r>
        <w:t xml:space="preserve"> Simonsen C.S, Flemmen H.O, Broch L, Brunborg C, Berg-Hansen P, Moen S.M et al. Early High Efficacy Treatment in Multiple Sclerosis is the best predictor of future disease activity over 1 and 2 years in a Norwegian population-based registry. Frontiers in Neurology (2021). doi: 10.3389/fneur.2021.693017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B2FF3" w14:textId="77777777" w:rsidR="00FF0FD6" w:rsidRDefault="00FF0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EC31C" w14:textId="77777777" w:rsidR="00FF0FD6" w:rsidRDefault="00FF0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E65CA" w14:textId="77777777" w:rsidR="00FF0FD6" w:rsidRDefault="00FF0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93BE9"/>
    <w:multiLevelType w:val="multilevel"/>
    <w:tmpl w:val="55AA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8A1B1B"/>
    <w:multiLevelType w:val="hybridMultilevel"/>
    <w:tmpl w:val="11EE3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360D5A"/>
    <w:multiLevelType w:val="multilevel"/>
    <w:tmpl w:val="EE6AF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2924D5"/>
    <w:multiLevelType w:val="multilevel"/>
    <w:tmpl w:val="6C101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0B45FD"/>
    <w:multiLevelType w:val="hybridMultilevel"/>
    <w:tmpl w:val="7FA8B7D8"/>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5" w15:restartNumberingAfterBreak="0">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1379D7"/>
    <w:multiLevelType w:val="hybridMultilevel"/>
    <w:tmpl w:val="FCF4D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1E10B5"/>
    <w:multiLevelType w:val="hybridMultilevel"/>
    <w:tmpl w:val="60A89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15A7FE2"/>
    <w:multiLevelType w:val="multilevel"/>
    <w:tmpl w:val="BE6E2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DF0178"/>
    <w:multiLevelType w:val="hybridMultilevel"/>
    <w:tmpl w:val="2C7608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6EA656C"/>
    <w:multiLevelType w:val="multilevel"/>
    <w:tmpl w:val="768C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712E95"/>
    <w:multiLevelType w:val="hybridMultilevel"/>
    <w:tmpl w:val="39D86B3C"/>
    <w:lvl w:ilvl="0" w:tplc="F6A6FC50">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F20EF8"/>
    <w:multiLevelType w:val="hybridMultilevel"/>
    <w:tmpl w:val="DECA7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3919DE"/>
    <w:multiLevelType w:val="multilevel"/>
    <w:tmpl w:val="F8E65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5E2424"/>
    <w:multiLevelType w:val="multilevel"/>
    <w:tmpl w:val="4B96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C30787"/>
    <w:multiLevelType w:val="hybridMultilevel"/>
    <w:tmpl w:val="D02CB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AC14AE"/>
    <w:multiLevelType w:val="hybridMultilevel"/>
    <w:tmpl w:val="255A6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776C7E"/>
    <w:multiLevelType w:val="hybridMultilevel"/>
    <w:tmpl w:val="D1346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3270E2"/>
    <w:multiLevelType w:val="multilevel"/>
    <w:tmpl w:val="C8865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365F6B"/>
    <w:multiLevelType w:val="hybridMultilevel"/>
    <w:tmpl w:val="453A3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A5E65A0"/>
    <w:multiLevelType w:val="hybridMultilevel"/>
    <w:tmpl w:val="D0169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CB6544C"/>
    <w:multiLevelType w:val="multilevel"/>
    <w:tmpl w:val="411E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D1009C"/>
    <w:multiLevelType w:val="multilevel"/>
    <w:tmpl w:val="232C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84D757A"/>
    <w:multiLevelType w:val="hybridMultilevel"/>
    <w:tmpl w:val="ABC2A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8D13F89"/>
    <w:multiLevelType w:val="multilevel"/>
    <w:tmpl w:val="3236C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E6274D"/>
    <w:multiLevelType w:val="hybridMultilevel"/>
    <w:tmpl w:val="B978AB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E4D2F3D"/>
    <w:multiLevelType w:val="hybridMultilevel"/>
    <w:tmpl w:val="07906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20"/>
  </w:num>
  <w:num w:numId="3">
    <w:abstractNumId w:val="5"/>
  </w:num>
  <w:num w:numId="4">
    <w:abstractNumId w:val="4"/>
  </w:num>
  <w:num w:numId="5">
    <w:abstractNumId w:val="11"/>
  </w:num>
  <w:num w:numId="6">
    <w:abstractNumId w:val="9"/>
  </w:num>
  <w:num w:numId="7">
    <w:abstractNumId w:val="23"/>
  </w:num>
  <w:num w:numId="8">
    <w:abstractNumId w:val="26"/>
  </w:num>
  <w:num w:numId="9">
    <w:abstractNumId w:val="14"/>
  </w:num>
  <w:num w:numId="10">
    <w:abstractNumId w:val="22"/>
  </w:num>
  <w:num w:numId="11">
    <w:abstractNumId w:val="3"/>
  </w:num>
  <w:num w:numId="12">
    <w:abstractNumId w:val="8"/>
  </w:num>
  <w:num w:numId="13">
    <w:abstractNumId w:val="18"/>
  </w:num>
  <w:num w:numId="14">
    <w:abstractNumId w:val="10"/>
  </w:num>
  <w:num w:numId="15">
    <w:abstractNumId w:val="13"/>
  </w:num>
  <w:num w:numId="16">
    <w:abstractNumId w:val="0"/>
  </w:num>
  <w:num w:numId="17">
    <w:abstractNumId w:val="2"/>
  </w:num>
  <w:num w:numId="18">
    <w:abstractNumId w:val="12"/>
  </w:num>
  <w:num w:numId="19">
    <w:abstractNumId w:val="7"/>
  </w:num>
  <w:num w:numId="20">
    <w:abstractNumId w:val="28"/>
  </w:num>
  <w:num w:numId="21">
    <w:abstractNumId w:val="15"/>
  </w:num>
  <w:num w:numId="22">
    <w:abstractNumId w:val="6"/>
  </w:num>
  <w:num w:numId="23">
    <w:abstractNumId w:val="19"/>
  </w:num>
  <w:num w:numId="24">
    <w:abstractNumId w:val="1"/>
  </w:num>
  <w:num w:numId="25">
    <w:abstractNumId w:val="16"/>
  </w:num>
  <w:num w:numId="26">
    <w:abstractNumId w:val="17"/>
  </w:num>
  <w:num w:numId="27">
    <w:abstractNumId w:val="27"/>
  </w:num>
  <w:num w:numId="28">
    <w:abstractNumId w:val="25"/>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041"/>
    <w:rsid w:val="00007E85"/>
    <w:rsid w:val="00013465"/>
    <w:rsid w:val="000226B3"/>
    <w:rsid w:val="00023FA5"/>
    <w:rsid w:val="00024549"/>
    <w:rsid w:val="00027041"/>
    <w:rsid w:val="00045D39"/>
    <w:rsid w:val="000544B6"/>
    <w:rsid w:val="000604AF"/>
    <w:rsid w:val="00086C11"/>
    <w:rsid w:val="00094DCF"/>
    <w:rsid w:val="000A6CFD"/>
    <w:rsid w:val="000B0982"/>
    <w:rsid w:val="000B796C"/>
    <w:rsid w:val="000C46BB"/>
    <w:rsid w:val="000C4D9D"/>
    <w:rsid w:val="000C7C4B"/>
    <w:rsid w:val="000C7D8B"/>
    <w:rsid w:val="000E485D"/>
    <w:rsid w:val="000E72C6"/>
    <w:rsid w:val="000F1893"/>
    <w:rsid w:val="000F2F51"/>
    <w:rsid w:val="00113CF8"/>
    <w:rsid w:val="00113D74"/>
    <w:rsid w:val="00117C5C"/>
    <w:rsid w:val="001310AE"/>
    <w:rsid w:val="001420B3"/>
    <w:rsid w:val="001460C4"/>
    <w:rsid w:val="0015691C"/>
    <w:rsid w:val="001621F7"/>
    <w:rsid w:val="001624D7"/>
    <w:rsid w:val="00177B86"/>
    <w:rsid w:val="00182585"/>
    <w:rsid w:val="00191182"/>
    <w:rsid w:val="0019664D"/>
    <w:rsid w:val="001A6103"/>
    <w:rsid w:val="001B5D37"/>
    <w:rsid w:val="001C2940"/>
    <w:rsid w:val="001C4016"/>
    <w:rsid w:val="001C548D"/>
    <w:rsid w:val="001C6A5D"/>
    <w:rsid w:val="001E31A6"/>
    <w:rsid w:val="001E42C7"/>
    <w:rsid w:val="001E4CAB"/>
    <w:rsid w:val="001E75BE"/>
    <w:rsid w:val="001F0A4E"/>
    <w:rsid w:val="001F2F3E"/>
    <w:rsid w:val="001F4906"/>
    <w:rsid w:val="001F7C4A"/>
    <w:rsid w:val="0020578A"/>
    <w:rsid w:val="00207631"/>
    <w:rsid w:val="00214013"/>
    <w:rsid w:val="00220FC1"/>
    <w:rsid w:val="00222E9A"/>
    <w:rsid w:val="0023179D"/>
    <w:rsid w:val="0025389D"/>
    <w:rsid w:val="00254E02"/>
    <w:rsid w:val="0026265F"/>
    <w:rsid w:val="002818C2"/>
    <w:rsid w:val="00286C3A"/>
    <w:rsid w:val="002930F5"/>
    <w:rsid w:val="002A06B7"/>
    <w:rsid w:val="002C6861"/>
    <w:rsid w:val="002C6E0C"/>
    <w:rsid w:val="002D144A"/>
    <w:rsid w:val="002E19A3"/>
    <w:rsid w:val="002E212B"/>
    <w:rsid w:val="002E3337"/>
    <w:rsid w:val="002E6D03"/>
    <w:rsid w:val="002F49A8"/>
    <w:rsid w:val="002F5E66"/>
    <w:rsid w:val="002F61CA"/>
    <w:rsid w:val="0030010D"/>
    <w:rsid w:val="00306DEC"/>
    <w:rsid w:val="00326C10"/>
    <w:rsid w:val="0033504C"/>
    <w:rsid w:val="00336816"/>
    <w:rsid w:val="003370D0"/>
    <w:rsid w:val="00337355"/>
    <w:rsid w:val="003402E4"/>
    <w:rsid w:val="00340F95"/>
    <w:rsid w:val="0034679F"/>
    <w:rsid w:val="003531ED"/>
    <w:rsid w:val="00360B9A"/>
    <w:rsid w:val="0039017F"/>
    <w:rsid w:val="00390E10"/>
    <w:rsid w:val="00394AEE"/>
    <w:rsid w:val="003C2D98"/>
    <w:rsid w:val="003C6AAA"/>
    <w:rsid w:val="003D3A96"/>
    <w:rsid w:val="003D3B9C"/>
    <w:rsid w:val="00404F03"/>
    <w:rsid w:val="00412051"/>
    <w:rsid w:val="00423B94"/>
    <w:rsid w:val="00463731"/>
    <w:rsid w:val="0046400A"/>
    <w:rsid w:val="00467B25"/>
    <w:rsid w:val="00481108"/>
    <w:rsid w:val="0049042B"/>
    <w:rsid w:val="00494D92"/>
    <w:rsid w:val="00495473"/>
    <w:rsid w:val="004A458E"/>
    <w:rsid w:val="004B23E7"/>
    <w:rsid w:val="004B306F"/>
    <w:rsid w:val="004C3186"/>
    <w:rsid w:val="004C5042"/>
    <w:rsid w:val="004D491A"/>
    <w:rsid w:val="004D7D91"/>
    <w:rsid w:val="004E4422"/>
    <w:rsid w:val="00503998"/>
    <w:rsid w:val="0050623B"/>
    <w:rsid w:val="00523181"/>
    <w:rsid w:val="00524D13"/>
    <w:rsid w:val="005339F6"/>
    <w:rsid w:val="00576B18"/>
    <w:rsid w:val="00587724"/>
    <w:rsid w:val="00591512"/>
    <w:rsid w:val="005B2D91"/>
    <w:rsid w:val="005B48B4"/>
    <w:rsid w:val="005C35A6"/>
    <w:rsid w:val="005C6661"/>
    <w:rsid w:val="005C6E3B"/>
    <w:rsid w:val="005D474B"/>
    <w:rsid w:val="005E085C"/>
    <w:rsid w:val="005E147D"/>
    <w:rsid w:val="005E22C2"/>
    <w:rsid w:val="005E47C1"/>
    <w:rsid w:val="005E57BB"/>
    <w:rsid w:val="005F0017"/>
    <w:rsid w:val="006014F1"/>
    <w:rsid w:val="0061357B"/>
    <w:rsid w:val="00614A7D"/>
    <w:rsid w:val="0063631C"/>
    <w:rsid w:val="0063757B"/>
    <w:rsid w:val="006377CE"/>
    <w:rsid w:val="00644A6C"/>
    <w:rsid w:val="006537D9"/>
    <w:rsid w:val="0065715F"/>
    <w:rsid w:val="00664A48"/>
    <w:rsid w:val="00665DEF"/>
    <w:rsid w:val="00675BB1"/>
    <w:rsid w:val="006775F1"/>
    <w:rsid w:val="00681B32"/>
    <w:rsid w:val="00692AA7"/>
    <w:rsid w:val="00697FEC"/>
    <w:rsid w:val="006A175F"/>
    <w:rsid w:val="006A44F5"/>
    <w:rsid w:val="006B4537"/>
    <w:rsid w:val="006B552E"/>
    <w:rsid w:val="006B5F85"/>
    <w:rsid w:val="006B6929"/>
    <w:rsid w:val="006B709B"/>
    <w:rsid w:val="006C54AF"/>
    <w:rsid w:val="006E0181"/>
    <w:rsid w:val="00700C0E"/>
    <w:rsid w:val="00705DAD"/>
    <w:rsid w:val="00705E98"/>
    <w:rsid w:val="007247B9"/>
    <w:rsid w:val="00727D85"/>
    <w:rsid w:val="007346C7"/>
    <w:rsid w:val="00735ECA"/>
    <w:rsid w:val="00736041"/>
    <w:rsid w:val="007408C7"/>
    <w:rsid w:val="007465DA"/>
    <w:rsid w:val="00752C7F"/>
    <w:rsid w:val="00776598"/>
    <w:rsid w:val="0078365A"/>
    <w:rsid w:val="00792948"/>
    <w:rsid w:val="00796E84"/>
    <w:rsid w:val="007A3ADE"/>
    <w:rsid w:val="007A5733"/>
    <w:rsid w:val="007A5774"/>
    <w:rsid w:val="00801E74"/>
    <w:rsid w:val="0080485E"/>
    <w:rsid w:val="008142B4"/>
    <w:rsid w:val="00832324"/>
    <w:rsid w:val="00835337"/>
    <w:rsid w:val="00846DCD"/>
    <w:rsid w:val="00851D85"/>
    <w:rsid w:val="00860CCB"/>
    <w:rsid w:val="008740A3"/>
    <w:rsid w:val="0089297B"/>
    <w:rsid w:val="008C36CA"/>
    <w:rsid w:val="008E3F8C"/>
    <w:rsid w:val="00902FD0"/>
    <w:rsid w:val="009053D3"/>
    <w:rsid w:val="0090691F"/>
    <w:rsid w:val="00924B61"/>
    <w:rsid w:val="0093111F"/>
    <w:rsid w:val="00935689"/>
    <w:rsid w:val="0095303B"/>
    <w:rsid w:val="009663B6"/>
    <w:rsid w:val="00974A47"/>
    <w:rsid w:val="00980286"/>
    <w:rsid w:val="00990DCF"/>
    <w:rsid w:val="009A4CD6"/>
    <w:rsid w:val="009A537C"/>
    <w:rsid w:val="009C0886"/>
    <w:rsid w:val="009C19EE"/>
    <w:rsid w:val="009C28D0"/>
    <w:rsid w:val="009C35F2"/>
    <w:rsid w:val="009C7782"/>
    <w:rsid w:val="009D1ED5"/>
    <w:rsid w:val="009D4C13"/>
    <w:rsid w:val="009E21A7"/>
    <w:rsid w:val="009E58C4"/>
    <w:rsid w:val="00A103ED"/>
    <w:rsid w:val="00A13C60"/>
    <w:rsid w:val="00A15134"/>
    <w:rsid w:val="00A341A3"/>
    <w:rsid w:val="00A35800"/>
    <w:rsid w:val="00A51C7A"/>
    <w:rsid w:val="00A52918"/>
    <w:rsid w:val="00A547B3"/>
    <w:rsid w:val="00A70E82"/>
    <w:rsid w:val="00A84B1A"/>
    <w:rsid w:val="00A84CAD"/>
    <w:rsid w:val="00A90E50"/>
    <w:rsid w:val="00A95FA5"/>
    <w:rsid w:val="00A96D92"/>
    <w:rsid w:val="00AB199C"/>
    <w:rsid w:val="00AB3733"/>
    <w:rsid w:val="00AB588C"/>
    <w:rsid w:val="00AB7897"/>
    <w:rsid w:val="00AC5054"/>
    <w:rsid w:val="00AE4BAC"/>
    <w:rsid w:val="00AE6BE6"/>
    <w:rsid w:val="00B034FC"/>
    <w:rsid w:val="00B05310"/>
    <w:rsid w:val="00B10A0B"/>
    <w:rsid w:val="00B110A0"/>
    <w:rsid w:val="00B30D85"/>
    <w:rsid w:val="00B35A4A"/>
    <w:rsid w:val="00B453CF"/>
    <w:rsid w:val="00B63FD7"/>
    <w:rsid w:val="00B65F31"/>
    <w:rsid w:val="00B816D9"/>
    <w:rsid w:val="00B9120F"/>
    <w:rsid w:val="00B9216C"/>
    <w:rsid w:val="00B924A4"/>
    <w:rsid w:val="00BB0D1A"/>
    <w:rsid w:val="00BB1D3B"/>
    <w:rsid w:val="00BC35ED"/>
    <w:rsid w:val="00BE205A"/>
    <w:rsid w:val="00BE3802"/>
    <w:rsid w:val="00BF12BE"/>
    <w:rsid w:val="00BF238E"/>
    <w:rsid w:val="00BF2F4A"/>
    <w:rsid w:val="00BF544D"/>
    <w:rsid w:val="00C0076F"/>
    <w:rsid w:val="00C0301C"/>
    <w:rsid w:val="00C050B6"/>
    <w:rsid w:val="00C10F12"/>
    <w:rsid w:val="00C245EA"/>
    <w:rsid w:val="00C256F6"/>
    <w:rsid w:val="00C3097E"/>
    <w:rsid w:val="00C35ECC"/>
    <w:rsid w:val="00C361A8"/>
    <w:rsid w:val="00C41246"/>
    <w:rsid w:val="00C42C2E"/>
    <w:rsid w:val="00C45E5F"/>
    <w:rsid w:val="00C46291"/>
    <w:rsid w:val="00C57112"/>
    <w:rsid w:val="00C63412"/>
    <w:rsid w:val="00C714D0"/>
    <w:rsid w:val="00C77640"/>
    <w:rsid w:val="00C8775C"/>
    <w:rsid w:val="00C90ABA"/>
    <w:rsid w:val="00C90EF4"/>
    <w:rsid w:val="00CA015A"/>
    <w:rsid w:val="00CB389C"/>
    <w:rsid w:val="00CC1AA3"/>
    <w:rsid w:val="00CD1FF7"/>
    <w:rsid w:val="00CD4486"/>
    <w:rsid w:val="00CF5E22"/>
    <w:rsid w:val="00D06A44"/>
    <w:rsid w:val="00D151EB"/>
    <w:rsid w:val="00D300E0"/>
    <w:rsid w:val="00D374CD"/>
    <w:rsid w:val="00D650CE"/>
    <w:rsid w:val="00D71719"/>
    <w:rsid w:val="00D776DA"/>
    <w:rsid w:val="00D86C66"/>
    <w:rsid w:val="00D8758B"/>
    <w:rsid w:val="00D942B3"/>
    <w:rsid w:val="00D94863"/>
    <w:rsid w:val="00DA0981"/>
    <w:rsid w:val="00DA1687"/>
    <w:rsid w:val="00DA7D09"/>
    <w:rsid w:val="00DC2630"/>
    <w:rsid w:val="00DC49E9"/>
    <w:rsid w:val="00DC55E4"/>
    <w:rsid w:val="00DC7D71"/>
    <w:rsid w:val="00DD188C"/>
    <w:rsid w:val="00DD29A3"/>
    <w:rsid w:val="00DD48EE"/>
    <w:rsid w:val="00DE0B96"/>
    <w:rsid w:val="00DE10B9"/>
    <w:rsid w:val="00DF043D"/>
    <w:rsid w:val="00DF0B13"/>
    <w:rsid w:val="00DF2EB8"/>
    <w:rsid w:val="00DF4A94"/>
    <w:rsid w:val="00DF6003"/>
    <w:rsid w:val="00E00095"/>
    <w:rsid w:val="00E066C3"/>
    <w:rsid w:val="00E10D8C"/>
    <w:rsid w:val="00E1353A"/>
    <w:rsid w:val="00E1564B"/>
    <w:rsid w:val="00E208A0"/>
    <w:rsid w:val="00E25B49"/>
    <w:rsid w:val="00E371EA"/>
    <w:rsid w:val="00E40ACD"/>
    <w:rsid w:val="00E64429"/>
    <w:rsid w:val="00E677DD"/>
    <w:rsid w:val="00E7594B"/>
    <w:rsid w:val="00EB4688"/>
    <w:rsid w:val="00EB6C07"/>
    <w:rsid w:val="00EC028D"/>
    <w:rsid w:val="00ED633B"/>
    <w:rsid w:val="00EE2BBB"/>
    <w:rsid w:val="00EE478C"/>
    <w:rsid w:val="00F03F2F"/>
    <w:rsid w:val="00F1132C"/>
    <w:rsid w:val="00F11F84"/>
    <w:rsid w:val="00F15DD5"/>
    <w:rsid w:val="00F17D4B"/>
    <w:rsid w:val="00F23139"/>
    <w:rsid w:val="00F66CD5"/>
    <w:rsid w:val="00F67A9A"/>
    <w:rsid w:val="00F70F4E"/>
    <w:rsid w:val="00F73113"/>
    <w:rsid w:val="00F75FC4"/>
    <w:rsid w:val="00F85981"/>
    <w:rsid w:val="00F87263"/>
    <w:rsid w:val="00F93725"/>
    <w:rsid w:val="00FA1BA3"/>
    <w:rsid w:val="00FA4890"/>
    <w:rsid w:val="00FB77FA"/>
    <w:rsid w:val="00FC3C70"/>
    <w:rsid w:val="00FC4A73"/>
    <w:rsid w:val="00FC559C"/>
    <w:rsid w:val="00FC7F0D"/>
    <w:rsid w:val="00FE645A"/>
    <w:rsid w:val="00FF0FD6"/>
    <w:rsid w:val="00FF61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C01F9B"/>
  <w15:docId w15:val="{7B12D9AF-EC66-4B44-B56B-9AA4AF46B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3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unhideWhenUsed/>
    <w:rsid w:val="008142B4"/>
    <w:pPr>
      <w:spacing w:after="0"/>
    </w:pPr>
    <w:rPr>
      <w:sz w:val="18"/>
      <w:szCs w:val="20"/>
    </w:rPr>
  </w:style>
  <w:style w:type="character" w:customStyle="1" w:styleId="FootnoteTextChar">
    <w:name w:val="Footnote Text Char"/>
    <w:basedOn w:val="DefaultParagraphFont"/>
    <w:link w:val="FootnoteText"/>
    <w:uiPriority w:val="99"/>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aliases w:val="Table Legend,BulletPoints,Numbered para,#List Paragraph,Recommendation,List Paragraph1,List Paragraph11,L,Bullet Level 1,Bullet Point,Bullet point,Bulletr List Paragraph,Content descriptions,FooterText,List Bullet 1,List Paragraph2,列"/>
    <w:basedOn w:val="Normal"/>
    <w:link w:val="ListParagraphChar"/>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paragraph" w:styleId="Caption">
    <w:name w:val="caption"/>
    <w:basedOn w:val="Normal"/>
    <w:next w:val="Normal"/>
    <w:uiPriority w:val="35"/>
    <w:unhideWhenUsed/>
    <w:qFormat/>
    <w:rsid w:val="00705E98"/>
    <w:rPr>
      <w:i/>
      <w:iCs/>
      <w:color w:val="1F497D" w:themeColor="text2"/>
      <w:sz w:val="18"/>
      <w:szCs w:val="18"/>
    </w:rPr>
  </w:style>
  <w:style w:type="character" w:customStyle="1" w:styleId="form-strength">
    <w:name w:val="form-strength"/>
    <w:basedOn w:val="DefaultParagraphFont"/>
    <w:rsid w:val="00023FA5"/>
  </w:style>
  <w:style w:type="paragraph" w:styleId="NormalWeb">
    <w:name w:val="Normal (Web)"/>
    <w:basedOn w:val="Normal"/>
    <w:uiPriority w:val="99"/>
    <w:semiHidden/>
    <w:unhideWhenUsed/>
    <w:rsid w:val="00023FA5"/>
    <w:pPr>
      <w:spacing w:before="100" w:beforeAutospacing="1" w:after="100" w:afterAutospacing="1"/>
    </w:pPr>
    <w:rPr>
      <w:rFonts w:ascii="Times New Roman" w:eastAsia="Times New Roman" w:hAnsi="Times New Roman" w:cs="Times New Roman"/>
    </w:rPr>
  </w:style>
  <w:style w:type="character" w:customStyle="1" w:styleId="ListParagraphChar">
    <w:name w:val="List Paragraph Char"/>
    <w:aliases w:val="Table Legend Char,BulletPoints Char,Numbered para Char,#List Paragraph Char,Recommendation Char,List Paragraph1 Char,List Paragraph11 Char,L Char,Bullet Level 1 Char,Bullet Point Char,Bullet point Char,Bulletr List Paragraph Char"/>
    <w:link w:val="ListParagraph"/>
    <w:uiPriority w:val="34"/>
    <w:rsid w:val="00023F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56926">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905071399">
      <w:bodyDiv w:val="1"/>
      <w:marLeft w:val="0"/>
      <w:marRight w:val="0"/>
      <w:marTop w:val="0"/>
      <w:marBottom w:val="0"/>
      <w:divBdr>
        <w:top w:val="none" w:sz="0" w:space="0" w:color="auto"/>
        <w:left w:val="none" w:sz="0" w:space="0" w:color="auto"/>
        <w:bottom w:val="none" w:sz="0" w:space="0" w:color="auto"/>
        <w:right w:val="none" w:sz="0" w:space="0" w:color="auto"/>
      </w:divBdr>
    </w:div>
    <w:div w:id="959804766">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59154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ga.gov.au/hp/information-medicines-pi.htm" TargetMode="External"/><Relationship Id="rId13" Type="http://schemas.openxmlformats.org/officeDocument/2006/relationships/hyperlink" Target="https://www.pbs.gov.au/pbs/industry/listing/elements/pbac-meetings/psd/2017-11/cladribine-psd-november-2017" TargetMode="External"/><Relationship Id="rId18" Type="http://schemas.openxmlformats.org/officeDocument/2006/relationships/hyperlink" Target="https://www.pbs.gov.au/pbs/industry/listing/participants/public-release-docs/2020-02/alemtuzumab-for-relapsing-remitting-multiple-sclerosis" TargetMode="External"/><Relationship Id="rId26" Type="http://schemas.openxmlformats.org/officeDocument/2006/relationships/chart" Target="charts/chart7.xm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hyperlink" Target="https://www.pbs.gov.au/pbs/industry/listing/elements/pbac-meetings/psd/2020-07/ocrelizumab-solution-concentrate-for-iv-infusion-300-mg" TargetMode="External"/><Relationship Id="rId42" Type="http://schemas.openxmlformats.org/officeDocument/2006/relationships/header" Target="header3.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bs.gov.au/info/industry/listing/elements/pbac-meetings/psd/2011-03/pbac-psd-cladribine-march11" TargetMode="External"/><Relationship Id="rId17" Type="http://schemas.openxmlformats.org/officeDocument/2006/relationships/hyperlink" Target="http://www.pbs.gov.au/info/industry/listing/participants/public-release-docs/2015-10/multiple-sclerosis-dusc-prd-2015-10-abstract" TargetMode="External"/><Relationship Id="rId25" Type="http://schemas.openxmlformats.org/officeDocument/2006/relationships/chart" Target="charts/chart6.xml"/><Relationship Id="rId33" Type="http://schemas.openxmlformats.org/officeDocument/2006/relationships/hyperlink" Target="https://www.pbs.gov.au/pbs/industry/listing/elements/pbac-meetings/psd/2017-11/ocrelizumab-psd-november-2017" TargetMode="External"/><Relationship Id="rId38" Type="http://schemas.openxmlformats.org/officeDocument/2006/relationships/header" Target="header1.xml"/><Relationship Id="rId46"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pbs.gov.au/industry/listing/elements/dusc-meetings/dos/dusc-dos-jun-2013.pdf" TargetMode="External"/><Relationship Id="rId20" Type="http://schemas.openxmlformats.org/officeDocument/2006/relationships/chart" Target="charts/chart1.xml"/><Relationship Id="rId29" Type="http://schemas.openxmlformats.org/officeDocument/2006/relationships/image" Target="media/image1.pn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entral.health\DFSGroupData\Sites\CO1\CO\PBD\PEB\EVAL\DUSC\DUSC%20Documents\Predicted%20vs%20actual%20usage\pbs.gov.au" TargetMode="External"/><Relationship Id="rId24" Type="http://schemas.openxmlformats.org/officeDocument/2006/relationships/chart" Target="charts/chart5.xml"/><Relationship Id="rId32" Type="http://schemas.openxmlformats.org/officeDocument/2006/relationships/hyperlink" Target="https://www.pbs.gov.au/pbs/industry/listing/elements/pbac-meetings/psd/2020-07/siponimod-tablet-250-micrograms-tablet-2-mg-mayzent" TargetMode="External"/><Relationship Id="rId37" Type="http://schemas.openxmlformats.org/officeDocument/2006/relationships/hyperlink" Target="http://www.medicareaustralia.gov.au/provider/pbs/stats.jsp" TargetMode="External"/><Relationship Id="rId40" Type="http://schemas.openxmlformats.org/officeDocument/2006/relationships/footer" Target="footer1.xml"/><Relationship Id="rId45"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pbs.gov.au/pbs/industry/listing/elements/pbac-meetings/psd/2018-03/Cladribine-psd-march-2018" TargetMode="External"/><Relationship Id="rId23" Type="http://schemas.openxmlformats.org/officeDocument/2006/relationships/chart" Target="charts/chart4.xml"/><Relationship Id="rId28" Type="http://schemas.openxmlformats.org/officeDocument/2006/relationships/chart" Target="charts/chart9.xml"/><Relationship Id="rId36" Type="http://schemas.openxmlformats.org/officeDocument/2006/relationships/hyperlink" Target="https://www.msaustralia.org.au/about-ms/information-sheets" TargetMode="External"/><Relationship Id="rId10" Type="http://schemas.openxmlformats.org/officeDocument/2006/relationships/hyperlink" Target="http://www.pbs.gov.au/pbs/home" TargetMode="External"/><Relationship Id="rId19" Type="http://schemas.openxmlformats.org/officeDocument/2006/relationships/hyperlink" Target="https://www.pbs.gov.au/pbs/industry/listing/participants/public-release-docs/2020-10/ocrelizumab-for-relapsing-remitting-multiple-sclerosis-octo" TargetMode="External"/><Relationship Id="rId31" Type="http://schemas.openxmlformats.org/officeDocument/2006/relationships/hyperlink" Target="https://www.pbs.gov.au/pbs/industry/listing/elements/pbac-meetings/psd/2019-11/siponimod-tablet-250-micrograms-tablet-2-mg-mayzent"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tga.gov.au/consumers/information-medicines-cmi.htm" TargetMode="External"/><Relationship Id="rId14" Type="http://schemas.openxmlformats.org/officeDocument/2006/relationships/hyperlink" Target="https://www.pbs.gov.au/pbs/industry/listing/elements/pbac-meetings/psd/2018-03/Cladribine-psd-march-2018" TargetMode="External"/><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chart" Target="charts/chart10.xml"/><Relationship Id="rId35" Type="http://schemas.openxmlformats.org/officeDocument/2006/relationships/hyperlink" Target="https://www.tga.gov.au/product-information-pi" TargetMode="External"/><Relationship Id="rId43" Type="http://schemas.openxmlformats.org/officeDocument/2006/relationships/footer" Target="footer3.xm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edicareaustralia.gov.au/provider/pbs/stats.jsp"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entral.health\dfsuserenv\Users\User_04\HOMONI\Desktop\Multiple%20scelrosis\rrms%20review.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entral.health\dfsuserenv\Users\User_04\HOMONI\Desktop\Multiple%20scelrosis\rrms%20review.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entral.health\dfsuserenv\Users\User_04\HOMONI\Desktop\Multiple%20scelrosis\rrms%20review.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entral.health\dfsuserenv\Users\User_04\HOMONI\Desktop\Multiple%20scelrosis\rrms%20review.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entral.health\dfsuserenv\Users\User_04\HOMONI\Desktop\Multiple%20scelrosis\rrms%20review.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entral.health\dfsuserenv\Users\User_04\HOMONI\Desktop\Multiple%20scelrosis\rrms%20review.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[rrms review.xlsx]all!PivotTable2</c:name>
    <c:fmtId val="-1"/>
  </c:pivotSource>
  <c:chart>
    <c:autoTitleDeleted val="1"/>
    <c:pivotFmts>
      <c:pivotFmt>
        <c:idx val="0"/>
        <c:spPr>
          <a:solidFill>
            <a:schemeClr val="accent1"/>
          </a:solidFill>
          <a:ln w="28575" cap="rnd">
            <a:solidFill>
              <a:schemeClr val="accent1"/>
            </a:solidFill>
            <a:round/>
          </a:ln>
          <a:effectLst/>
        </c:spPr>
        <c:marker>
          <c:symbol val="none"/>
        </c:marker>
      </c:pivotFmt>
      <c:pivotFmt>
        <c:idx val="1"/>
        <c:spPr>
          <a:solidFill>
            <a:schemeClr val="accent1"/>
          </a:solidFill>
          <a:ln w="28575" cap="rnd">
            <a:solidFill>
              <a:schemeClr val="accent1"/>
            </a:solidFill>
            <a:round/>
          </a:ln>
          <a:effectLst/>
        </c:spPr>
        <c:marker>
          <c:symbol val="none"/>
        </c:marker>
      </c:pivotFmt>
      <c:pivotFmt>
        <c:idx val="2"/>
        <c:spPr>
          <a:solidFill>
            <a:schemeClr val="accent1"/>
          </a:solidFill>
          <a:ln w="28575" cap="rnd">
            <a:solidFill>
              <a:schemeClr val="accent1"/>
            </a:solidFill>
            <a:round/>
          </a:ln>
          <a:effectLst/>
        </c:spPr>
        <c:marker>
          <c:symbol val="none"/>
        </c:marker>
      </c:pivotFmt>
    </c:pivotFmts>
    <c:plotArea>
      <c:layout/>
      <c:lineChart>
        <c:grouping val="standard"/>
        <c:varyColors val="0"/>
        <c:ser>
          <c:idx val="0"/>
          <c:order val="0"/>
          <c:tx>
            <c:strRef>
              <c:f>all!$T$1</c:f>
              <c:strCache>
                <c:ptCount val="1"/>
                <c:pt idx="0">
                  <c:v>Total</c:v>
                </c:pt>
              </c:strCache>
            </c:strRef>
          </c:tx>
          <c:spPr>
            <a:ln w="28575" cap="rnd">
              <a:solidFill>
                <a:schemeClr val="accent1"/>
              </a:solidFill>
              <a:round/>
            </a:ln>
            <a:effectLst/>
          </c:spPr>
          <c:marker>
            <c:symbol val="none"/>
          </c:marker>
          <c:cat>
            <c:strRef>
              <c:f>all!$S$2:$S$33</c:f>
              <c:strCache>
                <c:ptCount val="31"/>
                <c:pt idx="0">
                  <c:v>2014Q1</c:v>
                </c:pt>
                <c:pt idx="1">
                  <c:v>2014Q2</c:v>
                </c:pt>
                <c:pt idx="2">
                  <c:v>2014Q3</c:v>
                </c:pt>
                <c:pt idx="3">
                  <c:v>2014Q4</c:v>
                </c:pt>
                <c:pt idx="4">
                  <c:v>2015Q1</c:v>
                </c:pt>
                <c:pt idx="5">
                  <c:v>2015Q2</c:v>
                </c:pt>
                <c:pt idx="6">
                  <c:v>2015Q3</c:v>
                </c:pt>
                <c:pt idx="7">
                  <c:v>2015Q4</c:v>
                </c:pt>
                <c:pt idx="8">
                  <c:v>2016Q1</c:v>
                </c:pt>
                <c:pt idx="9">
                  <c:v>2016Q2</c:v>
                </c:pt>
                <c:pt idx="10">
                  <c:v>2016Q3</c:v>
                </c:pt>
                <c:pt idx="11">
                  <c:v>2016Q4</c:v>
                </c:pt>
                <c:pt idx="12">
                  <c:v>2017Q1</c:v>
                </c:pt>
                <c:pt idx="13">
                  <c:v>2017Q2</c:v>
                </c:pt>
                <c:pt idx="14">
                  <c:v>2017Q3</c:v>
                </c:pt>
                <c:pt idx="15">
                  <c:v>2017Q4</c:v>
                </c:pt>
                <c:pt idx="16">
                  <c:v>2018Q1</c:v>
                </c:pt>
                <c:pt idx="17">
                  <c:v>2018Q2</c:v>
                </c:pt>
                <c:pt idx="18">
                  <c:v>2018Q3</c:v>
                </c:pt>
                <c:pt idx="19">
                  <c:v>2018Q4</c:v>
                </c:pt>
                <c:pt idx="20">
                  <c:v>2019Q1</c:v>
                </c:pt>
                <c:pt idx="21">
                  <c:v>2019Q2</c:v>
                </c:pt>
                <c:pt idx="22">
                  <c:v>2019Q3</c:v>
                </c:pt>
                <c:pt idx="23">
                  <c:v>2019Q4</c:v>
                </c:pt>
                <c:pt idx="24">
                  <c:v>2020Q1</c:v>
                </c:pt>
                <c:pt idx="25">
                  <c:v>2020Q2</c:v>
                </c:pt>
                <c:pt idx="26">
                  <c:v>2020Q3</c:v>
                </c:pt>
                <c:pt idx="27">
                  <c:v>2020Q4</c:v>
                </c:pt>
                <c:pt idx="28">
                  <c:v>2021Q1</c:v>
                </c:pt>
                <c:pt idx="29">
                  <c:v>2021Q2</c:v>
                </c:pt>
                <c:pt idx="30">
                  <c:v>2021Q3</c:v>
                </c:pt>
              </c:strCache>
            </c:strRef>
          </c:cat>
          <c:val>
            <c:numRef>
              <c:f>all!$T$2:$T$33</c:f>
              <c:numCache>
                <c:formatCode>#,##0</c:formatCode>
                <c:ptCount val="31"/>
                <c:pt idx="0">
                  <c:v>38399</c:v>
                </c:pt>
                <c:pt idx="1">
                  <c:v>41405</c:v>
                </c:pt>
                <c:pt idx="2">
                  <c:v>42367</c:v>
                </c:pt>
                <c:pt idx="3">
                  <c:v>44210</c:v>
                </c:pt>
                <c:pt idx="4">
                  <c:v>41642</c:v>
                </c:pt>
                <c:pt idx="5">
                  <c:v>43342</c:v>
                </c:pt>
                <c:pt idx="6">
                  <c:v>44644</c:v>
                </c:pt>
                <c:pt idx="7">
                  <c:v>46762</c:v>
                </c:pt>
                <c:pt idx="8">
                  <c:v>44519</c:v>
                </c:pt>
                <c:pt idx="9">
                  <c:v>46545</c:v>
                </c:pt>
                <c:pt idx="10">
                  <c:v>46948</c:v>
                </c:pt>
                <c:pt idx="11">
                  <c:v>48145</c:v>
                </c:pt>
                <c:pt idx="12">
                  <c:v>46639</c:v>
                </c:pt>
                <c:pt idx="13">
                  <c:v>47661</c:v>
                </c:pt>
                <c:pt idx="14">
                  <c:v>47906</c:v>
                </c:pt>
                <c:pt idx="15">
                  <c:v>48381</c:v>
                </c:pt>
                <c:pt idx="16">
                  <c:v>46016</c:v>
                </c:pt>
                <c:pt idx="17">
                  <c:v>46809</c:v>
                </c:pt>
                <c:pt idx="18">
                  <c:v>45252</c:v>
                </c:pt>
                <c:pt idx="19">
                  <c:v>46337</c:v>
                </c:pt>
                <c:pt idx="20">
                  <c:v>43862</c:v>
                </c:pt>
                <c:pt idx="21">
                  <c:v>45620</c:v>
                </c:pt>
                <c:pt idx="22">
                  <c:v>44708</c:v>
                </c:pt>
                <c:pt idx="23">
                  <c:v>45717</c:v>
                </c:pt>
                <c:pt idx="24">
                  <c:v>46341</c:v>
                </c:pt>
                <c:pt idx="25">
                  <c:v>41128</c:v>
                </c:pt>
                <c:pt idx="26">
                  <c:v>45088</c:v>
                </c:pt>
                <c:pt idx="27">
                  <c:v>45327</c:v>
                </c:pt>
                <c:pt idx="28">
                  <c:v>43137</c:v>
                </c:pt>
                <c:pt idx="29">
                  <c:v>43505</c:v>
                </c:pt>
                <c:pt idx="30">
                  <c:v>45078</c:v>
                </c:pt>
              </c:numCache>
            </c:numRef>
          </c:val>
          <c:smooth val="0"/>
          <c:extLst>
            <c:ext xmlns:c16="http://schemas.microsoft.com/office/drawing/2014/chart" uri="{C3380CC4-5D6E-409C-BE32-E72D297353CC}">
              <c16:uniqueId val="{00000000-FD9A-436E-BEE1-E4004720ADF3}"/>
            </c:ext>
          </c:extLst>
        </c:ser>
        <c:dLbls>
          <c:showLegendKey val="0"/>
          <c:showVal val="0"/>
          <c:showCatName val="0"/>
          <c:showSerName val="0"/>
          <c:showPercent val="0"/>
          <c:showBubbleSize val="0"/>
        </c:dLbls>
        <c:smooth val="0"/>
        <c:axId val="360147424"/>
        <c:axId val="360148080"/>
      </c:lineChart>
      <c:catAx>
        <c:axId val="360147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0148080"/>
        <c:crosses val="autoZero"/>
        <c:auto val="1"/>
        <c:lblAlgn val="ctr"/>
        <c:lblOffset val="100"/>
        <c:noMultiLvlLbl val="0"/>
      </c:catAx>
      <c:valAx>
        <c:axId val="3601480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of prescriptions</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01474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[rrms review.xlsx]switch to cladribine!PivotTable7</c:name>
    <c:fmtId val="-1"/>
  </c:pivotSource>
  <c:chart>
    <c:autoTitleDeleted val="1"/>
    <c:pivotFmts>
      <c:pivotFmt>
        <c:idx val="0"/>
        <c:spPr>
          <a:solidFill>
            <a:schemeClr val="accent1"/>
          </a:solidFill>
          <a:ln w="19050">
            <a:solidFill>
              <a:schemeClr val="lt1"/>
            </a:solidFill>
          </a:ln>
          <a:effectLst/>
        </c:spPr>
        <c:marker>
          <c:symbol val="none"/>
        </c:marker>
      </c:pivotFmt>
      <c:pivotFmt>
        <c:idx val="1"/>
        <c:spPr>
          <a:solidFill>
            <a:schemeClr val="accent1"/>
          </a:solidFill>
          <a:ln w="19050">
            <a:solidFill>
              <a:schemeClr val="lt1"/>
            </a:solidFill>
          </a:ln>
          <a:effectLst/>
        </c:spPr>
        <c:marker>
          <c:symbol val="none"/>
        </c:marker>
      </c:pivotFmt>
      <c:pivotFmt>
        <c:idx val="2"/>
        <c:spPr>
          <a:solidFill>
            <a:schemeClr val="accent1"/>
          </a:solidFill>
          <a:ln w="19050">
            <a:solidFill>
              <a:schemeClr val="lt1"/>
            </a:solidFill>
          </a:ln>
          <a:effectLst/>
        </c:spPr>
      </c:pivotFmt>
      <c:pivotFmt>
        <c:idx val="3"/>
        <c:spPr>
          <a:solidFill>
            <a:schemeClr val="accent1"/>
          </a:solidFill>
          <a:ln w="19050">
            <a:solidFill>
              <a:schemeClr val="lt1"/>
            </a:solidFill>
          </a:ln>
          <a:effectLst/>
        </c:spPr>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
        <c:idx val="11"/>
        <c:spPr>
          <a:solidFill>
            <a:schemeClr val="accent1"/>
          </a:solidFill>
          <a:ln w="19050">
            <a:solidFill>
              <a:schemeClr val="lt1"/>
            </a:solidFill>
          </a:ln>
          <a:effectLst/>
        </c:spPr>
      </c:pivotFmt>
      <c:pivotFmt>
        <c:idx val="12"/>
        <c:spPr>
          <a:solidFill>
            <a:schemeClr val="accent1"/>
          </a:solidFill>
          <a:ln w="19050">
            <a:solidFill>
              <a:schemeClr val="lt1"/>
            </a:solidFill>
          </a:ln>
          <a:effectLst/>
        </c:spPr>
        <c:marker>
          <c:symbol val="none"/>
        </c:marker>
      </c:pivotFmt>
      <c:pivotFmt>
        <c:idx val="13"/>
        <c:spPr>
          <a:solidFill>
            <a:schemeClr val="accent1"/>
          </a:solidFill>
          <a:ln w="19050">
            <a:solidFill>
              <a:schemeClr val="lt1"/>
            </a:solidFill>
          </a:ln>
          <a:effectLst/>
        </c:spPr>
      </c:pivotFmt>
      <c:pivotFmt>
        <c:idx val="14"/>
        <c:spPr>
          <a:solidFill>
            <a:schemeClr val="accent1"/>
          </a:solidFill>
          <a:ln w="19050">
            <a:solidFill>
              <a:schemeClr val="lt1"/>
            </a:solidFill>
          </a:ln>
          <a:effectLst/>
        </c:spPr>
      </c:pivotFmt>
      <c:pivotFmt>
        <c:idx val="15"/>
        <c:spPr>
          <a:solidFill>
            <a:schemeClr val="accent1"/>
          </a:solidFill>
          <a:ln w="19050">
            <a:solidFill>
              <a:schemeClr val="lt1"/>
            </a:solidFill>
          </a:ln>
          <a:effectLst/>
        </c:spPr>
      </c:pivotFmt>
      <c:pivotFmt>
        <c:idx val="16"/>
        <c:spPr>
          <a:solidFill>
            <a:schemeClr val="accent1"/>
          </a:solidFill>
          <a:ln w="19050">
            <a:solidFill>
              <a:schemeClr val="lt1"/>
            </a:solidFill>
          </a:ln>
          <a:effectLst/>
        </c:spPr>
      </c:pivotFmt>
      <c:pivotFmt>
        <c:idx val="17"/>
        <c:spPr>
          <a:solidFill>
            <a:schemeClr val="accent1"/>
          </a:solidFill>
          <a:ln w="19050">
            <a:solidFill>
              <a:schemeClr val="lt1"/>
            </a:solidFill>
          </a:ln>
          <a:effectLst/>
        </c:spPr>
      </c:pivotFmt>
      <c:pivotFmt>
        <c:idx val="18"/>
        <c:spPr>
          <a:solidFill>
            <a:schemeClr val="accent1"/>
          </a:solidFill>
          <a:ln w="19050">
            <a:solidFill>
              <a:schemeClr val="lt1"/>
            </a:solidFill>
          </a:ln>
          <a:effectLst/>
        </c:spPr>
      </c:pivotFmt>
      <c:pivotFmt>
        <c:idx val="19"/>
        <c:spPr>
          <a:solidFill>
            <a:schemeClr val="accent1"/>
          </a:solidFill>
          <a:ln w="19050">
            <a:solidFill>
              <a:schemeClr val="lt1"/>
            </a:solidFill>
          </a:ln>
          <a:effectLst/>
        </c:spPr>
      </c:pivotFmt>
      <c:pivotFmt>
        <c:idx val="20"/>
        <c:spPr>
          <a:solidFill>
            <a:schemeClr val="accent1"/>
          </a:solidFill>
          <a:ln w="19050">
            <a:solidFill>
              <a:schemeClr val="lt1"/>
            </a:solidFill>
          </a:ln>
          <a:effectLst/>
        </c:spPr>
      </c:pivotFmt>
      <c:pivotFmt>
        <c:idx val="21"/>
        <c:spPr>
          <a:solidFill>
            <a:schemeClr val="accent1"/>
          </a:solidFill>
          <a:ln w="19050">
            <a:solidFill>
              <a:schemeClr val="lt1"/>
            </a:solidFill>
          </a:ln>
          <a:effectLst/>
        </c:spPr>
      </c:pivotFmt>
      <c:pivotFmt>
        <c:idx val="22"/>
        <c:spPr>
          <a:solidFill>
            <a:schemeClr val="accent1"/>
          </a:solidFill>
          <a:ln w="19050">
            <a:solidFill>
              <a:schemeClr val="lt1"/>
            </a:solidFill>
          </a:ln>
          <a:effectLst/>
        </c:spPr>
      </c:pivotFmt>
    </c:pivotFmts>
    <c:plotArea>
      <c:layout/>
      <c:doughnutChart>
        <c:varyColors val="1"/>
        <c:ser>
          <c:idx val="0"/>
          <c:order val="0"/>
          <c:tx>
            <c:strRef>
              <c:f>'switch to cladribine'!$R$19</c:f>
              <c:strCache>
                <c:ptCount val="1"/>
                <c:pt idx="0">
                  <c:v>Total</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28E-4AD0-BFC8-5D4D4F3E210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28E-4AD0-BFC8-5D4D4F3E210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28E-4AD0-BFC8-5D4D4F3E210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28E-4AD0-BFC8-5D4D4F3E210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28E-4AD0-BFC8-5D4D4F3E2108}"/>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28E-4AD0-BFC8-5D4D4F3E2108}"/>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B28E-4AD0-BFC8-5D4D4F3E2108}"/>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B28E-4AD0-BFC8-5D4D4F3E2108}"/>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B28E-4AD0-BFC8-5D4D4F3E2108}"/>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B28E-4AD0-BFC8-5D4D4F3E2108}"/>
              </c:ext>
            </c:extLst>
          </c:dPt>
          <c:cat>
            <c:strRef>
              <c:f>'switch to cladribine'!$Q$20:$Q$30</c:f>
              <c:strCache>
                <c:ptCount val="10"/>
                <c:pt idx="0">
                  <c:v>ALEMTUZUMAB</c:v>
                </c:pt>
                <c:pt idx="1">
                  <c:v>DIMETHYL FUMARATE</c:v>
                </c:pt>
                <c:pt idx="2">
                  <c:v>FINGOLIMOD</c:v>
                </c:pt>
                <c:pt idx="3">
                  <c:v>GLATIRAMER ACETATE</c:v>
                </c:pt>
                <c:pt idx="4">
                  <c:v>INTERFERON BETA-1A</c:v>
                </c:pt>
                <c:pt idx="5">
                  <c:v>INTERFERON BETA-1B</c:v>
                </c:pt>
                <c:pt idx="6">
                  <c:v>NATALIZUMAB</c:v>
                </c:pt>
                <c:pt idx="7">
                  <c:v>OCRELIZUMAB</c:v>
                </c:pt>
                <c:pt idx="8">
                  <c:v>PEGINTERFERON BETA-1A</c:v>
                </c:pt>
                <c:pt idx="9">
                  <c:v>TERIFLUNOMIDE</c:v>
                </c:pt>
              </c:strCache>
            </c:strRef>
          </c:cat>
          <c:val>
            <c:numRef>
              <c:f>'switch to cladribine'!$R$20:$R$30</c:f>
              <c:numCache>
                <c:formatCode>General</c:formatCode>
                <c:ptCount val="10"/>
                <c:pt idx="0">
                  <c:v>2.9649595687331536E-2</c:v>
                </c:pt>
                <c:pt idx="1">
                  <c:v>0.16442048517520216</c:v>
                </c:pt>
                <c:pt idx="2">
                  <c:v>0.21293800539083557</c:v>
                </c:pt>
                <c:pt idx="3">
                  <c:v>8.8948787061994605E-2</c:v>
                </c:pt>
                <c:pt idx="4">
                  <c:v>4.0431266846361183E-2</c:v>
                </c:pt>
                <c:pt idx="5">
                  <c:v>1.078167115902965E-2</c:v>
                </c:pt>
                <c:pt idx="6">
                  <c:v>0.15094339622641509</c:v>
                </c:pt>
                <c:pt idx="7">
                  <c:v>0.14555256064690028</c:v>
                </c:pt>
                <c:pt idx="8">
                  <c:v>4.3126684636118601E-2</c:v>
                </c:pt>
                <c:pt idx="9">
                  <c:v>0.11320754716981132</c:v>
                </c:pt>
              </c:numCache>
            </c:numRef>
          </c:val>
          <c:extLst>
            <c:ext xmlns:c16="http://schemas.microsoft.com/office/drawing/2014/chart" uri="{C3380CC4-5D6E-409C-BE32-E72D297353CC}">
              <c16:uniqueId val="{00000014-B28E-4AD0-BFC8-5D4D4F3E2108}"/>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[rrms review.xlsx]drug!PivotTable3</c:name>
    <c:fmtId val="-1"/>
  </c:pivotSource>
  <c:chart>
    <c:autoTitleDeleted val="0"/>
    <c:pivotFmts>
      <c:pivotFmt>
        <c:idx val="0"/>
        <c:spPr>
          <a:solidFill>
            <a:schemeClr val="accent1"/>
          </a:solidFill>
          <a:ln w="28575" cap="rnd">
            <a:solidFill>
              <a:schemeClr val="accent1"/>
            </a:solidFill>
            <a:round/>
          </a:ln>
          <a:effectLst/>
        </c:spPr>
        <c:marker>
          <c:symbol val="none"/>
        </c:marker>
      </c:pivotFmt>
      <c:pivotFmt>
        <c:idx val="1"/>
        <c:spPr>
          <a:solidFill>
            <a:schemeClr val="accent1"/>
          </a:solidFill>
          <a:ln w="28575" cap="rnd">
            <a:solidFill>
              <a:schemeClr val="accent1"/>
            </a:solidFill>
            <a:round/>
          </a:ln>
          <a:effectLst/>
        </c:spPr>
        <c:marker>
          <c:symbol val="none"/>
        </c:marker>
      </c:pivotFmt>
      <c:pivotFmt>
        <c:idx val="2"/>
        <c:spPr>
          <a:solidFill>
            <a:schemeClr val="accent1"/>
          </a:solidFill>
          <a:ln w="28575" cap="rnd">
            <a:solidFill>
              <a:schemeClr val="accent1"/>
            </a:solidFill>
            <a:round/>
          </a:ln>
          <a:effectLst/>
        </c:spPr>
        <c:marker>
          <c:symbol val="none"/>
        </c:marker>
      </c:pivotFmt>
      <c:pivotFmt>
        <c:idx val="3"/>
        <c:spPr>
          <a:solidFill>
            <a:schemeClr val="accent1"/>
          </a:solidFill>
          <a:ln w="28575" cap="rnd">
            <a:solidFill>
              <a:schemeClr val="accent1"/>
            </a:solidFill>
            <a:round/>
          </a:ln>
          <a:effectLst/>
        </c:spPr>
        <c:marker>
          <c:symbol val="none"/>
        </c:marker>
      </c:pivotFmt>
      <c:pivotFmt>
        <c:idx val="4"/>
        <c:spPr>
          <a:solidFill>
            <a:schemeClr val="accent1"/>
          </a:solidFill>
          <a:ln w="28575" cap="rnd">
            <a:solidFill>
              <a:schemeClr val="accent1"/>
            </a:solidFill>
            <a:round/>
          </a:ln>
          <a:effectLst/>
        </c:spPr>
        <c:marker>
          <c:symbol val="none"/>
        </c:marker>
      </c:pivotFmt>
      <c:pivotFmt>
        <c:idx val="5"/>
        <c:spPr>
          <a:solidFill>
            <a:schemeClr val="accent1"/>
          </a:solidFill>
          <a:ln w="28575" cap="rnd">
            <a:solidFill>
              <a:schemeClr val="accent1"/>
            </a:solidFill>
            <a:round/>
          </a:ln>
          <a:effectLst/>
        </c:spPr>
        <c:marker>
          <c:symbol val="none"/>
        </c:marker>
      </c:pivotFmt>
      <c:pivotFmt>
        <c:idx val="6"/>
        <c:spPr>
          <a:solidFill>
            <a:schemeClr val="accent1"/>
          </a:solidFill>
          <a:ln w="28575" cap="rnd">
            <a:solidFill>
              <a:schemeClr val="accent1"/>
            </a:solidFill>
            <a:round/>
          </a:ln>
          <a:effectLst/>
        </c:spPr>
        <c:marker>
          <c:symbol val="none"/>
        </c:marker>
      </c:pivotFmt>
      <c:pivotFmt>
        <c:idx val="7"/>
        <c:spPr>
          <a:solidFill>
            <a:schemeClr val="accent1"/>
          </a:solidFill>
          <a:ln w="28575" cap="rnd">
            <a:solidFill>
              <a:schemeClr val="accent1"/>
            </a:solidFill>
            <a:round/>
          </a:ln>
          <a:effectLst/>
        </c:spPr>
        <c:marker>
          <c:symbol val="none"/>
        </c:marker>
      </c:pivotFmt>
      <c:pivotFmt>
        <c:idx val="8"/>
        <c:spPr>
          <a:solidFill>
            <a:schemeClr val="accent1"/>
          </a:solidFill>
          <a:ln w="28575" cap="rnd">
            <a:solidFill>
              <a:schemeClr val="accent1"/>
            </a:solidFill>
            <a:round/>
          </a:ln>
          <a:effectLst/>
        </c:spPr>
        <c:marker>
          <c:symbol val="none"/>
        </c:marker>
      </c:pivotFmt>
      <c:pivotFmt>
        <c:idx val="9"/>
        <c:spPr>
          <a:solidFill>
            <a:schemeClr val="accent1"/>
          </a:solidFill>
          <a:ln w="28575" cap="rnd">
            <a:solidFill>
              <a:schemeClr val="accent1"/>
            </a:solidFill>
            <a:round/>
          </a:ln>
          <a:effectLst/>
        </c:spPr>
        <c:marker>
          <c:symbol val="none"/>
        </c:marker>
      </c:pivotFmt>
      <c:pivotFmt>
        <c:idx val="10"/>
        <c:spPr>
          <a:solidFill>
            <a:schemeClr val="accent1"/>
          </a:solidFill>
          <a:ln w="28575" cap="rnd">
            <a:solidFill>
              <a:schemeClr val="accent1"/>
            </a:solidFill>
            <a:round/>
          </a:ln>
          <a:effectLst/>
        </c:spPr>
        <c:marker>
          <c:symbol val="none"/>
        </c:marker>
      </c:pivotFmt>
      <c:pivotFmt>
        <c:idx val="11"/>
        <c:spPr>
          <a:solidFill>
            <a:schemeClr val="accent1"/>
          </a:solidFill>
          <a:ln w="28575" cap="rnd">
            <a:solidFill>
              <a:schemeClr val="accent1"/>
            </a:solidFill>
            <a:round/>
          </a:ln>
          <a:effectLst/>
        </c:spPr>
        <c:marker>
          <c:symbol val="none"/>
        </c:marker>
      </c:pivotFmt>
      <c:pivotFmt>
        <c:idx val="12"/>
        <c:spPr>
          <a:solidFill>
            <a:schemeClr val="accent1"/>
          </a:solidFill>
          <a:ln w="28575" cap="rnd">
            <a:solidFill>
              <a:schemeClr val="accent1"/>
            </a:solidFill>
            <a:round/>
          </a:ln>
          <a:effectLst/>
        </c:spPr>
        <c:marker>
          <c:symbol val="none"/>
        </c:marker>
      </c:pivotFmt>
      <c:pivotFmt>
        <c:idx val="13"/>
        <c:spPr>
          <a:solidFill>
            <a:schemeClr val="accent1"/>
          </a:solidFill>
          <a:ln w="28575" cap="rnd">
            <a:solidFill>
              <a:schemeClr val="accent1"/>
            </a:solidFill>
            <a:round/>
          </a:ln>
          <a:effectLst/>
        </c:spPr>
        <c:marker>
          <c:symbol val="none"/>
        </c:marker>
      </c:pivotFmt>
      <c:pivotFmt>
        <c:idx val="14"/>
        <c:spPr>
          <a:solidFill>
            <a:schemeClr val="accent1"/>
          </a:solidFill>
          <a:ln w="28575" cap="rnd">
            <a:solidFill>
              <a:schemeClr val="accent1"/>
            </a:solidFill>
            <a:round/>
          </a:ln>
          <a:effectLst/>
        </c:spPr>
        <c:marker>
          <c:symbol val="none"/>
        </c:marker>
      </c:pivotFmt>
      <c:pivotFmt>
        <c:idx val="15"/>
        <c:spPr>
          <a:solidFill>
            <a:schemeClr val="accent1"/>
          </a:solidFill>
          <a:ln w="28575" cap="rnd">
            <a:solidFill>
              <a:schemeClr val="accent1"/>
            </a:solidFill>
            <a:round/>
          </a:ln>
          <a:effectLst/>
        </c:spPr>
        <c:marker>
          <c:symbol val="none"/>
        </c:marker>
      </c:pivotFmt>
      <c:pivotFmt>
        <c:idx val="16"/>
        <c:spPr>
          <a:solidFill>
            <a:schemeClr val="accent1"/>
          </a:solidFill>
          <a:ln w="28575" cap="rnd">
            <a:solidFill>
              <a:schemeClr val="accent1"/>
            </a:solidFill>
            <a:round/>
          </a:ln>
          <a:effectLst/>
        </c:spPr>
        <c:marker>
          <c:symbol val="none"/>
        </c:marker>
      </c:pivotFmt>
      <c:pivotFmt>
        <c:idx val="17"/>
        <c:spPr>
          <a:solidFill>
            <a:schemeClr val="accent1"/>
          </a:solidFill>
          <a:ln w="28575" cap="rnd">
            <a:solidFill>
              <a:schemeClr val="accent1"/>
            </a:solidFill>
            <a:round/>
          </a:ln>
          <a:effectLst/>
        </c:spPr>
        <c:marker>
          <c:symbol val="none"/>
        </c:marker>
      </c:pivotFmt>
      <c:pivotFmt>
        <c:idx val="18"/>
        <c:spPr>
          <a:solidFill>
            <a:schemeClr val="accent1"/>
          </a:solidFill>
          <a:ln w="28575" cap="rnd">
            <a:solidFill>
              <a:schemeClr val="accent1"/>
            </a:solidFill>
            <a:round/>
          </a:ln>
          <a:effectLst/>
        </c:spPr>
        <c:marker>
          <c:symbol val="none"/>
        </c:marker>
      </c:pivotFmt>
      <c:pivotFmt>
        <c:idx val="19"/>
        <c:spPr>
          <a:solidFill>
            <a:schemeClr val="accent1"/>
          </a:solidFill>
          <a:ln w="28575" cap="rnd">
            <a:solidFill>
              <a:schemeClr val="accent1"/>
            </a:solidFill>
            <a:round/>
          </a:ln>
          <a:effectLst/>
        </c:spPr>
        <c:marker>
          <c:symbol val="none"/>
        </c:marker>
      </c:pivotFmt>
      <c:pivotFmt>
        <c:idx val="20"/>
        <c:spPr>
          <a:solidFill>
            <a:schemeClr val="accent1"/>
          </a:solidFill>
          <a:ln w="28575" cap="rnd">
            <a:solidFill>
              <a:schemeClr val="accent1"/>
            </a:solidFill>
            <a:round/>
          </a:ln>
          <a:effectLst/>
        </c:spPr>
        <c:marker>
          <c:symbol val="none"/>
        </c:marker>
      </c:pivotFmt>
      <c:pivotFmt>
        <c:idx val="21"/>
        <c:spPr>
          <a:solidFill>
            <a:schemeClr val="accent1"/>
          </a:solidFill>
          <a:ln w="28575" cap="rnd">
            <a:solidFill>
              <a:schemeClr val="accent1"/>
            </a:solidFill>
            <a:round/>
          </a:ln>
          <a:effectLst/>
        </c:spPr>
        <c:marker>
          <c:symbol val="none"/>
        </c:marker>
      </c:pivotFmt>
      <c:pivotFmt>
        <c:idx val="22"/>
        <c:spPr>
          <a:solidFill>
            <a:schemeClr val="accent1"/>
          </a:solidFill>
          <a:ln w="28575" cap="rnd">
            <a:solidFill>
              <a:schemeClr val="accent1"/>
            </a:solidFill>
            <a:round/>
          </a:ln>
          <a:effectLst/>
        </c:spPr>
        <c:marker>
          <c:symbol val="none"/>
        </c:marker>
      </c:pivotFmt>
      <c:pivotFmt>
        <c:idx val="23"/>
        <c:spPr>
          <a:solidFill>
            <a:schemeClr val="accent1"/>
          </a:solidFill>
          <a:ln w="28575" cap="rnd">
            <a:solidFill>
              <a:schemeClr val="accent1"/>
            </a:solidFill>
            <a:round/>
          </a:ln>
          <a:effectLst/>
        </c:spPr>
        <c:marker>
          <c:symbol val="none"/>
        </c:marker>
      </c:pivotFmt>
      <c:pivotFmt>
        <c:idx val="24"/>
        <c:spPr>
          <a:solidFill>
            <a:schemeClr val="accent1"/>
          </a:solidFill>
          <a:ln w="28575" cap="rnd">
            <a:solidFill>
              <a:schemeClr val="accent1"/>
            </a:solidFill>
            <a:round/>
          </a:ln>
          <a:effectLst/>
        </c:spPr>
        <c:marker>
          <c:symbol val="none"/>
        </c:marker>
      </c:pivotFmt>
      <c:pivotFmt>
        <c:idx val="25"/>
        <c:spPr>
          <a:solidFill>
            <a:schemeClr val="accent1"/>
          </a:solidFill>
          <a:ln w="28575" cap="rnd">
            <a:solidFill>
              <a:schemeClr val="accent1"/>
            </a:solidFill>
            <a:round/>
          </a:ln>
          <a:effectLst/>
        </c:spPr>
        <c:marker>
          <c:symbol val="none"/>
        </c:marker>
      </c:pivotFmt>
      <c:pivotFmt>
        <c:idx val="26"/>
        <c:spPr>
          <a:solidFill>
            <a:schemeClr val="accent1"/>
          </a:solidFill>
          <a:ln w="28575" cap="rnd">
            <a:solidFill>
              <a:schemeClr val="accent1"/>
            </a:solidFill>
            <a:round/>
          </a:ln>
          <a:effectLst/>
        </c:spPr>
        <c:marker>
          <c:symbol val="none"/>
        </c:marker>
      </c:pivotFmt>
      <c:pivotFmt>
        <c:idx val="27"/>
        <c:spPr>
          <a:solidFill>
            <a:schemeClr val="accent1"/>
          </a:solidFill>
          <a:ln w="28575" cap="rnd">
            <a:solidFill>
              <a:schemeClr val="accent1"/>
            </a:solidFill>
            <a:round/>
          </a:ln>
          <a:effectLst/>
        </c:spPr>
        <c:marker>
          <c:symbol val="none"/>
        </c:marker>
      </c:pivotFmt>
      <c:pivotFmt>
        <c:idx val="28"/>
        <c:spPr>
          <a:solidFill>
            <a:schemeClr val="accent1"/>
          </a:solidFill>
          <a:ln w="28575" cap="rnd">
            <a:solidFill>
              <a:schemeClr val="accent1"/>
            </a:solidFill>
            <a:round/>
          </a:ln>
          <a:effectLst/>
        </c:spPr>
        <c:marker>
          <c:symbol val="none"/>
        </c:marker>
      </c:pivotFmt>
      <c:pivotFmt>
        <c:idx val="29"/>
        <c:spPr>
          <a:solidFill>
            <a:schemeClr val="accent1"/>
          </a:solidFill>
          <a:ln w="28575" cap="rnd">
            <a:solidFill>
              <a:schemeClr val="accent1"/>
            </a:solidFill>
            <a:round/>
          </a:ln>
          <a:effectLst/>
        </c:spPr>
        <c:marker>
          <c:symbol val="none"/>
        </c:marker>
      </c:pivotFmt>
      <c:pivotFmt>
        <c:idx val="30"/>
        <c:spPr>
          <a:solidFill>
            <a:schemeClr val="accent1"/>
          </a:solidFill>
          <a:ln w="28575" cap="rnd">
            <a:solidFill>
              <a:schemeClr val="accent1"/>
            </a:solidFill>
            <a:round/>
          </a:ln>
          <a:effectLst/>
        </c:spPr>
        <c:marker>
          <c:symbol val="none"/>
        </c:marker>
      </c:pivotFmt>
      <c:pivotFmt>
        <c:idx val="31"/>
        <c:spPr>
          <a:solidFill>
            <a:schemeClr val="accent1"/>
          </a:solidFill>
          <a:ln w="28575" cap="rnd">
            <a:solidFill>
              <a:schemeClr val="accent1"/>
            </a:solidFill>
            <a:round/>
          </a:ln>
          <a:effectLst/>
        </c:spPr>
        <c:marker>
          <c:symbol val="none"/>
        </c:marker>
      </c:pivotFmt>
      <c:pivotFmt>
        <c:idx val="32"/>
        <c:spPr>
          <a:solidFill>
            <a:schemeClr val="accent1"/>
          </a:solidFill>
          <a:ln w="28575" cap="rnd">
            <a:solidFill>
              <a:schemeClr val="accent1"/>
            </a:solidFill>
            <a:round/>
          </a:ln>
          <a:effectLst/>
        </c:spPr>
        <c:marker>
          <c:symbol val="none"/>
        </c:marker>
      </c:pivotFmt>
      <c:pivotFmt>
        <c:idx val="33"/>
        <c:spPr>
          <a:solidFill>
            <a:schemeClr val="accent1"/>
          </a:solidFill>
          <a:ln w="28575" cap="rnd">
            <a:solidFill>
              <a:schemeClr val="accent1"/>
            </a:solidFill>
            <a:round/>
          </a:ln>
          <a:effectLst/>
        </c:spPr>
        <c:marker>
          <c:symbol val="none"/>
        </c:marker>
      </c:pivotFmt>
      <c:pivotFmt>
        <c:idx val="34"/>
        <c:spPr>
          <a:solidFill>
            <a:schemeClr val="accent1"/>
          </a:solidFill>
          <a:ln w="28575" cap="rnd">
            <a:solidFill>
              <a:schemeClr val="accent1"/>
            </a:solidFill>
            <a:round/>
          </a:ln>
          <a:effectLst/>
        </c:spPr>
        <c:marker>
          <c:symbol val="none"/>
        </c:marker>
      </c:pivotFmt>
      <c:pivotFmt>
        <c:idx val="35"/>
        <c:spPr>
          <a:solidFill>
            <a:schemeClr val="accent1"/>
          </a:solidFill>
          <a:ln w="28575" cap="rnd">
            <a:solidFill>
              <a:schemeClr val="accent1"/>
            </a:solidFill>
            <a:round/>
          </a:ln>
          <a:effectLst/>
        </c:spPr>
        <c:marker>
          <c:symbol val="none"/>
        </c:marker>
      </c:pivotFmt>
      <c:pivotFmt>
        <c:idx val="36"/>
        <c:spPr>
          <a:solidFill>
            <a:schemeClr val="accent1"/>
          </a:solidFill>
          <a:ln w="28575" cap="rnd">
            <a:solidFill>
              <a:schemeClr val="accent1"/>
            </a:solidFill>
            <a:round/>
          </a:ln>
          <a:effectLst/>
        </c:spPr>
        <c:marker>
          <c:symbol val="none"/>
        </c:marker>
      </c:pivotFmt>
      <c:pivotFmt>
        <c:idx val="37"/>
        <c:spPr>
          <a:solidFill>
            <a:schemeClr val="accent1"/>
          </a:solidFill>
          <a:ln w="28575" cap="rnd">
            <a:solidFill>
              <a:schemeClr val="accent1"/>
            </a:solidFill>
            <a:round/>
          </a:ln>
          <a:effectLst/>
        </c:spPr>
        <c:marker>
          <c:symbol val="none"/>
        </c:marker>
      </c:pivotFmt>
      <c:pivotFmt>
        <c:idx val="38"/>
        <c:spPr>
          <a:solidFill>
            <a:schemeClr val="accent1"/>
          </a:solidFill>
          <a:ln w="28575" cap="rnd">
            <a:solidFill>
              <a:schemeClr val="accent1"/>
            </a:solidFill>
            <a:round/>
          </a:ln>
          <a:effectLst/>
        </c:spPr>
        <c:marker>
          <c:symbol val="none"/>
        </c:marker>
      </c:pivotFmt>
      <c:pivotFmt>
        <c:idx val="39"/>
        <c:spPr>
          <a:solidFill>
            <a:schemeClr val="accent1"/>
          </a:solidFill>
          <a:ln w="28575" cap="rnd">
            <a:solidFill>
              <a:schemeClr val="accent1"/>
            </a:solidFill>
            <a:round/>
          </a:ln>
          <a:effectLst/>
        </c:spPr>
        <c:marker>
          <c:symbol val="none"/>
        </c:marker>
      </c:pivotFmt>
      <c:pivotFmt>
        <c:idx val="40"/>
        <c:spPr>
          <a:solidFill>
            <a:schemeClr val="accent1"/>
          </a:solidFill>
          <a:ln w="28575" cap="rnd">
            <a:solidFill>
              <a:schemeClr val="accent1"/>
            </a:solidFill>
            <a:round/>
          </a:ln>
          <a:effectLst/>
        </c:spPr>
        <c:marker>
          <c:symbol val="none"/>
        </c:marker>
      </c:pivotFmt>
      <c:pivotFmt>
        <c:idx val="41"/>
        <c:spPr>
          <a:solidFill>
            <a:schemeClr val="accent1"/>
          </a:solidFill>
          <a:ln w="28575" cap="rnd">
            <a:solidFill>
              <a:schemeClr val="accent1"/>
            </a:solidFill>
            <a:round/>
          </a:ln>
          <a:effectLst/>
        </c:spPr>
        <c:marker>
          <c:symbol val="none"/>
        </c:marker>
      </c:pivotFmt>
    </c:pivotFmts>
    <c:plotArea>
      <c:layout/>
      <c:lineChart>
        <c:grouping val="standard"/>
        <c:varyColors val="0"/>
        <c:ser>
          <c:idx val="0"/>
          <c:order val="0"/>
          <c:tx>
            <c:strRef>
              <c:f>drug!$U$1:$U$2</c:f>
              <c:strCache>
                <c:ptCount val="1"/>
                <c:pt idx="0">
                  <c:v>ALEMTUZUMAB</c:v>
                </c:pt>
              </c:strCache>
            </c:strRef>
          </c:tx>
          <c:spPr>
            <a:ln w="28575" cap="rnd">
              <a:solidFill>
                <a:srgbClr val="3D0575"/>
              </a:solidFill>
              <a:round/>
            </a:ln>
            <a:effectLst/>
          </c:spPr>
          <c:marker>
            <c:symbol val="circle"/>
            <c:size val="5"/>
            <c:spPr>
              <a:solidFill>
                <a:srgbClr val="3D0575"/>
              </a:solidFill>
              <a:ln w="9525">
                <a:solidFill>
                  <a:srgbClr val="3D0575"/>
                </a:solidFill>
              </a:ln>
              <a:effectLst/>
            </c:spPr>
          </c:marker>
          <c:cat>
            <c:strRef>
              <c:f>drug!$T$3:$T$34</c:f>
              <c:strCache>
                <c:ptCount val="31"/>
                <c:pt idx="0">
                  <c:v>2014Q1</c:v>
                </c:pt>
                <c:pt idx="1">
                  <c:v>2014Q2</c:v>
                </c:pt>
                <c:pt idx="2">
                  <c:v>2014Q3</c:v>
                </c:pt>
                <c:pt idx="3">
                  <c:v>2014Q4</c:v>
                </c:pt>
                <c:pt idx="4">
                  <c:v>2015Q1</c:v>
                </c:pt>
                <c:pt idx="5">
                  <c:v>2015Q2</c:v>
                </c:pt>
                <c:pt idx="6">
                  <c:v>2015Q3</c:v>
                </c:pt>
                <c:pt idx="7">
                  <c:v>2015Q4</c:v>
                </c:pt>
                <c:pt idx="8">
                  <c:v>2016Q1</c:v>
                </c:pt>
                <c:pt idx="9">
                  <c:v>2016Q2</c:v>
                </c:pt>
                <c:pt idx="10">
                  <c:v>2016Q3</c:v>
                </c:pt>
                <c:pt idx="11">
                  <c:v>2016Q4</c:v>
                </c:pt>
                <c:pt idx="12">
                  <c:v>2017Q1</c:v>
                </c:pt>
                <c:pt idx="13">
                  <c:v>2017Q2</c:v>
                </c:pt>
                <c:pt idx="14">
                  <c:v>2017Q3</c:v>
                </c:pt>
                <c:pt idx="15">
                  <c:v>2017Q4</c:v>
                </c:pt>
                <c:pt idx="16">
                  <c:v>2018Q1</c:v>
                </c:pt>
                <c:pt idx="17">
                  <c:v>2018Q2</c:v>
                </c:pt>
                <c:pt idx="18">
                  <c:v>2018Q3</c:v>
                </c:pt>
                <c:pt idx="19">
                  <c:v>2018Q4</c:v>
                </c:pt>
                <c:pt idx="20">
                  <c:v>2019Q1</c:v>
                </c:pt>
                <c:pt idx="21">
                  <c:v>2019Q2</c:v>
                </c:pt>
                <c:pt idx="22">
                  <c:v>2019Q3</c:v>
                </c:pt>
                <c:pt idx="23">
                  <c:v>2019Q4</c:v>
                </c:pt>
                <c:pt idx="24">
                  <c:v>2020Q1</c:v>
                </c:pt>
                <c:pt idx="25">
                  <c:v>2020Q2</c:v>
                </c:pt>
                <c:pt idx="26">
                  <c:v>2020Q3</c:v>
                </c:pt>
                <c:pt idx="27">
                  <c:v>2020Q4</c:v>
                </c:pt>
                <c:pt idx="28">
                  <c:v>2021Q1</c:v>
                </c:pt>
                <c:pt idx="29">
                  <c:v>2021Q2</c:v>
                </c:pt>
                <c:pt idx="30">
                  <c:v>2021Q3</c:v>
                </c:pt>
              </c:strCache>
            </c:strRef>
          </c:cat>
          <c:val>
            <c:numRef>
              <c:f>drug!$U$3:$U$34</c:f>
              <c:numCache>
                <c:formatCode>General</c:formatCode>
                <c:ptCount val="31"/>
                <c:pt idx="5" formatCode="#,##0">
                  <c:v>124</c:v>
                </c:pt>
                <c:pt idx="6" formatCode="#,##0">
                  <c:v>174</c:v>
                </c:pt>
                <c:pt idx="7" formatCode="#,##0">
                  <c:v>148</c:v>
                </c:pt>
                <c:pt idx="8" formatCode="#,##0">
                  <c:v>125</c:v>
                </c:pt>
                <c:pt idx="9" formatCode="#,##0">
                  <c:v>252</c:v>
                </c:pt>
                <c:pt idx="10" formatCode="#,##0">
                  <c:v>235</c:v>
                </c:pt>
                <c:pt idx="11" formatCode="#,##0">
                  <c:v>228</c:v>
                </c:pt>
                <c:pt idx="12" formatCode="#,##0">
                  <c:v>251</c:v>
                </c:pt>
                <c:pt idx="13" formatCode="#,##0">
                  <c:v>199</c:v>
                </c:pt>
                <c:pt idx="14" formatCode="#,##0">
                  <c:v>153</c:v>
                </c:pt>
                <c:pt idx="15" formatCode="#,##0">
                  <c:v>160</c:v>
                </c:pt>
                <c:pt idx="16" formatCode="#,##0">
                  <c:v>160</c:v>
                </c:pt>
                <c:pt idx="17" formatCode="#,##0">
                  <c:v>123</c:v>
                </c:pt>
                <c:pt idx="18" formatCode="#,##0">
                  <c:v>100</c:v>
                </c:pt>
                <c:pt idx="19" formatCode="#,##0">
                  <c:v>88</c:v>
                </c:pt>
                <c:pt idx="20" formatCode="#,##0">
                  <c:v>98</c:v>
                </c:pt>
                <c:pt idx="21" formatCode="#,##0">
                  <c:v>68</c:v>
                </c:pt>
                <c:pt idx="22" formatCode="#,##0">
                  <c:v>66</c:v>
                </c:pt>
                <c:pt idx="23" formatCode="#,##0">
                  <c:v>54</c:v>
                </c:pt>
                <c:pt idx="24" formatCode="#,##0">
                  <c:v>42</c:v>
                </c:pt>
                <c:pt idx="25" formatCode="#,##0">
                  <c:v>30</c:v>
                </c:pt>
                <c:pt idx="26" formatCode="#,##0">
                  <c:v>53</c:v>
                </c:pt>
                <c:pt idx="27" formatCode="#,##0">
                  <c:v>50</c:v>
                </c:pt>
                <c:pt idx="28" formatCode="#,##0">
                  <c:v>30</c:v>
                </c:pt>
                <c:pt idx="29" formatCode="#,##0">
                  <c:v>20</c:v>
                </c:pt>
                <c:pt idx="30" formatCode="#,##0">
                  <c:v>25</c:v>
                </c:pt>
              </c:numCache>
            </c:numRef>
          </c:val>
          <c:smooth val="0"/>
          <c:extLst>
            <c:ext xmlns:c16="http://schemas.microsoft.com/office/drawing/2014/chart" uri="{C3380CC4-5D6E-409C-BE32-E72D297353CC}">
              <c16:uniqueId val="{00000000-F78A-4DA2-93B8-31D606FE8F88}"/>
            </c:ext>
          </c:extLst>
        </c:ser>
        <c:ser>
          <c:idx val="1"/>
          <c:order val="1"/>
          <c:tx>
            <c:strRef>
              <c:f>drug!$V$1:$V$2</c:f>
              <c:strCache>
                <c:ptCount val="1"/>
                <c:pt idx="0">
                  <c:v>CLADRIBINE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drug!$T$3:$T$34</c:f>
              <c:strCache>
                <c:ptCount val="31"/>
                <c:pt idx="0">
                  <c:v>2014Q1</c:v>
                </c:pt>
                <c:pt idx="1">
                  <c:v>2014Q2</c:v>
                </c:pt>
                <c:pt idx="2">
                  <c:v>2014Q3</c:v>
                </c:pt>
                <c:pt idx="3">
                  <c:v>2014Q4</c:v>
                </c:pt>
                <c:pt idx="4">
                  <c:v>2015Q1</c:v>
                </c:pt>
                <c:pt idx="5">
                  <c:v>2015Q2</c:v>
                </c:pt>
                <c:pt idx="6">
                  <c:v>2015Q3</c:v>
                </c:pt>
                <c:pt idx="7">
                  <c:v>2015Q4</c:v>
                </c:pt>
                <c:pt idx="8">
                  <c:v>2016Q1</c:v>
                </c:pt>
                <c:pt idx="9">
                  <c:v>2016Q2</c:v>
                </c:pt>
                <c:pt idx="10">
                  <c:v>2016Q3</c:v>
                </c:pt>
                <c:pt idx="11">
                  <c:v>2016Q4</c:v>
                </c:pt>
                <c:pt idx="12">
                  <c:v>2017Q1</c:v>
                </c:pt>
                <c:pt idx="13">
                  <c:v>2017Q2</c:v>
                </c:pt>
                <c:pt idx="14">
                  <c:v>2017Q3</c:v>
                </c:pt>
                <c:pt idx="15">
                  <c:v>2017Q4</c:v>
                </c:pt>
                <c:pt idx="16">
                  <c:v>2018Q1</c:v>
                </c:pt>
                <c:pt idx="17">
                  <c:v>2018Q2</c:v>
                </c:pt>
                <c:pt idx="18">
                  <c:v>2018Q3</c:v>
                </c:pt>
                <c:pt idx="19">
                  <c:v>2018Q4</c:v>
                </c:pt>
                <c:pt idx="20">
                  <c:v>2019Q1</c:v>
                </c:pt>
                <c:pt idx="21">
                  <c:v>2019Q2</c:v>
                </c:pt>
                <c:pt idx="22">
                  <c:v>2019Q3</c:v>
                </c:pt>
                <c:pt idx="23">
                  <c:v>2019Q4</c:v>
                </c:pt>
                <c:pt idx="24">
                  <c:v>2020Q1</c:v>
                </c:pt>
                <c:pt idx="25">
                  <c:v>2020Q2</c:v>
                </c:pt>
                <c:pt idx="26">
                  <c:v>2020Q3</c:v>
                </c:pt>
                <c:pt idx="27">
                  <c:v>2020Q4</c:v>
                </c:pt>
                <c:pt idx="28">
                  <c:v>2021Q1</c:v>
                </c:pt>
                <c:pt idx="29">
                  <c:v>2021Q2</c:v>
                </c:pt>
                <c:pt idx="30">
                  <c:v>2021Q3</c:v>
                </c:pt>
              </c:strCache>
            </c:strRef>
          </c:cat>
          <c:val>
            <c:numRef>
              <c:f>drug!$V$3:$V$34</c:f>
              <c:numCache>
                <c:formatCode>General</c:formatCode>
                <c:ptCount val="31"/>
                <c:pt idx="20" formatCode="#,##0">
                  <c:v>518</c:v>
                </c:pt>
                <c:pt idx="21" formatCode="#,##0">
                  <c:v>832</c:v>
                </c:pt>
                <c:pt idx="22" formatCode="#,##0">
                  <c:v>937</c:v>
                </c:pt>
                <c:pt idx="23" formatCode="#,##0">
                  <c:v>1008</c:v>
                </c:pt>
                <c:pt idx="24" formatCode="#,##0">
                  <c:v>1000</c:v>
                </c:pt>
                <c:pt idx="25" formatCode="#,##0">
                  <c:v>756</c:v>
                </c:pt>
                <c:pt idx="26" formatCode="#,##0">
                  <c:v>1124</c:v>
                </c:pt>
                <c:pt idx="27" formatCode="#,##0">
                  <c:v>1267</c:v>
                </c:pt>
                <c:pt idx="28" formatCode="#,##0">
                  <c:v>887</c:v>
                </c:pt>
                <c:pt idx="29" formatCode="#,##0">
                  <c:v>693</c:v>
                </c:pt>
                <c:pt idx="30" formatCode="#,##0">
                  <c:v>1092</c:v>
                </c:pt>
              </c:numCache>
            </c:numRef>
          </c:val>
          <c:smooth val="0"/>
          <c:extLst>
            <c:ext xmlns:c16="http://schemas.microsoft.com/office/drawing/2014/chart" uri="{C3380CC4-5D6E-409C-BE32-E72D297353CC}">
              <c16:uniqueId val="{00000001-F78A-4DA2-93B8-31D606FE8F88}"/>
            </c:ext>
          </c:extLst>
        </c:ser>
        <c:ser>
          <c:idx val="2"/>
          <c:order val="2"/>
          <c:tx>
            <c:strRef>
              <c:f>drug!$W$1:$W$2</c:f>
              <c:strCache>
                <c:ptCount val="1"/>
                <c:pt idx="0">
                  <c:v>DACLIZUMAB</c:v>
                </c:pt>
              </c:strCache>
            </c:strRef>
          </c:tx>
          <c:spPr>
            <a:ln w="28575" cap="rnd">
              <a:solidFill>
                <a:schemeClr val="accent3"/>
              </a:solidFill>
              <a:round/>
            </a:ln>
            <a:effectLst/>
          </c:spPr>
          <c:marker>
            <c:symbol val="none"/>
          </c:marker>
          <c:cat>
            <c:strRef>
              <c:f>drug!$T$3:$T$34</c:f>
              <c:strCache>
                <c:ptCount val="31"/>
                <c:pt idx="0">
                  <c:v>2014Q1</c:v>
                </c:pt>
                <c:pt idx="1">
                  <c:v>2014Q2</c:v>
                </c:pt>
                <c:pt idx="2">
                  <c:v>2014Q3</c:v>
                </c:pt>
                <c:pt idx="3">
                  <c:v>2014Q4</c:v>
                </c:pt>
                <c:pt idx="4">
                  <c:v>2015Q1</c:v>
                </c:pt>
                <c:pt idx="5">
                  <c:v>2015Q2</c:v>
                </c:pt>
                <c:pt idx="6">
                  <c:v>2015Q3</c:v>
                </c:pt>
                <c:pt idx="7">
                  <c:v>2015Q4</c:v>
                </c:pt>
                <c:pt idx="8">
                  <c:v>2016Q1</c:v>
                </c:pt>
                <c:pt idx="9">
                  <c:v>2016Q2</c:v>
                </c:pt>
                <c:pt idx="10">
                  <c:v>2016Q3</c:v>
                </c:pt>
                <c:pt idx="11">
                  <c:v>2016Q4</c:v>
                </c:pt>
                <c:pt idx="12">
                  <c:v>2017Q1</c:v>
                </c:pt>
                <c:pt idx="13">
                  <c:v>2017Q2</c:v>
                </c:pt>
                <c:pt idx="14">
                  <c:v>2017Q3</c:v>
                </c:pt>
                <c:pt idx="15">
                  <c:v>2017Q4</c:v>
                </c:pt>
                <c:pt idx="16">
                  <c:v>2018Q1</c:v>
                </c:pt>
                <c:pt idx="17">
                  <c:v>2018Q2</c:v>
                </c:pt>
                <c:pt idx="18">
                  <c:v>2018Q3</c:v>
                </c:pt>
                <c:pt idx="19">
                  <c:v>2018Q4</c:v>
                </c:pt>
                <c:pt idx="20">
                  <c:v>2019Q1</c:v>
                </c:pt>
                <c:pt idx="21">
                  <c:v>2019Q2</c:v>
                </c:pt>
                <c:pt idx="22">
                  <c:v>2019Q3</c:v>
                </c:pt>
                <c:pt idx="23">
                  <c:v>2019Q4</c:v>
                </c:pt>
                <c:pt idx="24">
                  <c:v>2020Q1</c:v>
                </c:pt>
                <c:pt idx="25">
                  <c:v>2020Q2</c:v>
                </c:pt>
                <c:pt idx="26">
                  <c:v>2020Q3</c:v>
                </c:pt>
                <c:pt idx="27">
                  <c:v>2020Q4</c:v>
                </c:pt>
                <c:pt idx="28">
                  <c:v>2021Q1</c:v>
                </c:pt>
                <c:pt idx="29">
                  <c:v>2021Q2</c:v>
                </c:pt>
                <c:pt idx="30">
                  <c:v>2021Q3</c:v>
                </c:pt>
              </c:strCache>
            </c:strRef>
          </c:cat>
          <c:val>
            <c:numRef>
              <c:f>drug!$W$3:$W$34</c:f>
              <c:numCache>
                <c:formatCode>General</c:formatCode>
                <c:ptCount val="31"/>
                <c:pt idx="13" formatCode="#,##0">
                  <c:v>133</c:v>
                </c:pt>
                <c:pt idx="14" formatCode="#,##0">
                  <c:v>266</c:v>
                </c:pt>
                <c:pt idx="15" formatCode="#,##0">
                  <c:v>280</c:v>
                </c:pt>
                <c:pt idx="16" formatCode="#,##0">
                  <c:v>203</c:v>
                </c:pt>
                <c:pt idx="17" formatCode="#,##0">
                  <c:v>2</c:v>
                </c:pt>
              </c:numCache>
            </c:numRef>
          </c:val>
          <c:smooth val="0"/>
          <c:extLst>
            <c:ext xmlns:c16="http://schemas.microsoft.com/office/drawing/2014/chart" uri="{C3380CC4-5D6E-409C-BE32-E72D297353CC}">
              <c16:uniqueId val="{00000002-F78A-4DA2-93B8-31D606FE8F88}"/>
            </c:ext>
          </c:extLst>
        </c:ser>
        <c:ser>
          <c:idx val="3"/>
          <c:order val="3"/>
          <c:tx>
            <c:strRef>
              <c:f>drug!$X$1:$X$2</c:f>
              <c:strCache>
                <c:ptCount val="1"/>
                <c:pt idx="0">
                  <c:v>DIMETHYL FUMARATE</c:v>
                </c:pt>
              </c:strCache>
            </c:strRef>
          </c:tx>
          <c:spPr>
            <a:ln w="28575" cap="rnd">
              <a:solidFill>
                <a:schemeClr val="accent4"/>
              </a:solidFill>
              <a:round/>
            </a:ln>
            <a:effectLst/>
          </c:spPr>
          <c:marker>
            <c:symbol val="none"/>
          </c:marker>
          <c:cat>
            <c:strRef>
              <c:f>drug!$T$3:$T$34</c:f>
              <c:strCache>
                <c:ptCount val="31"/>
                <c:pt idx="0">
                  <c:v>2014Q1</c:v>
                </c:pt>
                <c:pt idx="1">
                  <c:v>2014Q2</c:v>
                </c:pt>
                <c:pt idx="2">
                  <c:v>2014Q3</c:v>
                </c:pt>
                <c:pt idx="3">
                  <c:v>2014Q4</c:v>
                </c:pt>
                <c:pt idx="4">
                  <c:v>2015Q1</c:v>
                </c:pt>
                <c:pt idx="5">
                  <c:v>2015Q2</c:v>
                </c:pt>
                <c:pt idx="6">
                  <c:v>2015Q3</c:v>
                </c:pt>
                <c:pt idx="7">
                  <c:v>2015Q4</c:v>
                </c:pt>
                <c:pt idx="8">
                  <c:v>2016Q1</c:v>
                </c:pt>
                <c:pt idx="9">
                  <c:v>2016Q2</c:v>
                </c:pt>
                <c:pt idx="10">
                  <c:v>2016Q3</c:v>
                </c:pt>
                <c:pt idx="11">
                  <c:v>2016Q4</c:v>
                </c:pt>
                <c:pt idx="12">
                  <c:v>2017Q1</c:v>
                </c:pt>
                <c:pt idx="13">
                  <c:v>2017Q2</c:v>
                </c:pt>
                <c:pt idx="14">
                  <c:v>2017Q3</c:v>
                </c:pt>
                <c:pt idx="15">
                  <c:v>2017Q4</c:v>
                </c:pt>
                <c:pt idx="16">
                  <c:v>2018Q1</c:v>
                </c:pt>
                <c:pt idx="17">
                  <c:v>2018Q2</c:v>
                </c:pt>
                <c:pt idx="18">
                  <c:v>2018Q3</c:v>
                </c:pt>
                <c:pt idx="19">
                  <c:v>2018Q4</c:v>
                </c:pt>
                <c:pt idx="20">
                  <c:v>2019Q1</c:v>
                </c:pt>
                <c:pt idx="21">
                  <c:v>2019Q2</c:v>
                </c:pt>
                <c:pt idx="22">
                  <c:v>2019Q3</c:v>
                </c:pt>
                <c:pt idx="23">
                  <c:v>2019Q4</c:v>
                </c:pt>
                <c:pt idx="24">
                  <c:v>2020Q1</c:v>
                </c:pt>
                <c:pt idx="25">
                  <c:v>2020Q2</c:v>
                </c:pt>
                <c:pt idx="26">
                  <c:v>2020Q3</c:v>
                </c:pt>
                <c:pt idx="27">
                  <c:v>2020Q4</c:v>
                </c:pt>
                <c:pt idx="28">
                  <c:v>2021Q1</c:v>
                </c:pt>
                <c:pt idx="29">
                  <c:v>2021Q2</c:v>
                </c:pt>
                <c:pt idx="30">
                  <c:v>2021Q3</c:v>
                </c:pt>
              </c:strCache>
            </c:strRef>
          </c:cat>
          <c:val>
            <c:numRef>
              <c:f>drug!$X$3:$X$34</c:f>
              <c:numCache>
                <c:formatCode>#,##0</c:formatCode>
                <c:ptCount val="31"/>
                <c:pt idx="0">
                  <c:v>3584</c:v>
                </c:pt>
                <c:pt idx="1">
                  <c:v>4983</c:v>
                </c:pt>
                <c:pt idx="2">
                  <c:v>5695</c:v>
                </c:pt>
                <c:pt idx="3">
                  <c:v>6254</c:v>
                </c:pt>
                <c:pt idx="4">
                  <c:v>5898</c:v>
                </c:pt>
                <c:pt idx="5">
                  <c:v>6233</c:v>
                </c:pt>
                <c:pt idx="6">
                  <c:v>6338</c:v>
                </c:pt>
                <c:pt idx="7">
                  <c:v>6463</c:v>
                </c:pt>
                <c:pt idx="8">
                  <c:v>6196</c:v>
                </c:pt>
                <c:pt idx="9">
                  <c:v>6308</c:v>
                </c:pt>
                <c:pt idx="10">
                  <c:v>6454</c:v>
                </c:pt>
                <c:pt idx="11">
                  <c:v>6595</c:v>
                </c:pt>
                <c:pt idx="12">
                  <c:v>6257</c:v>
                </c:pt>
                <c:pt idx="13">
                  <c:v>6559</c:v>
                </c:pt>
                <c:pt idx="14">
                  <c:v>6588</c:v>
                </c:pt>
                <c:pt idx="15">
                  <c:v>6758</c:v>
                </c:pt>
                <c:pt idx="16">
                  <c:v>6148</c:v>
                </c:pt>
                <c:pt idx="17">
                  <c:v>6437</c:v>
                </c:pt>
                <c:pt idx="18">
                  <c:v>6154</c:v>
                </c:pt>
                <c:pt idx="19">
                  <c:v>6348</c:v>
                </c:pt>
                <c:pt idx="20">
                  <c:v>5895</c:v>
                </c:pt>
                <c:pt idx="21">
                  <c:v>5946</c:v>
                </c:pt>
                <c:pt idx="22">
                  <c:v>6029</c:v>
                </c:pt>
                <c:pt idx="23">
                  <c:v>6193</c:v>
                </c:pt>
                <c:pt idx="24">
                  <c:v>6367</c:v>
                </c:pt>
                <c:pt idx="25">
                  <c:v>5633</c:v>
                </c:pt>
                <c:pt idx="26">
                  <c:v>6268</c:v>
                </c:pt>
                <c:pt idx="27">
                  <c:v>6219</c:v>
                </c:pt>
                <c:pt idx="28">
                  <c:v>5900</c:v>
                </c:pt>
                <c:pt idx="29">
                  <c:v>5945</c:v>
                </c:pt>
                <c:pt idx="30">
                  <c:v>6097</c:v>
                </c:pt>
              </c:numCache>
            </c:numRef>
          </c:val>
          <c:smooth val="0"/>
          <c:extLst>
            <c:ext xmlns:c16="http://schemas.microsoft.com/office/drawing/2014/chart" uri="{C3380CC4-5D6E-409C-BE32-E72D297353CC}">
              <c16:uniqueId val="{00000003-F78A-4DA2-93B8-31D606FE8F88}"/>
            </c:ext>
          </c:extLst>
        </c:ser>
        <c:ser>
          <c:idx val="4"/>
          <c:order val="4"/>
          <c:tx>
            <c:strRef>
              <c:f>drug!$Y$1:$Y$2</c:f>
              <c:strCache>
                <c:ptCount val="1"/>
                <c:pt idx="0">
                  <c:v>FINGOLIMOD</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drug!$T$3:$T$34</c:f>
              <c:strCache>
                <c:ptCount val="31"/>
                <c:pt idx="0">
                  <c:v>2014Q1</c:v>
                </c:pt>
                <c:pt idx="1">
                  <c:v>2014Q2</c:v>
                </c:pt>
                <c:pt idx="2">
                  <c:v>2014Q3</c:v>
                </c:pt>
                <c:pt idx="3">
                  <c:v>2014Q4</c:v>
                </c:pt>
                <c:pt idx="4">
                  <c:v>2015Q1</c:v>
                </c:pt>
                <c:pt idx="5">
                  <c:v>2015Q2</c:v>
                </c:pt>
                <c:pt idx="6">
                  <c:v>2015Q3</c:v>
                </c:pt>
                <c:pt idx="7">
                  <c:v>2015Q4</c:v>
                </c:pt>
                <c:pt idx="8">
                  <c:v>2016Q1</c:v>
                </c:pt>
                <c:pt idx="9">
                  <c:v>2016Q2</c:v>
                </c:pt>
                <c:pt idx="10">
                  <c:v>2016Q3</c:v>
                </c:pt>
                <c:pt idx="11">
                  <c:v>2016Q4</c:v>
                </c:pt>
                <c:pt idx="12">
                  <c:v>2017Q1</c:v>
                </c:pt>
                <c:pt idx="13">
                  <c:v>2017Q2</c:v>
                </c:pt>
                <c:pt idx="14">
                  <c:v>2017Q3</c:v>
                </c:pt>
                <c:pt idx="15">
                  <c:v>2017Q4</c:v>
                </c:pt>
                <c:pt idx="16">
                  <c:v>2018Q1</c:v>
                </c:pt>
                <c:pt idx="17">
                  <c:v>2018Q2</c:v>
                </c:pt>
                <c:pt idx="18">
                  <c:v>2018Q3</c:v>
                </c:pt>
                <c:pt idx="19">
                  <c:v>2018Q4</c:v>
                </c:pt>
                <c:pt idx="20">
                  <c:v>2019Q1</c:v>
                </c:pt>
                <c:pt idx="21">
                  <c:v>2019Q2</c:v>
                </c:pt>
                <c:pt idx="22">
                  <c:v>2019Q3</c:v>
                </c:pt>
                <c:pt idx="23">
                  <c:v>2019Q4</c:v>
                </c:pt>
                <c:pt idx="24">
                  <c:v>2020Q1</c:v>
                </c:pt>
                <c:pt idx="25">
                  <c:v>2020Q2</c:v>
                </c:pt>
                <c:pt idx="26">
                  <c:v>2020Q3</c:v>
                </c:pt>
                <c:pt idx="27">
                  <c:v>2020Q4</c:v>
                </c:pt>
                <c:pt idx="28">
                  <c:v>2021Q1</c:v>
                </c:pt>
                <c:pt idx="29">
                  <c:v>2021Q2</c:v>
                </c:pt>
                <c:pt idx="30">
                  <c:v>2021Q3</c:v>
                </c:pt>
              </c:strCache>
            </c:strRef>
          </c:cat>
          <c:val>
            <c:numRef>
              <c:f>drug!$Y$3:$Y$34</c:f>
              <c:numCache>
                <c:formatCode>#,##0</c:formatCode>
                <c:ptCount val="31"/>
                <c:pt idx="0">
                  <c:v>12121</c:v>
                </c:pt>
                <c:pt idx="1">
                  <c:v>13285</c:v>
                </c:pt>
                <c:pt idx="2">
                  <c:v>14088</c:v>
                </c:pt>
                <c:pt idx="3">
                  <c:v>15047</c:v>
                </c:pt>
                <c:pt idx="4">
                  <c:v>14359</c:v>
                </c:pt>
                <c:pt idx="5">
                  <c:v>15256</c:v>
                </c:pt>
                <c:pt idx="6">
                  <c:v>15703</c:v>
                </c:pt>
                <c:pt idx="7">
                  <c:v>16423</c:v>
                </c:pt>
                <c:pt idx="8">
                  <c:v>15390</c:v>
                </c:pt>
                <c:pt idx="9">
                  <c:v>16051</c:v>
                </c:pt>
                <c:pt idx="10">
                  <c:v>16240</c:v>
                </c:pt>
                <c:pt idx="11">
                  <c:v>16792</c:v>
                </c:pt>
                <c:pt idx="12">
                  <c:v>16297</c:v>
                </c:pt>
                <c:pt idx="13">
                  <c:v>16606</c:v>
                </c:pt>
                <c:pt idx="14">
                  <c:v>16721</c:v>
                </c:pt>
                <c:pt idx="15">
                  <c:v>16890</c:v>
                </c:pt>
                <c:pt idx="16">
                  <c:v>16057</c:v>
                </c:pt>
                <c:pt idx="17">
                  <c:v>16080</c:v>
                </c:pt>
                <c:pt idx="18">
                  <c:v>15503</c:v>
                </c:pt>
                <c:pt idx="19">
                  <c:v>15741</c:v>
                </c:pt>
                <c:pt idx="20">
                  <c:v>14529</c:v>
                </c:pt>
                <c:pt idx="21">
                  <c:v>14860</c:v>
                </c:pt>
                <c:pt idx="22">
                  <c:v>14769</c:v>
                </c:pt>
                <c:pt idx="23">
                  <c:v>14797</c:v>
                </c:pt>
                <c:pt idx="24">
                  <c:v>15163</c:v>
                </c:pt>
                <c:pt idx="25">
                  <c:v>12684</c:v>
                </c:pt>
                <c:pt idx="26">
                  <c:v>13827</c:v>
                </c:pt>
                <c:pt idx="27">
                  <c:v>13674</c:v>
                </c:pt>
                <c:pt idx="28">
                  <c:v>12723</c:v>
                </c:pt>
                <c:pt idx="29">
                  <c:v>12649</c:v>
                </c:pt>
                <c:pt idx="30">
                  <c:v>12523</c:v>
                </c:pt>
              </c:numCache>
            </c:numRef>
          </c:val>
          <c:smooth val="0"/>
          <c:extLst>
            <c:ext xmlns:c16="http://schemas.microsoft.com/office/drawing/2014/chart" uri="{C3380CC4-5D6E-409C-BE32-E72D297353CC}">
              <c16:uniqueId val="{00000004-F78A-4DA2-93B8-31D606FE8F88}"/>
            </c:ext>
          </c:extLst>
        </c:ser>
        <c:ser>
          <c:idx val="5"/>
          <c:order val="5"/>
          <c:tx>
            <c:strRef>
              <c:f>drug!$Z$1:$Z$2</c:f>
              <c:strCache>
                <c:ptCount val="1"/>
                <c:pt idx="0">
                  <c:v>GLATIRAMER ACETATE</c:v>
                </c:pt>
              </c:strCache>
            </c:strRef>
          </c:tx>
          <c:spPr>
            <a:ln w="28575" cap="rnd">
              <a:solidFill>
                <a:schemeClr val="accent6"/>
              </a:solidFill>
              <a:round/>
            </a:ln>
            <a:effectLst/>
          </c:spPr>
          <c:marker>
            <c:symbol val="none"/>
          </c:marker>
          <c:cat>
            <c:strRef>
              <c:f>drug!$T$3:$T$34</c:f>
              <c:strCache>
                <c:ptCount val="31"/>
                <c:pt idx="0">
                  <c:v>2014Q1</c:v>
                </c:pt>
                <c:pt idx="1">
                  <c:v>2014Q2</c:v>
                </c:pt>
                <c:pt idx="2">
                  <c:v>2014Q3</c:v>
                </c:pt>
                <c:pt idx="3">
                  <c:v>2014Q4</c:v>
                </c:pt>
                <c:pt idx="4">
                  <c:v>2015Q1</c:v>
                </c:pt>
                <c:pt idx="5">
                  <c:v>2015Q2</c:v>
                </c:pt>
                <c:pt idx="6">
                  <c:v>2015Q3</c:v>
                </c:pt>
                <c:pt idx="7">
                  <c:v>2015Q4</c:v>
                </c:pt>
                <c:pt idx="8">
                  <c:v>2016Q1</c:v>
                </c:pt>
                <c:pt idx="9">
                  <c:v>2016Q2</c:v>
                </c:pt>
                <c:pt idx="10">
                  <c:v>2016Q3</c:v>
                </c:pt>
                <c:pt idx="11">
                  <c:v>2016Q4</c:v>
                </c:pt>
                <c:pt idx="12">
                  <c:v>2017Q1</c:v>
                </c:pt>
                <c:pt idx="13">
                  <c:v>2017Q2</c:v>
                </c:pt>
                <c:pt idx="14">
                  <c:v>2017Q3</c:v>
                </c:pt>
                <c:pt idx="15">
                  <c:v>2017Q4</c:v>
                </c:pt>
                <c:pt idx="16">
                  <c:v>2018Q1</c:v>
                </c:pt>
                <c:pt idx="17">
                  <c:v>2018Q2</c:v>
                </c:pt>
                <c:pt idx="18">
                  <c:v>2018Q3</c:v>
                </c:pt>
                <c:pt idx="19">
                  <c:v>2018Q4</c:v>
                </c:pt>
                <c:pt idx="20">
                  <c:v>2019Q1</c:v>
                </c:pt>
                <c:pt idx="21">
                  <c:v>2019Q2</c:v>
                </c:pt>
                <c:pt idx="22">
                  <c:v>2019Q3</c:v>
                </c:pt>
                <c:pt idx="23">
                  <c:v>2019Q4</c:v>
                </c:pt>
                <c:pt idx="24">
                  <c:v>2020Q1</c:v>
                </c:pt>
                <c:pt idx="25">
                  <c:v>2020Q2</c:v>
                </c:pt>
                <c:pt idx="26">
                  <c:v>2020Q3</c:v>
                </c:pt>
                <c:pt idx="27">
                  <c:v>2020Q4</c:v>
                </c:pt>
                <c:pt idx="28">
                  <c:v>2021Q1</c:v>
                </c:pt>
                <c:pt idx="29">
                  <c:v>2021Q2</c:v>
                </c:pt>
                <c:pt idx="30">
                  <c:v>2021Q3</c:v>
                </c:pt>
              </c:strCache>
            </c:strRef>
          </c:cat>
          <c:val>
            <c:numRef>
              <c:f>drug!$Z$3:$Z$34</c:f>
              <c:numCache>
                <c:formatCode>#,##0</c:formatCode>
                <c:ptCount val="31"/>
                <c:pt idx="0">
                  <c:v>5295</c:v>
                </c:pt>
                <c:pt idx="1">
                  <c:v>5326</c:v>
                </c:pt>
                <c:pt idx="2">
                  <c:v>5104</c:v>
                </c:pt>
                <c:pt idx="3">
                  <c:v>5097</c:v>
                </c:pt>
                <c:pt idx="4">
                  <c:v>4598</c:v>
                </c:pt>
                <c:pt idx="5">
                  <c:v>4378</c:v>
                </c:pt>
                <c:pt idx="6">
                  <c:v>4674</c:v>
                </c:pt>
                <c:pt idx="7">
                  <c:v>5453</c:v>
                </c:pt>
                <c:pt idx="8">
                  <c:v>5354</c:v>
                </c:pt>
                <c:pt idx="9">
                  <c:v>5534</c:v>
                </c:pt>
                <c:pt idx="10">
                  <c:v>5371</c:v>
                </c:pt>
                <c:pt idx="11">
                  <c:v>5467</c:v>
                </c:pt>
                <c:pt idx="12">
                  <c:v>5109</c:v>
                </c:pt>
                <c:pt idx="13">
                  <c:v>5018</c:v>
                </c:pt>
                <c:pt idx="14">
                  <c:v>4939</c:v>
                </c:pt>
                <c:pt idx="15">
                  <c:v>4962</c:v>
                </c:pt>
                <c:pt idx="16">
                  <c:v>4646</c:v>
                </c:pt>
                <c:pt idx="17">
                  <c:v>4809</c:v>
                </c:pt>
                <c:pt idx="18">
                  <c:v>4637</c:v>
                </c:pt>
                <c:pt idx="19">
                  <c:v>4744</c:v>
                </c:pt>
                <c:pt idx="20">
                  <c:v>4257</c:v>
                </c:pt>
                <c:pt idx="21">
                  <c:v>4510</c:v>
                </c:pt>
                <c:pt idx="22">
                  <c:v>4174</c:v>
                </c:pt>
                <c:pt idx="23">
                  <c:v>4264</c:v>
                </c:pt>
                <c:pt idx="24">
                  <c:v>4271</c:v>
                </c:pt>
                <c:pt idx="25">
                  <c:v>3598</c:v>
                </c:pt>
                <c:pt idx="26">
                  <c:v>3881</c:v>
                </c:pt>
                <c:pt idx="27">
                  <c:v>3823</c:v>
                </c:pt>
                <c:pt idx="28">
                  <c:v>3491</c:v>
                </c:pt>
                <c:pt idx="29">
                  <c:v>3414</c:v>
                </c:pt>
                <c:pt idx="30">
                  <c:v>3508</c:v>
                </c:pt>
              </c:numCache>
            </c:numRef>
          </c:val>
          <c:smooth val="0"/>
          <c:extLst>
            <c:ext xmlns:c16="http://schemas.microsoft.com/office/drawing/2014/chart" uri="{C3380CC4-5D6E-409C-BE32-E72D297353CC}">
              <c16:uniqueId val="{00000005-F78A-4DA2-93B8-31D606FE8F88}"/>
            </c:ext>
          </c:extLst>
        </c:ser>
        <c:ser>
          <c:idx val="6"/>
          <c:order val="6"/>
          <c:tx>
            <c:strRef>
              <c:f>drug!$AA$1:$AA$2</c:f>
              <c:strCache>
                <c:ptCount val="1"/>
                <c:pt idx="0">
                  <c:v>INTERFERON BETA-1A</c:v>
                </c:pt>
              </c:strCache>
            </c:strRef>
          </c:tx>
          <c:spPr>
            <a:ln w="28575" cap="rnd">
              <a:solidFill>
                <a:schemeClr val="accent1">
                  <a:lumMod val="60000"/>
                </a:schemeClr>
              </a:solidFill>
              <a:round/>
            </a:ln>
            <a:effectLst/>
          </c:spPr>
          <c:marker>
            <c:symbol val="none"/>
          </c:marker>
          <c:cat>
            <c:strRef>
              <c:f>drug!$T$3:$T$34</c:f>
              <c:strCache>
                <c:ptCount val="31"/>
                <c:pt idx="0">
                  <c:v>2014Q1</c:v>
                </c:pt>
                <c:pt idx="1">
                  <c:v>2014Q2</c:v>
                </c:pt>
                <c:pt idx="2">
                  <c:v>2014Q3</c:v>
                </c:pt>
                <c:pt idx="3">
                  <c:v>2014Q4</c:v>
                </c:pt>
                <c:pt idx="4">
                  <c:v>2015Q1</c:v>
                </c:pt>
                <c:pt idx="5">
                  <c:v>2015Q2</c:v>
                </c:pt>
                <c:pt idx="6">
                  <c:v>2015Q3</c:v>
                </c:pt>
                <c:pt idx="7">
                  <c:v>2015Q4</c:v>
                </c:pt>
                <c:pt idx="8">
                  <c:v>2016Q1</c:v>
                </c:pt>
                <c:pt idx="9">
                  <c:v>2016Q2</c:v>
                </c:pt>
                <c:pt idx="10">
                  <c:v>2016Q3</c:v>
                </c:pt>
                <c:pt idx="11">
                  <c:v>2016Q4</c:v>
                </c:pt>
                <c:pt idx="12">
                  <c:v>2017Q1</c:v>
                </c:pt>
                <c:pt idx="13">
                  <c:v>2017Q2</c:v>
                </c:pt>
                <c:pt idx="14">
                  <c:v>2017Q3</c:v>
                </c:pt>
                <c:pt idx="15">
                  <c:v>2017Q4</c:v>
                </c:pt>
                <c:pt idx="16">
                  <c:v>2018Q1</c:v>
                </c:pt>
                <c:pt idx="17">
                  <c:v>2018Q2</c:v>
                </c:pt>
                <c:pt idx="18">
                  <c:v>2018Q3</c:v>
                </c:pt>
                <c:pt idx="19">
                  <c:v>2018Q4</c:v>
                </c:pt>
                <c:pt idx="20">
                  <c:v>2019Q1</c:v>
                </c:pt>
                <c:pt idx="21">
                  <c:v>2019Q2</c:v>
                </c:pt>
                <c:pt idx="22">
                  <c:v>2019Q3</c:v>
                </c:pt>
                <c:pt idx="23">
                  <c:v>2019Q4</c:v>
                </c:pt>
                <c:pt idx="24">
                  <c:v>2020Q1</c:v>
                </c:pt>
                <c:pt idx="25">
                  <c:v>2020Q2</c:v>
                </c:pt>
                <c:pt idx="26">
                  <c:v>2020Q3</c:v>
                </c:pt>
                <c:pt idx="27">
                  <c:v>2020Q4</c:v>
                </c:pt>
                <c:pt idx="28">
                  <c:v>2021Q1</c:v>
                </c:pt>
                <c:pt idx="29">
                  <c:v>2021Q2</c:v>
                </c:pt>
                <c:pt idx="30">
                  <c:v>2021Q3</c:v>
                </c:pt>
              </c:strCache>
            </c:strRef>
          </c:cat>
          <c:val>
            <c:numRef>
              <c:f>drug!$AA$3:$AA$34</c:f>
              <c:numCache>
                <c:formatCode>#,##0</c:formatCode>
                <c:ptCount val="31"/>
                <c:pt idx="0">
                  <c:v>6721</c:v>
                </c:pt>
                <c:pt idx="1">
                  <c:v>6518</c:v>
                </c:pt>
                <c:pt idx="2">
                  <c:v>6143</c:v>
                </c:pt>
                <c:pt idx="3">
                  <c:v>6072</c:v>
                </c:pt>
                <c:pt idx="4">
                  <c:v>5351</c:v>
                </c:pt>
                <c:pt idx="5">
                  <c:v>5025</c:v>
                </c:pt>
                <c:pt idx="6">
                  <c:v>4650</c:v>
                </c:pt>
                <c:pt idx="7">
                  <c:v>4532</c:v>
                </c:pt>
                <c:pt idx="8">
                  <c:v>4052</c:v>
                </c:pt>
                <c:pt idx="9">
                  <c:v>4003</c:v>
                </c:pt>
                <c:pt idx="10">
                  <c:v>3784</c:v>
                </c:pt>
                <c:pt idx="11">
                  <c:v>3737</c:v>
                </c:pt>
                <c:pt idx="12">
                  <c:v>3369</c:v>
                </c:pt>
                <c:pt idx="13">
                  <c:v>3285</c:v>
                </c:pt>
                <c:pt idx="14">
                  <c:v>3188</c:v>
                </c:pt>
                <c:pt idx="15">
                  <c:v>3183</c:v>
                </c:pt>
                <c:pt idx="16">
                  <c:v>2860</c:v>
                </c:pt>
                <c:pt idx="17">
                  <c:v>2879</c:v>
                </c:pt>
                <c:pt idx="18">
                  <c:v>2697</c:v>
                </c:pt>
                <c:pt idx="19">
                  <c:v>2668</c:v>
                </c:pt>
                <c:pt idx="20">
                  <c:v>2397</c:v>
                </c:pt>
                <c:pt idx="21">
                  <c:v>2383</c:v>
                </c:pt>
                <c:pt idx="22">
                  <c:v>2249</c:v>
                </c:pt>
                <c:pt idx="23">
                  <c:v>2283</c:v>
                </c:pt>
                <c:pt idx="24">
                  <c:v>2204</c:v>
                </c:pt>
                <c:pt idx="25">
                  <c:v>1884</c:v>
                </c:pt>
                <c:pt idx="26">
                  <c:v>2036</c:v>
                </c:pt>
                <c:pt idx="27">
                  <c:v>2006</c:v>
                </c:pt>
                <c:pt idx="28">
                  <c:v>1734</c:v>
                </c:pt>
                <c:pt idx="29">
                  <c:v>1707</c:v>
                </c:pt>
                <c:pt idx="30">
                  <c:v>1660</c:v>
                </c:pt>
              </c:numCache>
            </c:numRef>
          </c:val>
          <c:smooth val="0"/>
          <c:extLst>
            <c:ext xmlns:c16="http://schemas.microsoft.com/office/drawing/2014/chart" uri="{C3380CC4-5D6E-409C-BE32-E72D297353CC}">
              <c16:uniqueId val="{00000006-F78A-4DA2-93B8-31D606FE8F88}"/>
            </c:ext>
          </c:extLst>
        </c:ser>
        <c:ser>
          <c:idx val="7"/>
          <c:order val="7"/>
          <c:tx>
            <c:strRef>
              <c:f>drug!$AB$1:$AB$2</c:f>
              <c:strCache>
                <c:ptCount val="1"/>
                <c:pt idx="0">
                  <c:v>INTERFERON BETA-1B</c:v>
                </c:pt>
              </c:strCache>
            </c:strRef>
          </c:tx>
          <c:spPr>
            <a:ln w="28575" cap="rnd">
              <a:solidFill>
                <a:schemeClr val="accent2">
                  <a:lumMod val="60000"/>
                </a:schemeClr>
              </a:solidFill>
              <a:round/>
            </a:ln>
            <a:effectLst/>
          </c:spPr>
          <c:marker>
            <c:symbol val="none"/>
          </c:marker>
          <c:cat>
            <c:strRef>
              <c:f>drug!$T$3:$T$34</c:f>
              <c:strCache>
                <c:ptCount val="31"/>
                <c:pt idx="0">
                  <c:v>2014Q1</c:v>
                </c:pt>
                <c:pt idx="1">
                  <c:v>2014Q2</c:v>
                </c:pt>
                <c:pt idx="2">
                  <c:v>2014Q3</c:v>
                </c:pt>
                <c:pt idx="3">
                  <c:v>2014Q4</c:v>
                </c:pt>
                <c:pt idx="4">
                  <c:v>2015Q1</c:v>
                </c:pt>
                <c:pt idx="5">
                  <c:v>2015Q2</c:v>
                </c:pt>
                <c:pt idx="6">
                  <c:v>2015Q3</c:v>
                </c:pt>
                <c:pt idx="7">
                  <c:v>2015Q4</c:v>
                </c:pt>
                <c:pt idx="8">
                  <c:v>2016Q1</c:v>
                </c:pt>
                <c:pt idx="9">
                  <c:v>2016Q2</c:v>
                </c:pt>
                <c:pt idx="10">
                  <c:v>2016Q3</c:v>
                </c:pt>
                <c:pt idx="11">
                  <c:v>2016Q4</c:v>
                </c:pt>
                <c:pt idx="12">
                  <c:v>2017Q1</c:v>
                </c:pt>
                <c:pt idx="13">
                  <c:v>2017Q2</c:v>
                </c:pt>
                <c:pt idx="14">
                  <c:v>2017Q3</c:v>
                </c:pt>
                <c:pt idx="15">
                  <c:v>2017Q4</c:v>
                </c:pt>
                <c:pt idx="16">
                  <c:v>2018Q1</c:v>
                </c:pt>
                <c:pt idx="17">
                  <c:v>2018Q2</c:v>
                </c:pt>
                <c:pt idx="18">
                  <c:v>2018Q3</c:v>
                </c:pt>
                <c:pt idx="19">
                  <c:v>2018Q4</c:v>
                </c:pt>
                <c:pt idx="20">
                  <c:v>2019Q1</c:v>
                </c:pt>
                <c:pt idx="21">
                  <c:v>2019Q2</c:v>
                </c:pt>
                <c:pt idx="22">
                  <c:v>2019Q3</c:v>
                </c:pt>
                <c:pt idx="23">
                  <c:v>2019Q4</c:v>
                </c:pt>
                <c:pt idx="24">
                  <c:v>2020Q1</c:v>
                </c:pt>
                <c:pt idx="25">
                  <c:v>2020Q2</c:v>
                </c:pt>
                <c:pt idx="26">
                  <c:v>2020Q3</c:v>
                </c:pt>
                <c:pt idx="27">
                  <c:v>2020Q4</c:v>
                </c:pt>
                <c:pt idx="28">
                  <c:v>2021Q1</c:v>
                </c:pt>
                <c:pt idx="29">
                  <c:v>2021Q2</c:v>
                </c:pt>
                <c:pt idx="30">
                  <c:v>2021Q3</c:v>
                </c:pt>
              </c:strCache>
            </c:strRef>
          </c:cat>
          <c:val>
            <c:numRef>
              <c:f>drug!$AB$3:$AB$34</c:f>
              <c:numCache>
                <c:formatCode>#,##0</c:formatCode>
                <c:ptCount val="31"/>
                <c:pt idx="0">
                  <c:v>4085</c:v>
                </c:pt>
                <c:pt idx="1">
                  <c:v>4066</c:v>
                </c:pt>
                <c:pt idx="2">
                  <c:v>3753</c:v>
                </c:pt>
                <c:pt idx="3">
                  <c:v>3754</c:v>
                </c:pt>
                <c:pt idx="4">
                  <c:v>3225</c:v>
                </c:pt>
                <c:pt idx="5">
                  <c:v>3166</c:v>
                </c:pt>
                <c:pt idx="6">
                  <c:v>2982</c:v>
                </c:pt>
                <c:pt idx="7">
                  <c:v>2885</c:v>
                </c:pt>
                <c:pt idx="8">
                  <c:v>2500</c:v>
                </c:pt>
                <c:pt idx="9">
                  <c:v>2441</c:v>
                </c:pt>
                <c:pt idx="10">
                  <c:v>2384</c:v>
                </c:pt>
                <c:pt idx="11">
                  <c:v>2412</c:v>
                </c:pt>
                <c:pt idx="12">
                  <c:v>2044</c:v>
                </c:pt>
                <c:pt idx="13">
                  <c:v>2088</c:v>
                </c:pt>
                <c:pt idx="14">
                  <c:v>1975</c:v>
                </c:pt>
                <c:pt idx="15">
                  <c:v>2011</c:v>
                </c:pt>
                <c:pt idx="16">
                  <c:v>1733</c:v>
                </c:pt>
                <c:pt idx="17">
                  <c:v>1720</c:v>
                </c:pt>
                <c:pt idx="18">
                  <c:v>1647</c:v>
                </c:pt>
                <c:pt idx="19">
                  <c:v>1684</c:v>
                </c:pt>
                <c:pt idx="20">
                  <c:v>1399</c:v>
                </c:pt>
                <c:pt idx="21">
                  <c:v>1437</c:v>
                </c:pt>
                <c:pt idx="22">
                  <c:v>1359</c:v>
                </c:pt>
                <c:pt idx="23">
                  <c:v>1380</c:v>
                </c:pt>
                <c:pt idx="24">
                  <c:v>1267</c:v>
                </c:pt>
                <c:pt idx="25">
                  <c:v>1078</c:v>
                </c:pt>
                <c:pt idx="26">
                  <c:v>1148</c:v>
                </c:pt>
                <c:pt idx="27">
                  <c:v>1164</c:v>
                </c:pt>
                <c:pt idx="28">
                  <c:v>982</c:v>
                </c:pt>
                <c:pt idx="29">
                  <c:v>956</c:v>
                </c:pt>
                <c:pt idx="30">
                  <c:v>951</c:v>
                </c:pt>
              </c:numCache>
            </c:numRef>
          </c:val>
          <c:smooth val="0"/>
          <c:extLst>
            <c:ext xmlns:c16="http://schemas.microsoft.com/office/drawing/2014/chart" uri="{C3380CC4-5D6E-409C-BE32-E72D297353CC}">
              <c16:uniqueId val="{00000007-F78A-4DA2-93B8-31D606FE8F88}"/>
            </c:ext>
          </c:extLst>
        </c:ser>
        <c:ser>
          <c:idx val="8"/>
          <c:order val="8"/>
          <c:tx>
            <c:strRef>
              <c:f>drug!$AC$1:$AC$2</c:f>
              <c:strCache>
                <c:ptCount val="1"/>
                <c:pt idx="0">
                  <c:v>NATALIZUMAB</c:v>
                </c:pt>
              </c:strCache>
            </c:strRef>
          </c:tx>
          <c:spPr>
            <a:ln w="28575" cap="rnd">
              <a:solidFill>
                <a:schemeClr val="accent3">
                  <a:lumMod val="60000"/>
                </a:schemeClr>
              </a:solidFill>
              <a:round/>
            </a:ln>
            <a:effectLst/>
          </c:spPr>
          <c:marker>
            <c:symbol val="none"/>
          </c:marker>
          <c:cat>
            <c:strRef>
              <c:f>drug!$T$3:$T$34</c:f>
              <c:strCache>
                <c:ptCount val="31"/>
                <c:pt idx="0">
                  <c:v>2014Q1</c:v>
                </c:pt>
                <c:pt idx="1">
                  <c:v>2014Q2</c:v>
                </c:pt>
                <c:pt idx="2">
                  <c:v>2014Q3</c:v>
                </c:pt>
                <c:pt idx="3">
                  <c:v>2014Q4</c:v>
                </c:pt>
                <c:pt idx="4">
                  <c:v>2015Q1</c:v>
                </c:pt>
                <c:pt idx="5">
                  <c:v>2015Q2</c:v>
                </c:pt>
                <c:pt idx="6">
                  <c:v>2015Q3</c:v>
                </c:pt>
                <c:pt idx="7">
                  <c:v>2015Q4</c:v>
                </c:pt>
                <c:pt idx="8">
                  <c:v>2016Q1</c:v>
                </c:pt>
                <c:pt idx="9">
                  <c:v>2016Q2</c:v>
                </c:pt>
                <c:pt idx="10">
                  <c:v>2016Q3</c:v>
                </c:pt>
                <c:pt idx="11">
                  <c:v>2016Q4</c:v>
                </c:pt>
                <c:pt idx="12">
                  <c:v>2017Q1</c:v>
                </c:pt>
                <c:pt idx="13">
                  <c:v>2017Q2</c:v>
                </c:pt>
                <c:pt idx="14">
                  <c:v>2017Q3</c:v>
                </c:pt>
                <c:pt idx="15">
                  <c:v>2017Q4</c:v>
                </c:pt>
                <c:pt idx="16">
                  <c:v>2018Q1</c:v>
                </c:pt>
                <c:pt idx="17">
                  <c:v>2018Q2</c:v>
                </c:pt>
                <c:pt idx="18">
                  <c:v>2018Q3</c:v>
                </c:pt>
                <c:pt idx="19">
                  <c:v>2018Q4</c:v>
                </c:pt>
                <c:pt idx="20">
                  <c:v>2019Q1</c:v>
                </c:pt>
                <c:pt idx="21">
                  <c:v>2019Q2</c:v>
                </c:pt>
                <c:pt idx="22">
                  <c:v>2019Q3</c:v>
                </c:pt>
                <c:pt idx="23">
                  <c:v>2019Q4</c:v>
                </c:pt>
                <c:pt idx="24">
                  <c:v>2020Q1</c:v>
                </c:pt>
                <c:pt idx="25">
                  <c:v>2020Q2</c:v>
                </c:pt>
                <c:pt idx="26">
                  <c:v>2020Q3</c:v>
                </c:pt>
                <c:pt idx="27">
                  <c:v>2020Q4</c:v>
                </c:pt>
                <c:pt idx="28">
                  <c:v>2021Q1</c:v>
                </c:pt>
                <c:pt idx="29">
                  <c:v>2021Q2</c:v>
                </c:pt>
                <c:pt idx="30">
                  <c:v>2021Q3</c:v>
                </c:pt>
              </c:strCache>
            </c:strRef>
          </c:cat>
          <c:val>
            <c:numRef>
              <c:f>drug!$AC$3:$AC$34</c:f>
              <c:numCache>
                <c:formatCode>#,##0</c:formatCode>
                <c:ptCount val="31"/>
                <c:pt idx="0">
                  <c:v>5407</c:v>
                </c:pt>
                <c:pt idx="1">
                  <c:v>5742</c:v>
                </c:pt>
                <c:pt idx="2">
                  <c:v>5865</c:v>
                </c:pt>
                <c:pt idx="3">
                  <c:v>6043</c:v>
                </c:pt>
                <c:pt idx="4">
                  <c:v>6159</c:v>
                </c:pt>
                <c:pt idx="5">
                  <c:v>6212</c:v>
                </c:pt>
                <c:pt idx="6">
                  <c:v>6399</c:v>
                </c:pt>
                <c:pt idx="7">
                  <c:v>6421</c:v>
                </c:pt>
                <c:pt idx="8">
                  <c:v>6463</c:v>
                </c:pt>
                <c:pt idx="9">
                  <c:v>6805</c:v>
                </c:pt>
                <c:pt idx="10">
                  <c:v>7031</c:v>
                </c:pt>
                <c:pt idx="11">
                  <c:v>7154</c:v>
                </c:pt>
                <c:pt idx="12">
                  <c:v>7647</c:v>
                </c:pt>
                <c:pt idx="13">
                  <c:v>7891</c:v>
                </c:pt>
                <c:pt idx="14">
                  <c:v>8070</c:v>
                </c:pt>
                <c:pt idx="15">
                  <c:v>7878</c:v>
                </c:pt>
                <c:pt idx="16">
                  <c:v>7770</c:v>
                </c:pt>
                <c:pt idx="17">
                  <c:v>7278</c:v>
                </c:pt>
                <c:pt idx="18">
                  <c:v>7086</c:v>
                </c:pt>
                <c:pt idx="19">
                  <c:v>6947</c:v>
                </c:pt>
                <c:pt idx="20">
                  <c:v>6957</c:v>
                </c:pt>
                <c:pt idx="21">
                  <c:v>7041</c:v>
                </c:pt>
                <c:pt idx="22">
                  <c:v>7062</c:v>
                </c:pt>
                <c:pt idx="23">
                  <c:v>7176</c:v>
                </c:pt>
                <c:pt idx="24">
                  <c:v>7319</c:v>
                </c:pt>
                <c:pt idx="25">
                  <c:v>7570</c:v>
                </c:pt>
                <c:pt idx="26">
                  <c:v>7880</c:v>
                </c:pt>
                <c:pt idx="27">
                  <c:v>8146</c:v>
                </c:pt>
                <c:pt idx="28">
                  <c:v>7984</c:v>
                </c:pt>
                <c:pt idx="29">
                  <c:v>8339</c:v>
                </c:pt>
                <c:pt idx="30">
                  <c:v>8649</c:v>
                </c:pt>
              </c:numCache>
            </c:numRef>
          </c:val>
          <c:smooth val="0"/>
          <c:extLst>
            <c:ext xmlns:c16="http://schemas.microsoft.com/office/drawing/2014/chart" uri="{C3380CC4-5D6E-409C-BE32-E72D297353CC}">
              <c16:uniqueId val="{00000008-F78A-4DA2-93B8-31D606FE8F88}"/>
            </c:ext>
          </c:extLst>
        </c:ser>
        <c:ser>
          <c:idx val="9"/>
          <c:order val="9"/>
          <c:tx>
            <c:strRef>
              <c:f>drug!$AD$1:$AD$2</c:f>
              <c:strCache>
                <c:ptCount val="1"/>
                <c:pt idx="0">
                  <c:v>OCRELIZUMAB</c:v>
                </c:pt>
              </c:strCache>
            </c:strRef>
          </c:tx>
          <c:spPr>
            <a:ln w="28575" cap="rnd">
              <a:solidFill>
                <a:schemeClr val="accent4">
                  <a:lumMod val="60000"/>
                </a:schemeClr>
              </a:solidFill>
              <a:round/>
            </a:ln>
            <a:effectLst/>
          </c:spPr>
          <c:marker>
            <c:symbol val="none"/>
          </c:marker>
          <c:cat>
            <c:strRef>
              <c:f>drug!$T$3:$T$34</c:f>
              <c:strCache>
                <c:ptCount val="31"/>
                <c:pt idx="0">
                  <c:v>2014Q1</c:v>
                </c:pt>
                <c:pt idx="1">
                  <c:v>2014Q2</c:v>
                </c:pt>
                <c:pt idx="2">
                  <c:v>2014Q3</c:v>
                </c:pt>
                <c:pt idx="3">
                  <c:v>2014Q4</c:v>
                </c:pt>
                <c:pt idx="4">
                  <c:v>2015Q1</c:v>
                </c:pt>
                <c:pt idx="5">
                  <c:v>2015Q2</c:v>
                </c:pt>
                <c:pt idx="6">
                  <c:v>2015Q3</c:v>
                </c:pt>
                <c:pt idx="7">
                  <c:v>2015Q4</c:v>
                </c:pt>
                <c:pt idx="8">
                  <c:v>2016Q1</c:v>
                </c:pt>
                <c:pt idx="9">
                  <c:v>2016Q2</c:v>
                </c:pt>
                <c:pt idx="10">
                  <c:v>2016Q3</c:v>
                </c:pt>
                <c:pt idx="11">
                  <c:v>2016Q4</c:v>
                </c:pt>
                <c:pt idx="12">
                  <c:v>2017Q1</c:v>
                </c:pt>
                <c:pt idx="13">
                  <c:v>2017Q2</c:v>
                </c:pt>
                <c:pt idx="14">
                  <c:v>2017Q3</c:v>
                </c:pt>
                <c:pt idx="15">
                  <c:v>2017Q4</c:v>
                </c:pt>
                <c:pt idx="16">
                  <c:v>2018Q1</c:v>
                </c:pt>
                <c:pt idx="17">
                  <c:v>2018Q2</c:v>
                </c:pt>
                <c:pt idx="18">
                  <c:v>2018Q3</c:v>
                </c:pt>
                <c:pt idx="19">
                  <c:v>2018Q4</c:v>
                </c:pt>
                <c:pt idx="20">
                  <c:v>2019Q1</c:v>
                </c:pt>
                <c:pt idx="21">
                  <c:v>2019Q2</c:v>
                </c:pt>
                <c:pt idx="22">
                  <c:v>2019Q3</c:v>
                </c:pt>
                <c:pt idx="23">
                  <c:v>2019Q4</c:v>
                </c:pt>
                <c:pt idx="24">
                  <c:v>2020Q1</c:v>
                </c:pt>
                <c:pt idx="25">
                  <c:v>2020Q2</c:v>
                </c:pt>
                <c:pt idx="26">
                  <c:v>2020Q3</c:v>
                </c:pt>
                <c:pt idx="27">
                  <c:v>2020Q4</c:v>
                </c:pt>
                <c:pt idx="28">
                  <c:v>2021Q1</c:v>
                </c:pt>
                <c:pt idx="29">
                  <c:v>2021Q2</c:v>
                </c:pt>
                <c:pt idx="30">
                  <c:v>2021Q3</c:v>
                </c:pt>
              </c:strCache>
            </c:strRef>
          </c:cat>
          <c:val>
            <c:numRef>
              <c:f>drug!$AD$3:$AD$34</c:f>
              <c:numCache>
                <c:formatCode>General</c:formatCode>
                <c:ptCount val="31"/>
                <c:pt idx="16" formatCode="#,##0">
                  <c:v>428</c:v>
                </c:pt>
                <c:pt idx="17" formatCode="#,##0">
                  <c:v>1142</c:v>
                </c:pt>
                <c:pt idx="18" formatCode="#,##0">
                  <c:v>1223</c:v>
                </c:pt>
                <c:pt idx="19" formatCode="#,##0">
                  <c:v>1534</c:v>
                </c:pt>
                <c:pt idx="20" formatCode="#,##0">
                  <c:v>1579</c:v>
                </c:pt>
                <c:pt idx="21" formatCode="#,##0">
                  <c:v>1867</c:v>
                </c:pt>
                <c:pt idx="22" formatCode="#,##0">
                  <c:v>1877</c:v>
                </c:pt>
                <c:pt idx="23" formatCode="#,##0">
                  <c:v>2098</c:v>
                </c:pt>
                <c:pt idx="24" formatCode="#,##0">
                  <c:v>2061</c:v>
                </c:pt>
                <c:pt idx="25" formatCode="#,##0">
                  <c:v>2097</c:v>
                </c:pt>
                <c:pt idx="26" formatCode="#,##0">
                  <c:v>2416</c:v>
                </c:pt>
                <c:pt idx="27" formatCode="#,##0">
                  <c:v>2450</c:v>
                </c:pt>
                <c:pt idx="28" formatCode="#,##0">
                  <c:v>2605</c:v>
                </c:pt>
                <c:pt idx="29" formatCode="#,##0">
                  <c:v>2611</c:v>
                </c:pt>
                <c:pt idx="30" formatCode="#,##0">
                  <c:v>2681</c:v>
                </c:pt>
              </c:numCache>
            </c:numRef>
          </c:val>
          <c:smooth val="0"/>
          <c:extLst>
            <c:ext xmlns:c16="http://schemas.microsoft.com/office/drawing/2014/chart" uri="{C3380CC4-5D6E-409C-BE32-E72D297353CC}">
              <c16:uniqueId val="{00000009-F78A-4DA2-93B8-31D606FE8F88}"/>
            </c:ext>
          </c:extLst>
        </c:ser>
        <c:ser>
          <c:idx val="10"/>
          <c:order val="10"/>
          <c:tx>
            <c:strRef>
              <c:f>drug!$AE$1:$AE$2</c:f>
              <c:strCache>
                <c:ptCount val="1"/>
                <c:pt idx="0">
                  <c:v>OZANIMOD</c:v>
                </c:pt>
              </c:strCache>
            </c:strRef>
          </c:tx>
          <c:spPr>
            <a:ln w="28575" cap="rnd">
              <a:solidFill>
                <a:schemeClr val="accent5">
                  <a:lumMod val="60000"/>
                </a:schemeClr>
              </a:solidFill>
              <a:round/>
            </a:ln>
            <a:effectLst/>
          </c:spPr>
          <c:marker>
            <c:symbol val="none"/>
          </c:marker>
          <c:cat>
            <c:strRef>
              <c:f>drug!$T$3:$T$34</c:f>
              <c:strCache>
                <c:ptCount val="31"/>
                <c:pt idx="0">
                  <c:v>2014Q1</c:v>
                </c:pt>
                <c:pt idx="1">
                  <c:v>2014Q2</c:v>
                </c:pt>
                <c:pt idx="2">
                  <c:v>2014Q3</c:v>
                </c:pt>
                <c:pt idx="3">
                  <c:v>2014Q4</c:v>
                </c:pt>
                <c:pt idx="4">
                  <c:v>2015Q1</c:v>
                </c:pt>
                <c:pt idx="5">
                  <c:v>2015Q2</c:v>
                </c:pt>
                <c:pt idx="6">
                  <c:v>2015Q3</c:v>
                </c:pt>
                <c:pt idx="7">
                  <c:v>2015Q4</c:v>
                </c:pt>
                <c:pt idx="8">
                  <c:v>2016Q1</c:v>
                </c:pt>
                <c:pt idx="9">
                  <c:v>2016Q2</c:v>
                </c:pt>
                <c:pt idx="10">
                  <c:v>2016Q3</c:v>
                </c:pt>
                <c:pt idx="11">
                  <c:v>2016Q4</c:v>
                </c:pt>
                <c:pt idx="12">
                  <c:v>2017Q1</c:v>
                </c:pt>
                <c:pt idx="13">
                  <c:v>2017Q2</c:v>
                </c:pt>
                <c:pt idx="14">
                  <c:v>2017Q3</c:v>
                </c:pt>
                <c:pt idx="15">
                  <c:v>2017Q4</c:v>
                </c:pt>
                <c:pt idx="16">
                  <c:v>2018Q1</c:v>
                </c:pt>
                <c:pt idx="17">
                  <c:v>2018Q2</c:v>
                </c:pt>
                <c:pt idx="18">
                  <c:v>2018Q3</c:v>
                </c:pt>
                <c:pt idx="19">
                  <c:v>2018Q4</c:v>
                </c:pt>
                <c:pt idx="20">
                  <c:v>2019Q1</c:v>
                </c:pt>
                <c:pt idx="21">
                  <c:v>2019Q2</c:v>
                </c:pt>
                <c:pt idx="22">
                  <c:v>2019Q3</c:v>
                </c:pt>
                <c:pt idx="23">
                  <c:v>2019Q4</c:v>
                </c:pt>
                <c:pt idx="24">
                  <c:v>2020Q1</c:v>
                </c:pt>
                <c:pt idx="25">
                  <c:v>2020Q2</c:v>
                </c:pt>
                <c:pt idx="26">
                  <c:v>2020Q3</c:v>
                </c:pt>
                <c:pt idx="27">
                  <c:v>2020Q4</c:v>
                </c:pt>
                <c:pt idx="28">
                  <c:v>2021Q1</c:v>
                </c:pt>
                <c:pt idx="29">
                  <c:v>2021Q2</c:v>
                </c:pt>
                <c:pt idx="30">
                  <c:v>2021Q3</c:v>
                </c:pt>
              </c:strCache>
            </c:strRef>
          </c:cat>
          <c:val>
            <c:numRef>
              <c:f>drug!$AE$3:$AE$34</c:f>
              <c:numCache>
                <c:formatCode>General</c:formatCode>
                <c:ptCount val="31"/>
                <c:pt idx="28" formatCode="#,##0">
                  <c:v>10</c:v>
                </c:pt>
                <c:pt idx="29" formatCode="#,##0">
                  <c:v>60</c:v>
                </c:pt>
                <c:pt idx="30" formatCode="#,##0">
                  <c:v>120</c:v>
                </c:pt>
              </c:numCache>
            </c:numRef>
          </c:val>
          <c:smooth val="0"/>
          <c:extLst>
            <c:ext xmlns:c16="http://schemas.microsoft.com/office/drawing/2014/chart" uri="{C3380CC4-5D6E-409C-BE32-E72D297353CC}">
              <c16:uniqueId val="{0000000A-F78A-4DA2-93B8-31D606FE8F88}"/>
            </c:ext>
          </c:extLst>
        </c:ser>
        <c:ser>
          <c:idx val="11"/>
          <c:order val="11"/>
          <c:tx>
            <c:strRef>
              <c:f>drug!$AF$1:$AF$2</c:f>
              <c:strCache>
                <c:ptCount val="1"/>
                <c:pt idx="0">
                  <c:v>PEGINTERFERON BETA-1A</c:v>
                </c:pt>
              </c:strCache>
            </c:strRef>
          </c:tx>
          <c:spPr>
            <a:ln w="28575" cap="rnd">
              <a:solidFill>
                <a:schemeClr val="accent6">
                  <a:lumMod val="60000"/>
                </a:schemeClr>
              </a:solidFill>
              <a:round/>
            </a:ln>
            <a:effectLst/>
          </c:spPr>
          <c:marker>
            <c:symbol val="none"/>
          </c:marker>
          <c:cat>
            <c:strRef>
              <c:f>drug!$T$3:$T$34</c:f>
              <c:strCache>
                <c:ptCount val="31"/>
                <c:pt idx="0">
                  <c:v>2014Q1</c:v>
                </c:pt>
                <c:pt idx="1">
                  <c:v>2014Q2</c:v>
                </c:pt>
                <c:pt idx="2">
                  <c:v>2014Q3</c:v>
                </c:pt>
                <c:pt idx="3">
                  <c:v>2014Q4</c:v>
                </c:pt>
                <c:pt idx="4">
                  <c:v>2015Q1</c:v>
                </c:pt>
                <c:pt idx="5">
                  <c:v>2015Q2</c:v>
                </c:pt>
                <c:pt idx="6">
                  <c:v>2015Q3</c:v>
                </c:pt>
                <c:pt idx="7">
                  <c:v>2015Q4</c:v>
                </c:pt>
                <c:pt idx="8">
                  <c:v>2016Q1</c:v>
                </c:pt>
                <c:pt idx="9">
                  <c:v>2016Q2</c:v>
                </c:pt>
                <c:pt idx="10">
                  <c:v>2016Q3</c:v>
                </c:pt>
                <c:pt idx="11">
                  <c:v>2016Q4</c:v>
                </c:pt>
                <c:pt idx="12">
                  <c:v>2017Q1</c:v>
                </c:pt>
                <c:pt idx="13">
                  <c:v>2017Q2</c:v>
                </c:pt>
                <c:pt idx="14">
                  <c:v>2017Q3</c:v>
                </c:pt>
                <c:pt idx="15">
                  <c:v>2017Q4</c:v>
                </c:pt>
                <c:pt idx="16">
                  <c:v>2018Q1</c:v>
                </c:pt>
                <c:pt idx="17">
                  <c:v>2018Q2</c:v>
                </c:pt>
                <c:pt idx="18">
                  <c:v>2018Q3</c:v>
                </c:pt>
                <c:pt idx="19">
                  <c:v>2018Q4</c:v>
                </c:pt>
                <c:pt idx="20">
                  <c:v>2019Q1</c:v>
                </c:pt>
                <c:pt idx="21">
                  <c:v>2019Q2</c:v>
                </c:pt>
                <c:pt idx="22">
                  <c:v>2019Q3</c:v>
                </c:pt>
                <c:pt idx="23">
                  <c:v>2019Q4</c:v>
                </c:pt>
                <c:pt idx="24">
                  <c:v>2020Q1</c:v>
                </c:pt>
                <c:pt idx="25">
                  <c:v>2020Q2</c:v>
                </c:pt>
                <c:pt idx="26">
                  <c:v>2020Q3</c:v>
                </c:pt>
                <c:pt idx="27">
                  <c:v>2020Q4</c:v>
                </c:pt>
                <c:pt idx="28">
                  <c:v>2021Q1</c:v>
                </c:pt>
                <c:pt idx="29">
                  <c:v>2021Q2</c:v>
                </c:pt>
                <c:pt idx="30">
                  <c:v>2021Q3</c:v>
                </c:pt>
              </c:strCache>
            </c:strRef>
          </c:cat>
          <c:val>
            <c:numRef>
              <c:f>drug!$AF$3:$AF$34</c:f>
              <c:numCache>
                <c:formatCode>General</c:formatCode>
                <c:ptCount val="31"/>
                <c:pt idx="4" formatCode="#,##0">
                  <c:v>139</c:v>
                </c:pt>
                <c:pt idx="5" formatCode="#,##0">
                  <c:v>784</c:v>
                </c:pt>
                <c:pt idx="6" formatCode="#,##0">
                  <c:v>1356</c:v>
                </c:pt>
                <c:pt idx="7" formatCode="#,##0">
                  <c:v>1796</c:v>
                </c:pt>
                <c:pt idx="8" formatCode="#,##0">
                  <c:v>1695</c:v>
                </c:pt>
                <c:pt idx="9" formatCode="#,##0">
                  <c:v>2011</c:v>
                </c:pt>
                <c:pt idx="10" formatCode="#,##0">
                  <c:v>2060</c:v>
                </c:pt>
                <c:pt idx="11" formatCode="#,##0">
                  <c:v>2075</c:v>
                </c:pt>
                <c:pt idx="12" formatCode="#,##0">
                  <c:v>1923</c:v>
                </c:pt>
                <c:pt idx="13" formatCode="#,##0">
                  <c:v>1964</c:v>
                </c:pt>
                <c:pt idx="14" formatCode="#,##0">
                  <c:v>1954</c:v>
                </c:pt>
                <c:pt idx="15" formatCode="#,##0">
                  <c:v>2007</c:v>
                </c:pt>
                <c:pt idx="16" formatCode="#,##0">
                  <c:v>1869</c:v>
                </c:pt>
                <c:pt idx="17" formatCode="#,##0">
                  <c:v>1934</c:v>
                </c:pt>
                <c:pt idx="18" formatCode="#,##0">
                  <c:v>1799</c:v>
                </c:pt>
                <c:pt idx="19" formatCode="#,##0">
                  <c:v>1902</c:v>
                </c:pt>
                <c:pt idx="20" formatCode="#,##0">
                  <c:v>1707</c:v>
                </c:pt>
                <c:pt idx="21" formatCode="#,##0">
                  <c:v>1726</c:v>
                </c:pt>
                <c:pt idx="22" formatCode="#,##0">
                  <c:v>1713</c:v>
                </c:pt>
                <c:pt idx="23" formatCode="#,##0">
                  <c:v>1707</c:v>
                </c:pt>
                <c:pt idx="24" formatCode="#,##0">
                  <c:v>1803</c:v>
                </c:pt>
                <c:pt idx="25" formatCode="#,##0">
                  <c:v>1491</c:v>
                </c:pt>
                <c:pt idx="26" formatCode="#,##0">
                  <c:v>1619</c:v>
                </c:pt>
                <c:pt idx="27" formatCode="#,##0">
                  <c:v>1660</c:v>
                </c:pt>
                <c:pt idx="28" formatCode="#,##0">
                  <c:v>1419</c:v>
                </c:pt>
                <c:pt idx="29" formatCode="#,##0">
                  <c:v>1441</c:v>
                </c:pt>
                <c:pt idx="30" formatCode="#,##0">
                  <c:v>1435</c:v>
                </c:pt>
              </c:numCache>
            </c:numRef>
          </c:val>
          <c:smooth val="0"/>
          <c:extLst>
            <c:ext xmlns:c16="http://schemas.microsoft.com/office/drawing/2014/chart" uri="{C3380CC4-5D6E-409C-BE32-E72D297353CC}">
              <c16:uniqueId val="{0000000B-F78A-4DA2-93B8-31D606FE8F88}"/>
            </c:ext>
          </c:extLst>
        </c:ser>
        <c:ser>
          <c:idx val="12"/>
          <c:order val="12"/>
          <c:tx>
            <c:strRef>
              <c:f>drug!$AG$1:$AG$2</c:f>
              <c:strCache>
                <c:ptCount val="1"/>
                <c:pt idx="0">
                  <c:v>SIPONIMOD</c:v>
                </c:pt>
              </c:strCache>
            </c:strRef>
          </c:tx>
          <c:spPr>
            <a:ln w="28575" cap="rnd">
              <a:solidFill>
                <a:schemeClr val="accent1">
                  <a:lumMod val="80000"/>
                  <a:lumOff val="20000"/>
                </a:schemeClr>
              </a:solidFill>
              <a:round/>
            </a:ln>
            <a:effectLst/>
          </c:spPr>
          <c:marker>
            <c:symbol val="none"/>
          </c:marker>
          <c:cat>
            <c:strRef>
              <c:f>drug!$T$3:$T$34</c:f>
              <c:strCache>
                <c:ptCount val="31"/>
                <c:pt idx="0">
                  <c:v>2014Q1</c:v>
                </c:pt>
                <c:pt idx="1">
                  <c:v>2014Q2</c:v>
                </c:pt>
                <c:pt idx="2">
                  <c:v>2014Q3</c:v>
                </c:pt>
                <c:pt idx="3">
                  <c:v>2014Q4</c:v>
                </c:pt>
                <c:pt idx="4">
                  <c:v>2015Q1</c:v>
                </c:pt>
                <c:pt idx="5">
                  <c:v>2015Q2</c:v>
                </c:pt>
                <c:pt idx="6">
                  <c:v>2015Q3</c:v>
                </c:pt>
                <c:pt idx="7">
                  <c:v>2015Q4</c:v>
                </c:pt>
                <c:pt idx="8">
                  <c:v>2016Q1</c:v>
                </c:pt>
                <c:pt idx="9">
                  <c:v>2016Q2</c:v>
                </c:pt>
                <c:pt idx="10">
                  <c:v>2016Q3</c:v>
                </c:pt>
                <c:pt idx="11">
                  <c:v>2016Q4</c:v>
                </c:pt>
                <c:pt idx="12">
                  <c:v>2017Q1</c:v>
                </c:pt>
                <c:pt idx="13">
                  <c:v>2017Q2</c:v>
                </c:pt>
                <c:pt idx="14">
                  <c:v>2017Q3</c:v>
                </c:pt>
                <c:pt idx="15">
                  <c:v>2017Q4</c:v>
                </c:pt>
                <c:pt idx="16">
                  <c:v>2018Q1</c:v>
                </c:pt>
                <c:pt idx="17">
                  <c:v>2018Q2</c:v>
                </c:pt>
                <c:pt idx="18">
                  <c:v>2018Q3</c:v>
                </c:pt>
                <c:pt idx="19">
                  <c:v>2018Q4</c:v>
                </c:pt>
                <c:pt idx="20">
                  <c:v>2019Q1</c:v>
                </c:pt>
                <c:pt idx="21">
                  <c:v>2019Q2</c:v>
                </c:pt>
                <c:pt idx="22">
                  <c:v>2019Q3</c:v>
                </c:pt>
                <c:pt idx="23">
                  <c:v>2019Q4</c:v>
                </c:pt>
                <c:pt idx="24">
                  <c:v>2020Q1</c:v>
                </c:pt>
                <c:pt idx="25">
                  <c:v>2020Q2</c:v>
                </c:pt>
                <c:pt idx="26">
                  <c:v>2020Q3</c:v>
                </c:pt>
                <c:pt idx="27">
                  <c:v>2020Q4</c:v>
                </c:pt>
                <c:pt idx="28">
                  <c:v>2021Q1</c:v>
                </c:pt>
                <c:pt idx="29">
                  <c:v>2021Q2</c:v>
                </c:pt>
                <c:pt idx="30">
                  <c:v>2021Q3</c:v>
                </c:pt>
              </c:strCache>
            </c:strRef>
          </c:cat>
          <c:val>
            <c:numRef>
              <c:f>drug!$AG$3:$AG$34</c:f>
              <c:numCache>
                <c:formatCode>General</c:formatCode>
                <c:ptCount val="31"/>
                <c:pt idx="27" formatCode="#,##0">
                  <c:v>235</c:v>
                </c:pt>
                <c:pt idx="28" formatCode="#,##0">
                  <c:v>860</c:v>
                </c:pt>
                <c:pt idx="29" formatCode="#,##0">
                  <c:v>1233</c:v>
                </c:pt>
                <c:pt idx="30" formatCode="#,##0">
                  <c:v>1431</c:v>
                </c:pt>
              </c:numCache>
            </c:numRef>
          </c:val>
          <c:smooth val="0"/>
          <c:extLst>
            <c:ext xmlns:c16="http://schemas.microsoft.com/office/drawing/2014/chart" uri="{C3380CC4-5D6E-409C-BE32-E72D297353CC}">
              <c16:uniqueId val="{0000000C-F78A-4DA2-93B8-31D606FE8F88}"/>
            </c:ext>
          </c:extLst>
        </c:ser>
        <c:ser>
          <c:idx val="13"/>
          <c:order val="13"/>
          <c:tx>
            <c:strRef>
              <c:f>drug!$AH$1:$AH$2</c:f>
              <c:strCache>
                <c:ptCount val="1"/>
                <c:pt idx="0">
                  <c:v>TERIFLUNOMIDE</c:v>
                </c:pt>
              </c:strCache>
            </c:strRef>
          </c:tx>
          <c:spPr>
            <a:ln w="28575" cap="rnd">
              <a:solidFill>
                <a:schemeClr val="accent2">
                  <a:lumMod val="80000"/>
                  <a:lumOff val="20000"/>
                </a:schemeClr>
              </a:solidFill>
              <a:round/>
            </a:ln>
            <a:effectLst/>
          </c:spPr>
          <c:marker>
            <c:symbol val="none"/>
          </c:marker>
          <c:cat>
            <c:strRef>
              <c:f>drug!$T$3:$T$34</c:f>
              <c:strCache>
                <c:ptCount val="31"/>
                <c:pt idx="0">
                  <c:v>2014Q1</c:v>
                </c:pt>
                <c:pt idx="1">
                  <c:v>2014Q2</c:v>
                </c:pt>
                <c:pt idx="2">
                  <c:v>2014Q3</c:v>
                </c:pt>
                <c:pt idx="3">
                  <c:v>2014Q4</c:v>
                </c:pt>
                <c:pt idx="4">
                  <c:v>2015Q1</c:v>
                </c:pt>
                <c:pt idx="5">
                  <c:v>2015Q2</c:v>
                </c:pt>
                <c:pt idx="6">
                  <c:v>2015Q3</c:v>
                </c:pt>
                <c:pt idx="7">
                  <c:v>2015Q4</c:v>
                </c:pt>
                <c:pt idx="8">
                  <c:v>2016Q1</c:v>
                </c:pt>
                <c:pt idx="9">
                  <c:v>2016Q2</c:v>
                </c:pt>
                <c:pt idx="10">
                  <c:v>2016Q3</c:v>
                </c:pt>
                <c:pt idx="11">
                  <c:v>2016Q4</c:v>
                </c:pt>
                <c:pt idx="12">
                  <c:v>2017Q1</c:v>
                </c:pt>
                <c:pt idx="13">
                  <c:v>2017Q2</c:v>
                </c:pt>
                <c:pt idx="14">
                  <c:v>2017Q3</c:v>
                </c:pt>
                <c:pt idx="15">
                  <c:v>2017Q4</c:v>
                </c:pt>
                <c:pt idx="16">
                  <c:v>2018Q1</c:v>
                </c:pt>
                <c:pt idx="17">
                  <c:v>2018Q2</c:v>
                </c:pt>
                <c:pt idx="18">
                  <c:v>2018Q3</c:v>
                </c:pt>
                <c:pt idx="19">
                  <c:v>2018Q4</c:v>
                </c:pt>
                <c:pt idx="20">
                  <c:v>2019Q1</c:v>
                </c:pt>
                <c:pt idx="21">
                  <c:v>2019Q2</c:v>
                </c:pt>
                <c:pt idx="22">
                  <c:v>2019Q3</c:v>
                </c:pt>
                <c:pt idx="23">
                  <c:v>2019Q4</c:v>
                </c:pt>
                <c:pt idx="24">
                  <c:v>2020Q1</c:v>
                </c:pt>
                <c:pt idx="25">
                  <c:v>2020Q2</c:v>
                </c:pt>
                <c:pt idx="26">
                  <c:v>2020Q3</c:v>
                </c:pt>
                <c:pt idx="27">
                  <c:v>2020Q4</c:v>
                </c:pt>
                <c:pt idx="28">
                  <c:v>2021Q1</c:v>
                </c:pt>
                <c:pt idx="29">
                  <c:v>2021Q2</c:v>
                </c:pt>
                <c:pt idx="30">
                  <c:v>2021Q3</c:v>
                </c:pt>
              </c:strCache>
            </c:strRef>
          </c:cat>
          <c:val>
            <c:numRef>
              <c:f>drug!$AH$3:$AH$34</c:f>
              <c:numCache>
                <c:formatCode>#,##0</c:formatCode>
                <c:ptCount val="31"/>
                <c:pt idx="0">
                  <c:v>1186</c:v>
                </c:pt>
                <c:pt idx="1">
                  <c:v>1485</c:v>
                </c:pt>
                <c:pt idx="2">
                  <c:v>1719</c:v>
                </c:pt>
                <c:pt idx="3">
                  <c:v>1943</c:v>
                </c:pt>
                <c:pt idx="4">
                  <c:v>1913</c:v>
                </c:pt>
                <c:pt idx="5">
                  <c:v>2164</c:v>
                </c:pt>
                <c:pt idx="6">
                  <c:v>2368</c:v>
                </c:pt>
                <c:pt idx="7">
                  <c:v>2641</c:v>
                </c:pt>
                <c:pt idx="8">
                  <c:v>2744</c:v>
                </c:pt>
                <c:pt idx="9">
                  <c:v>3140</c:v>
                </c:pt>
                <c:pt idx="10">
                  <c:v>3389</c:v>
                </c:pt>
                <c:pt idx="11">
                  <c:v>3685</c:v>
                </c:pt>
                <c:pt idx="12">
                  <c:v>3742</c:v>
                </c:pt>
                <c:pt idx="13">
                  <c:v>3918</c:v>
                </c:pt>
                <c:pt idx="14">
                  <c:v>4052</c:v>
                </c:pt>
                <c:pt idx="15">
                  <c:v>4252</c:v>
                </c:pt>
                <c:pt idx="16">
                  <c:v>4142</c:v>
                </c:pt>
                <c:pt idx="17">
                  <c:v>4405</c:v>
                </c:pt>
                <c:pt idx="18">
                  <c:v>4406</c:v>
                </c:pt>
                <c:pt idx="19">
                  <c:v>4681</c:v>
                </c:pt>
                <c:pt idx="20">
                  <c:v>4526</c:v>
                </c:pt>
                <c:pt idx="21">
                  <c:v>4950</c:v>
                </c:pt>
                <c:pt idx="22">
                  <c:v>4473</c:v>
                </c:pt>
                <c:pt idx="23">
                  <c:v>4757</c:v>
                </c:pt>
                <c:pt idx="24">
                  <c:v>4844</c:v>
                </c:pt>
                <c:pt idx="25">
                  <c:v>4307</c:v>
                </c:pt>
                <c:pt idx="26">
                  <c:v>4836</c:v>
                </c:pt>
                <c:pt idx="27">
                  <c:v>4633</c:v>
                </c:pt>
                <c:pt idx="28">
                  <c:v>4512</c:v>
                </c:pt>
                <c:pt idx="29">
                  <c:v>4437</c:v>
                </c:pt>
                <c:pt idx="30">
                  <c:v>4906</c:v>
                </c:pt>
              </c:numCache>
            </c:numRef>
          </c:val>
          <c:smooth val="0"/>
          <c:extLst>
            <c:ext xmlns:c16="http://schemas.microsoft.com/office/drawing/2014/chart" uri="{C3380CC4-5D6E-409C-BE32-E72D297353CC}">
              <c16:uniqueId val="{0000000D-F78A-4DA2-93B8-31D606FE8F88}"/>
            </c:ext>
          </c:extLst>
        </c:ser>
        <c:dLbls>
          <c:showLegendKey val="0"/>
          <c:showVal val="0"/>
          <c:showCatName val="0"/>
          <c:showSerName val="0"/>
          <c:showPercent val="0"/>
          <c:showBubbleSize val="0"/>
        </c:dLbls>
        <c:marker val="1"/>
        <c:smooth val="0"/>
        <c:axId val="311543112"/>
        <c:axId val="311540816"/>
      </c:lineChart>
      <c:catAx>
        <c:axId val="311543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1540816"/>
        <c:crosses val="autoZero"/>
        <c:auto val="1"/>
        <c:lblAlgn val="ctr"/>
        <c:lblOffset val="100"/>
        <c:noMultiLvlLbl val="0"/>
      </c:catAx>
      <c:valAx>
        <c:axId val="3115408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prescriptions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1543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[rrms review.xlsx]Sheet2!PivotTable1</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a:noFill/>
          </a:ln>
          <a:effectLst/>
        </c:spPr>
        <c:marker>
          <c:symbol val="none"/>
        </c:marker>
      </c:pivotFmt>
      <c:pivotFmt>
        <c:idx val="17"/>
        <c:spPr>
          <a:solidFill>
            <a:schemeClr val="accent1"/>
          </a:solidFill>
          <a:ln>
            <a:noFill/>
          </a:ln>
          <a:effectLst/>
        </c:spPr>
        <c:marker>
          <c:symbol val="none"/>
        </c:marker>
      </c:pivotFmt>
      <c:pivotFmt>
        <c:idx val="18"/>
        <c:spPr>
          <a:solidFill>
            <a:schemeClr val="accent1"/>
          </a:solidFill>
          <a:ln>
            <a:noFill/>
          </a:ln>
          <a:effectLst/>
        </c:spPr>
        <c:marker>
          <c:symbol val="none"/>
        </c:marker>
      </c:pivotFmt>
      <c:pivotFmt>
        <c:idx val="19"/>
        <c:spPr>
          <a:solidFill>
            <a:schemeClr val="accent1"/>
          </a:solidFill>
          <a:ln>
            <a:noFill/>
          </a:ln>
          <a:effectLst/>
        </c:spPr>
        <c:marker>
          <c:symbol val="none"/>
        </c:marker>
      </c:pivotFmt>
      <c:pivotFmt>
        <c:idx val="20"/>
        <c:spPr>
          <a:solidFill>
            <a:schemeClr val="accent1"/>
          </a:solidFill>
          <a:ln>
            <a:noFill/>
          </a:ln>
          <a:effectLst/>
        </c:spPr>
        <c:marker>
          <c:symbol val="none"/>
        </c:marker>
      </c:pivotFmt>
      <c:pivotFmt>
        <c:idx val="21"/>
        <c:spPr>
          <a:solidFill>
            <a:schemeClr val="accent1"/>
          </a:solidFill>
          <a:ln>
            <a:noFill/>
          </a:ln>
          <a:effectLst/>
        </c:spPr>
        <c:marker>
          <c:symbol val="none"/>
        </c:marker>
      </c:pivotFmt>
      <c:pivotFmt>
        <c:idx val="22"/>
        <c:spPr>
          <a:solidFill>
            <a:schemeClr val="accent1"/>
          </a:solidFill>
          <a:ln>
            <a:noFill/>
          </a:ln>
          <a:effectLst/>
        </c:spPr>
        <c:marker>
          <c:symbol val="none"/>
        </c:marker>
      </c:pivotFmt>
      <c:pivotFmt>
        <c:idx val="23"/>
        <c:spPr>
          <a:solidFill>
            <a:schemeClr val="accent1"/>
          </a:solidFill>
          <a:ln>
            <a:noFill/>
          </a:ln>
          <a:effectLst/>
        </c:spPr>
        <c:marker>
          <c:symbol val="none"/>
        </c:marker>
      </c:pivotFmt>
      <c:pivotFmt>
        <c:idx val="24"/>
        <c:spPr>
          <a:solidFill>
            <a:schemeClr val="accent1"/>
          </a:solidFill>
          <a:ln>
            <a:noFill/>
          </a:ln>
          <a:effectLst/>
        </c:spPr>
        <c:marker>
          <c:symbol val="none"/>
        </c:marker>
      </c:pivotFmt>
      <c:pivotFmt>
        <c:idx val="25"/>
        <c:spPr>
          <a:solidFill>
            <a:schemeClr val="accent1"/>
          </a:solidFill>
          <a:ln>
            <a:noFill/>
          </a:ln>
          <a:effectLst/>
        </c:spPr>
        <c:marker>
          <c:symbol val="none"/>
        </c:marker>
      </c:pivotFmt>
      <c:pivotFmt>
        <c:idx val="26"/>
        <c:spPr>
          <a:solidFill>
            <a:schemeClr val="accent1"/>
          </a:solidFill>
          <a:ln>
            <a:noFill/>
          </a:ln>
          <a:effectLst/>
        </c:spPr>
        <c:marker>
          <c:symbol val="none"/>
        </c:marker>
      </c:pivotFmt>
      <c:pivotFmt>
        <c:idx val="27"/>
        <c:spPr>
          <a:solidFill>
            <a:schemeClr val="accent1"/>
          </a:solidFill>
          <a:ln>
            <a:noFill/>
          </a:ln>
          <a:effectLst/>
        </c:spPr>
        <c:marker>
          <c:symbol val="none"/>
        </c:marker>
      </c:pivotFmt>
      <c:pivotFmt>
        <c:idx val="28"/>
        <c:spPr>
          <a:solidFill>
            <a:schemeClr val="accent1"/>
          </a:solidFill>
          <a:ln>
            <a:noFill/>
          </a:ln>
          <a:effectLst/>
        </c:spPr>
        <c:marker>
          <c:symbol val="none"/>
        </c:marker>
      </c:pivotFmt>
      <c:pivotFmt>
        <c:idx val="29"/>
        <c:spPr>
          <a:solidFill>
            <a:schemeClr val="accent1"/>
          </a:solidFill>
          <a:ln>
            <a:noFill/>
          </a:ln>
          <a:effectLst/>
        </c:spPr>
        <c:marker>
          <c:symbol val="none"/>
        </c:marker>
      </c:pivotFmt>
      <c:pivotFmt>
        <c:idx val="30"/>
        <c:spPr>
          <a:solidFill>
            <a:schemeClr val="accent1"/>
          </a:solidFill>
          <a:ln>
            <a:noFill/>
          </a:ln>
          <a:effectLst/>
        </c:spPr>
        <c:marker>
          <c:symbol val="none"/>
        </c:marker>
      </c:pivotFmt>
      <c:pivotFmt>
        <c:idx val="31"/>
        <c:spPr>
          <a:solidFill>
            <a:schemeClr val="accent1"/>
          </a:solidFill>
          <a:ln>
            <a:noFill/>
          </a:ln>
          <a:effectLst/>
        </c:spPr>
        <c:marker>
          <c:symbol val="none"/>
        </c:marker>
      </c:pivotFmt>
      <c:pivotFmt>
        <c:idx val="32"/>
        <c:spPr>
          <a:solidFill>
            <a:schemeClr val="accent1"/>
          </a:solidFill>
          <a:ln>
            <a:noFill/>
          </a:ln>
          <a:effectLst/>
        </c:spPr>
        <c:marker>
          <c:symbol val="none"/>
        </c:marker>
      </c:pivotFmt>
      <c:pivotFmt>
        <c:idx val="33"/>
        <c:spPr>
          <a:solidFill>
            <a:schemeClr val="accent1"/>
          </a:solidFill>
          <a:ln>
            <a:noFill/>
          </a:ln>
          <a:effectLst/>
        </c:spPr>
        <c:marker>
          <c:symbol val="none"/>
        </c:marker>
      </c:pivotFmt>
      <c:pivotFmt>
        <c:idx val="34"/>
        <c:spPr>
          <a:solidFill>
            <a:schemeClr val="accent1"/>
          </a:solidFill>
          <a:ln>
            <a:noFill/>
          </a:ln>
          <a:effectLst/>
        </c:spPr>
        <c:marker>
          <c:symbol val="none"/>
        </c:marker>
      </c:pivotFmt>
      <c:pivotFmt>
        <c:idx val="35"/>
        <c:spPr>
          <a:solidFill>
            <a:schemeClr val="accent1"/>
          </a:solidFill>
          <a:ln>
            <a:noFill/>
          </a:ln>
          <a:effectLst/>
        </c:spPr>
        <c:marker>
          <c:symbol val="none"/>
        </c:marker>
      </c:pivotFmt>
      <c:pivotFmt>
        <c:idx val="36"/>
        <c:spPr>
          <a:solidFill>
            <a:schemeClr val="accent1"/>
          </a:solidFill>
          <a:ln>
            <a:noFill/>
          </a:ln>
          <a:effectLst/>
        </c:spPr>
        <c:marker>
          <c:symbol val="none"/>
        </c:marker>
      </c:pivotFmt>
      <c:pivotFmt>
        <c:idx val="37"/>
        <c:spPr>
          <a:solidFill>
            <a:schemeClr val="accent1"/>
          </a:solidFill>
          <a:ln>
            <a:noFill/>
          </a:ln>
          <a:effectLst/>
        </c:spPr>
        <c:marker>
          <c:symbol val="none"/>
        </c:marker>
      </c:pivotFmt>
      <c:pivotFmt>
        <c:idx val="38"/>
        <c:spPr>
          <a:solidFill>
            <a:schemeClr val="accent1"/>
          </a:solidFill>
          <a:ln>
            <a:noFill/>
          </a:ln>
          <a:effectLst/>
        </c:spPr>
        <c:marker>
          <c:symbol val="none"/>
        </c:marker>
      </c:pivotFmt>
      <c:pivotFmt>
        <c:idx val="39"/>
        <c:spPr>
          <a:solidFill>
            <a:schemeClr val="accent1"/>
          </a:solidFill>
          <a:ln>
            <a:noFill/>
          </a:ln>
          <a:effectLst/>
        </c:spPr>
        <c:marker>
          <c:symbol val="none"/>
        </c:marker>
      </c:pivotFmt>
      <c:pivotFmt>
        <c:idx val="40"/>
        <c:spPr>
          <a:solidFill>
            <a:schemeClr val="accent1"/>
          </a:solidFill>
          <a:ln>
            <a:noFill/>
          </a:ln>
          <a:effectLst/>
        </c:spPr>
        <c:marker>
          <c:symbol val="none"/>
        </c:marker>
      </c:pivotFmt>
      <c:pivotFmt>
        <c:idx val="41"/>
        <c:spPr>
          <a:solidFill>
            <a:schemeClr val="accent1"/>
          </a:solidFill>
          <a:ln>
            <a:noFill/>
          </a:ln>
          <a:effectLst/>
        </c:spPr>
        <c:marker>
          <c:symbol val="none"/>
        </c:marker>
      </c:pivotFmt>
    </c:pivotFmts>
    <c:plotArea>
      <c:layout/>
      <c:barChart>
        <c:barDir val="col"/>
        <c:grouping val="percentStacked"/>
        <c:varyColors val="0"/>
        <c:ser>
          <c:idx val="0"/>
          <c:order val="0"/>
          <c:tx>
            <c:strRef>
              <c:f>Sheet2!$T$1:$T$2</c:f>
              <c:strCache>
                <c:ptCount val="1"/>
                <c:pt idx="0">
                  <c:v>ALEMTUZUMAB</c:v>
                </c:pt>
              </c:strCache>
            </c:strRef>
          </c:tx>
          <c:spPr>
            <a:solidFill>
              <a:schemeClr val="accent1"/>
            </a:solidFill>
            <a:ln>
              <a:noFill/>
            </a:ln>
            <a:effectLst/>
          </c:spPr>
          <c:invertIfNegative val="0"/>
          <c:cat>
            <c:strRef>
              <c:f>Sheet2!$S$3:$S$11</c:f>
              <c:strCache>
                <c:ptCount val="8"/>
                <c:pt idx="0">
                  <c:v>2014</c:v>
                </c:pt>
                <c:pt idx="1">
                  <c:v>2015</c:v>
                </c:pt>
                <c:pt idx="2">
                  <c:v>2016</c:v>
                </c:pt>
                <c:pt idx="3">
                  <c:v>2017</c:v>
                </c:pt>
                <c:pt idx="4">
                  <c:v>2018</c:v>
                </c:pt>
                <c:pt idx="5">
                  <c:v>2019</c:v>
                </c:pt>
                <c:pt idx="6">
                  <c:v>2020</c:v>
                </c:pt>
                <c:pt idx="7">
                  <c:v>2021</c:v>
                </c:pt>
              </c:strCache>
            </c:strRef>
          </c:cat>
          <c:val>
            <c:numRef>
              <c:f>Sheet2!$T$3:$T$11</c:f>
              <c:numCache>
                <c:formatCode>General</c:formatCode>
                <c:ptCount val="8"/>
                <c:pt idx="1">
                  <c:v>446</c:v>
                </c:pt>
                <c:pt idx="2">
                  <c:v>840</c:v>
                </c:pt>
                <c:pt idx="3">
                  <c:v>763</c:v>
                </c:pt>
                <c:pt idx="4">
                  <c:v>471</c:v>
                </c:pt>
                <c:pt idx="5">
                  <c:v>286</c:v>
                </c:pt>
                <c:pt idx="6">
                  <c:v>175</c:v>
                </c:pt>
                <c:pt idx="7">
                  <c:v>75</c:v>
                </c:pt>
              </c:numCache>
            </c:numRef>
          </c:val>
          <c:extLst>
            <c:ext xmlns:c16="http://schemas.microsoft.com/office/drawing/2014/chart" uri="{C3380CC4-5D6E-409C-BE32-E72D297353CC}">
              <c16:uniqueId val="{00000000-0699-4C2E-9FBF-2FF82C5307C3}"/>
            </c:ext>
          </c:extLst>
        </c:ser>
        <c:ser>
          <c:idx val="1"/>
          <c:order val="1"/>
          <c:tx>
            <c:strRef>
              <c:f>Sheet2!$U$1:$U$2</c:f>
              <c:strCache>
                <c:ptCount val="1"/>
                <c:pt idx="0">
                  <c:v>CLADRIBINE</c:v>
                </c:pt>
              </c:strCache>
            </c:strRef>
          </c:tx>
          <c:spPr>
            <a:pattFill prst="pct75">
              <a:fgClr>
                <a:schemeClr val="tx2">
                  <a:lumMod val="60000"/>
                  <a:lumOff val="40000"/>
                </a:schemeClr>
              </a:fgClr>
              <a:bgClr>
                <a:schemeClr val="bg1"/>
              </a:bgClr>
            </a:pattFill>
            <a:ln>
              <a:noFill/>
            </a:ln>
            <a:effectLst/>
          </c:spPr>
          <c:invertIfNegative val="0"/>
          <c:cat>
            <c:strRef>
              <c:f>Sheet2!$S$3:$S$11</c:f>
              <c:strCache>
                <c:ptCount val="8"/>
                <c:pt idx="0">
                  <c:v>2014</c:v>
                </c:pt>
                <c:pt idx="1">
                  <c:v>2015</c:v>
                </c:pt>
                <c:pt idx="2">
                  <c:v>2016</c:v>
                </c:pt>
                <c:pt idx="3">
                  <c:v>2017</c:v>
                </c:pt>
                <c:pt idx="4">
                  <c:v>2018</c:v>
                </c:pt>
                <c:pt idx="5">
                  <c:v>2019</c:v>
                </c:pt>
                <c:pt idx="6">
                  <c:v>2020</c:v>
                </c:pt>
                <c:pt idx="7">
                  <c:v>2021</c:v>
                </c:pt>
              </c:strCache>
            </c:strRef>
          </c:cat>
          <c:val>
            <c:numRef>
              <c:f>Sheet2!$U$3:$U$11</c:f>
              <c:numCache>
                <c:formatCode>General</c:formatCode>
                <c:ptCount val="8"/>
                <c:pt idx="5">
                  <c:v>3295</c:v>
                </c:pt>
                <c:pt idx="6">
                  <c:v>4147</c:v>
                </c:pt>
                <c:pt idx="7">
                  <c:v>2672</c:v>
                </c:pt>
              </c:numCache>
            </c:numRef>
          </c:val>
          <c:extLst>
            <c:ext xmlns:c16="http://schemas.microsoft.com/office/drawing/2014/chart" uri="{C3380CC4-5D6E-409C-BE32-E72D297353CC}">
              <c16:uniqueId val="{00000001-0699-4C2E-9FBF-2FF82C5307C3}"/>
            </c:ext>
          </c:extLst>
        </c:ser>
        <c:ser>
          <c:idx val="2"/>
          <c:order val="2"/>
          <c:tx>
            <c:strRef>
              <c:f>Sheet2!$V$1:$V$2</c:f>
              <c:strCache>
                <c:ptCount val="1"/>
                <c:pt idx="0">
                  <c:v>DACLIZUMAB</c:v>
                </c:pt>
              </c:strCache>
            </c:strRef>
          </c:tx>
          <c:spPr>
            <a:solidFill>
              <a:schemeClr val="accent3"/>
            </a:solidFill>
            <a:ln>
              <a:noFill/>
            </a:ln>
            <a:effectLst/>
          </c:spPr>
          <c:invertIfNegative val="0"/>
          <c:cat>
            <c:strRef>
              <c:f>Sheet2!$S$3:$S$11</c:f>
              <c:strCache>
                <c:ptCount val="8"/>
                <c:pt idx="0">
                  <c:v>2014</c:v>
                </c:pt>
                <c:pt idx="1">
                  <c:v>2015</c:v>
                </c:pt>
                <c:pt idx="2">
                  <c:v>2016</c:v>
                </c:pt>
                <c:pt idx="3">
                  <c:v>2017</c:v>
                </c:pt>
                <c:pt idx="4">
                  <c:v>2018</c:v>
                </c:pt>
                <c:pt idx="5">
                  <c:v>2019</c:v>
                </c:pt>
                <c:pt idx="6">
                  <c:v>2020</c:v>
                </c:pt>
                <c:pt idx="7">
                  <c:v>2021</c:v>
                </c:pt>
              </c:strCache>
            </c:strRef>
          </c:cat>
          <c:val>
            <c:numRef>
              <c:f>Sheet2!$V$3:$V$11</c:f>
              <c:numCache>
                <c:formatCode>General</c:formatCode>
                <c:ptCount val="8"/>
                <c:pt idx="3">
                  <c:v>679</c:v>
                </c:pt>
                <c:pt idx="4">
                  <c:v>205</c:v>
                </c:pt>
              </c:numCache>
            </c:numRef>
          </c:val>
          <c:extLst>
            <c:ext xmlns:c16="http://schemas.microsoft.com/office/drawing/2014/chart" uri="{C3380CC4-5D6E-409C-BE32-E72D297353CC}">
              <c16:uniqueId val="{00000002-0699-4C2E-9FBF-2FF82C5307C3}"/>
            </c:ext>
          </c:extLst>
        </c:ser>
        <c:ser>
          <c:idx val="3"/>
          <c:order val="3"/>
          <c:tx>
            <c:strRef>
              <c:f>Sheet2!$W$1:$W$2</c:f>
              <c:strCache>
                <c:ptCount val="1"/>
                <c:pt idx="0">
                  <c:v>DIMETHYL FUMARATE</c:v>
                </c:pt>
              </c:strCache>
            </c:strRef>
          </c:tx>
          <c:spPr>
            <a:solidFill>
              <a:schemeClr val="accent4"/>
            </a:solidFill>
            <a:ln>
              <a:noFill/>
            </a:ln>
            <a:effectLst/>
          </c:spPr>
          <c:invertIfNegative val="0"/>
          <c:cat>
            <c:strRef>
              <c:f>Sheet2!$S$3:$S$11</c:f>
              <c:strCache>
                <c:ptCount val="8"/>
                <c:pt idx="0">
                  <c:v>2014</c:v>
                </c:pt>
                <c:pt idx="1">
                  <c:v>2015</c:v>
                </c:pt>
                <c:pt idx="2">
                  <c:v>2016</c:v>
                </c:pt>
                <c:pt idx="3">
                  <c:v>2017</c:v>
                </c:pt>
                <c:pt idx="4">
                  <c:v>2018</c:v>
                </c:pt>
                <c:pt idx="5">
                  <c:v>2019</c:v>
                </c:pt>
                <c:pt idx="6">
                  <c:v>2020</c:v>
                </c:pt>
                <c:pt idx="7">
                  <c:v>2021</c:v>
                </c:pt>
              </c:strCache>
            </c:strRef>
          </c:cat>
          <c:val>
            <c:numRef>
              <c:f>Sheet2!$W$3:$W$11</c:f>
              <c:numCache>
                <c:formatCode>General</c:formatCode>
                <c:ptCount val="8"/>
                <c:pt idx="0">
                  <c:v>20516</c:v>
                </c:pt>
                <c:pt idx="1">
                  <c:v>24932</c:v>
                </c:pt>
                <c:pt idx="2">
                  <c:v>25553</c:v>
                </c:pt>
                <c:pt idx="3">
                  <c:v>26162</c:v>
                </c:pt>
                <c:pt idx="4">
                  <c:v>25087</c:v>
                </c:pt>
                <c:pt idx="5">
                  <c:v>24063</c:v>
                </c:pt>
                <c:pt idx="6">
                  <c:v>24487</c:v>
                </c:pt>
                <c:pt idx="7">
                  <c:v>17940</c:v>
                </c:pt>
              </c:numCache>
            </c:numRef>
          </c:val>
          <c:extLst>
            <c:ext xmlns:c16="http://schemas.microsoft.com/office/drawing/2014/chart" uri="{C3380CC4-5D6E-409C-BE32-E72D297353CC}">
              <c16:uniqueId val="{00000003-0699-4C2E-9FBF-2FF82C5307C3}"/>
            </c:ext>
          </c:extLst>
        </c:ser>
        <c:ser>
          <c:idx val="4"/>
          <c:order val="4"/>
          <c:tx>
            <c:strRef>
              <c:f>Sheet2!$X$1:$X$2</c:f>
              <c:strCache>
                <c:ptCount val="1"/>
                <c:pt idx="0">
                  <c:v>FINGOLIMOD</c:v>
                </c:pt>
              </c:strCache>
            </c:strRef>
          </c:tx>
          <c:spPr>
            <a:solidFill>
              <a:schemeClr val="accent5"/>
            </a:solidFill>
            <a:ln>
              <a:noFill/>
            </a:ln>
            <a:effectLst/>
          </c:spPr>
          <c:invertIfNegative val="0"/>
          <c:cat>
            <c:strRef>
              <c:f>Sheet2!$S$3:$S$11</c:f>
              <c:strCache>
                <c:ptCount val="8"/>
                <c:pt idx="0">
                  <c:v>2014</c:v>
                </c:pt>
                <c:pt idx="1">
                  <c:v>2015</c:v>
                </c:pt>
                <c:pt idx="2">
                  <c:v>2016</c:v>
                </c:pt>
                <c:pt idx="3">
                  <c:v>2017</c:v>
                </c:pt>
                <c:pt idx="4">
                  <c:v>2018</c:v>
                </c:pt>
                <c:pt idx="5">
                  <c:v>2019</c:v>
                </c:pt>
                <c:pt idx="6">
                  <c:v>2020</c:v>
                </c:pt>
                <c:pt idx="7">
                  <c:v>2021</c:v>
                </c:pt>
              </c:strCache>
            </c:strRef>
          </c:cat>
          <c:val>
            <c:numRef>
              <c:f>Sheet2!$X$3:$X$11</c:f>
              <c:numCache>
                <c:formatCode>General</c:formatCode>
                <c:ptCount val="8"/>
                <c:pt idx="0">
                  <c:v>54541</c:v>
                </c:pt>
                <c:pt idx="1">
                  <c:v>61741</c:v>
                </c:pt>
                <c:pt idx="2">
                  <c:v>64473</c:v>
                </c:pt>
                <c:pt idx="3">
                  <c:v>66514</c:v>
                </c:pt>
                <c:pt idx="4">
                  <c:v>63381</c:v>
                </c:pt>
                <c:pt idx="5">
                  <c:v>58955</c:v>
                </c:pt>
                <c:pt idx="6">
                  <c:v>55348</c:v>
                </c:pt>
                <c:pt idx="7">
                  <c:v>37895</c:v>
                </c:pt>
              </c:numCache>
            </c:numRef>
          </c:val>
          <c:extLst>
            <c:ext xmlns:c16="http://schemas.microsoft.com/office/drawing/2014/chart" uri="{C3380CC4-5D6E-409C-BE32-E72D297353CC}">
              <c16:uniqueId val="{00000004-0699-4C2E-9FBF-2FF82C5307C3}"/>
            </c:ext>
          </c:extLst>
        </c:ser>
        <c:ser>
          <c:idx val="5"/>
          <c:order val="5"/>
          <c:tx>
            <c:strRef>
              <c:f>Sheet2!$Y$1:$Y$2</c:f>
              <c:strCache>
                <c:ptCount val="1"/>
                <c:pt idx="0">
                  <c:v>GLATIRAMER ACETATE</c:v>
                </c:pt>
              </c:strCache>
            </c:strRef>
          </c:tx>
          <c:spPr>
            <a:solidFill>
              <a:schemeClr val="accent6"/>
            </a:solidFill>
            <a:ln>
              <a:noFill/>
            </a:ln>
            <a:effectLst/>
          </c:spPr>
          <c:invertIfNegative val="0"/>
          <c:cat>
            <c:strRef>
              <c:f>Sheet2!$S$3:$S$11</c:f>
              <c:strCache>
                <c:ptCount val="8"/>
                <c:pt idx="0">
                  <c:v>2014</c:v>
                </c:pt>
                <c:pt idx="1">
                  <c:v>2015</c:v>
                </c:pt>
                <c:pt idx="2">
                  <c:v>2016</c:v>
                </c:pt>
                <c:pt idx="3">
                  <c:v>2017</c:v>
                </c:pt>
                <c:pt idx="4">
                  <c:v>2018</c:v>
                </c:pt>
                <c:pt idx="5">
                  <c:v>2019</c:v>
                </c:pt>
                <c:pt idx="6">
                  <c:v>2020</c:v>
                </c:pt>
                <c:pt idx="7">
                  <c:v>2021</c:v>
                </c:pt>
              </c:strCache>
            </c:strRef>
          </c:cat>
          <c:val>
            <c:numRef>
              <c:f>Sheet2!$Y$3:$Y$11</c:f>
              <c:numCache>
                <c:formatCode>General</c:formatCode>
                <c:ptCount val="8"/>
                <c:pt idx="0">
                  <c:v>20822</c:v>
                </c:pt>
                <c:pt idx="1">
                  <c:v>19103</c:v>
                </c:pt>
                <c:pt idx="2">
                  <c:v>21726</c:v>
                </c:pt>
                <c:pt idx="3">
                  <c:v>20028</c:v>
                </c:pt>
                <c:pt idx="4">
                  <c:v>18836</c:v>
                </c:pt>
                <c:pt idx="5">
                  <c:v>17205</c:v>
                </c:pt>
                <c:pt idx="6">
                  <c:v>15573</c:v>
                </c:pt>
                <c:pt idx="7">
                  <c:v>10413</c:v>
                </c:pt>
              </c:numCache>
            </c:numRef>
          </c:val>
          <c:extLst>
            <c:ext xmlns:c16="http://schemas.microsoft.com/office/drawing/2014/chart" uri="{C3380CC4-5D6E-409C-BE32-E72D297353CC}">
              <c16:uniqueId val="{00000005-0699-4C2E-9FBF-2FF82C5307C3}"/>
            </c:ext>
          </c:extLst>
        </c:ser>
        <c:ser>
          <c:idx val="6"/>
          <c:order val="6"/>
          <c:tx>
            <c:strRef>
              <c:f>Sheet2!$Z$1:$Z$2</c:f>
              <c:strCache>
                <c:ptCount val="1"/>
                <c:pt idx="0">
                  <c:v>INTERFERON BETA-1A</c:v>
                </c:pt>
              </c:strCache>
            </c:strRef>
          </c:tx>
          <c:spPr>
            <a:solidFill>
              <a:schemeClr val="accent1">
                <a:lumMod val="60000"/>
              </a:schemeClr>
            </a:solidFill>
            <a:ln>
              <a:noFill/>
            </a:ln>
            <a:effectLst/>
          </c:spPr>
          <c:invertIfNegative val="0"/>
          <c:cat>
            <c:strRef>
              <c:f>Sheet2!$S$3:$S$11</c:f>
              <c:strCache>
                <c:ptCount val="8"/>
                <c:pt idx="0">
                  <c:v>2014</c:v>
                </c:pt>
                <c:pt idx="1">
                  <c:v>2015</c:v>
                </c:pt>
                <c:pt idx="2">
                  <c:v>2016</c:v>
                </c:pt>
                <c:pt idx="3">
                  <c:v>2017</c:v>
                </c:pt>
                <c:pt idx="4">
                  <c:v>2018</c:v>
                </c:pt>
                <c:pt idx="5">
                  <c:v>2019</c:v>
                </c:pt>
                <c:pt idx="6">
                  <c:v>2020</c:v>
                </c:pt>
                <c:pt idx="7">
                  <c:v>2021</c:v>
                </c:pt>
              </c:strCache>
            </c:strRef>
          </c:cat>
          <c:val>
            <c:numRef>
              <c:f>Sheet2!$Z$3:$Z$11</c:f>
              <c:numCache>
                <c:formatCode>General</c:formatCode>
                <c:ptCount val="8"/>
                <c:pt idx="0">
                  <c:v>25454</c:v>
                </c:pt>
                <c:pt idx="1">
                  <c:v>19558</c:v>
                </c:pt>
                <c:pt idx="2">
                  <c:v>15576</c:v>
                </c:pt>
                <c:pt idx="3">
                  <c:v>13025</c:v>
                </c:pt>
                <c:pt idx="4">
                  <c:v>11104</c:v>
                </c:pt>
                <c:pt idx="5">
                  <c:v>9312</c:v>
                </c:pt>
                <c:pt idx="6">
                  <c:v>8130</c:v>
                </c:pt>
                <c:pt idx="7">
                  <c:v>5102</c:v>
                </c:pt>
              </c:numCache>
            </c:numRef>
          </c:val>
          <c:extLst>
            <c:ext xmlns:c16="http://schemas.microsoft.com/office/drawing/2014/chart" uri="{C3380CC4-5D6E-409C-BE32-E72D297353CC}">
              <c16:uniqueId val="{00000006-0699-4C2E-9FBF-2FF82C5307C3}"/>
            </c:ext>
          </c:extLst>
        </c:ser>
        <c:ser>
          <c:idx val="7"/>
          <c:order val="7"/>
          <c:tx>
            <c:strRef>
              <c:f>Sheet2!$AA$1:$AA$2</c:f>
              <c:strCache>
                <c:ptCount val="1"/>
                <c:pt idx="0">
                  <c:v>INTERFERON BETA-1B</c:v>
                </c:pt>
              </c:strCache>
            </c:strRef>
          </c:tx>
          <c:spPr>
            <a:solidFill>
              <a:schemeClr val="accent2">
                <a:lumMod val="60000"/>
              </a:schemeClr>
            </a:solidFill>
            <a:ln>
              <a:noFill/>
            </a:ln>
            <a:effectLst/>
          </c:spPr>
          <c:invertIfNegative val="0"/>
          <c:cat>
            <c:strRef>
              <c:f>Sheet2!$S$3:$S$11</c:f>
              <c:strCache>
                <c:ptCount val="8"/>
                <c:pt idx="0">
                  <c:v>2014</c:v>
                </c:pt>
                <c:pt idx="1">
                  <c:v>2015</c:v>
                </c:pt>
                <c:pt idx="2">
                  <c:v>2016</c:v>
                </c:pt>
                <c:pt idx="3">
                  <c:v>2017</c:v>
                </c:pt>
                <c:pt idx="4">
                  <c:v>2018</c:v>
                </c:pt>
                <c:pt idx="5">
                  <c:v>2019</c:v>
                </c:pt>
                <c:pt idx="6">
                  <c:v>2020</c:v>
                </c:pt>
                <c:pt idx="7">
                  <c:v>2021</c:v>
                </c:pt>
              </c:strCache>
            </c:strRef>
          </c:cat>
          <c:val>
            <c:numRef>
              <c:f>Sheet2!$AA$3:$AA$11</c:f>
              <c:numCache>
                <c:formatCode>General</c:formatCode>
                <c:ptCount val="8"/>
                <c:pt idx="0">
                  <c:v>15658</c:v>
                </c:pt>
                <c:pt idx="1">
                  <c:v>12258</c:v>
                </c:pt>
                <c:pt idx="2">
                  <c:v>9737</c:v>
                </c:pt>
                <c:pt idx="3">
                  <c:v>8118</c:v>
                </c:pt>
                <c:pt idx="4">
                  <c:v>6784</c:v>
                </c:pt>
                <c:pt idx="5">
                  <c:v>5575</c:v>
                </c:pt>
                <c:pt idx="6">
                  <c:v>4657</c:v>
                </c:pt>
                <c:pt idx="7">
                  <c:v>2889</c:v>
                </c:pt>
              </c:numCache>
            </c:numRef>
          </c:val>
          <c:extLst>
            <c:ext xmlns:c16="http://schemas.microsoft.com/office/drawing/2014/chart" uri="{C3380CC4-5D6E-409C-BE32-E72D297353CC}">
              <c16:uniqueId val="{00000007-0699-4C2E-9FBF-2FF82C5307C3}"/>
            </c:ext>
          </c:extLst>
        </c:ser>
        <c:ser>
          <c:idx val="8"/>
          <c:order val="8"/>
          <c:tx>
            <c:strRef>
              <c:f>Sheet2!$AB$1:$AB$2</c:f>
              <c:strCache>
                <c:ptCount val="1"/>
                <c:pt idx="0">
                  <c:v>NATALIZUMAB</c:v>
                </c:pt>
              </c:strCache>
            </c:strRef>
          </c:tx>
          <c:spPr>
            <a:solidFill>
              <a:schemeClr val="accent3">
                <a:lumMod val="60000"/>
              </a:schemeClr>
            </a:solidFill>
            <a:ln>
              <a:noFill/>
            </a:ln>
            <a:effectLst/>
          </c:spPr>
          <c:invertIfNegative val="0"/>
          <c:cat>
            <c:strRef>
              <c:f>Sheet2!$S$3:$S$11</c:f>
              <c:strCache>
                <c:ptCount val="8"/>
                <c:pt idx="0">
                  <c:v>2014</c:v>
                </c:pt>
                <c:pt idx="1">
                  <c:v>2015</c:v>
                </c:pt>
                <c:pt idx="2">
                  <c:v>2016</c:v>
                </c:pt>
                <c:pt idx="3">
                  <c:v>2017</c:v>
                </c:pt>
                <c:pt idx="4">
                  <c:v>2018</c:v>
                </c:pt>
                <c:pt idx="5">
                  <c:v>2019</c:v>
                </c:pt>
                <c:pt idx="6">
                  <c:v>2020</c:v>
                </c:pt>
                <c:pt idx="7">
                  <c:v>2021</c:v>
                </c:pt>
              </c:strCache>
            </c:strRef>
          </c:cat>
          <c:val>
            <c:numRef>
              <c:f>Sheet2!$AB$3:$AB$11</c:f>
              <c:numCache>
                <c:formatCode>General</c:formatCode>
                <c:ptCount val="8"/>
                <c:pt idx="0">
                  <c:v>23057</c:v>
                </c:pt>
                <c:pt idx="1">
                  <c:v>25191</c:v>
                </c:pt>
                <c:pt idx="2">
                  <c:v>27453</c:v>
                </c:pt>
                <c:pt idx="3">
                  <c:v>31486</c:v>
                </c:pt>
                <c:pt idx="4">
                  <c:v>29081</c:v>
                </c:pt>
                <c:pt idx="5">
                  <c:v>28236</c:v>
                </c:pt>
                <c:pt idx="6">
                  <c:v>30915</c:v>
                </c:pt>
                <c:pt idx="7">
                  <c:v>24972</c:v>
                </c:pt>
              </c:numCache>
            </c:numRef>
          </c:val>
          <c:extLst>
            <c:ext xmlns:c16="http://schemas.microsoft.com/office/drawing/2014/chart" uri="{C3380CC4-5D6E-409C-BE32-E72D297353CC}">
              <c16:uniqueId val="{00000008-0699-4C2E-9FBF-2FF82C5307C3}"/>
            </c:ext>
          </c:extLst>
        </c:ser>
        <c:ser>
          <c:idx val="9"/>
          <c:order val="9"/>
          <c:tx>
            <c:strRef>
              <c:f>Sheet2!$AC$1:$AC$2</c:f>
              <c:strCache>
                <c:ptCount val="1"/>
                <c:pt idx="0">
                  <c:v>OCRELIZUMAB</c:v>
                </c:pt>
              </c:strCache>
            </c:strRef>
          </c:tx>
          <c:spPr>
            <a:solidFill>
              <a:schemeClr val="accent4">
                <a:lumMod val="60000"/>
              </a:schemeClr>
            </a:solidFill>
            <a:ln>
              <a:noFill/>
            </a:ln>
            <a:effectLst/>
          </c:spPr>
          <c:invertIfNegative val="0"/>
          <c:cat>
            <c:strRef>
              <c:f>Sheet2!$S$3:$S$11</c:f>
              <c:strCache>
                <c:ptCount val="8"/>
                <c:pt idx="0">
                  <c:v>2014</c:v>
                </c:pt>
                <c:pt idx="1">
                  <c:v>2015</c:v>
                </c:pt>
                <c:pt idx="2">
                  <c:v>2016</c:v>
                </c:pt>
                <c:pt idx="3">
                  <c:v>2017</c:v>
                </c:pt>
                <c:pt idx="4">
                  <c:v>2018</c:v>
                </c:pt>
                <c:pt idx="5">
                  <c:v>2019</c:v>
                </c:pt>
                <c:pt idx="6">
                  <c:v>2020</c:v>
                </c:pt>
                <c:pt idx="7">
                  <c:v>2021</c:v>
                </c:pt>
              </c:strCache>
            </c:strRef>
          </c:cat>
          <c:val>
            <c:numRef>
              <c:f>Sheet2!$AC$3:$AC$11</c:f>
              <c:numCache>
                <c:formatCode>General</c:formatCode>
                <c:ptCount val="8"/>
                <c:pt idx="4">
                  <c:v>4327</c:v>
                </c:pt>
                <c:pt idx="5">
                  <c:v>7421</c:v>
                </c:pt>
                <c:pt idx="6">
                  <c:v>9024</c:v>
                </c:pt>
                <c:pt idx="7">
                  <c:v>7895</c:v>
                </c:pt>
              </c:numCache>
            </c:numRef>
          </c:val>
          <c:extLst>
            <c:ext xmlns:c16="http://schemas.microsoft.com/office/drawing/2014/chart" uri="{C3380CC4-5D6E-409C-BE32-E72D297353CC}">
              <c16:uniqueId val="{00000009-0699-4C2E-9FBF-2FF82C5307C3}"/>
            </c:ext>
          </c:extLst>
        </c:ser>
        <c:ser>
          <c:idx val="10"/>
          <c:order val="10"/>
          <c:tx>
            <c:strRef>
              <c:f>Sheet2!$AD$1:$AD$2</c:f>
              <c:strCache>
                <c:ptCount val="1"/>
                <c:pt idx="0">
                  <c:v>OZANIMOD</c:v>
                </c:pt>
              </c:strCache>
            </c:strRef>
          </c:tx>
          <c:spPr>
            <a:solidFill>
              <a:schemeClr val="accent5">
                <a:lumMod val="60000"/>
              </a:schemeClr>
            </a:solidFill>
            <a:ln>
              <a:noFill/>
            </a:ln>
            <a:effectLst/>
          </c:spPr>
          <c:invertIfNegative val="0"/>
          <c:cat>
            <c:strRef>
              <c:f>Sheet2!$S$3:$S$11</c:f>
              <c:strCache>
                <c:ptCount val="8"/>
                <c:pt idx="0">
                  <c:v>2014</c:v>
                </c:pt>
                <c:pt idx="1">
                  <c:v>2015</c:v>
                </c:pt>
                <c:pt idx="2">
                  <c:v>2016</c:v>
                </c:pt>
                <c:pt idx="3">
                  <c:v>2017</c:v>
                </c:pt>
                <c:pt idx="4">
                  <c:v>2018</c:v>
                </c:pt>
                <c:pt idx="5">
                  <c:v>2019</c:v>
                </c:pt>
                <c:pt idx="6">
                  <c:v>2020</c:v>
                </c:pt>
                <c:pt idx="7">
                  <c:v>2021</c:v>
                </c:pt>
              </c:strCache>
            </c:strRef>
          </c:cat>
          <c:val>
            <c:numRef>
              <c:f>Sheet2!$AD$3:$AD$11</c:f>
              <c:numCache>
                <c:formatCode>General</c:formatCode>
                <c:ptCount val="8"/>
                <c:pt idx="7">
                  <c:v>190</c:v>
                </c:pt>
              </c:numCache>
            </c:numRef>
          </c:val>
          <c:extLst>
            <c:ext xmlns:c16="http://schemas.microsoft.com/office/drawing/2014/chart" uri="{C3380CC4-5D6E-409C-BE32-E72D297353CC}">
              <c16:uniqueId val="{0000000A-0699-4C2E-9FBF-2FF82C5307C3}"/>
            </c:ext>
          </c:extLst>
        </c:ser>
        <c:ser>
          <c:idx val="11"/>
          <c:order val="11"/>
          <c:tx>
            <c:strRef>
              <c:f>Sheet2!$AE$1:$AE$2</c:f>
              <c:strCache>
                <c:ptCount val="1"/>
                <c:pt idx="0">
                  <c:v>PEGINTERFERON BETA-1A</c:v>
                </c:pt>
              </c:strCache>
            </c:strRef>
          </c:tx>
          <c:spPr>
            <a:solidFill>
              <a:schemeClr val="accent6">
                <a:lumMod val="60000"/>
              </a:schemeClr>
            </a:solidFill>
            <a:ln>
              <a:noFill/>
            </a:ln>
            <a:effectLst/>
          </c:spPr>
          <c:invertIfNegative val="0"/>
          <c:cat>
            <c:strRef>
              <c:f>Sheet2!$S$3:$S$11</c:f>
              <c:strCache>
                <c:ptCount val="8"/>
                <c:pt idx="0">
                  <c:v>2014</c:v>
                </c:pt>
                <c:pt idx="1">
                  <c:v>2015</c:v>
                </c:pt>
                <c:pt idx="2">
                  <c:v>2016</c:v>
                </c:pt>
                <c:pt idx="3">
                  <c:v>2017</c:v>
                </c:pt>
                <c:pt idx="4">
                  <c:v>2018</c:v>
                </c:pt>
                <c:pt idx="5">
                  <c:v>2019</c:v>
                </c:pt>
                <c:pt idx="6">
                  <c:v>2020</c:v>
                </c:pt>
                <c:pt idx="7">
                  <c:v>2021</c:v>
                </c:pt>
              </c:strCache>
            </c:strRef>
          </c:cat>
          <c:val>
            <c:numRef>
              <c:f>Sheet2!$AE$3:$AE$11</c:f>
              <c:numCache>
                <c:formatCode>General</c:formatCode>
                <c:ptCount val="8"/>
                <c:pt idx="1">
                  <c:v>4075</c:v>
                </c:pt>
                <c:pt idx="2">
                  <c:v>7841</c:v>
                </c:pt>
                <c:pt idx="3">
                  <c:v>7848</c:v>
                </c:pt>
                <c:pt idx="4">
                  <c:v>7504</c:v>
                </c:pt>
                <c:pt idx="5">
                  <c:v>6853</c:v>
                </c:pt>
                <c:pt idx="6">
                  <c:v>6573</c:v>
                </c:pt>
                <c:pt idx="7">
                  <c:v>4295</c:v>
                </c:pt>
              </c:numCache>
            </c:numRef>
          </c:val>
          <c:extLst>
            <c:ext xmlns:c16="http://schemas.microsoft.com/office/drawing/2014/chart" uri="{C3380CC4-5D6E-409C-BE32-E72D297353CC}">
              <c16:uniqueId val="{0000000B-0699-4C2E-9FBF-2FF82C5307C3}"/>
            </c:ext>
          </c:extLst>
        </c:ser>
        <c:ser>
          <c:idx val="12"/>
          <c:order val="12"/>
          <c:tx>
            <c:strRef>
              <c:f>Sheet2!$AF$1:$AF$2</c:f>
              <c:strCache>
                <c:ptCount val="1"/>
                <c:pt idx="0">
                  <c:v>SIPONIMOD</c:v>
                </c:pt>
              </c:strCache>
            </c:strRef>
          </c:tx>
          <c:spPr>
            <a:solidFill>
              <a:schemeClr val="accent1">
                <a:lumMod val="80000"/>
                <a:lumOff val="20000"/>
              </a:schemeClr>
            </a:solidFill>
            <a:ln>
              <a:noFill/>
            </a:ln>
            <a:effectLst/>
          </c:spPr>
          <c:invertIfNegative val="0"/>
          <c:cat>
            <c:strRef>
              <c:f>Sheet2!$S$3:$S$11</c:f>
              <c:strCache>
                <c:ptCount val="8"/>
                <c:pt idx="0">
                  <c:v>2014</c:v>
                </c:pt>
                <c:pt idx="1">
                  <c:v>2015</c:v>
                </c:pt>
                <c:pt idx="2">
                  <c:v>2016</c:v>
                </c:pt>
                <c:pt idx="3">
                  <c:v>2017</c:v>
                </c:pt>
                <c:pt idx="4">
                  <c:v>2018</c:v>
                </c:pt>
                <c:pt idx="5">
                  <c:v>2019</c:v>
                </c:pt>
                <c:pt idx="6">
                  <c:v>2020</c:v>
                </c:pt>
                <c:pt idx="7">
                  <c:v>2021</c:v>
                </c:pt>
              </c:strCache>
            </c:strRef>
          </c:cat>
          <c:val>
            <c:numRef>
              <c:f>Sheet2!$AF$3:$AF$11</c:f>
              <c:numCache>
                <c:formatCode>General</c:formatCode>
                <c:ptCount val="8"/>
                <c:pt idx="6">
                  <c:v>235</c:v>
                </c:pt>
                <c:pt idx="7">
                  <c:v>3524</c:v>
                </c:pt>
              </c:numCache>
            </c:numRef>
          </c:val>
          <c:extLst>
            <c:ext xmlns:c16="http://schemas.microsoft.com/office/drawing/2014/chart" uri="{C3380CC4-5D6E-409C-BE32-E72D297353CC}">
              <c16:uniqueId val="{0000000C-0699-4C2E-9FBF-2FF82C5307C3}"/>
            </c:ext>
          </c:extLst>
        </c:ser>
        <c:ser>
          <c:idx val="13"/>
          <c:order val="13"/>
          <c:tx>
            <c:strRef>
              <c:f>Sheet2!$AG$1:$AG$2</c:f>
              <c:strCache>
                <c:ptCount val="1"/>
                <c:pt idx="0">
                  <c:v>TERIFLUNOMIDE</c:v>
                </c:pt>
              </c:strCache>
            </c:strRef>
          </c:tx>
          <c:spPr>
            <a:solidFill>
              <a:schemeClr val="accent2">
                <a:lumMod val="80000"/>
                <a:lumOff val="20000"/>
              </a:schemeClr>
            </a:solidFill>
            <a:ln>
              <a:noFill/>
            </a:ln>
            <a:effectLst/>
          </c:spPr>
          <c:invertIfNegative val="0"/>
          <c:cat>
            <c:strRef>
              <c:f>Sheet2!$S$3:$S$11</c:f>
              <c:strCache>
                <c:ptCount val="8"/>
                <c:pt idx="0">
                  <c:v>2014</c:v>
                </c:pt>
                <c:pt idx="1">
                  <c:v>2015</c:v>
                </c:pt>
                <c:pt idx="2">
                  <c:v>2016</c:v>
                </c:pt>
                <c:pt idx="3">
                  <c:v>2017</c:v>
                </c:pt>
                <c:pt idx="4">
                  <c:v>2018</c:v>
                </c:pt>
                <c:pt idx="5">
                  <c:v>2019</c:v>
                </c:pt>
                <c:pt idx="6">
                  <c:v>2020</c:v>
                </c:pt>
                <c:pt idx="7">
                  <c:v>2021</c:v>
                </c:pt>
              </c:strCache>
            </c:strRef>
          </c:cat>
          <c:val>
            <c:numRef>
              <c:f>Sheet2!$AG$3:$AG$11</c:f>
              <c:numCache>
                <c:formatCode>General</c:formatCode>
                <c:ptCount val="8"/>
                <c:pt idx="0">
                  <c:v>6333</c:v>
                </c:pt>
                <c:pt idx="1">
                  <c:v>9086</c:v>
                </c:pt>
                <c:pt idx="2">
                  <c:v>12958</c:v>
                </c:pt>
                <c:pt idx="3">
                  <c:v>15964</c:v>
                </c:pt>
                <c:pt idx="4">
                  <c:v>17634</c:v>
                </c:pt>
                <c:pt idx="5">
                  <c:v>18706</c:v>
                </c:pt>
                <c:pt idx="6">
                  <c:v>18620</c:v>
                </c:pt>
                <c:pt idx="7">
                  <c:v>13855</c:v>
                </c:pt>
              </c:numCache>
            </c:numRef>
          </c:val>
          <c:extLst>
            <c:ext xmlns:c16="http://schemas.microsoft.com/office/drawing/2014/chart" uri="{C3380CC4-5D6E-409C-BE32-E72D297353CC}">
              <c16:uniqueId val="{0000000D-0699-4C2E-9FBF-2FF82C5307C3}"/>
            </c:ext>
          </c:extLst>
        </c:ser>
        <c:dLbls>
          <c:showLegendKey val="0"/>
          <c:showVal val="0"/>
          <c:showCatName val="0"/>
          <c:showSerName val="0"/>
          <c:showPercent val="0"/>
          <c:showBubbleSize val="0"/>
        </c:dLbls>
        <c:gapWidth val="150"/>
        <c:overlap val="100"/>
        <c:axId val="691744992"/>
        <c:axId val="691749912"/>
      </c:barChart>
      <c:catAx>
        <c:axId val="691744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1749912"/>
        <c:crosses val="autoZero"/>
        <c:auto val="1"/>
        <c:lblAlgn val="ctr"/>
        <c:lblOffset val="100"/>
        <c:noMultiLvlLbl val="0"/>
      </c:catAx>
      <c:valAx>
        <c:axId val="6917499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1744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[rrms review.xlsx]form!PivotTable4</c:name>
    <c:fmtId val="-1"/>
  </c:pivotSource>
  <c:chart>
    <c:autoTitleDeleted val="0"/>
    <c:pivotFmts>
      <c:pivotFmt>
        <c:idx val="0"/>
        <c:spPr>
          <a:solidFill>
            <a:schemeClr val="accent1"/>
          </a:solidFill>
          <a:ln w="28575" cap="rnd">
            <a:solidFill>
              <a:schemeClr val="accent1"/>
            </a:solidFill>
            <a:round/>
          </a:ln>
          <a:effectLst/>
        </c:spPr>
        <c:marker>
          <c:symbol val="none"/>
        </c:marker>
      </c:pivotFmt>
      <c:pivotFmt>
        <c:idx val="1"/>
        <c:spPr>
          <a:solidFill>
            <a:schemeClr val="accent1"/>
          </a:solidFill>
          <a:ln w="28575" cap="rnd">
            <a:solidFill>
              <a:schemeClr val="accent1"/>
            </a:solidFill>
            <a:round/>
          </a:ln>
          <a:effectLst/>
        </c:spPr>
        <c:marker>
          <c:symbol val="none"/>
        </c:marker>
      </c:pivotFmt>
      <c:pivotFmt>
        <c:idx val="2"/>
        <c:spPr>
          <a:solidFill>
            <a:schemeClr val="accent1"/>
          </a:solidFill>
          <a:ln w="28575" cap="rnd">
            <a:solidFill>
              <a:schemeClr val="accent1"/>
            </a:solidFill>
            <a:round/>
          </a:ln>
          <a:effectLst/>
        </c:spPr>
        <c:marker>
          <c:symbol val="none"/>
        </c:marker>
      </c:pivotFmt>
      <c:pivotFmt>
        <c:idx val="3"/>
        <c:spPr>
          <a:solidFill>
            <a:schemeClr val="accent1"/>
          </a:solidFill>
          <a:ln w="28575" cap="rnd">
            <a:solidFill>
              <a:schemeClr val="accent1"/>
            </a:solidFill>
            <a:round/>
          </a:ln>
          <a:effectLst/>
        </c:spPr>
        <c:marker>
          <c:symbol val="none"/>
        </c:marker>
      </c:pivotFmt>
      <c:pivotFmt>
        <c:idx val="4"/>
        <c:spPr>
          <a:solidFill>
            <a:schemeClr val="accent1"/>
          </a:solidFill>
          <a:ln w="28575" cap="rnd">
            <a:solidFill>
              <a:schemeClr val="accent1"/>
            </a:solidFill>
            <a:round/>
          </a:ln>
          <a:effectLst/>
        </c:spPr>
        <c:marker>
          <c:symbol val="none"/>
        </c:marker>
      </c:pivotFmt>
      <c:pivotFmt>
        <c:idx val="5"/>
        <c:spPr>
          <a:solidFill>
            <a:schemeClr val="accent1"/>
          </a:solidFill>
          <a:ln w="28575" cap="rnd">
            <a:solidFill>
              <a:schemeClr val="accent1"/>
            </a:solidFill>
            <a:round/>
          </a:ln>
          <a:effectLst/>
        </c:spPr>
        <c:marker>
          <c:symbol val="none"/>
        </c:marker>
      </c:pivotFmt>
      <c:pivotFmt>
        <c:idx val="6"/>
        <c:spPr>
          <a:solidFill>
            <a:schemeClr val="accent1"/>
          </a:solidFill>
          <a:ln w="28575" cap="rnd">
            <a:solidFill>
              <a:schemeClr val="accent1"/>
            </a:solidFill>
            <a:round/>
          </a:ln>
          <a:effectLst/>
        </c:spPr>
        <c:marker>
          <c:symbol val="none"/>
        </c:marker>
      </c:pivotFmt>
      <c:pivotFmt>
        <c:idx val="7"/>
        <c:spPr>
          <a:solidFill>
            <a:schemeClr val="accent1"/>
          </a:solidFill>
          <a:ln w="28575" cap="rnd">
            <a:solidFill>
              <a:schemeClr val="accent1"/>
            </a:solidFill>
            <a:round/>
          </a:ln>
          <a:effectLst/>
        </c:spPr>
        <c:marker>
          <c:symbol val="none"/>
        </c:marker>
      </c:pivotFmt>
      <c:pivotFmt>
        <c:idx val="8"/>
        <c:spPr>
          <a:solidFill>
            <a:schemeClr val="accent1"/>
          </a:solidFill>
          <a:ln w="28575" cap="rnd">
            <a:solidFill>
              <a:schemeClr val="accent1"/>
            </a:solidFill>
            <a:round/>
          </a:ln>
          <a:effectLst/>
        </c:spPr>
        <c:marker>
          <c:symbol val="none"/>
        </c:marker>
      </c:pivotFmt>
    </c:pivotFmts>
    <c:plotArea>
      <c:layout/>
      <c:lineChart>
        <c:grouping val="standard"/>
        <c:varyColors val="0"/>
        <c:ser>
          <c:idx val="0"/>
          <c:order val="0"/>
          <c:tx>
            <c:strRef>
              <c:f>form!$T$1:$T$2</c:f>
              <c:strCache>
                <c:ptCount val="1"/>
                <c:pt idx="0">
                  <c:v>infusion</c:v>
                </c:pt>
              </c:strCache>
            </c:strRef>
          </c:tx>
          <c:spPr>
            <a:ln w="28575" cap="rnd">
              <a:solidFill>
                <a:schemeClr val="accent1"/>
              </a:solidFill>
              <a:round/>
            </a:ln>
            <a:effectLst/>
          </c:spPr>
          <c:marker>
            <c:symbol val="none"/>
          </c:marker>
          <c:cat>
            <c:strRef>
              <c:f>form!$S$3:$S$34</c:f>
              <c:strCache>
                <c:ptCount val="31"/>
                <c:pt idx="0">
                  <c:v>2014Q1</c:v>
                </c:pt>
                <c:pt idx="1">
                  <c:v>2014Q2</c:v>
                </c:pt>
                <c:pt idx="2">
                  <c:v>2014Q3</c:v>
                </c:pt>
                <c:pt idx="3">
                  <c:v>2014Q4</c:v>
                </c:pt>
                <c:pt idx="4">
                  <c:v>2015Q1</c:v>
                </c:pt>
                <c:pt idx="5">
                  <c:v>2015Q2</c:v>
                </c:pt>
                <c:pt idx="6">
                  <c:v>2015Q3</c:v>
                </c:pt>
                <c:pt idx="7">
                  <c:v>2015Q4</c:v>
                </c:pt>
                <c:pt idx="8">
                  <c:v>2016Q1</c:v>
                </c:pt>
                <c:pt idx="9">
                  <c:v>2016Q2</c:v>
                </c:pt>
                <c:pt idx="10">
                  <c:v>2016Q3</c:v>
                </c:pt>
                <c:pt idx="11">
                  <c:v>2016Q4</c:v>
                </c:pt>
                <c:pt idx="12">
                  <c:v>2017Q1</c:v>
                </c:pt>
                <c:pt idx="13">
                  <c:v>2017Q2</c:v>
                </c:pt>
                <c:pt idx="14">
                  <c:v>2017Q3</c:v>
                </c:pt>
                <c:pt idx="15">
                  <c:v>2017Q4</c:v>
                </c:pt>
                <c:pt idx="16">
                  <c:v>2018Q1</c:v>
                </c:pt>
                <c:pt idx="17">
                  <c:v>2018Q2</c:v>
                </c:pt>
                <c:pt idx="18">
                  <c:v>2018Q3</c:v>
                </c:pt>
                <c:pt idx="19">
                  <c:v>2018Q4</c:v>
                </c:pt>
                <c:pt idx="20">
                  <c:v>2019Q1</c:v>
                </c:pt>
                <c:pt idx="21">
                  <c:v>2019Q2</c:v>
                </c:pt>
                <c:pt idx="22">
                  <c:v>2019Q3</c:v>
                </c:pt>
                <c:pt idx="23">
                  <c:v>2019Q4</c:v>
                </c:pt>
                <c:pt idx="24">
                  <c:v>2020Q1</c:v>
                </c:pt>
                <c:pt idx="25">
                  <c:v>2020Q2</c:v>
                </c:pt>
                <c:pt idx="26">
                  <c:v>2020Q3</c:v>
                </c:pt>
                <c:pt idx="27">
                  <c:v>2020Q4</c:v>
                </c:pt>
                <c:pt idx="28">
                  <c:v>2021Q1</c:v>
                </c:pt>
                <c:pt idx="29">
                  <c:v>2021Q2</c:v>
                </c:pt>
                <c:pt idx="30">
                  <c:v>2021Q3</c:v>
                </c:pt>
              </c:strCache>
            </c:strRef>
          </c:cat>
          <c:val>
            <c:numRef>
              <c:f>form!$T$3:$T$34</c:f>
              <c:numCache>
                <c:formatCode>#,##0</c:formatCode>
                <c:ptCount val="31"/>
                <c:pt idx="0">
                  <c:v>5407</c:v>
                </c:pt>
                <c:pt idx="1">
                  <c:v>5742</c:v>
                </c:pt>
                <c:pt idx="2">
                  <c:v>5865</c:v>
                </c:pt>
                <c:pt idx="3">
                  <c:v>6043</c:v>
                </c:pt>
                <c:pt idx="4">
                  <c:v>6159</c:v>
                </c:pt>
                <c:pt idx="5">
                  <c:v>6336</c:v>
                </c:pt>
                <c:pt idx="6">
                  <c:v>6573</c:v>
                </c:pt>
                <c:pt idx="7">
                  <c:v>6569</c:v>
                </c:pt>
                <c:pt idx="8">
                  <c:v>6588</c:v>
                </c:pt>
                <c:pt idx="9">
                  <c:v>7057</c:v>
                </c:pt>
                <c:pt idx="10">
                  <c:v>7266</c:v>
                </c:pt>
                <c:pt idx="11">
                  <c:v>7382</c:v>
                </c:pt>
                <c:pt idx="12">
                  <c:v>7898</c:v>
                </c:pt>
                <c:pt idx="13">
                  <c:v>8090</c:v>
                </c:pt>
                <c:pt idx="14">
                  <c:v>8223</c:v>
                </c:pt>
                <c:pt idx="15">
                  <c:v>8038</c:v>
                </c:pt>
                <c:pt idx="16">
                  <c:v>8358</c:v>
                </c:pt>
                <c:pt idx="17">
                  <c:v>8543</c:v>
                </c:pt>
                <c:pt idx="18">
                  <c:v>8409</c:v>
                </c:pt>
                <c:pt idx="19">
                  <c:v>8569</c:v>
                </c:pt>
                <c:pt idx="20">
                  <c:v>8634</c:v>
                </c:pt>
                <c:pt idx="21">
                  <c:v>8976</c:v>
                </c:pt>
                <c:pt idx="22">
                  <c:v>9005</c:v>
                </c:pt>
                <c:pt idx="23">
                  <c:v>9328</c:v>
                </c:pt>
                <c:pt idx="24">
                  <c:v>9422</c:v>
                </c:pt>
                <c:pt idx="25">
                  <c:v>9697</c:v>
                </c:pt>
                <c:pt idx="26">
                  <c:v>10349</c:v>
                </c:pt>
                <c:pt idx="27">
                  <c:v>10646</c:v>
                </c:pt>
                <c:pt idx="28">
                  <c:v>10619</c:v>
                </c:pt>
                <c:pt idx="29">
                  <c:v>10970</c:v>
                </c:pt>
                <c:pt idx="30">
                  <c:v>11355</c:v>
                </c:pt>
              </c:numCache>
            </c:numRef>
          </c:val>
          <c:smooth val="0"/>
          <c:extLst>
            <c:ext xmlns:c16="http://schemas.microsoft.com/office/drawing/2014/chart" uri="{C3380CC4-5D6E-409C-BE32-E72D297353CC}">
              <c16:uniqueId val="{00000000-935A-44DC-AE96-E77E3605A83F}"/>
            </c:ext>
          </c:extLst>
        </c:ser>
        <c:ser>
          <c:idx val="1"/>
          <c:order val="1"/>
          <c:tx>
            <c:strRef>
              <c:f>form!$U$1:$U$2</c:f>
              <c:strCache>
                <c:ptCount val="1"/>
                <c:pt idx="0">
                  <c:v>injection</c:v>
                </c:pt>
              </c:strCache>
            </c:strRef>
          </c:tx>
          <c:spPr>
            <a:ln w="28575" cap="rnd">
              <a:solidFill>
                <a:schemeClr val="accent2"/>
              </a:solidFill>
              <a:round/>
            </a:ln>
            <a:effectLst/>
          </c:spPr>
          <c:marker>
            <c:symbol val="none"/>
          </c:marker>
          <c:cat>
            <c:strRef>
              <c:f>form!$S$3:$S$34</c:f>
              <c:strCache>
                <c:ptCount val="31"/>
                <c:pt idx="0">
                  <c:v>2014Q1</c:v>
                </c:pt>
                <c:pt idx="1">
                  <c:v>2014Q2</c:v>
                </c:pt>
                <c:pt idx="2">
                  <c:v>2014Q3</c:v>
                </c:pt>
                <c:pt idx="3">
                  <c:v>2014Q4</c:v>
                </c:pt>
                <c:pt idx="4">
                  <c:v>2015Q1</c:v>
                </c:pt>
                <c:pt idx="5">
                  <c:v>2015Q2</c:v>
                </c:pt>
                <c:pt idx="6">
                  <c:v>2015Q3</c:v>
                </c:pt>
                <c:pt idx="7">
                  <c:v>2015Q4</c:v>
                </c:pt>
                <c:pt idx="8">
                  <c:v>2016Q1</c:v>
                </c:pt>
                <c:pt idx="9">
                  <c:v>2016Q2</c:v>
                </c:pt>
                <c:pt idx="10">
                  <c:v>2016Q3</c:v>
                </c:pt>
                <c:pt idx="11">
                  <c:v>2016Q4</c:v>
                </c:pt>
                <c:pt idx="12">
                  <c:v>2017Q1</c:v>
                </c:pt>
                <c:pt idx="13">
                  <c:v>2017Q2</c:v>
                </c:pt>
                <c:pt idx="14">
                  <c:v>2017Q3</c:v>
                </c:pt>
                <c:pt idx="15">
                  <c:v>2017Q4</c:v>
                </c:pt>
                <c:pt idx="16">
                  <c:v>2018Q1</c:v>
                </c:pt>
                <c:pt idx="17">
                  <c:v>2018Q2</c:v>
                </c:pt>
                <c:pt idx="18">
                  <c:v>2018Q3</c:v>
                </c:pt>
                <c:pt idx="19">
                  <c:v>2018Q4</c:v>
                </c:pt>
                <c:pt idx="20">
                  <c:v>2019Q1</c:v>
                </c:pt>
                <c:pt idx="21">
                  <c:v>2019Q2</c:v>
                </c:pt>
                <c:pt idx="22">
                  <c:v>2019Q3</c:v>
                </c:pt>
                <c:pt idx="23">
                  <c:v>2019Q4</c:v>
                </c:pt>
                <c:pt idx="24">
                  <c:v>2020Q1</c:v>
                </c:pt>
                <c:pt idx="25">
                  <c:v>2020Q2</c:v>
                </c:pt>
                <c:pt idx="26">
                  <c:v>2020Q3</c:v>
                </c:pt>
                <c:pt idx="27">
                  <c:v>2020Q4</c:v>
                </c:pt>
                <c:pt idx="28">
                  <c:v>2021Q1</c:v>
                </c:pt>
                <c:pt idx="29">
                  <c:v>2021Q2</c:v>
                </c:pt>
                <c:pt idx="30">
                  <c:v>2021Q3</c:v>
                </c:pt>
              </c:strCache>
            </c:strRef>
          </c:cat>
          <c:val>
            <c:numRef>
              <c:f>form!$U$3:$U$34</c:f>
              <c:numCache>
                <c:formatCode>#,##0</c:formatCode>
                <c:ptCount val="31"/>
                <c:pt idx="0">
                  <c:v>16101</c:v>
                </c:pt>
                <c:pt idx="1">
                  <c:v>15910</c:v>
                </c:pt>
                <c:pt idx="2">
                  <c:v>15000</c:v>
                </c:pt>
                <c:pt idx="3">
                  <c:v>14923</c:v>
                </c:pt>
                <c:pt idx="4">
                  <c:v>13313</c:v>
                </c:pt>
                <c:pt idx="5">
                  <c:v>13353</c:v>
                </c:pt>
                <c:pt idx="6">
                  <c:v>13662</c:v>
                </c:pt>
                <c:pt idx="7">
                  <c:v>14666</c:v>
                </c:pt>
                <c:pt idx="8">
                  <c:v>13601</c:v>
                </c:pt>
                <c:pt idx="9">
                  <c:v>13989</c:v>
                </c:pt>
                <c:pt idx="10">
                  <c:v>13599</c:v>
                </c:pt>
                <c:pt idx="11">
                  <c:v>13691</c:v>
                </c:pt>
                <c:pt idx="12">
                  <c:v>12445</c:v>
                </c:pt>
                <c:pt idx="13">
                  <c:v>12488</c:v>
                </c:pt>
                <c:pt idx="14">
                  <c:v>12322</c:v>
                </c:pt>
                <c:pt idx="15">
                  <c:v>12443</c:v>
                </c:pt>
                <c:pt idx="16">
                  <c:v>11311</c:v>
                </c:pt>
                <c:pt idx="17">
                  <c:v>11344</c:v>
                </c:pt>
                <c:pt idx="18">
                  <c:v>10780</c:v>
                </c:pt>
                <c:pt idx="19">
                  <c:v>10998</c:v>
                </c:pt>
                <c:pt idx="20">
                  <c:v>9760</c:v>
                </c:pt>
                <c:pt idx="21">
                  <c:v>10056</c:v>
                </c:pt>
                <c:pt idx="22">
                  <c:v>9495</c:v>
                </c:pt>
                <c:pt idx="23">
                  <c:v>9634</c:v>
                </c:pt>
                <c:pt idx="24">
                  <c:v>9545</c:v>
                </c:pt>
                <c:pt idx="25">
                  <c:v>8051</c:v>
                </c:pt>
                <c:pt idx="26">
                  <c:v>8684</c:v>
                </c:pt>
                <c:pt idx="27">
                  <c:v>8653</c:v>
                </c:pt>
                <c:pt idx="28">
                  <c:v>7626</c:v>
                </c:pt>
                <c:pt idx="29">
                  <c:v>7518</c:v>
                </c:pt>
                <c:pt idx="30">
                  <c:v>7554</c:v>
                </c:pt>
              </c:numCache>
            </c:numRef>
          </c:val>
          <c:smooth val="0"/>
          <c:extLst>
            <c:ext xmlns:c16="http://schemas.microsoft.com/office/drawing/2014/chart" uri="{C3380CC4-5D6E-409C-BE32-E72D297353CC}">
              <c16:uniqueId val="{00000001-935A-44DC-AE96-E77E3605A83F}"/>
            </c:ext>
          </c:extLst>
        </c:ser>
        <c:ser>
          <c:idx val="2"/>
          <c:order val="2"/>
          <c:tx>
            <c:strRef>
              <c:f>form!$V$1:$V$2</c:f>
              <c:strCache>
                <c:ptCount val="1"/>
                <c:pt idx="0">
                  <c:v>oral</c:v>
                </c:pt>
              </c:strCache>
            </c:strRef>
          </c:tx>
          <c:spPr>
            <a:ln w="28575" cap="rnd">
              <a:solidFill>
                <a:schemeClr val="accent3"/>
              </a:solidFill>
              <a:round/>
            </a:ln>
            <a:effectLst/>
          </c:spPr>
          <c:marker>
            <c:symbol val="none"/>
          </c:marker>
          <c:cat>
            <c:strRef>
              <c:f>form!$S$3:$S$34</c:f>
              <c:strCache>
                <c:ptCount val="31"/>
                <c:pt idx="0">
                  <c:v>2014Q1</c:v>
                </c:pt>
                <c:pt idx="1">
                  <c:v>2014Q2</c:v>
                </c:pt>
                <c:pt idx="2">
                  <c:v>2014Q3</c:v>
                </c:pt>
                <c:pt idx="3">
                  <c:v>2014Q4</c:v>
                </c:pt>
                <c:pt idx="4">
                  <c:v>2015Q1</c:v>
                </c:pt>
                <c:pt idx="5">
                  <c:v>2015Q2</c:v>
                </c:pt>
                <c:pt idx="6">
                  <c:v>2015Q3</c:v>
                </c:pt>
                <c:pt idx="7">
                  <c:v>2015Q4</c:v>
                </c:pt>
                <c:pt idx="8">
                  <c:v>2016Q1</c:v>
                </c:pt>
                <c:pt idx="9">
                  <c:v>2016Q2</c:v>
                </c:pt>
                <c:pt idx="10">
                  <c:v>2016Q3</c:v>
                </c:pt>
                <c:pt idx="11">
                  <c:v>2016Q4</c:v>
                </c:pt>
                <c:pt idx="12">
                  <c:v>2017Q1</c:v>
                </c:pt>
                <c:pt idx="13">
                  <c:v>2017Q2</c:v>
                </c:pt>
                <c:pt idx="14">
                  <c:v>2017Q3</c:v>
                </c:pt>
                <c:pt idx="15">
                  <c:v>2017Q4</c:v>
                </c:pt>
                <c:pt idx="16">
                  <c:v>2018Q1</c:v>
                </c:pt>
                <c:pt idx="17">
                  <c:v>2018Q2</c:v>
                </c:pt>
                <c:pt idx="18">
                  <c:v>2018Q3</c:v>
                </c:pt>
                <c:pt idx="19">
                  <c:v>2018Q4</c:v>
                </c:pt>
                <c:pt idx="20">
                  <c:v>2019Q1</c:v>
                </c:pt>
                <c:pt idx="21">
                  <c:v>2019Q2</c:v>
                </c:pt>
                <c:pt idx="22">
                  <c:v>2019Q3</c:v>
                </c:pt>
                <c:pt idx="23">
                  <c:v>2019Q4</c:v>
                </c:pt>
                <c:pt idx="24">
                  <c:v>2020Q1</c:v>
                </c:pt>
                <c:pt idx="25">
                  <c:v>2020Q2</c:v>
                </c:pt>
                <c:pt idx="26">
                  <c:v>2020Q3</c:v>
                </c:pt>
                <c:pt idx="27">
                  <c:v>2020Q4</c:v>
                </c:pt>
                <c:pt idx="28">
                  <c:v>2021Q1</c:v>
                </c:pt>
                <c:pt idx="29">
                  <c:v>2021Q2</c:v>
                </c:pt>
                <c:pt idx="30">
                  <c:v>2021Q3</c:v>
                </c:pt>
              </c:strCache>
            </c:strRef>
          </c:cat>
          <c:val>
            <c:numRef>
              <c:f>form!$V$3:$V$34</c:f>
              <c:numCache>
                <c:formatCode>#,##0</c:formatCode>
                <c:ptCount val="31"/>
                <c:pt idx="0">
                  <c:v>16891</c:v>
                </c:pt>
                <c:pt idx="1">
                  <c:v>19753</c:v>
                </c:pt>
                <c:pt idx="2">
                  <c:v>21502</c:v>
                </c:pt>
                <c:pt idx="3">
                  <c:v>23244</c:v>
                </c:pt>
                <c:pt idx="4">
                  <c:v>22170</c:v>
                </c:pt>
                <c:pt idx="5">
                  <c:v>23653</c:v>
                </c:pt>
                <c:pt idx="6">
                  <c:v>24409</c:v>
                </c:pt>
                <c:pt idx="7">
                  <c:v>25527</c:v>
                </c:pt>
                <c:pt idx="8">
                  <c:v>24330</c:v>
                </c:pt>
                <c:pt idx="9">
                  <c:v>25499</c:v>
                </c:pt>
                <c:pt idx="10">
                  <c:v>26083</c:v>
                </c:pt>
                <c:pt idx="11">
                  <c:v>27072</c:v>
                </c:pt>
                <c:pt idx="12">
                  <c:v>26296</c:v>
                </c:pt>
                <c:pt idx="13">
                  <c:v>27083</c:v>
                </c:pt>
                <c:pt idx="14">
                  <c:v>27361</c:v>
                </c:pt>
                <c:pt idx="15">
                  <c:v>27900</c:v>
                </c:pt>
                <c:pt idx="16">
                  <c:v>26347</c:v>
                </c:pt>
                <c:pt idx="17">
                  <c:v>26922</c:v>
                </c:pt>
                <c:pt idx="18">
                  <c:v>26063</c:v>
                </c:pt>
                <c:pt idx="19">
                  <c:v>26770</c:v>
                </c:pt>
                <c:pt idx="20">
                  <c:v>25468</c:v>
                </c:pt>
                <c:pt idx="21">
                  <c:v>26588</c:v>
                </c:pt>
                <c:pt idx="22">
                  <c:v>26208</c:v>
                </c:pt>
                <c:pt idx="23">
                  <c:v>26755</c:v>
                </c:pt>
                <c:pt idx="24">
                  <c:v>27374</c:v>
                </c:pt>
                <c:pt idx="25">
                  <c:v>23380</c:v>
                </c:pt>
                <c:pt idx="26">
                  <c:v>26055</c:v>
                </c:pt>
                <c:pt idx="27">
                  <c:v>26028</c:v>
                </c:pt>
                <c:pt idx="28">
                  <c:v>24892</c:v>
                </c:pt>
                <c:pt idx="29">
                  <c:v>25017</c:v>
                </c:pt>
                <c:pt idx="30">
                  <c:v>26169</c:v>
                </c:pt>
              </c:numCache>
            </c:numRef>
          </c:val>
          <c:smooth val="0"/>
          <c:extLst>
            <c:ext xmlns:c16="http://schemas.microsoft.com/office/drawing/2014/chart" uri="{C3380CC4-5D6E-409C-BE32-E72D297353CC}">
              <c16:uniqueId val="{00000002-935A-44DC-AE96-E77E3605A83F}"/>
            </c:ext>
          </c:extLst>
        </c:ser>
        <c:dLbls>
          <c:showLegendKey val="0"/>
          <c:showVal val="0"/>
          <c:showCatName val="0"/>
          <c:showSerName val="0"/>
          <c:showPercent val="0"/>
          <c:showBubbleSize val="0"/>
        </c:dLbls>
        <c:smooth val="0"/>
        <c:axId val="749679920"/>
        <c:axId val="749685168"/>
      </c:lineChart>
      <c:catAx>
        <c:axId val="749679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9685168"/>
        <c:crosses val="autoZero"/>
        <c:auto val="1"/>
        <c:lblAlgn val="ctr"/>
        <c:lblOffset val="100"/>
        <c:noMultiLvlLbl val="0"/>
      </c:catAx>
      <c:valAx>
        <c:axId val="7496851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prescriptions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9679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[rrms review.xlsx]year!PivotTable2</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
        <c:idx val="15"/>
        <c:spPr>
          <a:solidFill>
            <a:schemeClr val="accent1"/>
          </a:solidFill>
          <a:ln>
            <a:noFill/>
          </a:ln>
          <a:effectLst/>
        </c:spPr>
        <c:marker>
          <c:symbol val="none"/>
        </c:marker>
      </c:pivotFmt>
      <c:pivotFmt>
        <c:idx val="16"/>
        <c:spPr>
          <a:solidFill>
            <a:schemeClr val="accent1"/>
          </a:solidFill>
          <a:ln>
            <a:noFill/>
          </a:ln>
          <a:effectLst/>
        </c:spPr>
        <c:marker>
          <c:symbol val="none"/>
        </c:marker>
      </c:pivotFmt>
      <c:pivotFmt>
        <c:idx val="17"/>
        <c:spPr>
          <a:solidFill>
            <a:schemeClr val="accent1"/>
          </a:solidFill>
          <a:ln>
            <a:noFill/>
          </a:ln>
          <a:effectLst/>
        </c:spPr>
        <c:marker>
          <c:symbol val="none"/>
        </c:marker>
      </c:pivotFmt>
      <c:pivotFmt>
        <c:idx val="18"/>
        <c:spPr>
          <a:solidFill>
            <a:schemeClr val="accent1"/>
          </a:solidFill>
          <a:ln>
            <a:noFill/>
          </a:ln>
          <a:effectLst/>
        </c:spPr>
        <c:marker>
          <c:symbol val="none"/>
        </c:marker>
      </c:pivotFmt>
      <c:pivotFmt>
        <c:idx val="19"/>
        <c:spPr>
          <a:solidFill>
            <a:schemeClr val="accent1"/>
          </a:solidFill>
          <a:ln>
            <a:noFill/>
          </a:ln>
          <a:effectLst/>
        </c:spPr>
        <c:marker>
          <c:symbol val="none"/>
        </c:marker>
      </c:pivotFmt>
      <c:pivotFmt>
        <c:idx val="20"/>
        <c:spPr>
          <a:solidFill>
            <a:schemeClr val="accent1"/>
          </a:solidFill>
          <a:ln>
            <a:noFill/>
          </a:ln>
          <a:effectLst/>
        </c:spPr>
        <c:marker>
          <c:symbol val="none"/>
        </c:marker>
      </c:pivotFmt>
      <c:pivotFmt>
        <c:idx val="21"/>
        <c:spPr>
          <a:solidFill>
            <a:schemeClr val="accent1"/>
          </a:solidFill>
          <a:ln>
            <a:noFill/>
          </a:ln>
          <a:effectLst/>
        </c:spPr>
        <c:marker>
          <c:symbol val="none"/>
        </c:marker>
      </c:pivotFmt>
      <c:pivotFmt>
        <c:idx val="22"/>
        <c:spPr>
          <a:solidFill>
            <a:schemeClr val="accent1"/>
          </a:solidFill>
          <a:ln>
            <a:noFill/>
          </a:ln>
          <a:effectLst/>
        </c:spPr>
        <c:marker>
          <c:symbol val="none"/>
        </c:marker>
      </c:pivotFmt>
      <c:pivotFmt>
        <c:idx val="23"/>
        <c:spPr>
          <a:solidFill>
            <a:schemeClr val="accent1"/>
          </a:solidFill>
          <a:ln>
            <a:noFill/>
          </a:ln>
          <a:effectLst/>
        </c:spPr>
        <c:marker>
          <c:symbol val="none"/>
        </c:marker>
      </c:pivotFmt>
      <c:pivotFmt>
        <c:idx val="24"/>
        <c:spPr>
          <a:solidFill>
            <a:schemeClr val="accent1"/>
          </a:solidFill>
          <a:ln>
            <a:noFill/>
          </a:ln>
          <a:effectLst/>
        </c:spPr>
        <c:marker>
          <c:symbol val="none"/>
        </c:marker>
      </c:pivotFmt>
      <c:pivotFmt>
        <c:idx val="25"/>
        <c:spPr>
          <a:solidFill>
            <a:schemeClr val="accent1"/>
          </a:solidFill>
          <a:ln>
            <a:noFill/>
          </a:ln>
          <a:effectLst/>
        </c:spPr>
        <c:marker>
          <c:symbol val="none"/>
        </c:marker>
      </c:pivotFmt>
      <c:pivotFmt>
        <c:idx val="26"/>
        <c:spPr>
          <a:solidFill>
            <a:schemeClr val="accent1"/>
          </a:solidFill>
          <a:ln>
            <a:noFill/>
          </a:ln>
          <a:effectLst/>
        </c:spPr>
        <c:marker>
          <c:symbol val="none"/>
        </c:marker>
      </c:pivotFmt>
      <c:pivotFmt>
        <c:idx val="27"/>
        <c:spPr>
          <a:solidFill>
            <a:schemeClr val="accent1"/>
          </a:solidFill>
          <a:ln>
            <a:noFill/>
          </a:ln>
          <a:effectLst/>
        </c:spPr>
        <c:marker>
          <c:symbol val="none"/>
        </c:marker>
      </c:pivotFmt>
      <c:pivotFmt>
        <c:idx val="28"/>
        <c:spPr>
          <a:solidFill>
            <a:schemeClr val="accent1"/>
          </a:solidFill>
          <a:ln>
            <a:noFill/>
          </a:ln>
          <a:effectLst/>
        </c:spPr>
        <c:marker>
          <c:symbol val="none"/>
        </c:marker>
      </c:pivotFmt>
      <c:pivotFmt>
        <c:idx val="29"/>
        <c:spPr>
          <a:solidFill>
            <a:schemeClr val="accent1"/>
          </a:solidFill>
          <a:ln>
            <a:noFill/>
          </a:ln>
          <a:effectLst/>
        </c:spPr>
        <c:marker>
          <c:symbol val="none"/>
        </c:marker>
      </c:pivotFmt>
      <c:pivotFmt>
        <c:idx val="30"/>
        <c:spPr>
          <a:solidFill>
            <a:schemeClr val="accent1"/>
          </a:solidFill>
          <a:ln>
            <a:noFill/>
          </a:ln>
          <a:effectLst/>
        </c:spPr>
        <c:marker>
          <c:symbol val="none"/>
        </c:marker>
      </c:pivotFmt>
      <c:pivotFmt>
        <c:idx val="31"/>
        <c:spPr>
          <a:solidFill>
            <a:schemeClr val="accent1"/>
          </a:solidFill>
          <a:ln>
            <a:noFill/>
          </a:ln>
          <a:effectLst/>
        </c:spPr>
        <c:marker>
          <c:symbol val="none"/>
        </c:marker>
      </c:pivotFmt>
      <c:pivotFmt>
        <c:idx val="32"/>
        <c:spPr>
          <a:solidFill>
            <a:schemeClr val="accent1"/>
          </a:solidFill>
          <a:ln>
            <a:noFill/>
          </a:ln>
          <a:effectLst/>
        </c:spPr>
        <c:marker>
          <c:symbol val="none"/>
        </c:marker>
      </c:pivotFmt>
      <c:pivotFmt>
        <c:idx val="33"/>
        <c:spPr>
          <a:solidFill>
            <a:schemeClr val="accent1"/>
          </a:solidFill>
          <a:ln>
            <a:noFill/>
          </a:ln>
          <a:effectLst/>
        </c:spPr>
        <c:marker>
          <c:symbol val="none"/>
        </c:marker>
      </c:pivotFmt>
      <c:pivotFmt>
        <c:idx val="34"/>
        <c:spPr>
          <a:solidFill>
            <a:schemeClr val="accent1"/>
          </a:solidFill>
          <a:ln>
            <a:noFill/>
          </a:ln>
          <a:effectLst/>
        </c:spPr>
        <c:marker>
          <c:symbol val="none"/>
        </c:marker>
      </c:pivotFmt>
      <c:pivotFmt>
        <c:idx val="35"/>
        <c:spPr>
          <a:solidFill>
            <a:schemeClr val="accent1"/>
          </a:solidFill>
          <a:ln>
            <a:noFill/>
          </a:ln>
          <a:effectLst/>
        </c:spPr>
        <c:marker>
          <c:symbol val="none"/>
        </c:marker>
      </c:pivotFmt>
      <c:pivotFmt>
        <c:idx val="36"/>
        <c:spPr>
          <a:solidFill>
            <a:schemeClr val="accent1"/>
          </a:solidFill>
          <a:ln>
            <a:noFill/>
          </a:ln>
          <a:effectLst/>
        </c:spPr>
        <c:marker>
          <c:symbol val="none"/>
        </c:marker>
      </c:pivotFmt>
      <c:pivotFmt>
        <c:idx val="37"/>
        <c:spPr>
          <a:solidFill>
            <a:schemeClr val="accent1"/>
          </a:solidFill>
          <a:ln>
            <a:noFill/>
          </a:ln>
          <a:effectLst/>
        </c:spPr>
        <c:marker>
          <c:symbol val="none"/>
        </c:marker>
      </c:pivotFmt>
      <c:pivotFmt>
        <c:idx val="38"/>
        <c:spPr>
          <a:solidFill>
            <a:schemeClr val="accent1"/>
          </a:solidFill>
          <a:ln>
            <a:noFill/>
          </a:ln>
          <a:effectLst/>
        </c:spPr>
        <c:marker>
          <c:symbol val="none"/>
        </c:marker>
      </c:pivotFmt>
      <c:pivotFmt>
        <c:idx val="39"/>
        <c:spPr>
          <a:solidFill>
            <a:schemeClr val="accent1"/>
          </a:solidFill>
          <a:ln>
            <a:noFill/>
          </a:ln>
          <a:effectLst/>
        </c:spPr>
        <c:marker>
          <c:symbol val="none"/>
        </c:marker>
      </c:pivotFmt>
      <c:pivotFmt>
        <c:idx val="40"/>
        <c:spPr>
          <a:solidFill>
            <a:schemeClr val="accent1"/>
          </a:solidFill>
          <a:ln>
            <a:noFill/>
          </a:ln>
          <a:effectLst/>
        </c:spPr>
        <c:marker>
          <c:symbol val="none"/>
        </c:marker>
      </c:pivotFmt>
      <c:pivotFmt>
        <c:idx val="41"/>
        <c:spPr>
          <a:solidFill>
            <a:schemeClr val="accent1"/>
          </a:solidFill>
          <a:ln>
            <a:noFill/>
          </a:ln>
          <a:effectLst/>
        </c:spPr>
        <c:marker>
          <c:symbol val="none"/>
        </c:marker>
      </c:pivotFmt>
    </c:pivotFmts>
    <c:plotArea>
      <c:layout/>
      <c:areaChart>
        <c:grouping val="stacked"/>
        <c:varyColors val="0"/>
        <c:ser>
          <c:idx val="0"/>
          <c:order val="0"/>
          <c:tx>
            <c:strRef>
              <c:f>year!$Q$1:$Q$2</c:f>
              <c:strCache>
                <c:ptCount val="1"/>
                <c:pt idx="0">
                  <c:v>ALEMTUZUMAB</c:v>
                </c:pt>
              </c:strCache>
            </c:strRef>
          </c:tx>
          <c:spPr>
            <a:solidFill>
              <a:schemeClr val="accent1"/>
            </a:solidFill>
            <a:ln>
              <a:noFill/>
            </a:ln>
            <a:effectLst/>
          </c:spPr>
          <c:cat>
            <c:strRef>
              <c:f>year!$P$3:$P$11</c:f>
              <c:strCache>
                <c:ptCount val="8"/>
                <c:pt idx="0">
                  <c:v>2014</c:v>
                </c:pt>
                <c:pt idx="1">
                  <c:v>2015</c:v>
                </c:pt>
                <c:pt idx="2">
                  <c:v>2016</c:v>
                </c:pt>
                <c:pt idx="3">
                  <c:v>2017</c:v>
                </c:pt>
                <c:pt idx="4">
                  <c:v>2018</c:v>
                </c:pt>
                <c:pt idx="5">
                  <c:v>2019</c:v>
                </c:pt>
                <c:pt idx="6">
                  <c:v>2020</c:v>
                </c:pt>
                <c:pt idx="7">
                  <c:v>2021</c:v>
                </c:pt>
              </c:strCache>
            </c:strRef>
          </c:cat>
          <c:val>
            <c:numRef>
              <c:f>year!$Q$3:$Q$11</c:f>
              <c:numCache>
                <c:formatCode>General</c:formatCode>
                <c:ptCount val="8"/>
                <c:pt idx="1">
                  <c:v>423</c:v>
                </c:pt>
                <c:pt idx="2">
                  <c:v>830</c:v>
                </c:pt>
                <c:pt idx="3">
                  <c:v>748</c:v>
                </c:pt>
                <c:pt idx="4">
                  <c:v>459</c:v>
                </c:pt>
                <c:pt idx="5">
                  <c:v>277</c:v>
                </c:pt>
                <c:pt idx="6">
                  <c:v>173</c:v>
                </c:pt>
                <c:pt idx="7">
                  <c:v>73</c:v>
                </c:pt>
              </c:numCache>
            </c:numRef>
          </c:val>
          <c:extLst>
            <c:ext xmlns:c16="http://schemas.microsoft.com/office/drawing/2014/chart" uri="{C3380CC4-5D6E-409C-BE32-E72D297353CC}">
              <c16:uniqueId val="{00000000-59CB-4E49-B290-C575F42B28E4}"/>
            </c:ext>
          </c:extLst>
        </c:ser>
        <c:ser>
          <c:idx val="1"/>
          <c:order val="1"/>
          <c:tx>
            <c:strRef>
              <c:f>year!$R$1:$R$2</c:f>
              <c:strCache>
                <c:ptCount val="1"/>
                <c:pt idx="0">
                  <c:v>CLADRIBINE</c:v>
                </c:pt>
              </c:strCache>
            </c:strRef>
          </c:tx>
          <c:spPr>
            <a:solidFill>
              <a:schemeClr val="accent2"/>
            </a:solidFill>
            <a:ln>
              <a:noFill/>
            </a:ln>
            <a:effectLst/>
          </c:spPr>
          <c:cat>
            <c:strRef>
              <c:f>year!$P$3:$P$11</c:f>
              <c:strCache>
                <c:ptCount val="8"/>
                <c:pt idx="0">
                  <c:v>2014</c:v>
                </c:pt>
                <c:pt idx="1">
                  <c:v>2015</c:v>
                </c:pt>
                <c:pt idx="2">
                  <c:v>2016</c:v>
                </c:pt>
                <c:pt idx="3">
                  <c:v>2017</c:v>
                </c:pt>
                <c:pt idx="4">
                  <c:v>2018</c:v>
                </c:pt>
                <c:pt idx="5">
                  <c:v>2019</c:v>
                </c:pt>
                <c:pt idx="6">
                  <c:v>2020</c:v>
                </c:pt>
                <c:pt idx="7">
                  <c:v>2021</c:v>
                </c:pt>
              </c:strCache>
            </c:strRef>
          </c:cat>
          <c:val>
            <c:numRef>
              <c:f>year!$R$3:$R$11</c:f>
              <c:numCache>
                <c:formatCode>General</c:formatCode>
                <c:ptCount val="8"/>
                <c:pt idx="5">
                  <c:v>1130</c:v>
                </c:pt>
                <c:pt idx="6">
                  <c:v>1407</c:v>
                </c:pt>
                <c:pt idx="7">
                  <c:v>974</c:v>
                </c:pt>
              </c:numCache>
            </c:numRef>
          </c:val>
          <c:extLst>
            <c:ext xmlns:c16="http://schemas.microsoft.com/office/drawing/2014/chart" uri="{C3380CC4-5D6E-409C-BE32-E72D297353CC}">
              <c16:uniqueId val="{00000001-59CB-4E49-B290-C575F42B28E4}"/>
            </c:ext>
          </c:extLst>
        </c:ser>
        <c:ser>
          <c:idx val="2"/>
          <c:order val="2"/>
          <c:tx>
            <c:strRef>
              <c:f>year!$S$1:$S$2</c:f>
              <c:strCache>
                <c:ptCount val="1"/>
                <c:pt idx="0">
                  <c:v>DACLIZUMAB</c:v>
                </c:pt>
              </c:strCache>
            </c:strRef>
          </c:tx>
          <c:spPr>
            <a:solidFill>
              <a:schemeClr val="accent3"/>
            </a:solidFill>
            <a:ln>
              <a:noFill/>
            </a:ln>
            <a:effectLst/>
          </c:spPr>
          <c:cat>
            <c:strRef>
              <c:f>year!$P$3:$P$11</c:f>
              <c:strCache>
                <c:ptCount val="8"/>
                <c:pt idx="0">
                  <c:v>2014</c:v>
                </c:pt>
                <c:pt idx="1">
                  <c:v>2015</c:v>
                </c:pt>
                <c:pt idx="2">
                  <c:v>2016</c:v>
                </c:pt>
                <c:pt idx="3">
                  <c:v>2017</c:v>
                </c:pt>
                <c:pt idx="4">
                  <c:v>2018</c:v>
                </c:pt>
                <c:pt idx="5">
                  <c:v>2019</c:v>
                </c:pt>
                <c:pt idx="6">
                  <c:v>2020</c:v>
                </c:pt>
                <c:pt idx="7">
                  <c:v>2021</c:v>
                </c:pt>
              </c:strCache>
            </c:strRef>
          </c:cat>
          <c:val>
            <c:numRef>
              <c:f>year!$S$3:$S$11</c:f>
              <c:numCache>
                <c:formatCode>General</c:formatCode>
                <c:ptCount val="8"/>
                <c:pt idx="3">
                  <c:v>125</c:v>
                </c:pt>
                <c:pt idx="4">
                  <c:v>96</c:v>
                </c:pt>
              </c:numCache>
            </c:numRef>
          </c:val>
          <c:extLst>
            <c:ext xmlns:c16="http://schemas.microsoft.com/office/drawing/2014/chart" uri="{C3380CC4-5D6E-409C-BE32-E72D297353CC}">
              <c16:uniqueId val="{00000002-59CB-4E49-B290-C575F42B28E4}"/>
            </c:ext>
          </c:extLst>
        </c:ser>
        <c:ser>
          <c:idx val="3"/>
          <c:order val="3"/>
          <c:tx>
            <c:strRef>
              <c:f>year!$T$1:$T$2</c:f>
              <c:strCache>
                <c:ptCount val="1"/>
                <c:pt idx="0">
                  <c:v>DIMETHYL FUMARATE</c:v>
                </c:pt>
              </c:strCache>
            </c:strRef>
          </c:tx>
          <c:spPr>
            <a:solidFill>
              <a:schemeClr val="accent4"/>
            </a:solidFill>
            <a:ln>
              <a:noFill/>
            </a:ln>
            <a:effectLst/>
          </c:spPr>
          <c:cat>
            <c:strRef>
              <c:f>year!$P$3:$P$11</c:f>
              <c:strCache>
                <c:ptCount val="8"/>
                <c:pt idx="0">
                  <c:v>2014</c:v>
                </c:pt>
                <c:pt idx="1">
                  <c:v>2015</c:v>
                </c:pt>
                <c:pt idx="2">
                  <c:v>2016</c:v>
                </c:pt>
                <c:pt idx="3">
                  <c:v>2017</c:v>
                </c:pt>
                <c:pt idx="4">
                  <c:v>2018</c:v>
                </c:pt>
                <c:pt idx="5">
                  <c:v>2019</c:v>
                </c:pt>
                <c:pt idx="6">
                  <c:v>2020</c:v>
                </c:pt>
                <c:pt idx="7">
                  <c:v>2021</c:v>
                </c:pt>
              </c:strCache>
            </c:strRef>
          </c:cat>
          <c:val>
            <c:numRef>
              <c:f>year!$T$3:$T$11</c:f>
              <c:numCache>
                <c:formatCode>General</c:formatCode>
                <c:ptCount val="8"/>
                <c:pt idx="0">
                  <c:v>2611</c:v>
                </c:pt>
                <c:pt idx="1">
                  <c:v>2712</c:v>
                </c:pt>
                <c:pt idx="2">
                  <c:v>2689</c:v>
                </c:pt>
                <c:pt idx="3">
                  <c:v>2716</c:v>
                </c:pt>
                <c:pt idx="4">
                  <c:v>2589</c:v>
                </c:pt>
                <c:pt idx="5">
                  <c:v>2466</c:v>
                </c:pt>
                <c:pt idx="6">
                  <c:v>2509</c:v>
                </c:pt>
                <c:pt idx="7">
                  <c:v>2307</c:v>
                </c:pt>
              </c:numCache>
            </c:numRef>
          </c:val>
          <c:extLst>
            <c:ext xmlns:c16="http://schemas.microsoft.com/office/drawing/2014/chart" uri="{C3380CC4-5D6E-409C-BE32-E72D297353CC}">
              <c16:uniqueId val="{00000003-59CB-4E49-B290-C575F42B28E4}"/>
            </c:ext>
          </c:extLst>
        </c:ser>
        <c:ser>
          <c:idx val="4"/>
          <c:order val="4"/>
          <c:tx>
            <c:strRef>
              <c:f>year!$U$1:$U$2</c:f>
              <c:strCache>
                <c:ptCount val="1"/>
                <c:pt idx="0">
                  <c:v>FINGOLIMOD</c:v>
                </c:pt>
              </c:strCache>
            </c:strRef>
          </c:tx>
          <c:spPr>
            <a:solidFill>
              <a:schemeClr val="accent5"/>
            </a:solidFill>
            <a:ln>
              <a:noFill/>
            </a:ln>
            <a:effectLst/>
          </c:spPr>
          <c:cat>
            <c:strRef>
              <c:f>year!$P$3:$P$11</c:f>
              <c:strCache>
                <c:ptCount val="8"/>
                <c:pt idx="0">
                  <c:v>2014</c:v>
                </c:pt>
                <c:pt idx="1">
                  <c:v>2015</c:v>
                </c:pt>
                <c:pt idx="2">
                  <c:v>2016</c:v>
                </c:pt>
                <c:pt idx="3">
                  <c:v>2017</c:v>
                </c:pt>
                <c:pt idx="4">
                  <c:v>2018</c:v>
                </c:pt>
                <c:pt idx="5">
                  <c:v>2019</c:v>
                </c:pt>
                <c:pt idx="6">
                  <c:v>2020</c:v>
                </c:pt>
                <c:pt idx="7">
                  <c:v>2021</c:v>
                </c:pt>
              </c:strCache>
            </c:strRef>
          </c:cat>
          <c:val>
            <c:numRef>
              <c:f>year!$U$3:$U$11</c:f>
              <c:numCache>
                <c:formatCode>General</c:formatCode>
                <c:ptCount val="8"/>
                <c:pt idx="0">
                  <c:v>5359</c:v>
                </c:pt>
                <c:pt idx="1">
                  <c:v>5913</c:v>
                </c:pt>
                <c:pt idx="2">
                  <c:v>6176</c:v>
                </c:pt>
                <c:pt idx="3">
                  <c:v>6247</c:v>
                </c:pt>
                <c:pt idx="4">
                  <c:v>5974</c:v>
                </c:pt>
                <c:pt idx="5">
                  <c:v>5447</c:v>
                </c:pt>
                <c:pt idx="6">
                  <c:v>5037</c:v>
                </c:pt>
                <c:pt idx="7">
                  <c:v>4587</c:v>
                </c:pt>
              </c:numCache>
            </c:numRef>
          </c:val>
          <c:extLst>
            <c:ext xmlns:c16="http://schemas.microsoft.com/office/drawing/2014/chart" uri="{C3380CC4-5D6E-409C-BE32-E72D297353CC}">
              <c16:uniqueId val="{00000004-59CB-4E49-B290-C575F42B28E4}"/>
            </c:ext>
          </c:extLst>
        </c:ser>
        <c:ser>
          <c:idx val="5"/>
          <c:order val="5"/>
          <c:tx>
            <c:strRef>
              <c:f>year!$V$1:$V$2</c:f>
              <c:strCache>
                <c:ptCount val="1"/>
                <c:pt idx="0">
                  <c:v>GLATIRAMER ACETATE</c:v>
                </c:pt>
              </c:strCache>
            </c:strRef>
          </c:tx>
          <c:spPr>
            <a:solidFill>
              <a:schemeClr val="accent6"/>
            </a:solidFill>
            <a:ln>
              <a:noFill/>
            </a:ln>
            <a:effectLst/>
          </c:spPr>
          <c:cat>
            <c:strRef>
              <c:f>year!$P$3:$P$11</c:f>
              <c:strCache>
                <c:ptCount val="8"/>
                <c:pt idx="0">
                  <c:v>2014</c:v>
                </c:pt>
                <c:pt idx="1">
                  <c:v>2015</c:v>
                </c:pt>
                <c:pt idx="2">
                  <c:v>2016</c:v>
                </c:pt>
                <c:pt idx="3">
                  <c:v>2017</c:v>
                </c:pt>
                <c:pt idx="4">
                  <c:v>2018</c:v>
                </c:pt>
                <c:pt idx="5">
                  <c:v>2019</c:v>
                </c:pt>
                <c:pt idx="6">
                  <c:v>2020</c:v>
                </c:pt>
                <c:pt idx="7">
                  <c:v>2021</c:v>
                </c:pt>
              </c:strCache>
            </c:strRef>
          </c:cat>
          <c:val>
            <c:numRef>
              <c:f>year!$V$3:$V$11</c:f>
              <c:numCache>
                <c:formatCode>General</c:formatCode>
                <c:ptCount val="8"/>
                <c:pt idx="0">
                  <c:v>2332</c:v>
                </c:pt>
                <c:pt idx="1">
                  <c:v>2191</c:v>
                </c:pt>
                <c:pt idx="2">
                  <c:v>2350</c:v>
                </c:pt>
                <c:pt idx="3">
                  <c:v>2180</c:v>
                </c:pt>
                <c:pt idx="4">
                  <c:v>2041</c:v>
                </c:pt>
                <c:pt idx="5">
                  <c:v>1866</c:v>
                </c:pt>
                <c:pt idx="6">
                  <c:v>1675</c:v>
                </c:pt>
                <c:pt idx="7">
                  <c:v>1414</c:v>
                </c:pt>
              </c:numCache>
            </c:numRef>
          </c:val>
          <c:extLst>
            <c:ext xmlns:c16="http://schemas.microsoft.com/office/drawing/2014/chart" uri="{C3380CC4-5D6E-409C-BE32-E72D297353CC}">
              <c16:uniqueId val="{00000005-59CB-4E49-B290-C575F42B28E4}"/>
            </c:ext>
          </c:extLst>
        </c:ser>
        <c:ser>
          <c:idx val="6"/>
          <c:order val="6"/>
          <c:tx>
            <c:strRef>
              <c:f>year!$W$1:$W$2</c:f>
              <c:strCache>
                <c:ptCount val="1"/>
                <c:pt idx="0">
                  <c:v>INTERFERON BETA-1A</c:v>
                </c:pt>
              </c:strCache>
            </c:strRef>
          </c:tx>
          <c:spPr>
            <a:solidFill>
              <a:schemeClr val="accent1">
                <a:lumMod val="60000"/>
              </a:schemeClr>
            </a:solidFill>
            <a:ln>
              <a:noFill/>
            </a:ln>
            <a:effectLst/>
          </c:spPr>
          <c:cat>
            <c:strRef>
              <c:f>year!$P$3:$P$11</c:f>
              <c:strCache>
                <c:ptCount val="8"/>
                <c:pt idx="0">
                  <c:v>2014</c:v>
                </c:pt>
                <c:pt idx="1">
                  <c:v>2015</c:v>
                </c:pt>
                <c:pt idx="2">
                  <c:v>2016</c:v>
                </c:pt>
                <c:pt idx="3">
                  <c:v>2017</c:v>
                </c:pt>
                <c:pt idx="4">
                  <c:v>2018</c:v>
                </c:pt>
                <c:pt idx="5">
                  <c:v>2019</c:v>
                </c:pt>
                <c:pt idx="6">
                  <c:v>2020</c:v>
                </c:pt>
                <c:pt idx="7">
                  <c:v>2021</c:v>
                </c:pt>
              </c:strCache>
            </c:strRef>
          </c:cat>
          <c:val>
            <c:numRef>
              <c:f>year!$W$3:$W$11</c:f>
              <c:numCache>
                <c:formatCode>General</c:formatCode>
                <c:ptCount val="8"/>
                <c:pt idx="0">
                  <c:v>2661</c:v>
                </c:pt>
                <c:pt idx="1">
                  <c:v>2058</c:v>
                </c:pt>
                <c:pt idx="2">
                  <c:v>1546</c:v>
                </c:pt>
                <c:pt idx="3">
                  <c:v>1273</c:v>
                </c:pt>
                <c:pt idx="4">
                  <c:v>1064</c:v>
                </c:pt>
                <c:pt idx="5">
                  <c:v>895</c:v>
                </c:pt>
                <c:pt idx="6">
                  <c:v>761</c:v>
                </c:pt>
                <c:pt idx="7">
                  <c:v>647</c:v>
                </c:pt>
              </c:numCache>
            </c:numRef>
          </c:val>
          <c:extLst>
            <c:ext xmlns:c16="http://schemas.microsoft.com/office/drawing/2014/chart" uri="{C3380CC4-5D6E-409C-BE32-E72D297353CC}">
              <c16:uniqueId val="{00000006-59CB-4E49-B290-C575F42B28E4}"/>
            </c:ext>
          </c:extLst>
        </c:ser>
        <c:ser>
          <c:idx val="7"/>
          <c:order val="7"/>
          <c:tx>
            <c:strRef>
              <c:f>year!$X$1:$X$2</c:f>
              <c:strCache>
                <c:ptCount val="1"/>
                <c:pt idx="0">
                  <c:v>INTERFERON BETA-1B</c:v>
                </c:pt>
              </c:strCache>
            </c:strRef>
          </c:tx>
          <c:spPr>
            <a:solidFill>
              <a:schemeClr val="accent2">
                <a:lumMod val="60000"/>
              </a:schemeClr>
            </a:solidFill>
            <a:ln>
              <a:noFill/>
            </a:ln>
            <a:effectLst/>
          </c:spPr>
          <c:cat>
            <c:strRef>
              <c:f>year!$P$3:$P$11</c:f>
              <c:strCache>
                <c:ptCount val="8"/>
                <c:pt idx="0">
                  <c:v>2014</c:v>
                </c:pt>
                <c:pt idx="1">
                  <c:v>2015</c:v>
                </c:pt>
                <c:pt idx="2">
                  <c:v>2016</c:v>
                </c:pt>
                <c:pt idx="3">
                  <c:v>2017</c:v>
                </c:pt>
                <c:pt idx="4">
                  <c:v>2018</c:v>
                </c:pt>
                <c:pt idx="5">
                  <c:v>2019</c:v>
                </c:pt>
                <c:pt idx="6">
                  <c:v>2020</c:v>
                </c:pt>
                <c:pt idx="7">
                  <c:v>2021</c:v>
                </c:pt>
              </c:strCache>
            </c:strRef>
          </c:cat>
          <c:val>
            <c:numRef>
              <c:f>year!$X$3:$X$11</c:f>
              <c:numCache>
                <c:formatCode>General</c:formatCode>
                <c:ptCount val="8"/>
                <c:pt idx="0">
                  <c:v>1813</c:v>
                </c:pt>
                <c:pt idx="1">
                  <c:v>1405</c:v>
                </c:pt>
                <c:pt idx="2">
                  <c:v>1067</c:v>
                </c:pt>
                <c:pt idx="3">
                  <c:v>880</c:v>
                </c:pt>
                <c:pt idx="4">
                  <c:v>746</c:v>
                </c:pt>
                <c:pt idx="5">
                  <c:v>624</c:v>
                </c:pt>
                <c:pt idx="6">
                  <c:v>494</c:v>
                </c:pt>
                <c:pt idx="7">
                  <c:v>420</c:v>
                </c:pt>
              </c:numCache>
            </c:numRef>
          </c:val>
          <c:extLst>
            <c:ext xmlns:c16="http://schemas.microsoft.com/office/drawing/2014/chart" uri="{C3380CC4-5D6E-409C-BE32-E72D297353CC}">
              <c16:uniqueId val="{00000007-59CB-4E49-B290-C575F42B28E4}"/>
            </c:ext>
          </c:extLst>
        </c:ser>
        <c:ser>
          <c:idx val="8"/>
          <c:order val="8"/>
          <c:tx>
            <c:strRef>
              <c:f>year!$Y$1:$Y$2</c:f>
              <c:strCache>
                <c:ptCount val="1"/>
                <c:pt idx="0">
                  <c:v>NATALIZUMAB</c:v>
                </c:pt>
              </c:strCache>
            </c:strRef>
          </c:tx>
          <c:spPr>
            <a:solidFill>
              <a:schemeClr val="accent3">
                <a:lumMod val="60000"/>
              </a:schemeClr>
            </a:solidFill>
            <a:ln w="25400">
              <a:noFill/>
            </a:ln>
            <a:effectLst/>
          </c:spPr>
          <c:cat>
            <c:strRef>
              <c:f>year!$P$3:$P$11</c:f>
              <c:strCache>
                <c:ptCount val="8"/>
                <c:pt idx="0">
                  <c:v>2014</c:v>
                </c:pt>
                <c:pt idx="1">
                  <c:v>2015</c:v>
                </c:pt>
                <c:pt idx="2">
                  <c:v>2016</c:v>
                </c:pt>
                <c:pt idx="3">
                  <c:v>2017</c:v>
                </c:pt>
                <c:pt idx="4">
                  <c:v>2018</c:v>
                </c:pt>
                <c:pt idx="5">
                  <c:v>2019</c:v>
                </c:pt>
                <c:pt idx="6">
                  <c:v>2020</c:v>
                </c:pt>
                <c:pt idx="7">
                  <c:v>2021</c:v>
                </c:pt>
              </c:strCache>
            </c:strRef>
          </c:cat>
          <c:val>
            <c:numRef>
              <c:f>year!$Y$3:$Y$11</c:f>
              <c:numCache>
                <c:formatCode>General</c:formatCode>
                <c:ptCount val="8"/>
                <c:pt idx="0">
                  <c:v>2342</c:v>
                </c:pt>
                <c:pt idx="1">
                  <c:v>2583</c:v>
                </c:pt>
                <c:pt idx="2">
                  <c:v>2781</c:v>
                </c:pt>
                <c:pt idx="3">
                  <c:v>3162</c:v>
                </c:pt>
                <c:pt idx="4">
                  <c:v>3029</c:v>
                </c:pt>
                <c:pt idx="5">
                  <c:v>2807</c:v>
                </c:pt>
                <c:pt idx="6">
                  <c:v>3054</c:v>
                </c:pt>
                <c:pt idx="7">
                  <c:v>3243</c:v>
                </c:pt>
              </c:numCache>
            </c:numRef>
          </c:val>
          <c:extLst>
            <c:ext xmlns:c16="http://schemas.microsoft.com/office/drawing/2014/chart" uri="{C3380CC4-5D6E-409C-BE32-E72D297353CC}">
              <c16:uniqueId val="{00000008-59CB-4E49-B290-C575F42B28E4}"/>
            </c:ext>
          </c:extLst>
        </c:ser>
        <c:ser>
          <c:idx val="9"/>
          <c:order val="9"/>
          <c:tx>
            <c:strRef>
              <c:f>year!$Z$1:$Z$2</c:f>
              <c:strCache>
                <c:ptCount val="1"/>
                <c:pt idx="0">
                  <c:v>OCRELIZUMAB</c:v>
                </c:pt>
              </c:strCache>
            </c:strRef>
          </c:tx>
          <c:spPr>
            <a:solidFill>
              <a:schemeClr val="accent4">
                <a:lumMod val="60000"/>
              </a:schemeClr>
            </a:solidFill>
            <a:ln w="25400">
              <a:noFill/>
            </a:ln>
            <a:effectLst/>
          </c:spPr>
          <c:cat>
            <c:strRef>
              <c:f>year!$P$3:$P$11</c:f>
              <c:strCache>
                <c:ptCount val="8"/>
                <c:pt idx="0">
                  <c:v>2014</c:v>
                </c:pt>
                <c:pt idx="1">
                  <c:v>2015</c:v>
                </c:pt>
                <c:pt idx="2">
                  <c:v>2016</c:v>
                </c:pt>
                <c:pt idx="3">
                  <c:v>2017</c:v>
                </c:pt>
                <c:pt idx="4">
                  <c:v>2018</c:v>
                </c:pt>
                <c:pt idx="5">
                  <c:v>2019</c:v>
                </c:pt>
                <c:pt idx="6">
                  <c:v>2020</c:v>
                </c:pt>
                <c:pt idx="7">
                  <c:v>2021</c:v>
                </c:pt>
              </c:strCache>
            </c:strRef>
          </c:cat>
          <c:val>
            <c:numRef>
              <c:f>year!$Z$3:$Z$11</c:f>
              <c:numCache>
                <c:formatCode>General</c:formatCode>
                <c:ptCount val="8"/>
                <c:pt idx="4">
                  <c:v>2764</c:v>
                </c:pt>
                <c:pt idx="5">
                  <c:v>4165</c:v>
                </c:pt>
                <c:pt idx="6">
                  <c:v>5138</c:v>
                </c:pt>
                <c:pt idx="7">
                  <c:v>5644</c:v>
                </c:pt>
              </c:numCache>
            </c:numRef>
          </c:val>
          <c:extLst>
            <c:ext xmlns:c16="http://schemas.microsoft.com/office/drawing/2014/chart" uri="{C3380CC4-5D6E-409C-BE32-E72D297353CC}">
              <c16:uniqueId val="{00000009-59CB-4E49-B290-C575F42B28E4}"/>
            </c:ext>
          </c:extLst>
        </c:ser>
        <c:ser>
          <c:idx val="10"/>
          <c:order val="10"/>
          <c:tx>
            <c:strRef>
              <c:f>year!$AA$1:$AA$2</c:f>
              <c:strCache>
                <c:ptCount val="1"/>
                <c:pt idx="0">
                  <c:v>OZANIMOD</c:v>
                </c:pt>
              </c:strCache>
            </c:strRef>
          </c:tx>
          <c:spPr>
            <a:solidFill>
              <a:schemeClr val="accent5">
                <a:lumMod val="60000"/>
              </a:schemeClr>
            </a:solidFill>
            <a:ln w="25400">
              <a:noFill/>
            </a:ln>
            <a:effectLst/>
          </c:spPr>
          <c:cat>
            <c:strRef>
              <c:f>year!$P$3:$P$11</c:f>
              <c:strCache>
                <c:ptCount val="8"/>
                <c:pt idx="0">
                  <c:v>2014</c:v>
                </c:pt>
                <c:pt idx="1">
                  <c:v>2015</c:v>
                </c:pt>
                <c:pt idx="2">
                  <c:v>2016</c:v>
                </c:pt>
                <c:pt idx="3">
                  <c:v>2017</c:v>
                </c:pt>
                <c:pt idx="4">
                  <c:v>2018</c:v>
                </c:pt>
                <c:pt idx="5">
                  <c:v>2019</c:v>
                </c:pt>
                <c:pt idx="6">
                  <c:v>2020</c:v>
                </c:pt>
                <c:pt idx="7">
                  <c:v>2021</c:v>
                </c:pt>
              </c:strCache>
            </c:strRef>
          </c:cat>
          <c:val>
            <c:numRef>
              <c:f>year!$AA$3:$AA$11</c:f>
              <c:numCache>
                <c:formatCode>General</c:formatCode>
                <c:ptCount val="8"/>
                <c:pt idx="7">
                  <c:v>48</c:v>
                </c:pt>
              </c:numCache>
            </c:numRef>
          </c:val>
          <c:extLst>
            <c:ext xmlns:c16="http://schemas.microsoft.com/office/drawing/2014/chart" uri="{C3380CC4-5D6E-409C-BE32-E72D297353CC}">
              <c16:uniqueId val="{0000000A-59CB-4E49-B290-C575F42B28E4}"/>
            </c:ext>
          </c:extLst>
        </c:ser>
        <c:ser>
          <c:idx val="11"/>
          <c:order val="11"/>
          <c:tx>
            <c:strRef>
              <c:f>year!$AB$1:$AB$2</c:f>
              <c:strCache>
                <c:ptCount val="1"/>
                <c:pt idx="0">
                  <c:v>PEGINTERFERON BETA-1A</c:v>
                </c:pt>
              </c:strCache>
            </c:strRef>
          </c:tx>
          <c:spPr>
            <a:solidFill>
              <a:schemeClr val="accent6">
                <a:lumMod val="60000"/>
              </a:schemeClr>
            </a:solidFill>
            <a:ln w="25400">
              <a:noFill/>
            </a:ln>
            <a:effectLst/>
          </c:spPr>
          <c:cat>
            <c:strRef>
              <c:f>year!$P$3:$P$11</c:f>
              <c:strCache>
                <c:ptCount val="8"/>
                <c:pt idx="0">
                  <c:v>2014</c:v>
                </c:pt>
                <c:pt idx="1">
                  <c:v>2015</c:v>
                </c:pt>
                <c:pt idx="2">
                  <c:v>2016</c:v>
                </c:pt>
                <c:pt idx="3">
                  <c:v>2017</c:v>
                </c:pt>
                <c:pt idx="4">
                  <c:v>2018</c:v>
                </c:pt>
                <c:pt idx="5">
                  <c:v>2019</c:v>
                </c:pt>
                <c:pt idx="6">
                  <c:v>2020</c:v>
                </c:pt>
                <c:pt idx="7">
                  <c:v>2021</c:v>
                </c:pt>
              </c:strCache>
            </c:strRef>
          </c:cat>
          <c:val>
            <c:numRef>
              <c:f>year!$AB$3:$AB$11</c:f>
              <c:numCache>
                <c:formatCode>General</c:formatCode>
                <c:ptCount val="8"/>
                <c:pt idx="1">
                  <c:v>688</c:v>
                </c:pt>
                <c:pt idx="2">
                  <c:v>882</c:v>
                </c:pt>
                <c:pt idx="3">
                  <c:v>833</c:v>
                </c:pt>
                <c:pt idx="4">
                  <c:v>750</c:v>
                </c:pt>
                <c:pt idx="5">
                  <c:v>662</c:v>
                </c:pt>
                <c:pt idx="6">
                  <c:v>623</c:v>
                </c:pt>
                <c:pt idx="7">
                  <c:v>564</c:v>
                </c:pt>
              </c:numCache>
            </c:numRef>
          </c:val>
          <c:extLst>
            <c:ext xmlns:c16="http://schemas.microsoft.com/office/drawing/2014/chart" uri="{C3380CC4-5D6E-409C-BE32-E72D297353CC}">
              <c16:uniqueId val="{0000000B-59CB-4E49-B290-C575F42B28E4}"/>
            </c:ext>
          </c:extLst>
        </c:ser>
        <c:ser>
          <c:idx val="12"/>
          <c:order val="12"/>
          <c:tx>
            <c:strRef>
              <c:f>year!$AC$1:$AC$2</c:f>
              <c:strCache>
                <c:ptCount val="1"/>
                <c:pt idx="0">
                  <c:v>SIPONIMOD</c:v>
                </c:pt>
              </c:strCache>
            </c:strRef>
          </c:tx>
          <c:spPr>
            <a:solidFill>
              <a:schemeClr val="accent1">
                <a:lumMod val="80000"/>
                <a:lumOff val="20000"/>
              </a:schemeClr>
            </a:solidFill>
            <a:ln w="25400">
              <a:noFill/>
            </a:ln>
            <a:effectLst/>
          </c:spPr>
          <c:cat>
            <c:strRef>
              <c:f>year!$P$3:$P$11</c:f>
              <c:strCache>
                <c:ptCount val="8"/>
                <c:pt idx="0">
                  <c:v>2014</c:v>
                </c:pt>
                <c:pt idx="1">
                  <c:v>2015</c:v>
                </c:pt>
                <c:pt idx="2">
                  <c:v>2016</c:v>
                </c:pt>
                <c:pt idx="3">
                  <c:v>2017</c:v>
                </c:pt>
                <c:pt idx="4">
                  <c:v>2018</c:v>
                </c:pt>
                <c:pt idx="5">
                  <c:v>2019</c:v>
                </c:pt>
                <c:pt idx="6">
                  <c:v>2020</c:v>
                </c:pt>
                <c:pt idx="7">
                  <c:v>2021</c:v>
                </c:pt>
              </c:strCache>
            </c:strRef>
          </c:cat>
          <c:val>
            <c:numRef>
              <c:f>year!$AC$3:$AC$11</c:f>
              <c:numCache>
                <c:formatCode>General</c:formatCode>
                <c:ptCount val="8"/>
                <c:pt idx="6">
                  <c:v>124</c:v>
                </c:pt>
                <c:pt idx="7">
                  <c:v>558</c:v>
                </c:pt>
              </c:numCache>
            </c:numRef>
          </c:val>
          <c:extLst>
            <c:ext xmlns:c16="http://schemas.microsoft.com/office/drawing/2014/chart" uri="{C3380CC4-5D6E-409C-BE32-E72D297353CC}">
              <c16:uniqueId val="{0000000C-59CB-4E49-B290-C575F42B28E4}"/>
            </c:ext>
          </c:extLst>
        </c:ser>
        <c:ser>
          <c:idx val="13"/>
          <c:order val="13"/>
          <c:tx>
            <c:strRef>
              <c:f>year!$AD$1:$AD$2</c:f>
              <c:strCache>
                <c:ptCount val="1"/>
                <c:pt idx="0">
                  <c:v>TERIFLUNOMIDE</c:v>
                </c:pt>
              </c:strCache>
            </c:strRef>
          </c:tx>
          <c:spPr>
            <a:solidFill>
              <a:schemeClr val="accent2">
                <a:lumMod val="80000"/>
                <a:lumOff val="20000"/>
              </a:schemeClr>
            </a:solidFill>
            <a:ln w="25400">
              <a:noFill/>
            </a:ln>
            <a:effectLst/>
          </c:spPr>
          <c:cat>
            <c:strRef>
              <c:f>year!$P$3:$P$11</c:f>
              <c:strCache>
                <c:ptCount val="8"/>
                <c:pt idx="0">
                  <c:v>2014</c:v>
                </c:pt>
                <c:pt idx="1">
                  <c:v>2015</c:v>
                </c:pt>
                <c:pt idx="2">
                  <c:v>2016</c:v>
                </c:pt>
                <c:pt idx="3">
                  <c:v>2017</c:v>
                </c:pt>
                <c:pt idx="4">
                  <c:v>2018</c:v>
                </c:pt>
                <c:pt idx="5">
                  <c:v>2019</c:v>
                </c:pt>
                <c:pt idx="6">
                  <c:v>2020</c:v>
                </c:pt>
                <c:pt idx="7">
                  <c:v>2021</c:v>
                </c:pt>
              </c:strCache>
            </c:strRef>
          </c:cat>
          <c:val>
            <c:numRef>
              <c:f>year!$AD$3:$AD$11</c:f>
              <c:numCache>
                <c:formatCode>General</c:formatCode>
                <c:ptCount val="8"/>
                <c:pt idx="0">
                  <c:v>790</c:v>
                </c:pt>
                <c:pt idx="1">
                  <c:v>1065</c:v>
                </c:pt>
                <c:pt idx="2">
                  <c:v>1487</c:v>
                </c:pt>
                <c:pt idx="3">
                  <c:v>1702</c:v>
                </c:pt>
                <c:pt idx="4">
                  <c:v>1829</c:v>
                </c:pt>
                <c:pt idx="5">
                  <c:v>1814</c:v>
                </c:pt>
                <c:pt idx="6">
                  <c:v>1719</c:v>
                </c:pt>
                <c:pt idx="7">
                  <c:v>1641</c:v>
                </c:pt>
              </c:numCache>
            </c:numRef>
          </c:val>
          <c:extLst>
            <c:ext xmlns:c16="http://schemas.microsoft.com/office/drawing/2014/chart" uri="{C3380CC4-5D6E-409C-BE32-E72D297353CC}">
              <c16:uniqueId val="{0000000D-59CB-4E49-B290-C575F42B28E4}"/>
            </c:ext>
          </c:extLst>
        </c:ser>
        <c:dLbls>
          <c:showLegendKey val="0"/>
          <c:showVal val="0"/>
          <c:showCatName val="0"/>
          <c:showSerName val="0"/>
          <c:showPercent val="0"/>
          <c:showBubbleSize val="0"/>
        </c:dLbls>
        <c:axId val="738232344"/>
        <c:axId val="738230704"/>
      </c:areaChart>
      <c:catAx>
        <c:axId val="7382323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8230704"/>
        <c:crosses val="autoZero"/>
        <c:auto val="1"/>
        <c:lblAlgn val="ctr"/>
        <c:lblOffset val="100"/>
        <c:noMultiLvlLbl val="0"/>
      </c:catAx>
      <c:valAx>
        <c:axId val="738230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treated 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823234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[rrms review.xlsx]Sheet4!PivotTable1</c:name>
    <c:fmtId val="-1"/>
  </c:pivotSource>
  <c:chart>
    <c:autoTitleDeleted val="0"/>
    <c:pivotFmts>
      <c:pivotFmt>
        <c:idx val="0"/>
        <c:spPr>
          <a:solidFill>
            <a:schemeClr val="accent1"/>
          </a:solidFill>
          <a:ln w="28575" cap="rnd">
            <a:solidFill>
              <a:schemeClr val="accent1"/>
            </a:solidFill>
            <a:round/>
          </a:ln>
          <a:effectLst/>
        </c:spPr>
        <c:marker>
          <c:symbol val="none"/>
        </c:marker>
      </c:pivotFmt>
      <c:pivotFmt>
        <c:idx val="1"/>
        <c:spPr>
          <a:solidFill>
            <a:schemeClr val="accent1"/>
          </a:solidFill>
          <a:ln w="28575" cap="rnd">
            <a:solidFill>
              <a:schemeClr val="accent1"/>
            </a:solidFill>
            <a:round/>
          </a:ln>
          <a:effectLst/>
        </c:spPr>
        <c:marker>
          <c:symbol val="none"/>
        </c:marker>
      </c:pivotFmt>
      <c:pivotFmt>
        <c:idx val="2"/>
        <c:spPr>
          <a:solidFill>
            <a:schemeClr val="accent1"/>
          </a:solidFill>
          <a:ln w="28575" cap="rnd">
            <a:solidFill>
              <a:schemeClr val="accent1"/>
            </a:solidFill>
            <a:round/>
          </a:ln>
          <a:effectLst/>
        </c:spPr>
        <c:marker>
          <c:symbol val="none"/>
        </c:marker>
      </c:pivotFmt>
      <c:pivotFmt>
        <c:idx val="3"/>
        <c:spPr>
          <a:solidFill>
            <a:schemeClr val="accent1"/>
          </a:solidFill>
          <a:ln w="28575" cap="rnd">
            <a:solidFill>
              <a:schemeClr val="accent1"/>
            </a:solidFill>
            <a:round/>
          </a:ln>
          <a:effectLst/>
        </c:spPr>
        <c:marker>
          <c:symbol val="none"/>
        </c:marker>
      </c:pivotFmt>
      <c:pivotFmt>
        <c:idx val="4"/>
        <c:spPr>
          <a:solidFill>
            <a:schemeClr val="accent1"/>
          </a:solidFill>
          <a:ln w="28575" cap="rnd">
            <a:solidFill>
              <a:schemeClr val="accent1"/>
            </a:solidFill>
            <a:round/>
          </a:ln>
          <a:effectLst/>
        </c:spPr>
        <c:marker>
          <c:symbol val="none"/>
        </c:marker>
      </c:pivotFmt>
      <c:pivotFmt>
        <c:idx val="5"/>
        <c:spPr>
          <a:solidFill>
            <a:schemeClr val="accent1"/>
          </a:solidFill>
          <a:ln w="28575" cap="rnd">
            <a:solidFill>
              <a:schemeClr val="accent1"/>
            </a:solidFill>
            <a:round/>
          </a:ln>
          <a:effectLst/>
        </c:spPr>
        <c:marker>
          <c:symbol val="none"/>
        </c:marker>
      </c:pivotFmt>
    </c:pivotFmts>
    <c:plotArea>
      <c:layout/>
      <c:lineChart>
        <c:grouping val="standard"/>
        <c:varyColors val="0"/>
        <c:ser>
          <c:idx val="0"/>
          <c:order val="0"/>
          <c:tx>
            <c:strRef>
              <c:f>Sheet4!$P$1</c:f>
              <c:strCache>
                <c:ptCount val="1"/>
                <c:pt idx="0">
                  <c:v>Prevalent patients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Sheet4!$O$2:$O$13</c:f>
              <c:strCache>
                <c:ptCount val="11"/>
                <c:pt idx="0">
                  <c:v>2019Q1</c:v>
                </c:pt>
                <c:pt idx="1">
                  <c:v>2019Q2</c:v>
                </c:pt>
                <c:pt idx="2">
                  <c:v>2019Q3</c:v>
                </c:pt>
                <c:pt idx="3">
                  <c:v>2019Q4</c:v>
                </c:pt>
                <c:pt idx="4">
                  <c:v>2020Q1</c:v>
                </c:pt>
                <c:pt idx="5">
                  <c:v>2020Q2</c:v>
                </c:pt>
                <c:pt idx="6">
                  <c:v>2020Q3</c:v>
                </c:pt>
                <c:pt idx="7">
                  <c:v>2020Q4</c:v>
                </c:pt>
                <c:pt idx="8">
                  <c:v>2021Q1</c:v>
                </c:pt>
                <c:pt idx="9">
                  <c:v>2021Q2</c:v>
                </c:pt>
                <c:pt idx="10">
                  <c:v>2021Q3</c:v>
                </c:pt>
              </c:strCache>
            </c:strRef>
          </c:cat>
          <c:val>
            <c:numRef>
              <c:f>Sheet4!$P$2:$P$13</c:f>
              <c:numCache>
                <c:formatCode>General</c:formatCode>
                <c:ptCount val="11"/>
                <c:pt idx="0">
                  <c:v>220</c:v>
                </c:pt>
                <c:pt idx="1">
                  <c:v>350</c:v>
                </c:pt>
                <c:pt idx="2">
                  <c:v>389</c:v>
                </c:pt>
                <c:pt idx="3">
                  <c:v>400</c:v>
                </c:pt>
                <c:pt idx="4">
                  <c:v>403</c:v>
                </c:pt>
                <c:pt idx="5">
                  <c:v>322</c:v>
                </c:pt>
                <c:pt idx="6">
                  <c:v>454</c:v>
                </c:pt>
                <c:pt idx="7">
                  <c:v>509</c:v>
                </c:pt>
                <c:pt idx="8">
                  <c:v>368</c:v>
                </c:pt>
                <c:pt idx="9">
                  <c:v>301</c:v>
                </c:pt>
                <c:pt idx="10">
                  <c:v>439</c:v>
                </c:pt>
              </c:numCache>
            </c:numRef>
          </c:val>
          <c:smooth val="0"/>
          <c:extLst>
            <c:ext xmlns:c16="http://schemas.microsoft.com/office/drawing/2014/chart" uri="{C3380CC4-5D6E-409C-BE32-E72D297353CC}">
              <c16:uniqueId val="{00000000-FAC2-4429-9442-98A74345373B}"/>
            </c:ext>
          </c:extLst>
        </c:ser>
        <c:ser>
          <c:idx val="1"/>
          <c:order val="1"/>
          <c:tx>
            <c:strRef>
              <c:f>Sheet4!$Q$1</c:f>
              <c:strCache>
                <c:ptCount val="1"/>
                <c:pt idx="0">
                  <c:v>Initiating patients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Sheet4!$O$2:$O$13</c:f>
              <c:strCache>
                <c:ptCount val="11"/>
                <c:pt idx="0">
                  <c:v>2019Q1</c:v>
                </c:pt>
                <c:pt idx="1">
                  <c:v>2019Q2</c:v>
                </c:pt>
                <c:pt idx="2">
                  <c:v>2019Q3</c:v>
                </c:pt>
                <c:pt idx="3">
                  <c:v>2019Q4</c:v>
                </c:pt>
                <c:pt idx="4">
                  <c:v>2020Q1</c:v>
                </c:pt>
                <c:pt idx="5">
                  <c:v>2020Q2</c:v>
                </c:pt>
                <c:pt idx="6">
                  <c:v>2020Q3</c:v>
                </c:pt>
                <c:pt idx="7">
                  <c:v>2020Q4</c:v>
                </c:pt>
                <c:pt idx="8">
                  <c:v>2021Q1</c:v>
                </c:pt>
                <c:pt idx="9">
                  <c:v>2021Q2</c:v>
                </c:pt>
                <c:pt idx="10">
                  <c:v>2021Q3</c:v>
                </c:pt>
              </c:strCache>
            </c:strRef>
          </c:cat>
          <c:val>
            <c:numRef>
              <c:f>Sheet4!$Q$2:$Q$13</c:f>
              <c:numCache>
                <c:formatCode>General</c:formatCode>
                <c:ptCount val="11"/>
                <c:pt idx="0">
                  <c:v>220</c:v>
                </c:pt>
                <c:pt idx="1">
                  <c:v>287</c:v>
                </c:pt>
                <c:pt idx="2">
                  <c:v>304</c:v>
                </c:pt>
                <c:pt idx="3">
                  <c:v>319</c:v>
                </c:pt>
                <c:pt idx="4">
                  <c:v>198</c:v>
                </c:pt>
                <c:pt idx="5">
                  <c:v>113</c:v>
                </c:pt>
                <c:pt idx="6">
                  <c:v>179</c:v>
                </c:pt>
                <c:pt idx="7">
                  <c:v>190</c:v>
                </c:pt>
                <c:pt idx="8">
                  <c:v>137</c:v>
                </c:pt>
                <c:pt idx="9">
                  <c:v>136</c:v>
                </c:pt>
                <c:pt idx="10">
                  <c:v>209</c:v>
                </c:pt>
              </c:numCache>
            </c:numRef>
          </c:val>
          <c:smooth val="0"/>
          <c:extLst>
            <c:ext xmlns:c16="http://schemas.microsoft.com/office/drawing/2014/chart" uri="{C3380CC4-5D6E-409C-BE32-E72D297353CC}">
              <c16:uniqueId val="{00000001-FAC2-4429-9442-98A74345373B}"/>
            </c:ext>
          </c:extLst>
        </c:ser>
        <c:dLbls>
          <c:showLegendKey val="0"/>
          <c:showVal val="0"/>
          <c:showCatName val="0"/>
          <c:showSerName val="0"/>
          <c:showPercent val="0"/>
          <c:showBubbleSize val="0"/>
        </c:dLbls>
        <c:marker val="1"/>
        <c:smooth val="0"/>
        <c:axId val="889295536"/>
        <c:axId val="889290944"/>
      </c:lineChart>
      <c:catAx>
        <c:axId val="889295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9290944"/>
        <c:crosses val="autoZero"/>
        <c:auto val="1"/>
        <c:lblAlgn val="ctr"/>
        <c:lblOffset val="100"/>
        <c:noMultiLvlLbl val="0"/>
      </c:catAx>
      <c:valAx>
        <c:axId val="8892909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a:t>
                </a:r>
                <a:r>
                  <a:rPr lang="en-AU" baseline="0"/>
                  <a:t> patients </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89295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[rrms review.xlsx]Sheet5!PivotTable6</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s>
    <c:plotArea>
      <c:layout/>
      <c:barChart>
        <c:barDir val="col"/>
        <c:grouping val="clustered"/>
        <c:varyColors val="0"/>
        <c:ser>
          <c:idx val="0"/>
          <c:order val="0"/>
          <c:tx>
            <c:strRef>
              <c:f>Sheet5!$T$1:$T$2</c:f>
              <c:strCache>
                <c:ptCount val="1"/>
                <c:pt idx="0">
                  <c:v>Female</c:v>
                </c:pt>
              </c:strCache>
            </c:strRef>
          </c:tx>
          <c:spPr>
            <a:solidFill>
              <a:schemeClr val="accent2"/>
            </a:solidFill>
            <a:ln>
              <a:noFill/>
            </a:ln>
            <a:effectLst/>
          </c:spPr>
          <c:invertIfNegative val="0"/>
          <c:cat>
            <c:strRef>
              <c:f>Sheet5!$S$3:$S$16</c:f>
              <c:strCache>
                <c:ptCount val="13"/>
                <c:pt idx="0">
                  <c:v>0-19 yrs</c:v>
                </c:pt>
                <c:pt idx="1">
                  <c:v>20-24 yrs</c:v>
                </c:pt>
                <c:pt idx="2">
                  <c:v>25-29 yrs</c:v>
                </c:pt>
                <c:pt idx="3">
                  <c:v>30-34 yrs</c:v>
                </c:pt>
                <c:pt idx="4">
                  <c:v>35-39 yrs</c:v>
                </c:pt>
                <c:pt idx="5">
                  <c:v>40-44 yrs</c:v>
                </c:pt>
                <c:pt idx="6">
                  <c:v>45-49 yrs</c:v>
                </c:pt>
                <c:pt idx="7">
                  <c:v>50-54 yrs</c:v>
                </c:pt>
                <c:pt idx="8">
                  <c:v>55-59 yrs</c:v>
                </c:pt>
                <c:pt idx="9">
                  <c:v>60-64 yrs</c:v>
                </c:pt>
                <c:pt idx="10">
                  <c:v>65-69 yrs</c:v>
                </c:pt>
                <c:pt idx="11">
                  <c:v>70-74 yrs</c:v>
                </c:pt>
                <c:pt idx="12">
                  <c:v>75+ yrs</c:v>
                </c:pt>
              </c:strCache>
            </c:strRef>
          </c:cat>
          <c:val>
            <c:numRef>
              <c:f>Sheet5!$T$3:$T$16</c:f>
              <c:numCache>
                <c:formatCode>#,##0</c:formatCode>
                <c:ptCount val="13"/>
                <c:pt idx="0">
                  <c:v>346</c:v>
                </c:pt>
                <c:pt idx="1">
                  <c:v>897</c:v>
                </c:pt>
                <c:pt idx="2">
                  <c:v>1692</c:v>
                </c:pt>
                <c:pt idx="3">
                  <c:v>2433</c:v>
                </c:pt>
                <c:pt idx="4">
                  <c:v>2697</c:v>
                </c:pt>
                <c:pt idx="5">
                  <c:v>3182</c:v>
                </c:pt>
                <c:pt idx="6">
                  <c:v>2838</c:v>
                </c:pt>
                <c:pt idx="7">
                  <c:v>2532</c:v>
                </c:pt>
                <c:pt idx="8">
                  <c:v>1853</c:v>
                </c:pt>
                <c:pt idx="9">
                  <c:v>1279</c:v>
                </c:pt>
                <c:pt idx="10">
                  <c:v>791</c:v>
                </c:pt>
                <c:pt idx="11">
                  <c:v>301</c:v>
                </c:pt>
                <c:pt idx="12">
                  <c:v>174</c:v>
                </c:pt>
              </c:numCache>
            </c:numRef>
          </c:val>
          <c:extLst>
            <c:ext xmlns:c16="http://schemas.microsoft.com/office/drawing/2014/chart" uri="{C3380CC4-5D6E-409C-BE32-E72D297353CC}">
              <c16:uniqueId val="{00000000-E38F-45DE-B507-83C38A8C5242}"/>
            </c:ext>
          </c:extLst>
        </c:ser>
        <c:ser>
          <c:idx val="1"/>
          <c:order val="1"/>
          <c:tx>
            <c:strRef>
              <c:f>Sheet5!$U$1:$U$2</c:f>
              <c:strCache>
                <c:ptCount val="1"/>
                <c:pt idx="0">
                  <c:v>Male</c:v>
                </c:pt>
              </c:strCache>
            </c:strRef>
          </c:tx>
          <c:spPr>
            <a:solidFill>
              <a:schemeClr val="accent1"/>
            </a:solidFill>
            <a:ln>
              <a:noFill/>
            </a:ln>
            <a:effectLst/>
          </c:spPr>
          <c:invertIfNegative val="0"/>
          <c:cat>
            <c:strRef>
              <c:f>Sheet5!$S$3:$S$16</c:f>
              <c:strCache>
                <c:ptCount val="13"/>
                <c:pt idx="0">
                  <c:v>0-19 yrs</c:v>
                </c:pt>
                <c:pt idx="1">
                  <c:v>20-24 yrs</c:v>
                </c:pt>
                <c:pt idx="2">
                  <c:v>25-29 yrs</c:v>
                </c:pt>
                <c:pt idx="3">
                  <c:v>30-34 yrs</c:v>
                </c:pt>
                <c:pt idx="4">
                  <c:v>35-39 yrs</c:v>
                </c:pt>
                <c:pt idx="5">
                  <c:v>40-44 yrs</c:v>
                </c:pt>
                <c:pt idx="6">
                  <c:v>45-49 yrs</c:v>
                </c:pt>
                <c:pt idx="7">
                  <c:v>50-54 yrs</c:v>
                </c:pt>
                <c:pt idx="8">
                  <c:v>55-59 yrs</c:v>
                </c:pt>
                <c:pt idx="9">
                  <c:v>60-64 yrs</c:v>
                </c:pt>
                <c:pt idx="10">
                  <c:v>65-69 yrs</c:v>
                </c:pt>
                <c:pt idx="11">
                  <c:v>70-74 yrs</c:v>
                </c:pt>
                <c:pt idx="12">
                  <c:v>75+ yrs</c:v>
                </c:pt>
              </c:strCache>
            </c:strRef>
          </c:cat>
          <c:val>
            <c:numRef>
              <c:f>Sheet5!$U$3:$U$16</c:f>
              <c:numCache>
                <c:formatCode>#,##0</c:formatCode>
                <c:ptCount val="13"/>
                <c:pt idx="0">
                  <c:v>136</c:v>
                </c:pt>
                <c:pt idx="1">
                  <c:v>304</c:v>
                </c:pt>
                <c:pt idx="2">
                  <c:v>580</c:v>
                </c:pt>
                <c:pt idx="3">
                  <c:v>853</c:v>
                </c:pt>
                <c:pt idx="4">
                  <c:v>971</c:v>
                </c:pt>
                <c:pt idx="5">
                  <c:v>1053</c:v>
                </c:pt>
                <c:pt idx="6">
                  <c:v>1015</c:v>
                </c:pt>
                <c:pt idx="7">
                  <c:v>927</c:v>
                </c:pt>
                <c:pt idx="8">
                  <c:v>667</c:v>
                </c:pt>
                <c:pt idx="9">
                  <c:v>457</c:v>
                </c:pt>
                <c:pt idx="10">
                  <c:v>286</c:v>
                </c:pt>
                <c:pt idx="11">
                  <c:v>133</c:v>
                </c:pt>
                <c:pt idx="12">
                  <c:v>92</c:v>
                </c:pt>
              </c:numCache>
            </c:numRef>
          </c:val>
          <c:extLst>
            <c:ext xmlns:c16="http://schemas.microsoft.com/office/drawing/2014/chart" uri="{C3380CC4-5D6E-409C-BE32-E72D297353CC}">
              <c16:uniqueId val="{00000001-E38F-45DE-B507-83C38A8C5242}"/>
            </c:ext>
          </c:extLst>
        </c:ser>
        <c:dLbls>
          <c:showLegendKey val="0"/>
          <c:showVal val="0"/>
          <c:showCatName val="0"/>
          <c:showSerName val="0"/>
          <c:showPercent val="0"/>
          <c:showBubbleSize val="0"/>
        </c:dLbls>
        <c:gapWidth val="219"/>
        <c:overlap val="-27"/>
        <c:axId val="871461472"/>
        <c:axId val="871459832"/>
      </c:barChart>
      <c:catAx>
        <c:axId val="871461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1459832"/>
        <c:crosses val="autoZero"/>
        <c:auto val="1"/>
        <c:lblAlgn val="ctr"/>
        <c:lblOffset val="100"/>
        <c:noMultiLvlLbl val="0"/>
      </c:catAx>
      <c:valAx>
        <c:axId val="8714598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initating 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1461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[rrms review.xlsx]cladribine age!PivotTable2</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s>
    <c:plotArea>
      <c:layout/>
      <c:barChart>
        <c:barDir val="col"/>
        <c:grouping val="clustered"/>
        <c:varyColors val="0"/>
        <c:ser>
          <c:idx val="0"/>
          <c:order val="0"/>
          <c:tx>
            <c:strRef>
              <c:f>'cladribine age'!$R$1:$R$2</c:f>
              <c:strCache>
                <c:ptCount val="1"/>
                <c:pt idx="0">
                  <c:v>Female</c:v>
                </c:pt>
              </c:strCache>
            </c:strRef>
          </c:tx>
          <c:spPr>
            <a:solidFill>
              <a:schemeClr val="accent2"/>
            </a:solidFill>
            <a:ln>
              <a:noFill/>
            </a:ln>
            <a:effectLst/>
          </c:spPr>
          <c:invertIfNegative val="0"/>
          <c:cat>
            <c:strRef>
              <c:f>'cladribine age'!$Q$3:$Q$14</c:f>
              <c:strCache>
                <c:ptCount val="11"/>
                <c:pt idx="0">
                  <c:v>15-24 yrs</c:v>
                </c:pt>
                <c:pt idx="1">
                  <c:v>25-29 yrs</c:v>
                </c:pt>
                <c:pt idx="2">
                  <c:v>30-34 yrs</c:v>
                </c:pt>
                <c:pt idx="3">
                  <c:v>35-39 yrs</c:v>
                </c:pt>
                <c:pt idx="4">
                  <c:v>40-44 yrs</c:v>
                </c:pt>
                <c:pt idx="5">
                  <c:v>45-49 yrs</c:v>
                </c:pt>
                <c:pt idx="6">
                  <c:v>50-54 yrs</c:v>
                </c:pt>
                <c:pt idx="7">
                  <c:v>55-59 yrs</c:v>
                </c:pt>
                <c:pt idx="8">
                  <c:v>60-64 yrs</c:v>
                </c:pt>
                <c:pt idx="9">
                  <c:v>65-69 yrs</c:v>
                </c:pt>
                <c:pt idx="10">
                  <c:v>70+ yrs</c:v>
                </c:pt>
              </c:strCache>
            </c:strRef>
          </c:cat>
          <c:val>
            <c:numRef>
              <c:f>'cladribine age'!$R$3:$R$14</c:f>
              <c:numCache>
                <c:formatCode>General</c:formatCode>
                <c:ptCount val="11"/>
                <c:pt idx="0">
                  <c:v>65</c:v>
                </c:pt>
                <c:pt idx="1">
                  <c:v>118</c:v>
                </c:pt>
                <c:pt idx="2">
                  <c:v>159</c:v>
                </c:pt>
                <c:pt idx="3">
                  <c:v>206</c:v>
                </c:pt>
                <c:pt idx="4">
                  <c:v>236</c:v>
                </c:pt>
                <c:pt idx="5">
                  <c:v>269</c:v>
                </c:pt>
                <c:pt idx="6">
                  <c:v>224</c:v>
                </c:pt>
                <c:pt idx="7">
                  <c:v>178</c:v>
                </c:pt>
                <c:pt idx="8">
                  <c:v>117</c:v>
                </c:pt>
                <c:pt idx="9">
                  <c:v>75</c:v>
                </c:pt>
                <c:pt idx="10">
                  <c:v>47</c:v>
                </c:pt>
              </c:numCache>
            </c:numRef>
          </c:val>
          <c:extLst>
            <c:ext xmlns:c16="http://schemas.microsoft.com/office/drawing/2014/chart" uri="{C3380CC4-5D6E-409C-BE32-E72D297353CC}">
              <c16:uniqueId val="{00000000-62B5-46A3-A986-849AD11E8050}"/>
            </c:ext>
          </c:extLst>
        </c:ser>
        <c:ser>
          <c:idx val="1"/>
          <c:order val="1"/>
          <c:tx>
            <c:strRef>
              <c:f>'cladribine age'!$S$1:$S$2</c:f>
              <c:strCache>
                <c:ptCount val="1"/>
                <c:pt idx="0">
                  <c:v>Male</c:v>
                </c:pt>
              </c:strCache>
            </c:strRef>
          </c:tx>
          <c:spPr>
            <a:solidFill>
              <a:schemeClr val="accent1"/>
            </a:solidFill>
            <a:ln>
              <a:noFill/>
            </a:ln>
            <a:effectLst/>
          </c:spPr>
          <c:invertIfNegative val="0"/>
          <c:cat>
            <c:strRef>
              <c:f>'cladribine age'!$Q$3:$Q$14</c:f>
              <c:strCache>
                <c:ptCount val="11"/>
                <c:pt idx="0">
                  <c:v>15-24 yrs</c:v>
                </c:pt>
                <c:pt idx="1">
                  <c:v>25-29 yrs</c:v>
                </c:pt>
                <c:pt idx="2">
                  <c:v>30-34 yrs</c:v>
                </c:pt>
                <c:pt idx="3">
                  <c:v>35-39 yrs</c:v>
                </c:pt>
                <c:pt idx="4">
                  <c:v>40-44 yrs</c:v>
                </c:pt>
                <c:pt idx="5">
                  <c:v>45-49 yrs</c:v>
                </c:pt>
                <c:pt idx="6">
                  <c:v>50-54 yrs</c:v>
                </c:pt>
                <c:pt idx="7">
                  <c:v>55-59 yrs</c:v>
                </c:pt>
                <c:pt idx="8">
                  <c:v>60-64 yrs</c:v>
                </c:pt>
                <c:pt idx="9">
                  <c:v>65-69 yrs</c:v>
                </c:pt>
                <c:pt idx="10">
                  <c:v>70+ yrs</c:v>
                </c:pt>
              </c:strCache>
            </c:strRef>
          </c:cat>
          <c:val>
            <c:numRef>
              <c:f>'cladribine age'!$S$3:$S$14</c:f>
              <c:numCache>
                <c:formatCode>General</c:formatCode>
                <c:ptCount val="11"/>
                <c:pt idx="0">
                  <c:v>29</c:v>
                </c:pt>
                <c:pt idx="1">
                  <c:v>35</c:v>
                </c:pt>
                <c:pt idx="2">
                  <c:v>62</c:v>
                </c:pt>
                <c:pt idx="3">
                  <c:v>79</c:v>
                </c:pt>
                <c:pt idx="4">
                  <c:v>74</c:v>
                </c:pt>
                <c:pt idx="5">
                  <c:v>94</c:v>
                </c:pt>
                <c:pt idx="6">
                  <c:v>78</c:v>
                </c:pt>
                <c:pt idx="7">
                  <c:v>69</c:v>
                </c:pt>
                <c:pt idx="8">
                  <c:v>41</c:v>
                </c:pt>
                <c:pt idx="9">
                  <c:v>26</c:v>
                </c:pt>
                <c:pt idx="10">
                  <c:v>11</c:v>
                </c:pt>
              </c:numCache>
            </c:numRef>
          </c:val>
          <c:extLst>
            <c:ext xmlns:c16="http://schemas.microsoft.com/office/drawing/2014/chart" uri="{C3380CC4-5D6E-409C-BE32-E72D297353CC}">
              <c16:uniqueId val="{00000001-62B5-46A3-A986-849AD11E8050}"/>
            </c:ext>
          </c:extLst>
        </c:ser>
        <c:dLbls>
          <c:showLegendKey val="0"/>
          <c:showVal val="0"/>
          <c:showCatName val="0"/>
          <c:showSerName val="0"/>
          <c:showPercent val="0"/>
          <c:showBubbleSize val="0"/>
        </c:dLbls>
        <c:gapWidth val="219"/>
        <c:overlap val="-27"/>
        <c:axId val="821408000"/>
        <c:axId val="821410952"/>
      </c:barChart>
      <c:catAx>
        <c:axId val="821408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1410952"/>
        <c:crosses val="autoZero"/>
        <c:auto val="1"/>
        <c:lblAlgn val="ctr"/>
        <c:lblOffset val="100"/>
        <c:noMultiLvlLbl val="0"/>
      </c:catAx>
      <c:valAx>
        <c:axId val="8214109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initating patients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1408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[rrms review.xlsx]prescriber!PivotTable7</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s>
    <c:plotArea>
      <c:layout/>
      <c:barChart>
        <c:barDir val="bar"/>
        <c:grouping val="percentStacked"/>
        <c:varyColors val="0"/>
        <c:ser>
          <c:idx val="0"/>
          <c:order val="0"/>
          <c:tx>
            <c:strRef>
              <c:f>prescriber!$T$1:$T$2</c:f>
              <c:strCache>
                <c:ptCount val="1"/>
                <c:pt idx="0">
                  <c:v>Other Specialist </c:v>
                </c:pt>
              </c:strCache>
            </c:strRef>
          </c:tx>
          <c:spPr>
            <a:solidFill>
              <a:schemeClr val="accent1"/>
            </a:solidFill>
            <a:ln>
              <a:noFill/>
            </a:ln>
            <a:effectLst/>
          </c:spPr>
          <c:invertIfNegative val="0"/>
          <c:cat>
            <c:strRef>
              <c:f>prescriber!$S$3:$S$6</c:f>
              <c:strCache>
                <c:ptCount val="3"/>
                <c:pt idx="0">
                  <c:v>oral</c:v>
                </c:pt>
                <c:pt idx="1">
                  <c:v>injection</c:v>
                </c:pt>
                <c:pt idx="2">
                  <c:v>infusion</c:v>
                </c:pt>
              </c:strCache>
            </c:strRef>
          </c:cat>
          <c:val>
            <c:numRef>
              <c:f>prescriber!$T$3:$T$6</c:f>
              <c:numCache>
                <c:formatCode>0.00%</c:formatCode>
                <c:ptCount val="3"/>
                <c:pt idx="0">
                  <c:v>1.3222752523276739E-2</c:v>
                </c:pt>
                <c:pt idx="1">
                  <c:v>1.8815331010452963E-2</c:v>
                </c:pt>
                <c:pt idx="2">
                  <c:v>2.0912547528517109E-2</c:v>
                </c:pt>
              </c:numCache>
            </c:numRef>
          </c:val>
          <c:extLst>
            <c:ext xmlns:c16="http://schemas.microsoft.com/office/drawing/2014/chart" uri="{C3380CC4-5D6E-409C-BE32-E72D297353CC}">
              <c16:uniqueId val="{00000000-27FE-4854-81FE-51F5CD31B138}"/>
            </c:ext>
          </c:extLst>
        </c:ser>
        <c:ser>
          <c:idx val="1"/>
          <c:order val="1"/>
          <c:tx>
            <c:strRef>
              <c:f>prescriber!$U$1:$U$2</c:f>
              <c:strCache>
                <c:ptCount val="1"/>
                <c:pt idx="0">
                  <c:v>GP</c:v>
                </c:pt>
              </c:strCache>
            </c:strRef>
          </c:tx>
          <c:spPr>
            <a:solidFill>
              <a:schemeClr val="accent2"/>
            </a:solidFill>
            <a:ln>
              <a:noFill/>
            </a:ln>
            <a:effectLst/>
          </c:spPr>
          <c:invertIfNegative val="0"/>
          <c:cat>
            <c:strRef>
              <c:f>prescriber!$S$3:$S$6</c:f>
              <c:strCache>
                <c:ptCount val="3"/>
                <c:pt idx="0">
                  <c:v>oral</c:v>
                </c:pt>
                <c:pt idx="1">
                  <c:v>injection</c:v>
                </c:pt>
                <c:pt idx="2">
                  <c:v>infusion</c:v>
                </c:pt>
              </c:strCache>
            </c:strRef>
          </c:cat>
          <c:val>
            <c:numRef>
              <c:f>prescriber!$U$3:$U$6</c:f>
              <c:numCache>
                <c:formatCode>0.00%</c:formatCode>
                <c:ptCount val="3"/>
                <c:pt idx="0">
                  <c:v>0.26531570299663565</c:v>
                </c:pt>
                <c:pt idx="1">
                  <c:v>0.55934959349593494</c:v>
                </c:pt>
                <c:pt idx="2">
                  <c:v>0.28672658140338747</c:v>
                </c:pt>
              </c:numCache>
            </c:numRef>
          </c:val>
          <c:extLst>
            <c:ext xmlns:c16="http://schemas.microsoft.com/office/drawing/2014/chart" uri="{C3380CC4-5D6E-409C-BE32-E72D297353CC}">
              <c16:uniqueId val="{00000001-27FE-4854-81FE-51F5CD31B138}"/>
            </c:ext>
          </c:extLst>
        </c:ser>
        <c:ser>
          <c:idx val="2"/>
          <c:order val="2"/>
          <c:tx>
            <c:strRef>
              <c:f>prescriber!$V$1:$V$2</c:f>
              <c:strCache>
                <c:ptCount val="1"/>
                <c:pt idx="0">
                  <c:v>Internal Medicine</c:v>
                </c:pt>
              </c:strCache>
            </c:strRef>
          </c:tx>
          <c:spPr>
            <a:solidFill>
              <a:schemeClr val="accent3"/>
            </a:solidFill>
            <a:ln>
              <a:noFill/>
            </a:ln>
            <a:effectLst/>
          </c:spPr>
          <c:invertIfNegative val="0"/>
          <c:cat>
            <c:strRef>
              <c:f>prescriber!$S$3:$S$6</c:f>
              <c:strCache>
                <c:ptCount val="3"/>
                <c:pt idx="0">
                  <c:v>oral</c:v>
                </c:pt>
                <c:pt idx="1">
                  <c:v>injection</c:v>
                </c:pt>
                <c:pt idx="2">
                  <c:v>infusion</c:v>
                </c:pt>
              </c:strCache>
            </c:strRef>
          </c:cat>
          <c:val>
            <c:numRef>
              <c:f>prescriber!$V$3:$V$6</c:f>
              <c:numCache>
                <c:formatCode>0.00%</c:formatCode>
                <c:ptCount val="3"/>
                <c:pt idx="0">
                  <c:v>4.1154839214458963E-2</c:v>
                </c:pt>
                <c:pt idx="1">
                  <c:v>4.5180023228803719E-2</c:v>
                </c:pt>
                <c:pt idx="2">
                  <c:v>3.923263048738334E-2</c:v>
                </c:pt>
              </c:numCache>
            </c:numRef>
          </c:val>
          <c:extLst>
            <c:ext xmlns:c16="http://schemas.microsoft.com/office/drawing/2014/chart" uri="{C3380CC4-5D6E-409C-BE32-E72D297353CC}">
              <c16:uniqueId val="{00000002-27FE-4854-81FE-51F5CD31B138}"/>
            </c:ext>
          </c:extLst>
        </c:ser>
        <c:ser>
          <c:idx val="3"/>
          <c:order val="3"/>
          <c:tx>
            <c:strRef>
              <c:f>prescriber!$W$1:$W$2</c:f>
              <c:strCache>
                <c:ptCount val="1"/>
                <c:pt idx="0">
                  <c:v>Neurology</c:v>
                </c:pt>
              </c:strCache>
            </c:strRef>
          </c:tx>
          <c:spPr>
            <a:solidFill>
              <a:schemeClr val="accent4"/>
            </a:solidFill>
            <a:ln>
              <a:noFill/>
            </a:ln>
            <a:effectLst/>
          </c:spPr>
          <c:invertIfNegative val="0"/>
          <c:cat>
            <c:strRef>
              <c:f>prescriber!$S$3:$S$6</c:f>
              <c:strCache>
                <c:ptCount val="3"/>
                <c:pt idx="0">
                  <c:v>oral</c:v>
                </c:pt>
                <c:pt idx="1">
                  <c:v>injection</c:v>
                </c:pt>
                <c:pt idx="2">
                  <c:v>infusion</c:v>
                </c:pt>
              </c:strCache>
            </c:strRef>
          </c:cat>
          <c:val>
            <c:numRef>
              <c:f>prescriber!$W$3:$W$6</c:f>
              <c:numCache>
                <c:formatCode>0.00%</c:formatCode>
                <c:ptCount val="3"/>
                <c:pt idx="0">
                  <c:v>0.68030670526562864</c:v>
                </c:pt>
                <c:pt idx="1">
                  <c:v>0.37665505226480839</c:v>
                </c:pt>
                <c:pt idx="2">
                  <c:v>0.65312824058071206</c:v>
                </c:pt>
              </c:numCache>
            </c:numRef>
          </c:val>
          <c:extLst>
            <c:ext xmlns:c16="http://schemas.microsoft.com/office/drawing/2014/chart" uri="{C3380CC4-5D6E-409C-BE32-E72D297353CC}">
              <c16:uniqueId val="{00000003-27FE-4854-81FE-51F5CD31B138}"/>
            </c:ext>
          </c:extLst>
        </c:ser>
        <c:dLbls>
          <c:showLegendKey val="0"/>
          <c:showVal val="0"/>
          <c:showCatName val="0"/>
          <c:showSerName val="0"/>
          <c:showPercent val="0"/>
          <c:showBubbleSize val="0"/>
        </c:dLbls>
        <c:gapWidth val="150"/>
        <c:overlap val="100"/>
        <c:axId val="697662192"/>
        <c:axId val="697662520"/>
      </c:barChart>
      <c:catAx>
        <c:axId val="6976621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7662520"/>
        <c:crosses val="autoZero"/>
        <c:auto val="1"/>
        <c:lblAlgn val="ctr"/>
        <c:lblOffset val="100"/>
        <c:noMultiLvlLbl val="0"/>
      </c:catAx>
      <c:valAx>
        <c:axId val="69766252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7662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E5B47-A335-4C95-B55D-022B0F0D3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40</Pages>
  <Words>10842</Words>
  <Characters>61806</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Medicines Australia</Company>
  <LinksUpToDate>false</LinksUpToDate>
  <CharactersWithSpaces>72503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HO, Monica</cp:lastModifiedBy>
  <cp:revision>3</cp:revision>
  <cp:lastPrinted>2022-06-20T23:59:00Z</cp:lastPrinted>
  <dcterms:created xsi:type="dcterms:W3CDTF">2022-06-20T23:53:00Z</dcterms:created>
  <dcterms:modified xsi:type="dcterms:W3CDTF">2022-06-21T00:00:00Z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