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3C130" w14:textId="0FA43878" w:rsidR="00832324" w:rsidRDefault="00EA7D57" w:rsidP="00EA7D57">
      <w:pPr>
        <w:pStyle w:val="Title"/>
      </w:pPr>
      <w:r>
        <w:t>Teduglutide for Short Bowel Syndrome</w:t>
      </w:r>
      <w:r w:rsidR="001C4016">
        <w:t xml:space="preserve">: </w:t>
      </w:r>
      <w:r w:rsidR="006F1032">
        <w:t xml:space="preserve">24 month </w:t>
      </w:r>
      <w:r>
        <w:t>predicted versus actual analysis</w:t>
      </w:r>
      <w:r w:rsidR="001C4016">
        <w:t xml:space="preserve"> </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3D6EF505" w:rsidR="009053D3" w:rsidRPr="00F73113" w:rsidRDefault="00ED405D" w:rsidP="00F73113">
      <w:pPr>
        <w:pStyle w:val="Meetingdate"/>
      </w:pPr>
      <w:r>
        <w:t>June 2022</w:t>
      </w:r>
    </w:p>
    <w:p w14:paraId="1494B8AD" w14:textId="77777777" w:rsidR="005C6661" w:rsidRPr="00CF5E22" w:rsidRDefault="005C6661" w:rsidP="00CF5E22">
      <w:pPr>
        <w:pStyle w:val="Heading2"/>
      </w:pPr>
      <w:r w:rsidRPr="00CF5E22">
        <w:t>Abstract</w:t>
      </w:r>
    </w:p>
    <w:p w14:paraId="287D7939" w14:textId="77777777" w:rsidR="005C6661" w:rsidRPr="00CF5E22" w:rsidRDefault="005C6661" w:rsidP="00CF5E22">
      <w:pPr>
        <w:pStyle w:val="Heading3"/>
      </w:pPr>
      <w:r w:rsidRPr="00CF5E22">
        <w:t>Purpose</w:t>
      </w:r>
    </w:p>
    <w:p w14:paraId="70A05845" w14:textId="65651CF4" w:rsidR="005C6661" w:rsidRDefault="00EA7D57" w:rsidP="00AA7770">
      <w:r w:rsidRPr="00EA7D57">
        <w:t xml:space="preserve">To compare the predicted and actual utilisation of teduglutide for Type III Short </w:t>
      </w:r>
      <w:r>
        <w:t>B</w:t>
      </w:r>
      <w:r w:rsidRPr="00EA7D57">
        <w:t xml:space="preserve">owel </w:t>
      </w:r>
      <w:r>
        <w:t>S</w:t>
      </w:r>
      <w:r w:rsidRPr="00EA7D57">
        <w:t>yndrome with intestinal failure in the first 24 months of PBS listing.</w:t>
      </w:r>
    </w:p>
    <w:p w14:paraId="03538E7F" w14:textId="322BB850" w:rsidR="002D144A" w:rsidRDefault="002D144A" w:rsidP="00CF5E22">
      <w:pPr>
        <w:pStyle w:val="Heading3"/>
      </w:pPr>
      <w:r>
        <w:t>Date of listing on the P</w:t>
      </w:r>
      <w:r w:rsidR="00A95FA5">
        <w:t xml:space="preserve">harmaceutical </w:t>
      </w:r>
      <w:r>
        <w:t>B</w:t>
      </w:r>
      <w:r w:rsidR="00A95FA5">
        <w:t xml:space="preserve">enefits </w:t>
      </w:r>
      <w:r>
        <w:t>S</w:t>
      </w:r>
      <w:r w:rsidR="00A95FA5">
        <w:t>cheme (PBS)</w:t>
      </w:r>
    </w:p>
    <w:p w14:paraId="378E50B7" w14:textId="615F0457" w:rsidR="002D144A" w:rsidRPr="002D144A" w:rsidRDefault="00EA7D57" w:rsidP="002D144A">
      <w:r w:rsidRPr="00EA7D57">
        <w:t>Teduglutide was listed on the PBS</w:t>
      </w:r>
      <w:r>
        <w:t>, for this indication,</w:t>
      </w:r>
      <w:r w:rsidRPr="00EA7D57">
        <w:t xml:space="preserve"> on 1 October 2019.</w:t>
      </w:r>
    </w:p>
    <w:p w14:paraId="526743BB" w14:textId="77777777" w:rsidR="005C6661" w:rsidRDefault="005C6661" w:rsidP="00CF5E22">
      <w:pPr>
        <w:pStyle w:val="Heading3"/>
      </w:pPr>
      <w:r>
        <w:t>Data Source / methodology</w:t>
      </w:r>
    </w:p>
    <w:p w14:paraId="5E9E2FBA" w14:textId="2C1F95BC" w:rsidR="005C6661" w:rsidRDefault="00EB2DB7" w:rsidP="005C6661">
      <w:pPr>
        <w:pStyle w:val="NoSpacing"/>
      </w:pPr>
      <w:r>
        <w:t>Data extracted from the PBS</w:t>
      </w:r>
      <w:r w:rsidR="00273393">
        <w:t xml:space="preserve">, </w:t>
      </w:r>
      <w:r w:rsidR="009D7E34">
        <w:t>Authorities</w:t>
      </w:r>
      <w:r w:rsidR="00273393">
        <w:t xml:space="preserve"> and Date of Death</w:t>
      </w:r>
      <w:r>
        <w:t xml:space="preserve"> database</w:t>
      </w:r>
      <w:r w:rsidR="00273393">
        <w:t>s</w:t>
      </w:r>
      <w:r>
        <w:t xml:space="preserve"> maintained by Department of Health</w:t>
      </w:r>
      <w:r w:rsidR="005C724A">
        <w:t xml:space="preserve"> and Aged Care</w:t>
      </w:r>
      <w:r>
        <w:t xml:space="preserve">, processed by Services Australia were used for analyses. </w:t>
      </w:r>
    </w:p>
    <w:p w14:paraId="7599E7C1" w14:textId="77777777" w:rsidR="005C6661" w:rsidRDefault="005C6661" w:rsidP="00CF5E22">
      <w:pPr>
        <w:pStyle w:val="Heading3"/>
      </w:pPr>
      <w:r>
        <w:t>Key Findings</w:t>
      </w:r>
    </w:p>
    <w:p w14:paraId="6850239E" w14:textId="6E61516C" w:rsidR="00EB2DB7" w:rsidRPr="00A64F13" w:rsidRDefault="00EB2DB7" w:rsidP="005C6661">
      <w:pPr>
        <w:pStyle w:val="NoSpacing"/>
        <w:numPr>
          <w:ilvl w:val="0"/>
          <w:numId w:val="1"/>
        </w:numPr>
      </w:pPr>
      <w:r w:rsidRPr="005C724A">
        <w:t xml:space="preserve">There were 24 and 33 patients treated with teduglutide during the first and second year of </w:t>
      </w:r>
      <w:r w:rsidR="00D0458D" w:rsidRPr="005C724A">
        <w:t xml:space="preserve">its </w:t>
      </w:r>
      <w:r w:rsidRPr="005C724A">
        <w:t xml:space="preserve">listing respectively, which was </w:t>
      </w:r>
      <w:r w:rsidR="00DE6016" w:rsidRPr="00DE6016">
        <w:rPr>
          <w:highlight w:val="black"/>
        </w:rPr>
        <w:t>XXXX</w:t>
      </w:r>
      <w:r w:rsidR="00DE6016">
        <w:t xml:space="preserve"> </w:t>
      </w:r>
      <w:r w:rsidRPr="00A64F13">
        <w:t xml:space="preserve">than estimated. </w:t>
      </w:r>
    </w:p>
    <w:p w14:paraId="6C35CB25" w14:textId="3C6B807C" w:rsidR="00EB2DB7" w:rsidRPr="005C724A" w:rsidRDefault="00EB2DB7" w:rsidP="005C6661">
      <w:pPr>
        <w:pStyle w:val="NoSpacing"/>
        <w:numPr>
          <w:ilvl w:val="0"/>
          <w:numId w:val="1"/>
        </w:numPr>
      </w:pPr>
      <w:r w:rsidRPr="00A64F13">
        <w:t xml:space="preserve">There were 215 and 277 teduglutide prescriptions dispensed during the first and second year of </w:t>
      </w:r>
      <w:r w:rsidR="000315CC" w:rsidRPr="00A64F13">
        <w:t xml:space="preserve">its </w:t>
      </w:r>
      <w:r w:rsidRPr="00A64F13">
        <w:t xml:space="preserve">listing respectively, which was </w:t>
      </w:r>
      <w:r w:rsidR="00DE6016" w:rsidRPr="00DE6016">
        <w:rPr>
          <w:highlight w:val="black"/>
        </w:rPr>
        <w:t>XXXX</w:t>
      </w:r>
      <w:r w:rsidR="00DE6016">
        <w:t xml:space="preserve"> </w:t>
      </w:r>
      <w:r w:rsidRPr="00A64F13">
        <w:t>than</w:t>
      </w:r>
      <w:r w:rsidRPr="005C724A">
        <w:t xml:space="preserve"> estimated. </w:t>
      </w:r>
    </w:p>
    <w:p w14:paraId="75B1ADD7" w14:textId="33D38D88" w:rsidR="00EB2DB7" w:rsidRPr="005C724A" w:rsidRDefault="00EB2DB7" w:rsidP="005C6661">
      <w:pPr>
        <w:pStyle w:val="NoSpacing"/>
        <w:numPr>
          <w:ilvl w:val="0"/>
          <w:numId w:val="1"/>
        </w:numPr>
      </w:pPr>
      <w:r w:rsidRPr="005C724A">
        <w:t xml:space="preserve">The </w:t>
      </w:r>
      <w:r w:rsidR="001F2F27" w:rsidRPr="005C724A">
        <w:t>median age of patients</w:t>
      </w:r>
      <w:r w:rsidRPr="005C724A">
        <w:t xml:space="preserve"> initiating teduglutide treatment was </w:t>
      </w:r>
      <w:r w:rsidR="001F2F27" w:rsidRPr="005C724A">
        <w:t>47</w:t>
      </w:r>
      <w:r w:rsidRPr="005C724A">
        <w:t xml:space="preserve"> years old</w:t>
      </w:r>
      <w:r w:rsidR="001F2F27" w:rsidRPr="005C724A">
        <w:t xml:space="preserve">. </w:t>
      </w:r>
      <w:r w:rsidR="006E4931" w:rsidRPr="005C724A">
        <w:t xml:space="preserve">There was a wider age distribution for males compared to females. </w:t>
      </w:r>
    </w:p>
    <w:p w14:paraId="665E6F8E" w14:textId="209AF21E" w:rsidR="00EB2DB7" w:rsidRPr="005C724A" w:rsidRDefault="00EB2DB7" w:rsidP="005C6661">
      <w:pPr>
        <w:pStyle w:val="NoSpacing"/>
        <w:numPr>
          <w:ilvl w:val="0"/>
          <w:numId w:val="1"/>
        </w:numPr>
      </w:pPr>
      <w:r w:rsidRPr="005C724A">
        <w:t>The data were too immature to analyse the time of teduglutide treatment, the median treatment duration was not reached by 3</w:t>
      </w:r>
      <w:r w:rsidR="00CF53F2" w:rsidRPr="005C724A">
        <w:t>1</w:t>
      </w:r>
      <w:r w:rsidRPr="005C724A">
        <w:t xml:space="preserve"> December 2021. </w:t>
      </w:r>
    </w:p>
    <w:p w14:paraId="38B57ECC" w14:textId="6DA8D26B" w:rsidR="00BB0D1A" w:rsidRDefault="00BB0D1A">
      <w:pPr>
        <w:spacing w:line="276" w:lineRule="auto"/>
        <w:rPr>
          <w:rFonts w:eastAsiaTheme="majorEastAsia" w:cstheme="majorBidi"/>
          <w:b/>
          <w:bCs/>
          <w:sz w:val="32"/>
          <w:szCs w:val="26"/>
        </w:rPr>
      </w:pPr>
    </w:p>
    <w:p w14:paraId="2C4CCB50" w14:textId="77777777" w:rsidR="00EB2DB7" w:rsidRDefault="00EB2DB7">
      <w:pPr>
        <w:spacing w:line="276" w:lineRule="auto"/>
        <w:rPr>
          <w:rFonts w:eastAsiaTheme="majorEastAsia" w:cstheme="majorBidi"/>
          <w:b/>
          <w:bCs/>
          <w:sz w:val="32"/>
          <w:szCs w:val="32"/>
        </w:rPr>
      </w:pPr>
      <w:r>
        <w:br w:type="page"/>
      </w:r>
    </w:p>
    <w:p w14:paraId="5B262047" w14:textId="009D442B" w:rsidR="00E677DD" w:rsidRPr="00CF5E22" w:rsidRDefault="00E677DD" w:rsidP="00CF5E22">
      <w:pPr>
        <w:pStyle w:val="Heading1"/>
      </w:pPr>
      <w:r w:rsidRPr="00CF5E22">
        <w:lastRenderedPageBreak/>
        <w:t xml:space="preserve">Purpose of </w:t>
      </w:r>
      <w:r w:rsidR="00D151EB" w:rsidRPr="00CF5E22">
        <w:t>analysis</w:t>
      </w:r>
    </w:p>
    <w:p w14:paraId="7ACA7A6D" w14:textId="22623444" w:rsidR="00EA7D57" w:rsidRDefault="00EA7D57" w:rsidP="00990DCF">
      <w:pPr>
        <w:rPr>
          <w:highlight w:val="yellow"/>
        </w:rPr>
      </w:pPr>
      <w:r w:rsidRPr="00EA7D57">
        <w:t xml:space="preserve">To compare the predicted and actual utilisation of </w:t>
      </w:r>
      <w:r>
        <w:t>teduglutide</w:t>
      </w:r>
      <w:r w:rsidRPr="00EA7D57">
        <w:t xml:space="preserve"> for </w:t>
      </w:r>
      <w:r>
        <w:t>T</w:t>
      </w:r>
      <w:r w:rsidRPr="00EA7D57">
        <w:t xml:space="preserve">ype III Short bowel syndrome with intestinal failure in the first 24 months of PBS listing. </w:t>
      </w:r>
      <w:r>
        <w:t>Teduglutide</w:t>
      </w:r>
      <w:r w:rsidRPr="00EA7D57">
        <w:t xml:space="preserve"> was PBS listed for this indication on 1 </w:t>
      </w:r>
      <w:r>
        <w:t>October 2019.</w:t>
      </w:r>
    </w:p>
    <w:p w14:paraId="0A7F0B57" w14:textId="034D22D5" w:rsidR="006537D9" w:rsidRPr="005E22C2" w:rsidRDefault="00736041" w:rsidP="00CF5E22">
      <w:pPr>
        <w:pStyle w:val="Heading1"/>
      </w:pPr>
      <w:r w:rsidRPr="005E22C2">
        <w:t>Background</w:t>
      </w:r>
    </w:p>
    <w:p w14:paraId="2C748275" w14:textId="77777777" w:rsidR="00EE2BBB" w:rsidRPr="007247B9" w:rsidRDefault="00EE2BBB" w:rsidP="00EE2BBB">
      <w:pPr>
        <w:pStyle w:val="Heading2"/>
      </w:pPr>
      <w:r w:rsidRPr="007247B9">
        <w:t>Clinical situation</w:t>
      </w:r>
    </w:p>
    <w:p w14:paraId="608E345D" w14:textId="5E2CCEDE" w:rsidR="00EE2BBB" w:rsidRPr="00FD75B4" w:rsidRDefault="00EB02A1" w:rsidP="00EB02A1">
      <w:r>
        <w:t>Short Bowel Syndrome</w:t>
      </w:r>
      <w:r w:rsidR="00AD0D8B">
        <w:t xml:space="preserve"> (SBS)</w:t>
      </w:r>
      <w:r>
        <w:t xml:space="preserve"> is a</w:t>
      </w:r>
      <w:r w:rsidR="00885EF6">
        <w:t xml:space="preserve"> rare</w:t>
      </w:r>
      <w:r>
        <w:t xml:space="preserve"> disorder arising from an inability to absorb nutrients and fluid across the gastrointestinal tract (gut). It is often caused by surgical removal of all or part of the small intestine.</w:t>
      </w:r>
      <w:bookmarkStart w:id="0" w:name="_Ref99965985"/>
      <w:r w:rsidR="00DB3E86">
        <w:rPr>
          <w:rStyle w:val="FootnoteReference"/>
        </w:rPr>
        <w:footnoteReference w:id="1"/>
      </w:r>
      <w:bookmarkEnd w:id="0"/>
      <w:r w:rsidR="00AD0D8B">
        <w:t xml:space="preserve"> The </w:t>
      </w:r>
      <w:r w:rsidR="009E3CC7">
        <w:t>spectrum of SBS</w:t>
      </w:r>
      <w:r w:rsidR="00AD0D8B">
        <w:t xml:space="preserve"> varies widely</w:t>
      </w:r>
      <w:r w:rsidR="00FD75B4">
        <w:t xml:space="preserve"> due to the differences in remnant bowel anatomy, comorbidi</w:t>
      </w:r>
      <w:r w:rsidR="0052132F">
        <w:t>ti</w:t>
      </w:r>
      <w:r w:rsidR="00FD75B4">
        <w:t>es and clinical management requirements</w:t>
      </w:r>
      <w:r w:rsidR="00AD0D8B">
        <w:t xml:space="preserve">, </w:t>
      </w:r>
      <w:r w:rsidR="00106151">
        <w:t xml:space="preserve">and ranges </w:t>
      </w:r>
      <w:r w:rsidR="00AD0D8B">
        <w:t>from single micronutrient malabsorption to intestinal failure.</w:t>
      </w:r>
      <w:r w:rsidR="00FC7C86">
        <w:rPr>
          <w:vertAlign w:val="superscript"/>
        </w:rPr>
        <w:t xml:space="preserve"> </w:t>
      </w:r>
      <w:r w:rsidR="00FD75B4">
        <w:rPr>
          <w:vertAlign w:val="superscript"/>
        </w:rPr>
        <w:fldChar w:fldCharType="begin"/>
      </w:r>
      <w:r w:rsidR="00FD75B4">
        <w:rPr>
          <w:vertAlign w:val="superscript"/>
        </w:rPr>
        <w:instrText xml:space="preserve"> NOTEREF _Ref102317241 \h </w:instrText>
      </w:r>
      <w:r w:rsidR="00FD75B4">
        <w:rPr>
          <w:vertAlign w:val="superscript"/>
        </w:rPr>
      </w:r>
      <w:r w:rsidR="00FD75B4">
        <w:rPr>
          <w:vertAlign w:val="superscript"/>
        </w:rPr>
        <w:fldChar w:fldCharType="separate"/>
      </w:r>
      <w:r w:rsidR="00FD75B4">
        <w:rPr>
          <w:vertAlign w:val="superscript"/>
        </w:rPr>
        <w:t>2</w:t>
      </w:r>
      <w:r w:rsidR="00FD75B4">
        <w:rPr>
          <w:vertAlign w:val="superscript"/>
        </w:rPr>
        <w:fldChar w:fldCharType="end"/>
      </w:r>
      <w:r w:rsidR="00FD75B4">
        <w:t xml:space="preserve"> Symptoms vary depending on the length and function of the remaining bowel, but may include diarrhoea, nutrient deficiencies, electrolyte disturbances, dehydration, malnutrition, and weight loss.</w:t>
      </w:r>
      <w:bookmarkStart w:id="1" w:name="_Ref102317334"/>
      <w:r w:rsidR="00235F59">
        <w:rPr>
          <w:rStyle w:val="FootnoteReference"/>
        </w:rPr>
        <w:footnoteReference w:id="2"/>
      </w:r>
      <w:bookmarkEnd w:id="1"/>
    </w:p>
    <w:p w14:paraId="432CAC2D" w14:textId="31D3C858" w:rsidR="00885EF6" w:rsidRDefault="00885EF6" w:rsidP="00EB02A1">
      <w:r>
        <w:t>Intestinal failure (IF) in SBS occurs</w:t>
      </w:r>
      <w:r w:rsidR="00E15B98">
        <w:t xml:space="preserve"> when intravenous supplementation is required to maintain health as gut function is </w:t>
      </w:r>
      <w:r w:rsidR="00BA5913">
        <w:t xml:space="preserve">impaired </w:t>
      </w:r>
      <w:r w:rsidR="00E15B98">
        <w:t xml:space="preserve">below the minimum necessary for absorption of macronutrients and/or water and electrolytes. </w:t>
      </w:r>
    </w:p>
    <w:p w14:paraId="4719EC26" w14:textId="38F59FFF" w:rsidR="003A585A" w:rsidRDefault="003A585A" w:rsidP="00EB02A1">
      <w:r>
        <w:t xml:space="preserve">There are three types of </w:t>
      </w:r>
      <w:r w:rsidR="00A03991">
        <w:t>intestinal failure:</w:t>
      </w:r>
      <w:bookmarkStart w:id="2" w:name="_Ref102317241"/>
      <w:r w:rsidR="00A03991">
        <w:rPr>
          <w:rStyle w:val="FootnoteReference"/>
        </w:rPr>
        <w:footnoteReference w:id="3"/>
      </w:r>
      <w:bookmarkEnd w:id="2"/>
      <w:r w:rsidR="00A03991">
        <w:t xml:space="preserve"> </w:t>
      </w:r>
    </w:p>
    <w:p w14:paraId="44E18001" w14:textId="49A78F7C" w:rsidR="00A03991" w:rsidRDefault="00A03991" w:rsidP="00A03991">
      <w:pPr>
        <w:pStyle w:val="ListParagraph"/>
        <w:numPr>
          <w:ilvl w:val="0"/>
          <w:numId w:val="8"/>
        </w:numPr>
      </w:pPr>
      <w:r>
        <w:t>Type I: acute and short-term.</w:t>
      </w:r>
    </w:p>
    <w:p w14:paraId="4FCF3D56" w14:textId="77777777" w:rsidR="00E15B98" w:rsidRDefault="00A03991" w:rsidP="00E15B98">
      <w:pPr>
        <w:pStyle w:val="ListParagraph"/>
        <w:numPr>
          <w:ilvl w:val="0"/>
          <w:numId w:val="8"/>
        </w:numPr>
      </w:pPr>
      <w:r>
        <w:t xml:space="preserve">Type II: prolonged acute condition, requiring complex multi-disciplinary care and intravenous supplementation over weeks or months. </w:t>
      </w:r>
    </w:p>
    <w:p w14:paraId="517B251A" w14:textId="0A1282D5" w:rsidR="00FD75B4" w:rsidRDefault="00A03991" w:rsidP="00942589">
      <w:pPr>
        <w:pStyle w:val="ListParagraph"/>
        <w:numPr>
          <w:ilvl w:val="0"/>
          <w:numId w:val="8"/>
        </w:numPr>
      </w:pPr>
      <w:r>
        <w:t xml:space="preserve">Type III: chronic condition, requiring intravenous supplementation over months or years. It may be reversible or irreversible. </w:t>
      </w:r>
    </w:p>
    <w:p w14:paraId="0183A567" w14:textId="413DF87B" w:rsidR="007247B9" w:rsidRDefault="007247B9" w:rsidP="00CF5E22">
      <w:pPr>
        <w:pStyle w:val="Heading2"/>
      </w:pPr>
      <w:r>
        <w:t>Pharmacology</w:t>
      </w:r>
    </w:p>
    <w:p w14:paraId="06821C4B" w14:textId="395BCE13" w:rsidR="00AE4BAC" w:rsidRPr="007247B9" w:rsidRDefault="00EB02A1" w:rsidP="00435E0D">
      <w:r w:rsidRPr="00EB02A1">
        <w:t xml:space="preserve">Teduglutide is an analogue of naturally occurring human </w:t>
      </w:r>
      <w:r w:rsidR="00BA5913">
        <w:t>glucagon-like peptide-2 (</w:t>
      </w:r>
      <w:r w:rsidRPr="00EB02A1">
        <w:t>GLP-2</w:t>
      </w:r>
      <w:r w:rsidR="00BA5913">
        <w:t>)</w:t>
      </w:r>
      <w:r w:rsidRPr="00EB02A1">
        <w:t>, a peptide secreted by L</w:t>
      </w:r>
      <w:r>
        <w:t>-</w:t>
      </w:r>
      <w:r w:rsidRPr="00EB02A1">
        <w:t xml:space="preserve">cells of the distal intestine. </w:t>
      </w:r>
      <w:r w:rsidR="00EA7D57">
        <w:t xml:space="preserve">GLP-2 is known to increase intestinal and portal blood flow, decrease intestinal motility and inhibit gastric acid secretion. Teduglutide binds to the GLP-2 receptors located in intestinal subpopulations of enteroendocrine cells, subepithelial myofibroblasts and enteric neurons of the submucosal and myenteric plexus. Activation of these receptors results in the local release of multiple mediators including </w:t>
      </w:r>
      <w:r w:rsidR="00EA7D57">
        <w:lastRenderedPageBreak/>
        <w:t>insulin-like growth factor (IGF)-1, nitric oxide and keratinocyte growth factor (KGF). Teduglutide has been shown to preserve mucosal integrity by promoting repair and normal growth of the intestine through an increase of villus height and crypt depth.</w:t>
      </w:r>
      <w:bookmarkStart w:id="3" w:name="_Ref97898604"/>
      <w:r w:rsidR="00360B9A" w:rsidRPr="00FC7C86">
        <w:rPr>
          <w:rStyle w:val="FootnoteReference"/>
        </w:rPr>
        <w:footnoteReference w:id="4"/>
      </w:r>
      <w:bookmarkEnd w:id="3"/>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1E393897" w14:textId="45EF754B" w:rsidR="001420B3" w:rsidRDefault="006878D5" w:rsidP="00EB02A1">
      <w:r>
        <w:t>Teduglutide is</w:t>
      </w:r>
      <w:r w:rsidR="00243B26">
        <w:t xml:space="preserve"> only</w:t>
      </w:r>
      <w:r>
        <w:t xml:space="preserve"> indicated for the treatment of adult and paediatric patients 2 years of age and above with SBS who </w:t>
      </w:r>
      <w:r w:rsidR="00EB02A1">
        <w:t>need additional nutrition or fluids from intravenous feeding (</w:t>
      </w:r>
      <w:r>
        <w:t>parenteral support</w:t>
      </w:r>
      <w:r w:rsidR="00EB02A1">
        <w:t>)</w:t>
      </w:r>
      <w:r w:rsidR="00FB623A">
        <w:t>.</w:t>
      </w:r>
    </w:p>
    <w:p w14:paraId="15E919C1" w14:textId="6CC2ECD8" w:rsidR="006B709B" w:rsidRDefault="006B709B" w:rsidP="00CF5E22">
      <w:pPr>
        <w:pStyle w:val="Heading2"/>
      </w:pPr>
      <w:r>
        <w:t>Dosage and administration</w:t>
      </w:r>
    </w:p>
    <w:p w14:paraId="3D4B6970" w14:textId="7DC841EE" w:rsidR="00780C38" w:rsidRPr="00780C38" w:rsidRDefault="00780C38" w:rsidP="00FB623A">
      <w:pPr>
        <w:pStyle w:val="Tablewriting"/>
        <w:rPr>
          <w:sz w:val="24"/>
          <w:szCs w:val="24"/>
        </w:rPr>
      </w:pPr>
      <w:r w:rsidRPr="00780C38">
        <w:rPr>
          <w:b/>
          <w:bCs/>
          <w:sz w:val="24"/>
          <w:szCs w:val="24"/>
        </w:rPr>
        <w:t>Paediatric (2 years of age and above)</w:t>
      </w:r>
    </w:p>
    <w:p w14:paraId="29BED87C" w14:textId="3739BE6F" w:rsidR="00780C38" w:rsidRDefault="00780C38" w:rsidP="00FB623A">
      <w:pPr>
        <w:pStyle w:val="Tablewriting"/>
        <w:rPr>
          <w:sz w:val="24"/>
          <w:szCs w:val="24"/>
        </w:rPr>
      </w:pPr>
      <w:r>
        <w:rPr>
          <w:sz w:val="24"/>
          <w:szCs w:val="24"/>
        </w:rPr>
        <w:t xml:space="preserve">Teduglutide should not be administered to children weighing less than 10 kg. Treatment should be evaluated after 6 months. If no overall improvement is achieved, the need for continued treatment should be re-assessed. There are no data available in paediatric patients after 6 months of continued treatment. </w:t>
      </w:r>
    </w:p>
    <w:p w14:paraId="11A319E7" w14:textId="3814CAA8" w:rsidR="00780C38" w:rsidRPr="00780C38" w:rsidRDefault="00780C38" w:rsidP="00FB623A">
      <w:pPr>
        <w:pStyle w:val="Tablewriting"/>
        <w:rPr>
          <w:b/>
          <w:bCs/>
          <w:sz w:val="24"/>
          <w:szCs w:val="24"/>
        </w:rPr>
      </w:pPr>
      <w:r w:rsidRPr="00780C38">
        <w:rPr>
          <w:b/>
          <w:bCs/>
          <w:sz w:val="24"/>
          <w:szCs w:val="24"/>
        </w:rPr>
        <w:t>Adult</w:t>
      </w:r>
    </w:p>
    <w:p w14:paraId="5DA7C269" w14:textId="07DA19E1" w:rsidR="003A585A" w:rsidRDefault="00780C38" w:rsidP="00FB623A">
      <w:pPr>
        <w:pStyle w:val="Tablewriting"/>
        <w:rPr>
          <w:sz w:val="24"/>
          <w:szCs w:val="24"/>
        </w:rPr>
      </w:pPr>
      <w:r>
        <w:rPr>
          <w:sz w:val="24"/>
          <w:szCs w:val="24"/>
        </w:rPr>
        <w:t xml:space="preserve">Treatment effect should be evaluated on an ongoing basis. Clinical assessment by the physician should consider individual treatment objectives and patient preferences. If no overall improvement is </w:t>
      </w:r>
      <w:r w:rsidR="003A585A">
        <w:rPr>
          <w:sz w:val="24"/>
          <w:szCs w:val="24"/>
        </w:rPr>
        <w:t>achieved</w:t>
      </w:r>
      <w:r>
        <w:rPr>
          <w:sz w:val="24"/>
          <w:szCs w:val="24"/>
        </w:rPr>
        <w:t xml:space="preserve"> after 12 months for adults, the need for continued treatment should be assessed. Continued treatment is recommended for patients who have weaned off parenteral nutrition. </w:t>
      </w:r>
    </w:p>
    <w:p w14:paraId="7EFDAFB3" w14:textId="78C2B789" w:rsidR="00FB623A" w:rsidRPr="00FB623A" w:rsidRDefault="00FB623A" w:rsidP="00FB623A">
      <w:pPr>
        <w:pStyle w:val="Tablewriting"/>
        <w:rPr>
          <w:sz w:val="24"/>
          <w:szCs w:val="24"/>
        </w:rPr>
      </w:pPr>
      <w:r w:rsidRPr="00FB623A">
        <w:rPr>
          <w:sz w:val="24"/>
          <w:szCs w:val="24"/>
        </w:rPr>
        <w:t>The recommended dose of teduglutide for both adults and paediatric patients (aged 2 years and above) is 0.05 mg/kg body weight administered by subcutaneous injection once daily.</w:t>
      </w:r>
    </w:p>
    <w:p w14:paraId="29FA5F1A" w14:textId="247C7EE9" w:rsidR="00780C38" w:rsidRDefault="00FB623A" w:rsidP="00F17D4B">
      <w:r w:rsidRPr="00FB623A">
        <w:t>After reconstitution with the solvent (0.5 mL water for injections), the prepared solution from each vial contains 10 mg/mL of teduglutide.</w:t>
      </w:r>
      <w:r w:rsidR="00CE3CE9" w:rsidRPr="00CE3CE9">
        <w:rPr>
          <w:vertAlign w:val="superscript"/>
        </w:rPr>
        <w:fldChar w:fldCharType="begin"/>
      </w:r>
      <w:r w:rsidR="00CE3CE9" w:rsidRPr="00CE3CE9">
        <w:rPr>
          <w:vertAlign w:val="superscript"/>
        </w:rPr>
        <w:instrText xml:space="preserve"> NOTEREF _Ref97898604 \h  \* MERGEFORMAT </w:instrText>
      </w:r>
      <w:r w:rsidR="00CE3CE9" w:rsidRPr="00CE3CE9">
        <w:rPr>
          <w:vertAlign w:val="superscript"/>
        </w:rPr>
      </w:r>
      <w:r w:rsidR="00CE3CE9" w:rsidRPr="00CE3CE9">
        <w:rPr>
          <w:vertAlign w:val="superscript"/>
        </w:rPr>
        <w:fldChar w:fldCharType="separate"/>
      </w:r>
      <w:r w:rsidR="00CE3CE9" w:rsidRPr="00CE3CE9">
        <w:rPr>
          <w:vertAlign w:val="superscript"/>
        </w:rPr>
        <w:t>3</w:t>
      </w:r>
      <w:r w:rsidR="00CE3CE9" w:rsidRPr="00CE3CE9">
        <w:rPr>
          <w:vertAlign w:val="superscript"/>
        </w:rPr>
        <w:fldChar w:fldCharType="end"/>
      </w:r>
      <w:r w:rsidR="00CE3CE9">
        <w:t xml:space="preserve"> </w:t>
      </w:r>
    </w:p>
    <w:p w14:paraId="6682A05C" w14:textId="2235251A" w:rsidR="00F17D4B" w:rsidRPr="002F61CA" w:rsidRDefault="00F17D4B" w:rsidP="00F17D4B">
      <w:r w:rsidRPr="002F61CA">
        <w:t xml:space="preserve">The current Product Information (PI) and Consumer Medicine Information (CMI) are available from </w:t>
      </w:r>
      <w:hyperlink r:id="rId8" w:history="1">
        <w:r>
          <w:rPr>
            <w:rStyle w:val="Hyperlink"/>
          </w:rPr>
          <w:t>the TGA (Product Information)</w:t>
        </w:r>
      </w:hyperlink>
      <w:r>
        <w:t xml:space="preserve"> and </w:t>
      </w:r>
      <w:hyperlink r:id="rId9" w:history="1">
        <w:r>
          <w:rPr>
            <w:rStyle w:val="Hyperlink"/>
          </w:rPr>
          <w:t>the TGA (Consumer Medicines Information)</w:t>
        </w:r>
      </w:hyperlink>
      <w:r>
        <w:t>.</w:t>
      </w:r>
    </w:p>
    <w:p w14:paraId="658C6EA9" w14:textId="77777777" w:rsidR="00243B26" w:rsidRDefault="00243B26">
      <w:pPr>
        <w:spacing w:line="276" w:lineRule="auto"/>
        <w:rPr>
          <w:b/>
          <w:sz w:val="28"/>
        </w:rPr>
      </w:pPr>
      <w:r>
        <w:br w:type="page"/>
      </w:r>
    </w:p>
    <w:p w14:paraId="46E2BB42" w14:textId="59F6E8AC" w:rsidR="00DF0B13" w:rsidRPr="007247B9" w:rsidDel="00EE2BBB" w:rsidRDefault="00DF0B13" w:rsidP="00CF5E22">
      <w:pPr>
        <w:pStyle w:val="Heading2"/>
      </w:pPr>
      <w:r w:rsidRPr="007247B9" w:rsidDel="00EE2BBB">
        <w:lastRenderedPageBreak/>
        <w:t>PBS listing details</w:t>
      </w:r>
      <w:r w:rsidR="00D151EB" w:rsidDel="00EE2BBB">
        <w:t xml:space="preserve"> (as </w:t>
      </w:r>
      <w:r w:rsidR="002A7B27">
        <w:t>at</w:t>
      </w:r>
      <w:r w:rsidR="006878D5">
        <w:t xml:space="preserve"> March 2022</w:t>
      </w:r>
      <w:r w:rsidR="00D151EB" w:rsidDel="00EE2BBB">
        <w:t>)</w:t>
      </w:r>
    </w:p>
    <w:p w14:paraId="1D47784A" w14:textId="7442393F" w:rsidR="001420B3" w:rsidRPr="001420B3" w:rsidDel="00EE2BBB" w:rsidRDefault="001420B3" w:rsidP="00CF5E22">
      <w:pPr>
        <w:pStyle w:val="Tabletitle"/>
      </w:pPr>
      <w:r w:rsidRPr="001420B3" w:rsidDel="00EE2BBB">
        <w:t xml:space="preserve">Table </w:t>
      </w:r>
      <w:r w:rsidR="00243B26">
        <w:t>1</w:t>
      </w:r>
      <w:r w:rsidRPr="001420B3" w:rsidDel="00EE2BBB">
        <w:t xml:space="preserve">: </w:t>
      </w:r>
      <w:r w:rsidR="009663B6" w:rsidDel="00EE2BBB">
        <w:t>PB</w:t>
      </w:r>
      <w:r w:rsidR="00D151EB" w:rsidDel="00EE2BBB">
        <w:t xml:space="preserve">S listing of </w:t>
      </w:r>
      <w:r w:rsidR="005B3B61">
        <w:t>tedu</w:t>
      </w:r>
      <w:r w:rsidR="00CC26BA">
        <w:t>glutide</w:t>
      </w:r>
    </w:p>
    <w:tbl>
      <w:tblPr>
        <w:tblStyle w:val="TableGrid"/>
        <w:tblW w:w="9064" w:type="dxa"/>
        <w:tblLayout w:type="fixed"/>
        <w:tblLook w:val="04A0" w:firstRow="1" w:lastRow="0" w:firstColumn="1" w:lastColumn="0" w:noHBand="0" w:noVBand="1"/>
      </w:tblPr>
      <w:tblGrid>
        <w:gridCol w:w="969"/>
        <w:gridCol w:w="3250"/>
        <w:gridCol w:w="851"/>
        <w:gridCol w:w="708"/>
        <w:gridCol w:w="1418"/>
        <w:gridCol w:w="1868"/>
      </w:tblGrid>
      <w:tr w:rsidR="0093111F" w:rsidRPr="00A35800" w:rsidDel="00EE2BBB" w14:paraId="6AA19A37" w14:textId="77B518AD" w:rsidTr="00861079">
        <w:trPr>
          <w:trHeight w:val="211"/>
          <w:tblHeader/>
        </w:trPr>
        <w:tc>
          <w:tcPr>
            <w:tcW w:w="969" w:type="dxa"/>
            <w:shd w:val="clear" w:color="auto" w:fill="BFBFBF" w:themeFill="background1" w:themeFillShade="BF"/>
          </w:tcPr>
          <w:p w14:paraId="56A3DEA0" w14:textId="1A878237" w:rsidR="0093111F" w:rsidRPr="00A35800" w:rsidDel="00EE2BBB" w:rsidRDefault="0093111F" w:rsidP="00A35800">
            <w:pPr>
              <w:pStyle w:val="Tableheading"/>
              <w:rPr>
                <w:sz w:val="20"/>
                <w:szCs w:val="20"/>
              </w:rPr>
            </w:pPr>
            <w:r w:rsidRPr="00A35800" w:rsidDel="00EE2BBB">
              <w:rPr>
                <w:sz w:val="20"/>
                <w:szCs w:val="20"/>
              </w:rPr>
              <w:t>Item</w:t>
            </w:r>
          </w:p>
        </w:tc>
        <w:tc>
          <w:tcPr>
            <w:tcW w:w="3250" w:type="dxa"/>
            <w:shd w:val="clear" w:color="auto" w:fill="BFBFBF" w:themeFill="background1" w:themeFillShade="BF"/>
          </w:tcPr>
          <w:p w14:paraId="67A07252" w14:textId="6DE43662" w:rsidR="0093111F" w:rsidRPr="00A35800" w:rsidDel="00EE2BBB" w:rsidRDefault="0093111F" w:rsidP="00A35800">
            <w:pPr>
              <w:pStyle w:val="Tableheading"/>
              <w:rPr>
                <w:sz w:val="20"/>
                <w:szCs w:val="20"/>
              </w:rPr>
            </w:pPr>
            <w:r w:rsidRPr="00A35800" w:rsidDel="00EE2BBB">
              <w:rPr>
                <w:sz w:val="20"/>
                <w:szCs w:val="20"/>
              </w:rPr>
              <w:t>Name, form &amp; strength, pack size</w:t>
            </w:r>
          </w:p>
        </w:tc>
        <w:tc>
          <w:tcPr>
            <w:tcW w:w="851" w:type="dxa"/>
            <w:shd w:val="clear" w:color="auto" w:fill="BFBFBF" w:themeFill="background1" w:themeFillShade="BF"/>
          </w:tcPr>
          <w:p w14:paraId="114E9799" w14:textId="71E76A27" w:rsidR="0093111F" w:rsidRPr="00A35800" w:rsidDel="00EE2BBB" w:rsidRDefault="0093111F" w:rsidP="00A35800">
            <w:pPr>
              <w:pStyle w:val="Tableheading"/>
              <w:rPr>
                <w:sz w:val="20"/>
                <w:szCs w:val="20"/>
              </w:rPr>
            </w:pPr>
            <w:r w:rsidRPr="00A35800" w:rsidDel="00EE2BBB">
              <w:rPr>
                <w:sz w:val="20"/>
                <w:szCs w:val="20"/>
              </w:rPr>
              <w:t>Max</w:t>
            </w:r>
            <w:r w:rsidR="00A13C60" w:rsidRPr="00A35800" w:rsidDel="00EE2BBB">
              <w:rPr>
                <w:sz w:val="20"/>
                <w:szCs w:val="20"/>
              </w:rPr>
              <w:t xml:space="preserve">. </w:t>
            </w:r>
            <w:r w:rsidRPr="00A35800" w:rsidDel="00EE2BBB">
              <w:rPr>
                <w:sz w:val="20"/>
                <w:szCs w:val="20"/>
              </w:rPr>
              <w:t xml:space="preserve">quant. </w:t>
            </w:r>
          </w:p>
        </w:tc>
        <w:tc>
          <w:tcPr>
            <w:tcW w:w="708" w:type="dxa"/>
            <w:shd w:val="clear" w:color="auto" w:fill="BFBFBF" w:themeFill="background1" w:themeFillShade="BF"/>
          </w:tcPr>
          <w:p w14:paraId="0F1A79F7" w14:textId="170F6D44" w:rsidR="0093111F" w:rsidRPr="00A35800" w:rsidDel="00EE2BBB" w:rsidRDefault="0093111F" w:rsidP="00A35800">
            <w:pPr>
              <w:pStyle w:val="Tableheading"/>
              <w:rPr>
                <w:sz w:val="20"/>
                <w:szCs w:val="20"/>
              </w:rPr>
            </w:pPr>
            <w:proofErr w:type="spellStart"/>
            <w:r w:rsidRPr="00A35800" w:rsidDel="00EE2BBB">
              <w:rPr>
                <w:sz w:val="20"/>
                <w:szCs w:val="20"/>
              </w:rPr>
              <w:t>Rpts</w:t>
            </w:r>
            <w:proofErr w:type="spellEnd"/>
            <w:r w:rsidRPr="00A35800" w:rsidDel="00EE2BBB">
              <w:rPr>
                <w:sz w:val="20"/>
                <w:szCs w:val="20"/>
              </w:rPr>
              <w:t xml:space="preserve"> </w:t>
            </w:r>
          </w:p>
        </w:tc>
        <w:tc>
          <w:tcPr>
            <w:tcW w:w="1418" w:type="dxa"/>
            <w:shd w:val="clear" w:color="auto" w:fill="BFBFBF" w:themeFill="background1" w:themeFillShade="BF"/>
          </w:tcPr>
          <w:p w14:paraId="05C5A0BF" w14:textId="2CFF9AC9" w:rsidR="0093111F" w:rsidRPr="00A35800" w:rsidDel="00EE2BBB" w:rsidRDefault="0093111F" w:rsidP="00A35800">
            <w:pPr>
              <w:pStyle w:val="Tableheading"/>
              <w:rPr>
                <w:sz w:val="20"/>
                <w:szCs w:val="20"/>
              </w:rPr>
            </w:pPr>
            <w:r w:rsidRPr="00A35800" w:rsidDel="00EE2BBB">
              <w:rPr>
                <w:sz w:val="20"/>
                <w:szCs w:val="20"/>
              </w:rPr>
              <w:t>DPMQ</w:t>
            </w:r>
          </w:p>
        </w:tc>
        <w:tc>
          <w:tcPr>
            <w:tcW w:w="1868" w:type="dxa"/>
            <w:shd w:val="clear" w:color="auto" w:fill="BFBFBF" w:themeFill="background1" w:themeFillShade="BF"/>
          </w:tcPr>
          <w:p w14:paraId="09B472B7" w14:textId="479D46E2" w:rsidR="0093111F" w:rsidRPr="00A35800" w:rsidDel="00EE2BBB" w:rsidRDefault="0093111F" w:rsidP="00A35800">
            <w:pPr>
              <w:pStyle w:val="Tableheading"/>
              <w:rPr>
                <w:sz w:val="20"/>
                <w:szCs w:val="20"/>
              </w:rPr>
            </w:pPr>
            <w:r w:rsidRPr="00A35800" w:rsidDel="00EE2BBB">
              <w:rPr>
                <w:sz w:val="20"/>
                <w:szCs w:val="20"/>
              </w:rPr>
              <w:t>Brand name and manufacturer</w:t>
            </w:r>
          </w:p>
        </w:tc>
      </w:tr>
      <w:tr w:rsidR="0093111F" w:rsidRPr="00A35800" w:rsidDel="00EE2BBB" w14:paraId="2AF9D84B" w14:textId="0D323411" w:rsidTr="00861079">
        <w:trPr>
          <w:trHeight w:val="552"/>
          <w:tblHeader/>
        </w:trPr>
        <w:tc>
          <w:tcPr>
            <w:tcW w:w="969" w:type="dxa"/>
            <w:shd w:val="clear" w:color="auto" w:fill="auto"/>
          </w:tcPr>
          <w:p w14:paraId="0A3E3442" w14:textId="70C6B5A2" w:rsidR="0093111F" w:rsidRPr="00243B26" w:rsidDel="00EE2BBB" w:rsidRDefault="00CC26BA" w:rsidP="00A35800">
            <w:pPr>
              <w:pStyle w:val="Tablewriting"/>
            </w:pPr>
            <w:r w:rsidRPr="00243B26">
              <w:t>11793Q</w:t>
            </w:r>
            <w:r w:rsidR="00243B26" w:rsidRPr="00243B26">
              <w:rPr>
                <w:vertAlign w:val="superscript"/>
              </w:rPr>
              <w:t>a</w:t>
            </w:r>
          </w:p>
        </w:tc>
        <w:tc>
          <w:tcPr>
            <w:tcW w:w="3250" w:type="dxa"/>
            <w:shd w:val="clear" w:color="auto" w:fill="auto"/>
          </w:tcPr>
          <w:p w14:paraId="0F676F51" w14:textId="1490E7E5" w:rsidR="0093111F" w:rsidRPr="00243B26" w:rsidDel="00EE2BBB" w:rsidRDefault="00CC26BA" w:rsidP="00A35800">
            <w:pPr>
              <w:pStyle w:val="Tablewriting"/>
            </w:pPr>
            <w:r w:rsidRPr="00243B26">
              <w:t>teduglutide 5 mg injection [28 vials] (&amp;) inert substance diluent [28 x 0.5 mL syringes]</w:t>
            </w:r>
          </w:p>
        </w:tc>
        <w:tc>
          <w:tcPr>
            <w:tcW w:w="851" w:type="dxa"/>
            <w:shd w:val="clear" w:color="auto" w:fill="auto"/>
          </w:tcPr>
          <w:p w14:paraId="0E2637C4" w14:textId="0A60D132" w:rsidR="0093111F" w:rsidRPr="00243B26" w:rsidDel="00EE2BBB" w:rsidRDefault="00CC26BA" w:rsidP="008943ED">
            <w:pPr>
              <w:pStyle w:val="Tablewriting"/>
              <w:jc w:val="center"/>
            </w:pPr>
            <w:r w:rsidRPr="00243B26">
              <w:t>1</w:t>
            </w:r>
          </w:p>
        </w:tc>
        <w:tc>
          <w:tcPr>
            <w:tcW w:w="708" w:type="dxa"/>
            <w:shd w:val="clear" w:color="auto" w:fill="auto"/>
          </w:tcPr>
          <w:p w14:paraId="6B361CAA" w14:textId="6364CC1A" w:rsidR="0093111F" w:rsidRPr="00243B26" w:rsidDel="00EE2BBB" w:rsidRDefault="00CC26BA" w:rsidP="008943ED">
            <w:pPr>
              <w:pStyle w:val="Tablewriting"/>
              <w:jc w:val="center"/>
            </w:pPr>
            <w:r w:rsidRPr="00243B26">
              <w:t>11</w:t>
            </w:r>
          </w:p>
        </w:tc>
        <w:tc>
          <w:tcPr>
            <w:tcW w:w="1418" w:type="dxa"/>
            <w:shd w:val="clear" w:color="auto" w:fill="auto"/>
          </w:tcPr>
          <w:p w14:paraId="15F68405" w14:textId="0D411188" w:rsidR="0093111F" w:rsidRPr="00243B26" w:rsidDel="00EE2BBB" w:rsidRDefault="00CC26BA" w:rsidP="008943ED">
            <w:pPr>
              <w:pStyle w:val="Tablewriting"/>
              <w:jc w:val="center"/>
            </w:pPr>
            <w:r w:rsidRPr="00243B26">
              <w:t>$21</w:t>
            </w:r>
            <w:r w:rsidR="008943ED" w:rsidRPr="00243B26">
              <w:t>,</w:t>
            </w:r>
            <w:r w:rsidRPr="00243B26">
              <w:t>840.00</w:t>
            </w:r>
          </w:p>
        </w:tc>
        <w:tc>
          <w:tcPr>
            <w:tcW w:w="1868" w:type="dxa"/>
            <w:shd w:val="clear" w:color="auto" w:fill="auto"/>
          </w:tcPr>
          <w:p w14:paraId="06688839" w14:textId="77777777" w:rsidR="00861079" w:rsidRPr="00243B26" w:rsidRDefault="00CC26BA" w:rsidP="00A35800">
            <w:pPr>
              <w:pStyle w:val="Tablewriting"/>
            </w:pPr>
            <w:proofErr w:type="spellStart"/>
            <w:r w:rsidRPr="00243B26">
              <w:t>Revestive</w:t>
            </w:r>
            <w:proofErr w:type="spellEnd"/>
            <w:r w:rsidRPr="00243B26">
              <w:t xml:space="preserve">® </w:t>
            </w:r>
          </w:p>
          <w:p w14:paraId="2D337AC6" w14:textId="213842D4" w:rsidR="0093111F" w:rsidRPr="00243B26" w:rsidDel="00EE2BBB" w:rsidRDefault="00CC26BA" w:rsidP="00A35800">
            <w:pPr>
              <w:pStyle w:val="Tablewriting"/>
            </w:pPr>
            <w:r w:rsidRPr="00243B26">
              <w:t>Takeda Pharmaceuticals Australia Pty. Ltd.</w:t>
            </w:r>
          </w:p>
        </w:tc>
      </w:tr>
      <w:tr w:rsidR="00CC26BA" w:rsidRPr="00A35800" w:rsidDel="00EE2BBB" w14:paraId="7A8197F1" w14:textId="77777777" w:rsidTr="00861079">
        <w:trPr>
          <w:trHeight w:val="552"/>
          <w:tblHeader/>
        </w:trPr>
        <w:tc>
          <w:tcPr>
            <w:tcW w:w="969" w:type="dxa"/>
            <w:shd w:val="clear" w:color="auto" w:fill="auto"/>
          </w:tcPr>
          <w:p w14:paraId="5657D0DF" w14:textId="2615567B" w:rsidR="00CC26BA" w:rsidRPr="00243B26" w:rsidRDefault="00CC26BA" w:rsidP="00A35800">
            <w:pPr>
              <w:pStyle w:val="Tablewriting"/>
            </w:pPr>
            <w:r w:rsidRPr="00243B26">
              <w:t>11794R</w:t>
            </w:r>
          </w:p>
        </w:tc>
        <w:tc>
          <w:tcPr>
            <w:tcW w:w="3250" w:type="dxa"/>
            <w:shd w:val="clear" w:color="auto" w:fill="auto"/>
          </w:tcPr>
          <w:p w14:paraId="01F4DE99" w14:textId="3E614D51" w:rsidR="00CC26BA" w:rsidRPr="00243B26" w:rsidDel="00EE2BBB" w:rsidRDefault="00CC26BA" w:rsidP="00A35800">
            <w:pPr>
              <w:pStyle w:val="Tablewriting"/>
            </w:pPr>
            <w:r w:rsidRPr="00243B26">
              <w:t>teduglutide 5 mg injection [28 vials] (&amp;) inert substance diluent [28 x 0.5 mL syringes]</w:t>
            </w:r>
          </w:p>
        </w:tc>
        <w:tc>
          <w:tcPr>
            <w:tcW w:w="851" w:type="dxa"/>
            <w:shd w:val="clear" w:color="auto" w:fill="auto"/>
          </w:tcPr>
          <w:p w14:paraId="2A0C3E71" w14:textId="3F462C47" w:rsidR="00CC26BA" w:rsidRPr="00243B26" w:rsidDel="00EE2BBB" w:rsidRDefault="00CC26BA" w:rsidP="008943ED">
            <w:pPr>
              <w:pStyle w:val="Tablewriting"/>
              <w:jc w:val="center"/>
            </w:pPr>
            <w:r w:rsidRPr="00243B26">
              <w:t>1</w:t>
            </w:r>
          </w:p>
        </w:tc>
        <w:tc>
          <w:tcPr>
            <w:tcW w:w="708" w:type="dxa"/>
            <w:shd w:val="clear" w:color="auto" w:fill="auto"/>
          </w:tcPr>
          <w:p w14:paraId="32C44AFF" w14:textId="2CF6DECF" w:rsidR="00CC26BA" w:rsidRPr="00243B26" w:rsidDel="00EE2BBB" w:rsidRDefault="00CC26BA" w:rsidP="008943ED">
            <w:pPr>
              <w:pStyle w:val="Tablewriting"/>
              <w:jc w:val="center"/>
            </w:pPr>
            <w:r w:rsidRPr="00243B26">
              <w:t>5</w:t>
            </w:r>
          </w:p>
        </w:tc>
        <w:tc>
          <w:tcPr>
            <w:tcW w:w="1418" w:type="dxa"/>
            <w:shd w:val="clear" w:color="auto" w:fill="auto"/>
          </w:tcPr>
          <w:p w14:paraId="2F7DF03B" w14:textId="144A3A64" w:rsidR="00CC26BA" w:rsidRPr="00243B26" w:rsidDel="00EE2BBB" w:rsidRDefault="00CC26BA" w:rsidP="008943ED">
            <w:pPr>
              <w:pStyle w:val="Tablewriting"/>
              <w:jc w:val="center"/>
            </w:pPr>
            <w:r w:rsidRPr="00243B26">
              <w:t>$21</w:t>
            </w:r>
            <w:r w:rsidR="008943ED" w:rsidRPr="00243B26">
              <w:t>,</w:t>
            </w:r>
            <w:r w:rsidRPr="00243B26">
              <w:t>840.00</w:t>
            </w:r>
          </w:p>
        </w:tc>
        <w:tc>
          <w:tcPr>
            <w:tcW w:w="1868" w:type="dxa"/>
            <w:shd w:val="clear" w:color="auto" w:fill="auto"/>
          </w:tcPr>
          <w:p w14:paraId="519DBA2F" w14:textId="77777777" w:rsidR="005C724A" w:rsidRPr="00243B26" w:rsidRDefault="005C724A" w:rsidP="005C724A">
            <w:pPr>
              <w:pStyle w:val="Tablewriting"/>
            </w:pPr>
            <w:proofErr w:type="spellStart"/>
            <w:r w:rsidRPr="00243B26">
              <w:t>Revestive</w:t>
            </w:r>
            <w:proofErr w:type="spellEnd"/>
            <w:r w:rsidRPr="00243B26">
              <w:t xml:space="preserve">® </w:t>
            </w:r>
          </w:p>
          <w:p w14:paraId="0D75C7E0" w14:textId="2AFC7C76" w:rsidR="00CC26BA" w:rsidRPr="00243B26" w:rsidDel="00EE2BBB" w:rsidRDefault="005C724A" w:rsidP="005C724A">
            <w:pPr>
              <w:pStyle w:val="Tablewriting"/>
            </w:pPr>
            <w:r w:rsidRPr="00243B26">
              <w:t>Takeda Pharmaceuticals Australia Pty. Ltd.</w:t>
            </w:r>
          </w:p>
        </w:tc>
      </w:tr>
      <w:tr w:rsidR="00CC26BA" w:rsidRPr="00A35800" w:rsidDel="00EE2BBB" w14:paraId="753656D8" w14:textId="77777777" w:rsidTr="00861079">
        <w:trPr>
          <w:trHeight w:val="552"/>
          <w:tblHeader/>
        </w:trPr>
        <w:tc>
          <w:tcPr>
            <w:tcW w:w="969" w:type="dxa"/>
            <w:shd w:val="clear" w:color="auto" w:fill="auto"/>
          </w:tcPr>
          <w:p w14:paraId="54AB0BF1" w14:textId="12330343" w:rsidR="00CC26BA" w:rsidRPr="00243B26" w:rsidRDefault="00CC26BA" w:rsidP="00A35800">
            <w:pPr>
              <w:pStyle w:val="Tablewriting"/>
            </w:pPr>
            <w:r w:rsidRPr="00243B26">
              <w:t>11795T</w:t>
            </w:r>
            <w:r w:rsidR="00243B26" w:rsidRPr="00243B26">
              <w:rPr>
                <w:vertAlign w:val="superscript"/>
              </w:rPr>
              <w:t>a</w:t>
            </w:r>
          </w:p>
        </w:tc>
        <w:tc>
          <w:tcPr>
            <w:tcW w:w="3250" w:type="dxa"/>
            <w:shd w:val="clear" w:color="auto" w:fill="auto"/>
          </w:tcPr>
          <w:p w14:paraId="40F5F1BF" w14:textId="14AB4ACA" w:rsidR="00CC26BA" w:rsidRPr="00243B26" w:rsidDel="00EE2BBB" w:rsidRDefault="00CC26BA" w:rsidP="00A35800">
            <w:pPr>
              <w:pStyle w:val="Tablewriting"/>
            </w:pPr>
            <w:r w:rsidRPr="00243B26">
              <w:t>teduglutide 5 mg injection [28 vials] (&amp;) inert substance diluent [28 x 0.5 mL syringes]</w:t>
            </w:r>
          </w:p>
        </w:tc>
        <w:tc>
          <w:tcPr>
            <w:tcW w:w="851" w:type="dxa"/>
            <w:shd w:val="clear" w:color="auto" w:fill="auto"/>
          </w:tcPr>
          <w:p w14:paraId="3647F405" w14:textId="021D73B7" w:rsidR="00CC26BA" w:rsidRPr="00243B26" w:rsidDel="00EE2BBB" w:rsidRDefault="00CC26BA" w:rsidP="008943ED">
            <w:pPr>
              <w:pStyle w:val="Tablewriting"/>
              <w:jc w:val="center"/>
            </w:pPr>
            <w:r w:rsidRPr="00243B26">
              <w:t>1</w:t>
            </w:r>
          </w:p>
        </w:tc>
        <w:tc>
          <w:tcPr>
            <w:tcW w:w="708" w:type="dxa"/>
            <w:shd w:val="clear" w:color="auto" w:fill="auto"/>
          </w:tcPr>
          <w:p w14:paraId="0169302C" w14:textId="2AF00F0E" w:rsidR="00CC26BA" w:rsidRPr="00243B26" w:rsidDel="00EE2BBB" w:rsidRDefault="00CC26BA" w:rsidP="008943ED">
            <w:pPr>
              <w:pStyle w:val="Tablewriting"/>
              <w:jc w:val="center"/>
            </w:pPr>
            <w:r w:rsidRPr="00243B26">
              <w:t>11</w:t>
            </w:r>
          </w:p>
        </w:tc>
        <w:tc>
          <w:tcPr>
            <w:tcW w:w="1418" w:type="dxa"/>
            <w:shd w:val="clear" w:color="auto" w:fill="auto"/>
          </w:tcPr>
          <w:p w14:paraId="3B69BEFB" w14:textId="7EAED9B4" w:rsidR="00CC26BA" w:rsidRPr="00243B26" w:rsidDel="00EE2BBB" w:rsidRDefault="00CC26BA" w:rsidP="008943ED">
            <w:pPr>
              <w:pStyle w:val="Tablewriting"/>
              <w:jc w:val="center"/>
            </w:pPr>
            <w:r w:rsidRPr="00243B26">
              <w:t>$21</w:t>
            </w:r>
            <w:r w:rsidR="008943ED" w:rsidRPr="00243B26">
              <w:t>,</w:t>
            </w:r>
            <w:r w:rsidRPr="00243B26">
              <w:t>887.78</w:t>
            </w:r>
          </w:p>
        </w:tc>
        <w:tc>
          <w:tcPr>
            <w:tcW w:w="1868" w:type="dxa"/>
            <w:shd w:val="clear" w:color="auto" w:fill="auto"/>
          </w:tcPr>
          <w:p w14:paraId="333F771C" w14:textId="77777777" w:rsidR="005C724A" w:rsidRPr="00243B26" w:rsidRDefault="005C724A" w:rsidP="005C724A">
            <w:pPr>
              <w:pStyle w:val="Tablewriting"/>
            </w:pPr>
            <w:proofErr w:type="spellStart"/>
            <w:r w:rsidRPr="00243B26">
              <w:t>Revestive</w:t>
            </w:r>
            <w:proofErr w:type="spellEnd"/>
            <w:r w:rsidRPr="00243B26">
              <w:t xml:space="preserve">® </w:t>
            </w:r>
          </w:p>
          <w:p w14:paraId="62D08976" w14:textId="24C94883" w:rsidR="00CC26BA" w:rsidRPr="00243B26" w:rsidDel="00EE2BBB" w:rsidRDefault="005C724A" w:rsidP="005C724A">
            <w:pPr>
              <w:pStyle w:val="Tablewriting"/>
            </w:pPr>
            <w:r w:rsidRPr="00243B26">
              <w:t>Takeda Pharmaceuticals Australia Pty. Ltd.</w:t>
            </w:r>
          </w:p>
        </w:tc>
      </w:tr>
      <w:tr w:rsidR="00CC26BA" w:rsidRPr="00A35800" w:rsidDel="00EE2BBB" w14:paraId="435EB382" w14:textId="77777777" w:rsidTr="00861079">
        <w:trPr>
          <w:trHeight w:val="552"/>
          <w:tblHeader/>
        </w:trPr>
        <w:tc>
          <w:tcPr>
            <w:tcW w:w="969" w:type="dxa"/>
            <w:shd w:val="clear" w:color="auto" w:fill="auto"/>
          </w:tcPr>
          <w:p w14:paraId="55D13F5F" w14:textId="504F8A07" w:rsidR="00CC26BA" w:rsidRPr="00CC26BA" w:rsidRDefault="00CC26BA" w:rsidP="00A35800">
            <w:pPr>
              <w:pStyle w:val="Tablewriting"/>
            </w:pPr>
            <w:r w:rsidRPr="00CC26BA">
              <w:t>11806J</w:t>
            </w:r>
          </w:p>
        </w:tc>
        <w:tc>
          <w:tcPr>
            <w:tcW w:w="3250" w:type="dxa"/>
            <w:shd w:val="clear" w:color="auto" w:fill="auto"/>
          </w:tcPr>
          <w:p w14:paraId="5779039D" w14:textId="5A56CBB1" w:rsidR="00CC26BA" w:rsidRPr="00A35800" w:rsidDel="00EE2BBB" w:rsidRDefault="00CC26BA" w:rsidP="00A35800">
            <w:pPr>
              <w:pStyle w:val="Tablewriting"/>
            </w:pPr>
            <w:r w:rsidRPr="00CC26BA">
              <w:t>teduglutide 5 mg injection [28 vials] (&amp;) inert substance diluent [28 x 0.5 mL syringes]</w:t>
            </w:r>
          </w:p>
        </w:tc>
        <w:tc>
          <w:tcPr>
            <w:tcW w:w="851" w:type="dxa"/>
            <w:shd w:val="clear" w:color="auto" w:fill="auto"/>
          </w:tcPr>
          <w:p w14:paraId="588C91A6" w14:textId="3EECF7BE" w:rsidR="00CC26BA" w:rsidRPr="00A35800" w:rsidDel="00EE2BBB" w:rsidRDefault="00CC26BA" w:rsidP="008943ED">
            <w:pPr>
              <w:pStyle w:val="Tablewriting"/>
              <w:jc w:val="center"/>
            </w:pPr>
            <w:r>
              <w:t>1</w:t>
            </w:r>
          </w:p>
        </w:tc>
        <w:tc>
          <w:tcPr>
            <w:tcW w:w="708" w:type="dxa"/>
            <w:shd w:val="clear" w:color="auto" w:fill="auto"/>
          </w:tcPr>
          <w:p w14:paraId="23BC7190" w14:textId="567E458E" w:rsidR="00CC26BA" w:rsidRPr="00A35800" w:rsidDel="00EE2BBB" w:rsidRDefault="00CC26BA" w:rsidP="008943ED">
            <w:pPr>
              <w:pStyle w:val="Tablewriting"/>
              <w:jc w:val="center"/>
            </w:pPr>
            <w:r>
              <w:t>5</w:t>
            </w:r>
          </w:p>
        </w:tc>
        <w:tc>
          <w:tcPr>
            <w:tcW w:w="1418" w:type="dxa"/>
            <w:shd w:val="clear" w:color="auto" w:fill="auto"/>
          </w:tcPr>
          <w:p w14:paraId="0F5D5624" w14:textId="14E2C441" w:rsidR="00CC26BA" w:rsidRPr="00A35800" w:rsidDel="00EE2BBB" w:rsidRDefault="00CC26BA" w:rsidP="008943ED">
            <w:pPr>
              <w:pStyle w:val="Tablewriting"/>
              <w:jc w:val="center"/>
            </w:pPr>
            <w:r w:rsidRPr="00CC26BA">
              <w:t>$21</w:t>
            </w:r>
            <w:r w:rsidR="008943ED">
              <w:t>,</w:t>
            </w:r>
            <w:r w:rsidRPr="00CC26BA">
              <w:t>887.78</w:t>
            </w:r>
          </w:p>
        </w:tc>
        <w:tc>
          <w:tcPr>
            <w:tcW w:w="1868" w:type="dxa"/>
            <w:shd w:val="clear" w:color="auto" w:fill="auto"/>
          </w:tcPr>
          <w:p w14:paraId="58EF8D2D" w14:textId="77777777" w:rsidR="005C724A" w:rsidRPr="00243B26" w:rsidRDefault="005C724A" w:rsidP="005C724A">
            <w:pPr>
              <w:pStyle w:val="Tablewriting"/>
            </w:pPr>
            <w:proofErr w:type="spellStart"/>
            <w:r w:rsidRPr="00243B26">
              <w:t>Revestive</w:t>
            </w:r>
            <w:proofErr w:type="spellEnd"/>
            <w:r w:rsidRPr="00243B26">
              <w:t xml:space="preserve">® </w:t>
            </w:r>
          </w:p>
          <w:p w14:paraId="0ABE58BB" w14:textId="7907CB0A" w:rsidR="00CC26BA" w:rsidRPr="00A35800" w:rsidDel="00EE2BBB" w:rsidRDefault="005C724A" w:rsidP="005C724A">
            <w:pPr>
              <w:pStyle w:val="Tablewriting"/>
            </w:pPr>
            <w:r w:rsidRPr="00243B26">
              <w:t>Takeda Pharmaceuticals Australia Pty. Ltd.</w:t>
            </w:r>
          </w:p>
        </w:tc>
      </w:tr>
      <w:tr w:rsidR="0093111F" w:rsidRPr="00A35800" w:rsidDel="00EE2BBB" w14:paraId="5A26F6DA" w14:textId="5F9D4936" w:rsidTr="00861079">
        <w:trPr>
          <w:trHeight w:val="546"/>
          <w:tblHeader/>
        </w:trPr>
        <w:tc>
          <w:tcPr>
            <w:tcW w:w="969" w:type="dxa"/>
            <w:shd w:val="clear" w:color="auto" w:fill="auto"/>
          </w:tcPr>
          <w:p w14:paraId="76F26606" w14:textId="5F8643B6" w:rsidR="0093111F" w:rsidRPr="00A35800" w:rsidDel="00EE2BBB" w:rsidRDefault="00CC26BA" w:rsidP="00A35800">
            <w:pPr>
              <w:pStyle w:val="Tablewriting"/>
            </w:pPr>
            <w:r w:rsidRPr="00CC26BA">
              <w:t>11808L</w:t>
            </w:r>
          </w:p>
        </w:tc>
        <w:tc>
          <w:tcPr>
            <w:tcW w:w="3250" w:type="dxa"/>
            <w:shd w:val="clear" w:color="auto" w:fill="auto"/>
          </w:tcPr>
          <w:p w14:paraId="4C40F7E7" w14:textId="6A5D4619" w:rsidR="0093111F" w:rsidRPr="00A35800" w:rsidDel="00EE2BBB" w:rsidRDefault="00CC26BA" w:rsidP="00A35800">
            <w:pPr>
              <w:pStyle w:val="Tablewriting"/>
            </w:pPr>
            <w:r w:rsidRPr="00CC26BA">
              <w:t>teduglutide 5 mg injection [28 vials] (&amp;) inert substance diluent [28 x 0.5 mL syringes]</w:t>
            </w:r>
          </w:p>
        </w:tc>
        <w:tc>
          <w:tcPr>
            <w:tcW w:w="851" w:type="dxa"/>
            <w:shd w:val="clear" w:color="auto" w:fill="auto"/>
          </w:tcPr>
          <w:p w14:paraId="73733F58" w14:textId="23E8F9B6" w:rsidR="0093111F" w:rsidRPr="00A35800" w:rsidDel="00EE2BBB" w:rsidRDefault="00CC26BA" w:rsidP="008943ED">
            <w:pPr>
              <w:pStyle w:val="Tablewriting"/>
              <w:jc w:val="center"/>
            </w:pPr>
            <w:r>
              <w:t>1</w:t>
            </w:r>
          </w:p>
        </w:tc>
        <w:tc>
          <w:tcPr>
            <w:tcW w:w="708" w:type="dxa"/>
            <w:shd w:val="clear" w:color="auto" w:fill="auto"/>
          </w:tcPr>
          <w:p w14:paraId="2751F86C" w14:textId="453F3EA3" w:rsidR="0093111F" w:rsidRPr="00A35800" w:rsidDel="00EE2BBB" w:rsidRDefault="00CC26BA" w:rsidP="008943ED">
            <w:pPr>
              <w:pStyle w:val="Tablewriting"/>
              <w:jc w:val="center"/>
            </w:pPr>
            <w:r>
              <w:t>0</w:t>
            </w:r>
          </w:p>
        </w:tc>
        <w:tc>
          <w:tcPr>
            <w:tcW w:w="1418" w:type="dxa"/>
            <w:shd w:val="clear" w:color="auto" w:fill="auto"/>
          </w:tcPr>
          <w:p w14:paraId="0EB41EFB" w14:textId="5A8FC0D0" w:rsidR="0093111F" w:rsidRPr="00A35800" w:rsidDel="00EE2BBB" w:rsidRDefault="00CC26BA" w:rsidP="008943ED">
            <w:pPr>
              <w:pStyle w:val="Tablewriting"/>
              <w:jc w:val="center"/>
            </w:pPr>
            <w:r w:rsidRPr="00CC26BA">
              <w:t>$21</w:t>
            </w:r>
            <w:r w:rsidR="008943ED">
              <w:t>,</w:t>
            </w:r>
            <w:r w:rsidRPr="00CC26BA">
              <w:t>840.00</w:t>
            </w:r>
          </w:p>
        </w:tc>
        <w:tc>
          <w:tcPr>
            <w:tcW w:w="1868" w:type="dxa"/>
            <w:shd w:val="clear" w:color="auto" w:fill="auto"/>
          </w:tcPr>
          <w:p w14:paraId="3B053AB7" w14:textId="77777777" w:rsidR="005C724A" w:rsidRPr="00243B26" w:rsidRDefault="005C724A" w:rsidP="005C724A">
            <w:pPr>
              <w:pStyle w:val="Tablewriting"/>
            </w:pPr>
            <w:proofErr w:type="spellStart"/>
            <w:r w:rsidRPr="00243B26">
              <w:t>Revestive</w:t>
            </w:r>
            <w:proofErr w:type="spellEnd"/>
            <w:r w:rsidRPr="00243B26">
              <w:t xml:space="preserve">® </w:t>
            </w:r>
          </w:p>
          <w:p w14:paraId="2F152B32" w14:textId="52AA5087" w:rsidR="0093111F" w:rsidRPr="00A35800" w:rsidDel="00EE2BBB" w:rsidRDefault="005C724A" w:rsidP="005C724A">
            <w:pPr>
              <w:pStyle w:val="Tablewriting"/>
            </w:pPr>
            <w:r w:rsidRPr="00243B26">
              <w:t>Takeda Pharmaceuticals Australia Pty. Ltd.</w:t>
            </w:r>
          </w:p>
        </w:tc>
      </w:tr>
      <w:tr w:rsidR="00CC26BA" w:rsidRPr="00A35800" w:rsidDel="00EE2BBB" w14:paraId="65C48214" w14:textId="77777777" w:rsidTr="00861079">
        <w:trPr>
          <w:trHeight w:val="546"/>
          <w:tblHeader/>
        </w:trPr>
        <w:tc>
          <w:tcPr>
            <w:tcW w:w="969" w:type="dxa"/>
            <w:shd w:val="clear" w:color="auto" w:fill="auto"/>
          </w:tcPr>
          <w:p w14:paraId="7F06E2A7" w14:textId="63FC423B" w:rsidR="00CC26BA" w:rsidRPr="00CC26BA" w:rsidRDefault="00CC26BA" w:rsidP="00A35800">
            <w:pPr>
              <w:pStyle w:val="Tablewriting"/>
            </w:pPr>
            <w:r w:rsidRPr="00CC26BA">
              <w:t>11812Q</w:t>
            </w:r>
          </w:p>
        </w:tc>
        <w:tc>
          <w:tcPr>
            <w:tcW w:w="3250" w:type="dxa"/>
            <w:shd w:val="clear" w:color="auto" w:fill="auto"/>
          </w:tcPr>
          <w:p w14:paraId="4632145B" w14:textId="2D35305C" w:rsidR="00CC26BA" w:rsidRPr="00A35800" w:rsidDel="00EE2BBB" w:rsidRDefault="00CC26BA" w:rsidP="00A35800">
            <w:pPr>
              <w:pStyle w:val="Tablewriting"/>
            </w:pPr>
            <w:r w:rsidRPr="00CC26BA">
              <w:t>teduglutide 5 mg injection [28 vials] (&amp;) inert substance diluent [28 x 0.5 mL syringes]</w:t>
            </w:r>
          </w:p>
        </w:tc>
        <w:tc>
          <w:tcPr>
            <w:tcW w:w="851" w:type="dxa"/>
            <w:shd w:val="clear" w:color="auto" w:fill="auto"/>
          </w:tcPr>
          <w:p w14:paraId="0A43D249" w14:textId="6C8CFEF4" w:rsidR="00CC26BA" w:rsidRPr="00A35800" w:rsidDel="00EE2BBB" w:rsidRDefault="00CC26BA" w:rsidP="008943ED">
            <w:pPr>
              <w:pStyle w:val="Tablewriting"/>
              <w:jc w:val="center"/>
            </w:pPr>
            <w:r>
              <w:t>1</w:t>
            </w:r>
          </w:p>
        </w:tc>
        <w:tc>
          <w:tcPr>
            <w:tcW w:w="708" w:type="dxa"/>
            <w:shd w:val="clear" w:color="auto" w:fill="auto"/>
          </w:tcPr>
          <w:p w14:paraId="66E6EB39" w14:textId="781DC60E" w:rsidR="00CC26BA" w:rsidRPr="00A35800" w:rsidDel="00EE2BBB" w:rsidRDefault="00CC26BA" w:rsidP="008943ED">
            <w:pPr>
              <w:pStyle w:val="Tablewriting"/>
              <w:jc w:val="center"/>
            </w:pPr>
            <w:r>
              <w:t>0</w:t>
            </w:r>
          </w:p>
        </w:tc>
        <w:tc>
          <w:tcPr>
            <w:tcW w:w="1418" w:type="dxa"/>
            <w:shd w:val="clear" w:color="auto" w:fill="auto"/>
          </w:tcPr>
          <w:p w14:paraId="43DAC618" w14:textId="57E4C52D" w:rsidR="00CC26BA" w:rsidRPr="00A35800" w:rsidDel="00EE2BBB" w:rsidRDefault="00CC26BA" w:rsidP="008943ED">
            <w:pPr>
              <w:pStyle w:val="Tablewriting"/>
              <w:jc w:val="center"/>
            </w:pPr>
            <w:r w:rsidRPr="00CC26BA">
              <w:t>$21</w:t>
            </w:r>
            <w:r w:rsidR="008943ED">
              <w:t>,</w:t>
            </w:r>
            <w:r w:rsidRPr="00CC26BA">
              <w:t>887.78</w:t>
            </w:r>
          </w:p>
        </w:tc>
        <w:tc>
          <w:tcPr>
            <w:tcW w:w="1868" w:type="dxa"/>
            <w:shd w:val="clear" w:color="auto" w:fill="auto"/>
          </w:tcPr>
          <w:p w14:paraId="6AE020E9" w14:textId="77777777" w:rsidR="005C724A" w:rsidRPr="00243B26" w:rsidRDefault="005C724A" w:rsidP="005C724A">
            <w:pPr>
              <w:pStyle w:val="Tablewriting"/>
            </w:pPr>
            <w:proofErr w:type="spellStart"/>
            <w:r w:rsidRPr="00243B26">
              <w:t>Revestive</w:t>
            </w:r>
            <w:proofErr w:type="spellEnd"/>
            <w:r w:rsidRPr="00243B26">
              <w:t xml:space="preserve">® </w:t>
            </w:r>
          </w:p>
          <w:p w14:paraId="3AEE5F23" w14:textId="335B6AA1" w:rsidR="00CC26BA" w:rsidRPr="00A35800" w:rsidDel="00EE2BBB" w:rsidRDefault="005C724A" w:rsidP="005C724A">
            <w:pPr>
              <w:pStyle w:val="Tablewriting"/>
            </w:pPr>
            <w:r w:rsidRPr="00243B26">
              <w:t>Takeda Pharmaceuticals Australia Pty. Ltd.</w:t>
            </w:r>
          </w:p>
        </w:tc>
      </w:tr>
    </w:tbl>
    <w:p w14:paraId="1183F151" w14:textId="63E2AD67" w:rsidR="007247B9" w:rsidRDefault="007408C7" w:rsidP="00CE3CE9">
      <w:pPr>
        <w:pStyle w:val="Notes"/>
        <w:spacing w:after="0"/>
      </w:pPr>
      <w:r w:rsidRPr="00A35800" w:rsidDel="00EE2BBB">
        <w:t xml:space="preserve">Source: </w:t>
      </w:r>
      <w:r w:rsidR="001624D7" w:rsidDel="00EE2BBB">
        <w:t xml:space="preserve">the </w:t>
      </w:r>
      <w:hyperlink r:id="rId10" w:history="1">
        <w:r w:rsidR="001624D7" w:rsidRPr="001624D7" w:rsidDel="00EE2BBB">
          <w:rPr>
            <w:rStyle w:val="Hyperlink"/>
          </w:rPr>
          <w:t>PBS website</w:t>
        </w:r>
      </w:hyperlink>
      <w:r w:rsidR="001624D7" w:rsidDel="00EE2BBB">
        <w:t>.</w:t>
      </w:r>
      <w:r w:rsidR="0080485E" w:rsidDel="00EE2BBB">
        <w:t xml:space="preserve"> </w:t>
      </w:r>
    </w:p>
    <w:p w14:paraId="49872839" w14:textId="737E7BA9" w:rsidR="00DD0721" w:rsidRDefault="00861079" w:rsidP="00DD0721">
      <w:pPr>
        <w:pStyle w:val="Notes"/>
        <w:spacing w:after="0"/>
      </w:pPr>
      <w:r w:rsidRPr="00243B26">
        <w:t>Note</w:t>
      </w:r>
      <w:r w:rsidR="00435E0D">
        <w:t>s</w:t>
      </w:r>
      <w:r w:rsidRPr="00243B26">
        <w:t>:</w:t>
      </w:r>
    </w:p>
    <w:p w14:paraId="231D955D" w14:textId="72BA1DED" w:rsidR="00861079" w:rsidRDefault="00861079" w:rsidP="00DD0721">
      <w:pPr>
        <w:pStyle w:val="Notes"/>
        <w:numPr>
          <w:ilvl w:val="0"/>
          <w:numId w:val="32"/>
        </w:numPr>
        <w:spacing w:after="0"/>
      </w:pPr>
      <w:r>
        <w:t>No increase in the maximum number of repeats may be authorised</w:t>
      </w:r>
      <w:r w:rsidR="00145198">
        <w:t>.</w:t>
      </w:r>
      <w:r>
        <w:t xml:space="preserve"> </w:t>
      </w:r>
    </w:p>
    <w:p w14:paraId="346B5D53" w14:textId="77777777" w:rsidR="00DD0721" w:rsidRDefault="00861079" w:rsidP="00DD0721">
      <w:pPr>
        <w:pStyle w:val="Notes"/>
        <w:numPr>
          <w:ilvl w:val="0"/>
          <w:numId w:val="32"/>
        </w:numPr>
        <w:spacing w:after="0"/>
      </w:pPr>
      <w:r>
        <w:t xml:space="preserve">Special Pricing Arrangements apply. </w:t>
      </w:r>
    </w:p>
    <w:p w14:paraId="253B0CC4" w14:textId="27604CB4" w:rsidR="00DD0721" w:rsidRDefault="00DD0721" w:rsidP="00DD0721">
      <w:pPr>
        <w:pStyle w:val="Notes"/>
        <w:numPr>
          <w:ilvl w:val="0"/>
          <w:numId w:val="32"/>
        </w:numPr>
        <w:spacing w:after="0"/>
      </w:pPr>
      <w:r w:rsidRPr="00DD0721">
        <w:rPr>
          <w:vertAlign w:val="superscript"/>
        </w:rPr>
        <w:t>a</w:t>
      </w:r>
      <w:r w:rsidRPr="00243B26">
        <w:t xml:space="preserve"> </w:t>
      </w:r>
      <w:proofErr w:type="spellStart"/>
      <w:r w:rsidRPr="00243B26">
        <w:t>A</w:t>
      </w:r>
      <w:proofErr w:type="spellEnd"/>
      <w:r w:rsidRPr="00243B26">
        <w:t xml:space="preserve"> patient may only qualify for PBS-subsidised treatment under this restriction once a lifetime.</w:t>
      </w:r>
      <w:r>
        <w:t xml:space="preserve"> </w:t>
      </w:r>
    </w:p>
    <w:p w14:paraId="5E384CB1" w14:textId="043F31D5" w:rsidR="00861079" w:rsidRPr="00A35800" w:rsidDel="00EE2BBB" w:rsidRDefault="00861079" w:rsidP="00BB1D3B">
      <w:pPr>
        <w:pStyle w:val="Notes"/>
      </w:pPr>
    </w:p>
    <w:p w14:paraId="51DFF9D9" w14:textId="77777777" w:rsidR="00CE3CE9" w:rsidRDefault="00CE3CE9">
      <w:pPr>
        <w:spacing w:line="276" w:lineRule="auto"/>
        <w:rPr>
          <w:b/>
          <w:i/>
          <w:szCs w:val="28"/>
        </w:rPr>
      </w:pPr>
      <w:r>
        <w:br w:type="page"/>
      </w:r>
    </w:p>
    <w:p w14:paraId="1AFA1485" w14:textId="7CB28B07" w:rsidR="004C3186" w:rsidDel="00EE2BBB" w:rsidRDefault="004C3186" w:rsidP="00CF5E22">
      <w:pPr>
        <w:pStyle w:val="Heading3"/>
      </w:pPr>
      <w:r w:rsidDel="00EE2BBB">
        <w:lastRenderedPageBreak/>
        <w:t>Restriction</w:t>
      </w:r>
      <w:r w:rsidR="00592506">
        <w:t xml:space="preserve"> (Abridged)</w:t>
      </w:r>
    </w:p>
    <w:p w14:paraId="6B3343CB" w14:textId="739F8B31" w:rsidR="00C4574B" w:rsidRPr="00C4574B" w:rsidRDefault="00C4574B" w:rsidP="00D93F8B">
      <w:r>
        <w:rPr>
          <w:b/>
          <w:bCs/>
        </w:rPr>
        <w:t xml:space="preserve">Indication: </w:t>
      </w:r>
      <w:r>
        <w:t xml:space="preserve">Type III Short bowel syndrome with intestinal failure </w:t>
      </w:r>
    </w:p>
    <w:p w14:paraId="40F95AAD" w14:textId="7656637A" w:rsidR="00D93F8B" w:rsidRPr="004B4960" w:rsidRDefault="00D93F8B" w:rsidP="00D93F8B">
      <w:pPr>
        <w:rPr>
          <w:b/>
          <w:bCs/>
        </w:rPr>
      </w:pPr>
      <w:r w:rsidRPr="004B4960">
        <w:rPr>
          <w:b/>
          <w:bCs/>
        </w:rPr>
        <w:t>Treatment criteria:</w:t>
      </w:r>
    </w:p>
    <w:p w14:paraId="78E97FFB" w14:textId="77777777" w:rsidR="00D93F8B" w:rsidRDefault="00D93F8B" w:rsidP="00D93F8B">
      <w:pPr>
        <w:ind w:left="720"/>
      </w:pPr>
      <w:r>
        <w:t>Must be treated by a gastroenterologist; OR</w:t>
      </w:r>
    </w:p>
    <w:p w14:paraId="7DBFFF0F" w14:textId="33C6AC73" w:rsidR="009B1E69" w:rsidRPr="0020418B" w:rsidRDefault="00D93F8B" w:rsidP="0020418B">
      <w:pPr>
        <w:ind w:left="720"/>
      </w:pPr>
      <w:r>
        <w:t>Must be treated by a specialist within a multidisciplinary intestinal rehabilitation unit.</w:t>
      </w:r>
    </w:p>
    <w:tbl>
      <w:tblPr>
        <w:tblStyle w:val="TableGrid"/>
        <w:tblW w:w="0" w:type="auto"/>
        <w:tblLook w:val="04A0" w:firstRow="1" w:lastRow="0" w:firstColumn="1" w:lastColumn="0" w:noHBand="0" w:noVBand="1"/>
      </w:tblPr>
      <w:tblGrid>
        <w:gridCol w:w="2062"/>
        <w:gridCol w:w="6885"/>
      </w:tblGrid>
      <w:tr w:rsidR="009B1E69" w:rsidRPr="009B1E69" w14:paraId="054E59C4" w14:textId="77777777" w:rsidTr="0020418B">
        <w:tc>
          <w:tcPr>
            <w:tcW w:w="2062" w:type="dxa"/>
            <w:shd w:val="clear" w:color="auto" w:fill="BFBFBF" w:themeFill="background1" w:themeFillShade="BF"/>
          </w:tcPr>
          <w:p w14:paraId="168F138E" w14:textId="2ECE2AD2" w:rsidR="009B1E69" w:rsidRPr="009B1E69" w:rsidRDefault="009B1E69" w:rsidP="009B1E69">
            <w:pPr>
              <w:rPr>
                <w:b/>
                <w:bCs/>
              </w:rPr>
            </w:pPr>
            <w:r w:rsidRPr="009B1E69">
              <w:rPr>
                <w:b/>
                <w:bCs/>
              </w:rPr>
              <w:t xml:space="preserve">Treatment phase </w:t>
            </w:r>
          </w:p>
        </w:tc>
        <w:tc>
          <w:tcPr>
            <w:tcW w:w="6885" w:type="dxa"/>
            <w:shd w:val="clear" w:color="auto" w:fill="BFBFBF" w:themeFill="background1" w:themeFillShade="BF"/>
          </w:tcPr>
          <w:p w14:paraId="09EDDD45" w14:textId="6CC3586F" w:rsidR="009B1E69" w:rsidRPr="009B1E69" w:rsidRDefault="000973D6" w:rsidP="009B1E69">
            <w:pPr>
              <w:rPr>
                <w:b/>
                <w:bCs/>
              </w:rPr>
            </w:pPr>
            <w:r>
              <w:rPr>
                <w:b/>
                <w:bCs/>
              </w:rPr>
              <w:t>Clinical c</w:t>
            </w:r>
            <w:r w:rsidR="009B1E69" w:rsidRPr="009B1E69">
              <w:rPr>
                <w:b/>
                <w:bCs/>
              </w:rPr>
              <w:t>riteria</w:t>
            </w:r>
          </w:p>
        </w:tc>
      </w:tr>
      <w:tr w:rsidR="009B1E69" w:rsidRPr="009B1E69" w14:paraId="13487626" w14:textId="77777777" w:rsidTr="0020418B">
        <w:tc>
          <w:tcPr>
            <w:tcW w:w="2062" w:type="dxa"/>
          </w:tcPr>
          <w:p w14:paraId="29D66270" w14:textId="23BCDE3D" w:rsidR="009B1E69" w:rsidRPr="009B1E69" w:rsidRDefault="009B1E69" w:rsidP="009B1E69">
            <w:r w:rsidRPr="009B1E69">
              <w:t>Initial treatment</w:t>
            </w:r>
          </w:p>
        </w:tc>
        <w:tc>
          <w:tcPr>
            <w:tcW w:w="6885" w:type="dxa"/>
          </w:tcPr>
          <w:p w14:paraId="033FD0AE" w14:textId="77777777" w:rsidR="009B1E69" w:rsidRPr="009B1E69" w:rsidRDefault="009B1E69" w:rsidP="009B1E69">
            <w:pPr>
              <w:pStyle w:val="ListParagraph"/>
              <w:numPr>
                <w:ilvl w:val="0"/>
                <w:numId w:val="27"/>
              </w:numPr>
            </w:pPr>
            <w:r w:rsidRPr="009B1E69">
              <w:t>Patient must have short bowel syndrome with intestinal failure following major surgery, AND</w:t>
            </w:r>
          </w:p>
          <w:p w14:paraId="423565E6" w14:textId="77777777" w:rsidR="009B1E69" w:rsidRPr="009B1E69" w:rsidRDefault="009B1E69" w:rsidP="009B1E69">
            <w:pPr>
              <w:pStyle w:val="ListParagraph"/>
              <w:numPr>
                <w:ilvl w:val="0"/>
                <w:numId w:val="27"/>
              </w:numPr>
            </w:pPr>
            <w:r w:rsidRPr="009B1E69">
              <w:t>Patient must have a history of dependence on parenteral support for at least 12 months, AND</w:t>
            </w:r>
          </w:p>
          <w:p w14:paraId="1592F55D" w14:textId="77777777" w:rsidR="009B1E69" w:rsidRPr="009B1E69" w:rsidRDefault="009B1E69" w:rsidP="009B1E69">
            <w:pPr>
              <w:pStyle w:val="ListParagraph"/>
              <w:numPr>
                <w:ilvl w:val="0"/>
                <w:numId w:val="27"/>
              </w:numPr>
            </w:pPr>
            <w:r w:rsidRPr="009B1E69">
              <w:t>Patient must have received a stable parenteral support regimen for at least 3 days per week in the previous 4 weeks, AND</w:t>
            </w:r>
          </w:p>
          <w:p w14:paraId="41DB9BDF" w14:textId="77777777" w:rsidR="009B1E69" w:rsidRPr="009B1E69" w:rsidRDefault="009B1E69" w:rsidP="009B1E69">
            <w:pPr>
              <w:pStyle w:val="ListParagraph"/>
              <w:numPr>
                <w:ilvl w:val="0"/>
                <w:numId w:val="27"/>
              </w:numPr>
            </w:pPr>
            <w:r w:rsidRPr="009B1E69">
              <w:t>Patient must not have active gastrointestinal malignancy or history of gastrointestinal malignancy within the last 5 years, AND</w:t>
            </w:r>
          </w:p>
          <w:p w14:paraId="20F77E80" w14:textId="77777777" w:rsidR="009B1E69" w:rsidRPr="009B1E69" w:rsidRDefault="009B1E69" w:rsidP="009B1E69">
            <w:pPr>
              <w:pStyle w:val="ListParagraph"/>
              <w:numPr>
                <w:ilvl w:val="0"/>
                <w:numId w:val="27"/>
              </w:numPr>
            </w:pPr>
            <w:r w:rsidRPr="009B1E69">
              <w:t>The treatment must not exceed 12 months under this restriction, AND</w:t>
            </w:r>
          </w:p>
          <w:p w14:paraId="208B18F0" w14:textId="3BE3470E" w:rsidR="009B1E69" w:rsidRPr="009B1E69" w:rsidRDefault="009B1E69" w:rsidP="009B1E69">
            <w:pPr>
              <w:pStyle w:val="ListParagraph"/>
              <w:numPr>
                <w:ilvl w:val="0"/>
                <w:numId w:val="27"/>
              </w:numPr>
            </w:pPr>
            <w:r w:rsidRPr="009B1E69">
              <w:t>Patient must not have previously received PBS-subsidised treatment with this drug for this condition.</w:t>
            </w:r>
          </w:p>
        </w:tc>
      </w:tr>
      <w:tr w:rsidR="009B1E69" w:rsidRPr="009B1E69" w14:paraId="674B6DA3" w14:textId="77777777" w:rsidTr="0020418B">
        <w:tc>
          <w:tcPr>
            <w:tcW w:w="2062" w:type="dxa"/>
          </w:tcPr>
          <w:p w14:paraId="41E76E8A" w14:textId="5450A3CE" w:rsidR="009B1E69" w:rsidRPr="009B1E69" w:rsidRDefault="009B1E69" w:rsidP="009B1E69">
            <w:r w:rsidRPr="009B1E69">
              <w:t>First continuing treatment</w:t>
            </w:r>
          </w:p>
          <w:p w14:paraId="5DE943CE" w14:textId="77777777" w:rsidR="009B1E69" w:rsidRPr="009B1E69" w:rsidRDefault="009B1E69" w:rsidP="009B1E69"/>
        </w:tc>
        <w:tc>
          <w:tcPr>
            <w:tcW w:w="6885" w:type="dxa"/>
          </w:tcPr>
          <w:p w14:paraId="4C0258CE" w14:textId="1D247B35" w:rsidR="009B1E69" w:rsidRPr="009B1E69" w:rsidRDefault="009B1E69" w:rsidP="009B1E69">
            <w:pPr>
              <w:pStyle w:val="ListParagraph"/>
              <w:numPr>
                <w:ilvl w:val="0"/>
                <w:numId w:val="28"/>
              </w:numPr>
            </w:pPr>
            <w:r w:rsidRPr="009B1E69">
              <w:t xml:space="preserve">Patient must have previously received PBS-subsidised initial treatment with this drug for this condition; OR Patient must have received PBS-subsidised treatment with this drug for this condition as a grandfathered patient, AND </w:t>
            </w:r>
          </w:p>
          <w:p w14:paraId="58DB11EC" w14:textId="5612047D" w:rsidR="009B1E69" w:rsidRPr="009B1E69" w:rsidRDefault="009B1E69" w:rsidP="009B1E69">
            <w:pPr>
              <w:pStyle w:val="ListParagraph"/>
              <w:numPr>
                <w:ilvl w:val="0"/>
                <w:numId w:val="28"/>
              </w:numPr>
            </w:pPr>
            <w:r w:rsidRPr="009B1E69">
              <w:t>Patient must have a reduction in parenteral support frequency of at least one day per week compared to the mean number of days per week at baseline; OR Patient must have, as a patient yet to turn 18 years of age, a reduction in the mean weekly parenteral support volume of at least 20% (mL per kg of body weight) relative to baseline.</w:t>
            </w:r>
          </w:p>
        </w:tc>
      </w:tr>
      <w:tr w:rsidR="009B1E69" w:rsidRPr="009B1E69" w14:paraId="1973F302" w14:textId="77777777" w:rsidTr="0020418B">
        <w:tc>
          <w:tcPr>
            <w:tcW w:w="2062" w:type="dxa"/>
          </w:tcPr>
          <w:p w14:paraId="53B9FD6D" w14:textId="06346CF8" w:rsidR="009B1E69" w:rsidRPr="009B1E69" w:rsidRDefault="009B1E69" w:rsidP="009B1E69">
            <w:r w:rsidRPr="009B1E69">
              <w:t>Subsequent continuing treatment</w:t>
            </w:r>
          </w:p>
        </w:tc>
        <w:tc>
          <w:tcPr>
            <w:tcW w:w="6885" w:type="dxa"/>
          </w:tcPr>
          <w:p w14:paraId="213C1810" w14:textId="471C015B" w:rsidR="009B1E69" w:rsidRPr="009B1E69" w:rsidRDefault="009B1E69" w:rsidP="009B1E69">
            <w:pPr>
              <w:pStyle w:val="ListParagraph"/>
              <w:numPr>
                <w:ilvl w:val="0"/>
                <w:numId w:val="30"/>
              </w:numPr>
            </w:pPr>
            <w:r>
              <w:t xml:space="preserve">Patient must have received PBS-subsidised first-continuing treatment with this drug for this condition and achieved a treatment response in the preceding treatment period; OR Patient must have received PBS-subsidised recommencement of treatment following a trial cessation period and not have previously experienced a failure to respond to treatment with this drug for this condition. </w:t>
            </w:r>
          </w:p>
        </w:tc>
      </w:tr>
    </w:tbl>
    <w:p w14:paraId="11FA93B4" w14:textId="550123E6" w:rsidR="0020418B" w:rsidRDefault="0020418B"/>
    <w:p w14:paraId="27CB21A5" w14:textId="77777777" w:rsidR="0020418B" w:rsidRDefault="0020418B"/>
    <w:tbl>
      <w:tblPr>
        <w:tblStyle w:val="TableGrid"/>
        <w:tblW w:w="0" w:type="auto"/>
        <w:tblLook w:val="04A0" w:firstRow="1" w:lastRow="0" w:firstColumn="1" w:lastColumn="0" w:noHBand="0" w:noVBand="1"/>
      </w:tblPr>
      <w:tblGrid>
        <w:gridCol w:w="2062"/>
        <w:gridCol w:w="6885"/>
      </w:tblGrid>
      <w:tr w:rsidR="0020418B" w:rsidRPr="009B1E69" w14:paraId="626F92F1" w14:textId="77777777" w:rsidTr="0020418B">
        <w:tc>
          <w:tcPr>
            <w:tcW w:w="2062" w:type="dxa"/>
            <w:shd w:val="clear" w:color="auto" w:fill="BFBFBF" w:themeFill="background1" w:themeFillShade="BF"/>
          </w:tcPr>
          <w:p w14:paraId="6323EE8A" w14:textId="481E59D0" w:rsidR="0020418B" w:rsidRPr="009B1E69" w:rsidRDefault="0020418B" w:rsidP="0020418B">
            <w:r w:rsidRPr="009B1E69">
              <w:rPr>
                <w:b/>
                <w:bCs/>
              </w:rPr>
              <w:lastRenderedPageBreak/>
              <w:t xml:space="preserve">Treatment phase </w:t>
            </w:r>
          </w:p>
        </w:tc>
        <w:tc>
          <w:tcPr>
            <w:tcW w:w="6885" w:type="dxa"/>
            <w:shd w:val="clear" w:color="auto" w:fill="BFBFBF" w:themeFill="background1" w:themeFillShade="BF"/>
          </w:tcPr>
          <w:p w14:paraId="74830BFB" w14:textId="4F686D5C" w:rsidR="0020418B" w:rsidRDefault="0020418B" w:rsidP="0020418B">
            <w:r w:rsidRPr="0020418B">
              <w:rPr>
                <w:b/>
                <w:bCs/>
              </w:rPr>
              <w:t>Clinical criteria</w:t>
            </w:r>
          </w:p>
        </w:tc>
      </w:tr>
      <w:tr w:rsidR="0020418B" w:rsidRPr="009B1E69" w14:paraId="15151D4B" w14:textId="77777777" w:rsidTr="0020418B">
        <w:tc>
          <w:tcPr>
            <w:tcW w:w="2062" w:type="dxa"/>
          </w:tcPr>
          <w:p w14:paraId="275FE58F" w14:textId="0C2BEE1C" w:rsidR="0020418B" w:rsidRPr="009B1E69" w:rsidRDefault="0020418B" w:rsidP="0020418B">
            <w:r w:rsidRPr="009B1E69">
              <w:t>Recommencement of treatment</w:t>
            </w:r>
          </w:p>
          <w:p w14:paraId="103E5B5C" w14:textId="77777777" w:rsidR="0020418B" w:rsidRPr="009B1E69" w:rsidRDefault="0020418B" w:rsidP="0020418B"/>
        </w:tc>
        <w:tc>
          <w:tcPr>
            <w:tcW w:w="6885" w:type="dxa"/>
          </w:tcPr>
          <w:p w14:paraId="06FC0EFA" w14:textId="77777777" w:rsidR="0020418B" w:rsidRDefault="0020418B" w:rsidP="0020418B">
            <w:pPr>
              <w:pStyle w:val="ListParagraph"/>
              <w:numPr>
                <w:ilvl w:val="0"/>
                <w:numId w:val="29"/>
              </w:numPr>
            </w:pPr>
            <w:r>
              <w:t>Patient must have received PBS-subsidised treatment with this drug for this condition, AND</w:t>
            </w:r>
          </w:p>
          <w:p w14:paraId="0ED735CF" w14:textId="77777777" w:rsidR="0020418B" w:rsidRDefault="0020418B" w:rsidP="0020418B">
            <w:pPr>
              <w:pStyle w:val="ListParagraph"/>
              <w:numPr>
                <w:ilvl w:val="0"/>
                <w:numId w:val="29"/>
              </w:numPr>
            </w:pPr>
            <w:r>
              <w:t xml:space="preserve">Patient must have undertaken a trial cessation period due to experiencing a stable parenteral support regimen in the first continuing or subsequent continuing treatment phase, and not due to treatment failure; OR Patient must have undertaken a trial cessation period for any medical reason other than lack of treatment efficacy, AND </w:t>
            </w:r>
          </w:p>
          <w:p w14:paraId="71380762" w14:textId="77777777" w:rsidR="0020418B" w:rsidRDefault="0020418B" w:rsidP="0020418B">
            <w:pPr>
              <w:pStyle w:val="ListParagraph"/>
              <w:numPr>
                <w:ilvl w:val="0"/>
                <w:numId w:val="29"/>
              </w:numPr>
            </w:pPr>
            <w:r>
              <w:t xml:space="preserve">Patient must have experienced deterioration during a trial cessation period. </w:t>
            </w:r>
          </w:p>
          <w:p w14:paraId="4343A4C6" w14:textId="2AAFF691" w:rsidR="0020418B" w:rsidRPr="009B1E69" w:rsidRDefault="0020418B" w:rsidP="0020418B">
            <w:r>
              <w:t xml:space="preserve">Deterioration during the trial cessation period includes an increase in parenteral support use, as well as changes in renal function, urinary sodium levels and changes in body weight in the absence of an increase in parenteral support use. This is not an exhaustive list of the signs/symptoms of disease deterioration- the treating physician must be satisfied that in the absence of treatment with this drug, the patient’s condition has deteriorated. </w:t>
            </w:r>
          </w:p>
        </w:tc>
      </w:tr>
      <w:tr w:rsidR="0020418B" w:rsidRPr="009B1E69" w14:paraId="501A5DFA" w14:textId="77777777" w:rsidTr="0020418B">
        <w:tc>
          <w:tcPr>
            <w:tcW w:w="2062" w:type="dxa"/>
          </w:tcPr>
          <w:p w14:paraId="66118628" w14:textId="04822EE9" w:rsidR="0020418B" w:rsidRPr="009B1E69" w:rsidRDefault="0020418B" w:rsidP="0020418B">
            <w:r>
              <w:t>I</w:t>
            </w:r>
            <w:r w:rsidRPr="009B1E69">
              <w:t>nitial treatment – balance of supply</w:t>
            </w:r>
          </w:p>
        </w:tc>
        <w:tc>
          <w:tcPr>
            <w:tcW w:w="6885" w:type="dxa"/>
          </w:tcPr>
          <w:p w14:paraId="0CDF4134" w14:textId="77777777" w:rsidR="0020418B" w:rsidRDefault="0020418B" w:rsidP="0020418B">
            <w:pPr>
              <w:pStyle w:val="ListParagraph"/>
              <w:numPr>
                <w:ilvl w:val="0"/>
                <w:numId w:val="15"/>
              </w:numPr>
            </w:pPr>
            <w:r>
              <w:t xml:space="preserve">Patient must have previously received PBS-subsidised initial treatment with this drug for this condition, AND </w:t>
            </w:r>
          </w:p>
          <w:p w14:paraId="6BD50F73" w14:textId="77777777" w:rsidR="0020418B" w:rsidRDefault="0020418B" w:rsidP="0020418B">
            <w:pPr>
              <w:pStyle w:val="ListParagraph"/>
              <w:numPr>
                <w:ilvl w:val="0"/>
                <w:numId w:val="15"/>
              </w:numPr>
            </w:pPr>
            <w:r>
              <w:t xml:space="preserve">Patient must have received insufficient therapy with this drug under the initial treatment restriction to complete the maximum duration of 12 months of initial treatment, AND </w:t>
            </w:r>
          </w:p>
          <w:p w14:paraId="4954AA69" w14:textId="5C874A40" w:rsidR="0020418B" w:rsidRPr="009B1E69" w:rsidRDefault="0020418B" w:rsidP="0020418B">
            <w:pPr>
              <w:pStyle w:val="ListParagraph"/>
              <w:numPr>
                <w:ilvl w:val="0"/>
                <w:numId w:val="15"/>
              </w:numPr>
            </w:pPr>
            <w:r>
              <w:t xml:space="preserve">The treatment must provide no more than balance of up to 12 months of treatment. </w:t>
            </w:r>
          </w:p>
        </w:tc>
      </w:tr>
    </w:tbl>
    <w:p w14:paraId="22433632" w14:textId="600029A0" w:rsidR="006775F1" w:rsidRPr="006775F1" w:rsidDel="00EE2BBB" w:rsidRDefault="006775F1" w:rsidP="00A35800">
      <w:r w:rsidRPr="006775F1" w:rsidDel="00EE2BBB">
        <w:t xml:space="preserve">For </w:t>
      </w:r>
      <w:r w:rsidR="00835337" w:rsidDel="00EE2BBB">
        <w:t xml:space="preserve">details of the current PBS listing refer to the </w:t>
      </w:r>
      <w:hyperlink r:id="rId11" w:history="1">
        <w:r w:rsidR="00835337" w:rsidRPr="00645D51" w:rsidDel="00EE2BBB">
          <w:rPr>
            <w:rStyle w:val="Hyperlink"/>
          </w:rPr>
          <w:t>PBS website</w:t>
        </w:r>
      </w:hyperlink>
      <w:r w:rsidR="00835337" w:rsidDel="00EE2BBB">
        <w:rPr>
          <w:rStyle w:val="Hyperlink"/>
        </w:rPr>
        <w:t>.</w:t>
      </w:r>
    </w:p>
    <w:p w14:paraId="509ADFEB" w14:textId="201634E9" w:rsidR="009C35F2" w:rsidRDefault="009C35F2" w:rsidP="00D93F8B">
      <w:pPr>
        <w:pStyle w:val="Heading3"/>
        <w:keepNext/>
      </w:pPr>
      <w:r w:rsidRPr="00675BB1" w:rsidDel="00EE2BBB">
        <w:t>Date of listing on PBS</w:t>
      </w:r>
    </w:p>
    <w:p w14:paraId="379A168E" w14:textId="5D3FE5F1" w:rsidR="00AB199C" w:rsidRPr="00AB199C" w:rsidDel="00EE2BBB" w:rsidRDefault="00D93F8B" w:rsidP="00C02CED">
      <w:r>
        <w:t>Teduglutide was listed on the PBS on 1 October 2019</w:t>
      </w:r>
      <w:r w:rsidR="00EA7D57">
        <w:t>.</w:t>
      </w:r>
    </w:p>
    <w:p w14:paraId="39EF75ED" w14:textId="73256AB5" w:rsidR="00675BB1" w:rsidRPr="00675BB1" w:rsidDel="00EE2BBB" w:rsidRDefault="00675BB1" w:rsidP="00CF5E22">
      <w:pPr>
        <w:pStyle w:val="Heading3"/>
      </w:pPr>
      <w:r w:rsidRPr="00675BB1" w:rsidDel="00EE2BBB">
        <w:t>Changes to listing</w:t>
      </w:r>
    </w:p>
    <w:p w14:paraId="1AAB941F" w14:textId="626628EA" w:rsidR="0038655F" w:rsidRPr="0038655F" w:rsidRDefault="0038655F" w:rsidP="00A35800">
      <w:r w:rsidRPr="00243B26">
        <w:rPr>
          <w:b/>
          <w:bCs/>
          <w:i/>
          <w:iCs/>
        </w:rPr>
        <w:t>August 2021:</w:t>
      </w:r>
      <w:r w:rsidRPr="0038655F">
        <w:t xml:space="preserve"> Removal of treatment criteria for grandfather patients.  </w:t>
      </w:r>
    </w:p>
    <w:p w14:paraId="4DCB0FA3" w14:textId="577E2C13" w:rsidR="0038655F" w:rsidRPr="0038655F" w:rsidRDefault="0038655F" w:rsidP="0038655F">
      <w:r w:rsidRPr="00243B26">
        <w:rPr>
          <w:b/>
          <w:bCs/>
          <w:i/>
          <w:iCs/>
        </w:rPr>
        <w:t>September 2021</w:t>
      </w:r>
      <w:r w:rsidRPr="00243B26">
        <w:rPr>
          <w:i/>
          <w:iCs/>
        </w:rPr>
        <w:t>:</w:t>
      </w:r>
      <w:r w:rsidRPr="0038655F">
        <w:t xml:space="preserve"> Extension of listing to paediatric patients</w:t>
      </w:r>
      <w:r w:rsidR="00243B26">
        <w:t>.</w:t>
      </w:r>
      <w:r w:rsidRPr="0038655F">
        <w:t xml:space="preserve"> </w:t>
      </w:r>
    </w:p>
    <w:p w14:paraId="0223CD04" w14:textId="688C8A18" w:rsidR="0038655F" w:rsidRPr="0038655F" w:rsidRDefault="0038655F" w:rsidP="0038655F">
      <w:r w:rsidRPr="0038655F">
        <w:t xml:space="preserve">Addition of administrative handling requirement details for paediatric patients who were under 18 years of age at the last authority application who </w:t>
      </w:r>
      <w:r w:rsidR="00486196" w:rsidRPr="0038655F">
        <w:t>ha</w:t>
      </w:r>
      <w:r w:rsidR="00486196">
        <w:t>d</w:t>
      </w:r>
      <w:r w:rsidR="00486196" w:rsidRPr="0038655F">
        <w:t xml:space="preserve"> </w:t>
      </w:r>
      <w:r w:rsidRPr="0038655F">
        <w:t xml:space="preserve">since turned 18. </w:t>
      </w:r>
    </w:p>
    <w:p w14:paraId="327CBC0A" w14:textId="77777777" w:rsidR="0038655F" w:rsidRPr="0038655F" w:rsidRDefault="0038655F" w:rsidP="0038655F">
      <w:r w:rsidRPr="0038655F">
        <w:t xml:space="preserve">In the first authority application for paediatric patients, the mean days of parenteral support or the mean volume of parenteral support per week for patients yet to turn 18 of years could be used. </w:t>
      </w:r>
    </w:p>
    <w:p w14:paraId="043C78D9" w14:textId="213E0149" w:rsidR="0038655F" w:rsidRPr="0038655F" w:rsidRDefault="0038655F" w:rsidP="00A35800">
      <w:pPr>
        <w:rPr>
          <w:b/>
          <w:bCs/>
        </w:rPr>
      </w:pPr>
      <w:r w:rsidRPr="0038655F">
        <w:t xml:space="preserve">These changes were recommended by the PBAC at its </w:t>
      </w:r>
      <w:hyperlink r:id="rId12" w:history="1">
        <w:r w:rsidRPr="0038655F">
          <w:rPr>
            <w:rStyle w:val="Hyperlink"/>
          </w:rPr>
          <w:t>March 2021 Meeting</w:t>
        </w:r>
      </w:hyperlink>
      <w:r w:rsidRPr="0038655F">
        <w:t>.</w:t>
      </w:r>
    </w:p>
    <w:p w14:paraId="7412D822" w14:textId="03176D70" w:rsidR="0020418B" w:rsidRPr="0020418B" w:rsidRDefault="009F3365" w:rsidP="0020418B">
      <w:r>
        <w:t>C</w:t>
      </w:r>
      <w:r w:rsidR="00BF544D" w:rsidRPr="002F61CA" w:rsidDel="00EE2BBB">
        <w:t xml:space="preserve">urrent PBS listing details are available from </w:t>
      </w:r>
      <w:r w:rsidR="00BF544D" w:rsidDel="00EE2BBB">
        <w:t xml:space="preserve">the </w:t>
      </w:r>
      <w:hyperlink r:id="rId13" w:history="1">
        <w:r w:rsidR="00BF544D" w:rsidRPr="00645D51" w:rsidDel="00EE2BBB">
          <w:rPr>
            <w:rStyle w:val="Hyperlink"/>
          </w:rPr>
          <w:t>PBS website</w:t>
        </w:r>
      </w:hyperlink>
      <w:r w:rsidR="00BF544D" w:rsidDel="00EE2BBB">
        <w:t>.</w:t>
      </w:r>
    </w:p>
    <w:p w14:paraId="383E312E" w14:textId="41CD17B2" w:rsidR="00736041" w:rsidRPr="005E22C2" w:rsidRDefault="00394AEE" w:rsidP="00CF5E22">
      <w:pPr>
        <w:pStyle w:val="Heading2"/>
      </w:pPr>
      <w:r>
        <w:lastRenderedPageBreak/>
        <w:t>Relevant aspects of</w:t>
      </w:r>
      <w:r w:rsidR="00736041" w:rsidRPr="005E22C2">
        <w:t xml:space="preserve"> consideration</w:t>
      </w:r>
      <w:r>
        <w:t xml:space="preserve"> by the Pharmaceutical Benefits Advisory Committee (PBAC)</w:t>
      </w:r>
    </w:p>
    <w:p w14:paraId="7056490D" w14:textId="11E44EC1" w:rsidR="005D22D0" w:rsidRPr="005D22D0" w:rsidRDefault="005D22D0" w:rsidP="00A35800">
      <w:r w:rsidRPr="005D22D0">
        <w:t xml:space="preserve">Teduglutide was considered by the PBAC </w:t>
      </w:r>
      <w:r w:rsidR="003924A7">
        <w:t xml:space="preserve">and rejected at its </w:t>
      </w:r>
      <w:r w:rsidRPr="005D22D0">
        <w:t>November 2017</w:t>
      </w:r>
      <w:r>
        <w:t xml:space="preserve"> meeting</w:t>
      </w:r>
      <w:r w:rsidR="003924A7">
        <w:t xml:space="preserve"> and J</w:t>
      </w:r>
      <w:r w:rsidRPr="005D22D0">
        <w:t>uly 2018</w:t>
      </w:r>
      <w:r>
        <w:t xml:space="preserve"> </w:t>
      </w:r>
      <w:r w:rsidR="003924A7">
        <w:t xml:space="preserve">meeting. It was recommended by the PBAC at its </w:t>
      </w:r>
      <w:r w:rsidRPr="005D22D0">
        <w:t>March 2019</w:t>
      </w:r>
      <w:r>
        <w:t xml:space="preserve"> </w:t>
      </w:r>
      <w:r w:rsidR="003924A7">
        <w:t>meeting</w:t>
      </w:r>
      <w:r w:rsidR="00F0149D">
        <w:t>. A</w:t>
      </w:r>
      <w:r w:rsidR="003924A7">
        <w:t xml:space="preserve"> minor submission to amend the listing of teduglutide for the treatment of paediatric patients was recommended by the PBAC at its </w:t>
      </w:r>
      <w:r w:rsidRPr="005D22D0">
        <w:t>March 2021</w:t>
      </w:r>
      <w:r w:rsidR="003924A7">
        <w:t xml:space="preserve"> meeting.</w:t>
      </w:r>
    </w:p>
    <w:p w14:paraId="38065BA2" w14:textId="468BAD45" w:rsidR="005D22D0" w:rsidRPr="00081E79" w:rsidRDefault="003924A7" w:rsidP="00A35800">
      <w:pPr>
        <w:rPr>
          <w:b/>
          <w:bCs/>
        </w:rPr>
      </w:pPr>
      <w:r w:rsidRPr="00081E79">
        <w:rPr>
          <w:b/>
          <w:bCs/>
        </w:rPr>
        <w:t>November 2017</w:t>
      </w:r>
    </w:p>
    <w:p w14:paraId="44F195F7" w14:textId="150E2E9C" w:rsidR="006A44F5" w:rsidRDefault="003924A7" w:rsidP="003115A7">
      <w:r>
        <w:t>The PBAC did not recommend the listing of teduglutide for the treatment of patients with Type III (chronic) intestinal failure associated with short bowel syndrome on the</w:t>
      </w:r>
      <w:r w:rsidR="003115A7">
        <w:t xml:space="preserve"> </w:t>
      </w:r>
      <w:r>
        <w:t>basis of an unclear clinical place in therapy and the very high and uncertain</w:t>
      </w:r>
      <w:r w:rsidR="003115A7">
        <w:t xml:space="preserve"> </w:t>
      </w:r>
      <w:r>
        <w:t>incremental cost-effectiveness ratio (ICER). The PBAC considered the use of</w:t>
      </w:r>
      <w:r w:rsidR="003115A7">
        <w:t xml:space="preserve"> </w:t>
      </w:r>
      <w:r>
        <w:t>teduglutide in clinical practice was unclear with regards to the appropriate time to</w:t>
      </w:r>
      <w:r w:rsidR="003115A7">
        <w:t xml:space="preserve"> </w:t>
      </w:r>
      <w:r>
        <w:t>commence and cease treatment,</w:t>
      </w:r>
      <w:r w:rsidR="00081E79">
        <w:t xml:space="preserve"> </w:t>
      </w:r>
      <w:r>
        <w:t>and identifying the appropriate patient population</w:t>
      </w:r>
      <w:r w:rsidR="003115A7">
        <w:t>. The PBAC considered the economic model as presented in the submission to be optimistic and noted that the financial impact of listing teduglutide was uncertain due to issues with the PBS restriction.</w:t>
      </w:r>
    </w:p>
    <w:p w14:paraId="111A25FD" w14:textId="43B804FA" w:rsidR="003115A7" w:rsidRDefault="003115A7" w:rsidP="003115A7">
      <w:r>
        <w:t xml:space="preserve">The PBAC noted that the estimated net cost of teduglutide was approximately $60 -$100 million over six years. The PBAC noted that the financial estimates </w:t>
      </w:r>
      <w:r w:rsidR="00FC3985">
        <w:t>we</w:t>
      </w:r>
      <w:r>
        <w:t>re particularly sensitive to a change in patient numbers and that given the high cost of teduglutide; any use outside of the PBS restriction (e.g. Type II intestinal failure, paediatric patients) may have a substantial impact on the budget impact estimates. The PBAC considered that given there are currently no PBS subsidised treatment options for patients dependent on parenteral nutrition, the risk of leakage outside of the proposed PBS restriction, to patients with less severe intestinal failure associated with short bowel syndrome, was high.</w:t>
      </w:r>
    </w:p>
    <w:p w14:paraId="1178DEDF" w14:textId="7B99E22D" w:rsidR="003115A7" w:rsidRDefault="003115A7" w:rsidP="003115A7">
      <w:r>
        <w:t>The PBAC considered that the PBS is the most appropriate mechanism for subsidising teduglutide for Type III (chronic) intestinal failure associated with short bowel syndrome, rather than other programs such as the Life Saving Drugs Program.</w:t>
      </w:r>
    </w:p>
    <w:p w14:paraId="70539E18" w14:textId="49075DC3" w:rsidR="00D94863" w:rsidRDefault="00D94863" w:rsidP="00D94863">
      <w:r>
        <w:t xml:space="preserve">For further details refer to </w:t>
      </w:r>
      <w:r w:rsidRPr="00F65F0D">
        <w:t xml:space="preserve">the </w:t>
      </w:r>
      <w:hyperlink r:id="rId14" w:history="1">
        <w:r w:rsidRPr="00435E0D">
          <w:rPr>
            <w:rStyle w:val="Hyperlink"/>
          </w:rPr>
          <w:t xml:space="preserve">Public Summary Document </w:t>
        </w:r>
      </w:hyperlink>
      <w:r w:rsidRPr="00F65F0D">
        <w:t xml:space="preserve">from the </w:t>
      </w:r>
      <w:r w:rsidR="003924A7">
        <w:t xml:space="preserve">November 2017 </w:t>
      </w:r>
      <w:r>
        <w:t>PBAC meeting.</w:t>
      </w:r>
    </w:p>
    <w:p w14:paraId="77D549D3" w14:textId="1A3FD061" w:rsidR="003924A7" w:rsidRPr="003924A7" w:rsidRDefault="003924A7" w:rsidP="00D94863">
      <w:pPr>
        <w:rPr>
          <w:b/>
          <w:bCs/>
        </w:rPr>
      </w:pPr>
      <w:r w:rsidRPr="003924A7">
        <w:rPr>
          <w:b/>
          <w:bCs/>
        </w:rPr>
        <w:t>July 2018</w:t>
      </w:r>
    </w:p>
    <w:p w14:paraId="1A6C85C3" w14:textId="27A4C7A4" w:rsidR="003924A7" w:rsidRDefault="003115A7" w:rsidP="003115A7">
      <w:r>
        <w:t>The PBAC did not recommend the listing of teduglutide for the treatment of patients with Type III (chronic) intestinal failure associated with short bowel syndrome on the basis that the patient group most likely to achieve a clinically meaningful benefit was unclear, the treatment duration required to achieve these benefits was unclear and the ICER was uncertain and unacceptably high. The PBAC accepted the high clinical need and limited treatment options available for people with this condition. The PBAC recommended stakeholder consultation regarding the patient group most likely to benefit, criteria for stopping and continuing teduglutide and clarification of economic model parameters.</w:t>
      </w:r>
    </w:p>
    <w:p w14:paraId="778B98CB" w14:textId="2A91F5D7" w:rsidR="003115A7" w:rsidRDefault="003115A7" w:rsidP="003115A7">
      <w:r>
        <w:t xml:space="preserve">The PBAC noted that, under the proposed restriction, patients who achieve a clinical benefit whilst on teduglutide are indicated to continue treatment indefinitely. However, </w:t>
      </w:r>
      <w:r>
        <w:lastRenderedPageBreak/>
        <w:t>other factors such as endogenous intestinal adaptation and intestinal rehabilitation programs may contribute to clinical improvements. Thus, the PBAC considered that a stopping rule would be appropriate (i.e. where patients who have improved are required to cease teduglutide) to ensure that patients do not continue on treatment that may be unnecessary, and also given the high cost of treatment.</w:t>
      </w:r>
    </w:p>
    <w:p w14:paraId="3C90FEA4" w14:textId="4779B9F3" w:rsidR="003115A7" w:rsidRDefault="003115A7" w:rsidP="003115A7">
      <w:r>
        <w:t>The PBAC considered that a separate continuation rule would also be required (i.e. where patients with an inadequate response are required to cease teduglutide). Overall, the PBAC considered it was more appropriate for the continuation criteria to be based on days reduction in parenteral support requirements (rather than volume reduction) as consumer comments indicated that this was the most patient-relevant outcome.</w:t>
      </w:r>
    </w:p>
    <w:p w14:paraId="37FF91D8" w14:textId="6A161118" w:rsidR="003115A7" w:rsidRDefault="003115A7" w:rsidP="003115A7">
      <w:r>
        <w:t>The PBAC considered that the economic model and financial estimates should be updated to incorporate the impact of the stopping rule and continuation criteria.</w:t>
      </w:r>
    </w:p>
    <w:p w14:paraId="034B5BA0" w14:textId="1F0554C6" w:rsidR="003115A7" w:rsidRDefault="003115A7" w:rsidP="003115A7">
      <w:r>
        <w:t>Further, the PBAC considered that the financial estimates should also be updated to reflect the requirement for patients to be on at least three days per week of parenteral support at baseline.</w:t>
      </w:r>
    </w:p>
    <w:p w14:paraId="4C452CA3" w14:textId="4B53078C" w:rsidR="003924A7" w:rsidRDefault="003924A7" w:rsidP="00D94863">
      <w:r w:rsidRPr="003924A7">
        <w:t xml:space="preserve">For further details refer to the </w:t>
      </w:r>
      <w:hyperlink r:id="rId15" w:history="1">
        <w:r w:rsidRPr="00435E0D">
          <w:rPr>
            <w:rStyle w:val="Hyperlink"/>
          </w:rPr>
          <w:t xml:space="preserve">Public Summary Document </w:t>
        </w:r>
      </w:hyperlink>
      <w:r w:rsidRPr="003924A7">
        <w:t xml:space="preserve">from the </w:t>
      </w:r>
      <w:r>
        <w:t xml:space="preserve">July 2018 </w:t>
      </w:r>
      <w:r w:rsidRPr="003924A7">
        <w:t>PBAC meeting.</w:t>
      </w:r>
    </w:p>
    <w:p w14:paraId="4ABB018E" w14:textId="3B1E9214" w:rsidR="003924A7" w:rsidRPr="003924A7" w:rsidRDefault="003924A7" w:rsidP="00D94863">
      <w:pPr>
        <w:rPr>
          <w:b/>
          <w:bCs/>
        </w:rPr>
      </w:pPr>
      <w:r w:rsidRPr="003924A7">
        <w:rPr>
          <w:b/>
          <w:bCs/>
        </w:rPr>
        <w:t>March 2019</w:t>
      </w:r>
    </w:p>
    <w:p w14:paraId="6873D679" w14:textId="6D563551" w:rsidR="003924A7" w:rsidRDefault="005F6FC6" w:rsidP="005F6FC6">
      <w:r>
        <w:t xml:space="preserve">The PBAC recommended the listing of teduglutide as a Section 100 (Highly Specialised Drug Program) benefit for the treatment of patients with Type III (chronic) intestinal failure associated with short bowel syndrome. The PBAC recognised the high clinical need in this small patient group, and considered that teduglutide may reduce the patient burden associated with the current therapy, parenteral support. </w:t>
      </w:r>
    </w:p>
    <w:p w14:paraId="1F4846E2" w14:textId="21BAA895" w:rsidR="005F6FC6" w:rsidRDefault="005F6FC6" w:rsidP="005F6FC6">
      <w:r>
        <w:t xml:space="preserve">The PBAC recalled its previous advice that teduglutide treatment should be confined to those patients most likely to achieve a clinically meaningful benefit, with the treatment duration limited to that necessary to achieve meaningful benefits. </w:t>
      </w:r>
    </w:p>
    <w:p w14:paraId="71BE53C5" w14:textId="77777777" w:rsidR="001C720B" w:rsidRDefault="001C720B" w:rsidP="001C720B">
      <w:r>
        <w:t xml:space="preserve">The PBAC recalled its previous advice that teduglutide treatment should be confined to those patients most likely to achieve a clinically meaningful benefit, with the treatment duration limited to that necessary to achieve meaningful benefits. The PBAC noted that the resubmission had significantly revised the restriction to address this, particularly by: </w:t>
      </w:r>
    </w:p>
    <w:p w14:paraId="05BAEE38" w14:textId="288154D2" w:rsidR="001C720B" w:rsidRDefault="001C720B" w:rsidP="001C720B">
      <w:pPr>
        <w:pStyle w:val="ListParagraph"/>
        <w:numPr>
          <w:ilvl w:val="0"/>
          <w:numId w:val="4"/>
        </w:numPr>
      </w:pPr>
      <w:r>
        <w:t xml:space="preserve">revising the restrictions to be based on the key patient relevant outcome of days per week (rather than volume of parenteral support) to determine eligibility and treatment response. </w:t>
      </w:r>
    </w:p>
    <w:p w14:paraId="23EEC32A" w14:textId="16F10ED7" w:rsidR="001C720B" w:rsidRDefault="001C720B" w:rsidP="001C720B">
      <w:pPr>
        <w:pStyle w:val="ListParagraph"/>
        <w:numPr>
          <w:ilvl w:val="0"/>
          <w:numId w:val="4"/>
        </w:numPr>
      </w:pPr>
      <w:r>
        <w:t xml:space="preserve">revising the initiation criteria to limit use of teduglutide to patients who have a history of dependence on parenteral support for at least 12 months, require ≥ 3 days per week of parenteral support, and have stable parenteral support requirements for at least four consecutive weeks prior to initiating teduglutide. </w:t>
      </w:r>
    </w:p>
    <w:p w14:paraId="1E93B4EC" w14:textId="1191A712" w:rsidR="001C720B" w:rsidRDefault="001C720B" w:rsidP="001C720B">
      <w:pPr>
        <w:pStyle w:val="ListParagraph"/>
        <w:numPr>
          <w:ilvl w:val="0"/>
          <w:numId w:val="4"/>
        </w:numPr>
      </w:pPr>
      <w:r>
        <w:lastRenderedPageBreak/>
        <w:t xml:space="preserve">including a continuation restriction that requires patients to demonstrate a reduction of ≥ 1 day per week in parenteral support requirements after the first 12 months of teduglutide therapy to be eligible for continuing use. </w:t>
      </w:r>
    </w:p>
    <w:p w14:paraId="406FEE15" w14:textId="778BAEAF" w:rsidR="001C720B" w:rsidRDefault="001C720B" w:rsidP="001C720B">
      <w:pPr>
        <w:pStyle w:val="ListParagraph"/>
        <w:numPr>
          <w:ilvl w:val="0"/>
          <w:numId w:val="4"/>
        </w:numPr>
      </w:pPr>
      <w:r>
        <w:t xml:space="preserve">including a stopping rule so that patients do not continue on treatment that may be unnecessary. A ‘trial of treatment cessation’ is required for patients who have a stable frequency of days per week of parenteral support in the preceding 6 months. The PBAC considered that patients who have completely weaned off parenteral support should be exempt from the requirement to undergo a trial of treatment cessation. Further, the PBAC considered that patients who are continuing to improve should not be required to undergo a trial of treatment cessation (i.e. patients who have a reduction in the number of days per week of parenteral support since the last assessment should be eligible for continuing access to teduglutide). The PBAC considered that patients whose parenteral support requirements increase (i.e. at least one day per week increase in parenteral support over a consecutive 4-week period) while on teduglutide under the continuing restriction should be required to cease teduglutide therapy permanently. </w:t>
      </w:r>
    </w:p>
    <w:p w14:paraId="2211E7F6" w14:textId="19C1F20F" w:rsidR="001C720B" w:rsidRDefault="001C720B" w:rsidP="001C720B">
      <w:pPr>
        <w:pStyle w:val="ListParagraph"/>
        <w:numPr>
          <w:ilvl w:val="0"/>
          <w:numId w:val="4"/>
        </w:numPr>
      </w:pPr>
      <w:r>
        <w:t>including a recommencement restriction wherein patients can recommence teduglutide if their condition deteriorates during the trial cessation period. The PBAC considered that recommencement of teduglutide should be based on clinician judgement as there are no simple objective measures for assessing deterioration. As such, justification of recommencement may include parameters such as an increase in parenteral support requirements by one or more days, changes in renal function or urinary sodium levels, or changes in body weight. The PBAC also considered that there should be no time limit on accessing the recommencement restriction.</w:t>
      </w:r>
    </w:p>
    <w:p w14:paraId="2DB8F28B" w14:textId="01885CC4" w:rsidR="001C720B" w:rsidRDefault="001C720B" w:rsidP="001C720B">
      <w:r>
        <w:t>The PBAC considered that the restriction should not specify any age criteria, noting that teduglutide ha</w:t>
      </w:r>
      <w:r w:rsidR="00FC3985">
        <w:t>d</w:t>
      </w:r>
      <w:r>
        <w:t xml:space="preserve"> been studied in paediatric patients and was shown to be well tolerated.</w:t>
      </w:r>
    </w:p>
    <w:p w14:paraId="4E894812" w14:textId="07F107BC" w:rsidR="001C720B" w:rsidRDefault="001C720B" w:rsidP="001C720B">
      <w:r>
        <w:t>The PBAC considered that the resubmission had addressed its previous concerns regarding the financial estimates by updating the growth and uptake rates, and by including the impact of treatment discontinuations consistent with the proposed PBS restriction.</w:t>
      </w:r>
    </w:p>
    <w:p w14:paraId="45D83CA5" w14:textId="2F24CF92" w:rsidR="003924A7" w:rsidRDefault="003924A7" w:rsidP="00D94863">
      <w:r w:rsidRPr="003924A7">
        <w:t xml:space="preserve">For further details refer to the </w:t>
      </w:r>
      <w:hyperlink r:id="rId16" w:history="1">
        <w:r w:rsidRPr="00435E0D">
          <w:rPr>
            <w:rStyle w:val="Hyperlink"/>
          </w:rPr>
          <w:t>Public Summary Document</w:t>
        </w:r>
      </w:hyperlink>
      <w:r w:rsidRPr="003924A7">
        <w:t xml:space="preserve"> from the </w:t>
      </w:r>
      <w:r>
        <w:t>March 2019</w:t>
      </w:r>
      <w:r w:rsidRPr="003924A7">
        <w:t xml:space="preserve"> PBAC meeting.</w:t>
      </w:r>
    </w:p>
    <w:p w14:paraId="7B252D52" w14:textId="0E39658D" w:rsidR="003924A7" w:rsidRPr="003924A7" w:rsidRDefault="003924A7" w:rsidP="00D94863">
      <w:pPr>
        <w:rPr>
          <w:b/>
          <w:bCs/>
        </w:rPr>
      </w:pPr>
      <w:r w:rsidRPr="003924A7">
        <w:rPr>
          <w:b/>
          <w:bCs/>
        </w:rPr>
        <w:t>March 2021</w:t>
      </w:r>
    </w:p>
    <w:p w14:paraId="4AF99595" w14:textId="3937CBFE" w:rsidR="003924A7" w:rsidRDefault="00A84E04" w:rsidP="00A84E04">
      <w:r>
        <w:t>The PBAC recommended amending the Section 100 (Highly Specialised Drugs</w:t>
      </w:r>
      <w:r w:rsidR="006878D5">
        <w:t xml:space="preserve"> </w:t>
      </w:r>
      <w:r>
        <w:t>Program) Authority required listing of teduglutide for the treatment of paediatric</w:t>
      </w:r>
      <w:r w:rsidR="006878D5">
        <w:t xml:space="preserve"> </w:t>
      </w:r>
      <w:r>
        <w:t>patients with Type III (chronic)</w:t>
      </w:r>
      <w:r w:rsidR="00B94327" w:rsidDel="00B94327">
        <w:t xml:space="preserve"> </w:t>
      </w:r>
      <w:r>
        <w:t>SBS with intestinal failure (SBSIF) to include specific response criteria for paediatric patients.</w:t>
      </w:r>
    </w:p>
    <w:p w14:paraId="50C593B0" w14:textId="7595E99E" w:rsidR="006878D5" w:rsidRDefault="006878D5" w:rsidP="006878D5">
      <w:r>
        <w:t xml:space="preserve">The PBAC recalled it </w:t>
      </w:r>
      <w:r w:rsidR="0009197B">
        <w:t xml:space="preserve">and </w:t>
      </w:r>
      <w:r>
        <w:t xml:space="preserve">considered that the restriction should not specify any age criteria given teduglutide has been studied in paediatric patients and was shown to be well tolerated (paragraph 7.6, teduglutide </w:t>
      </w:r>
      <w:r w:rsidR="00CC526F">
        <w:t>Public Summary Document (</w:t>
      </w:r>
      <w:r>
        <w:t>PSD</w:t>
      </w:r>
      <w:r w:rsidR="00CC526F">
        <w:t>)</w:t>
      </w:r>
      <w:r>
        <w:t xml:space="preserve">, March 2019). </w:t>
      </w:r>
    </w:p>
    <w:p w14:paraId="32F17B59" w14:textId="054BC885" w:rsidR="00A84E04" w:rsidRDefault="006878D5" w:rsidP="006878D5">
      <w:r>
        <w:t xml:space="preserve">The PBAC acknowledged that, as children’s nutritional requirements continue to increase with continued body growth, it may not always be possible to demonstrate a benefit in </w:t>
      </w:r>
      <w:r>
        <w:lastRenderedPageBreak/>
        <w:t xml:space="preserve">terms of reduced </w:t>
      </w:r>
      <w:r w:rsidR="002F3EB1">
        <w:t>parental support (</w:t>
      </w:r>
      <w:r>
        <w:t>PS</w:t>
      </w:r>
      <w:r w:rsidR="002F3EB1">
        <w:t>)</w:t>
      </w:r>
      <w:r>
        <w:t xml:space="preserve"> days within the specified timeframes of the current restriction, even in circumstances when the child is benefiting from treatment with teduglutide. The PBAC noted that input from a paediatric advisory board formed the basis of, and justification for, the submission’s request to include a 20% reduction in weekly PS volume as a response criterion for paediatric patients.</w:t>
      </w:r>
    </w:p>
    <w:p w14:paraId="4DDF817D" w14:textId="38650965" w:rsidR="00CD2C0D" w:rsidRPr="00355394" w:rsidRDefault="003924A7" w:rsidP="00355394">
      <w:r w:rsidRPr="003924A7">
        <w:t xml:space="preserve">For further details refer to the </w:t>
      </w:r>
      <w:hyperlink r:id="rId17" w:history="1">
        <w:r w:rsidRPr="00435E0D">
          <w:rPr>
            <w:rStyle w:val="Hyperlink"/>
          </w:rPr>
          <w:t>Public Summary Document</w:t>
        </w:r>
      </w:hyperlink>
      <w:r w:rsidRPr="003924A7">
        <w:t xml:space="preserve"> from the </w:t>
      </w:r>
      <w:r>
        <w:t>March 2021</w:t>
      </w:r>
      <w:r w:rsidRPr="003924A7">
        <w:t xml:space="preserve"> PBAC meeting.</w:t>
      </w:r>
    </w:p>
    <w:p w14:paraId="72E0B8EB" w14:textId="2FE43F00" w:rsidR="00355394" w:rsidRDefault="00ED633B" w:rsidP="00355394">
      <w:pPr>
        <w:pStyle w:val="Heading2"/>
      </w:pPr>
      <w:r>
        <w:t>A</w:t>
      </w:r>
      <w:r w:rsidR="000F2F51">
        <w:t xml:space="preserve">pproach </w:t>
      </w:r>
      <w:r>
        <w:t xml:space="preserve">taken to </w:t>
      </w:r>
      <w:r w:rsidR="000F2F51">
        <w:t>estimat</w:t>
      </w:r>
      <w:r>
        <w:t>e</w:t>
      </w:r>
      <w:r w:rsidR="000F2F51">
        <w:t xml:space="preserve"> utilisation</w:t>
      </w:r>
    </w:p>
    <w:p w14:paraId="09AE4D54" w14:textId="7F4F2BDF" w:rsidR="007748E1" w:rsidRDefault="00341CB2" w:rsidP="00700C0E">
      <w:r w:rsidRPr="007748E1">
        <w:t xml:space="preserve">An epidemiological approach was </w:t>
      </w:r>
      <w:r w:rsidR="007748E1">
        <w:t>used to estimate the utilisation and financial implications associated with the PBS listing of teduglutide</w:t>
      </w:r>
      <w:r w:rsidRPr="007748E1">
        <w:t>.</w:t>
      </w:r>
    </w:p>
    <w:p w14:paraId="1B52F9E2" w14:textId="4B6D7FE8" w:rsidR="0005536C" w:rsidRPr="0005536C" w:rsidRDefault="0005536C" w:rsidP="0005536C">
      <w:pPr>
        <w:spacing w:after="0"/>
        <w:contextualSpacing/>
        <w:rPr>
          <w:highlight w:val="black"/>
        </w:rPr>
      </w:pPr>
      <w:r w:rsidRPr="0005536C">
        <w:rPr>
          <w:highlight w:val="black"/>
        </w:rPr>
        <w:t>XXXXXXXXXXXXXXXXXXXXXXXXXXXXXXXXXXXXXXXXXXXXXXXXXXXXXXXXXXXXXXXXXXXXX</w:t>
      </w:r>
    </w:p>
    <w:p w14:paraId="42D0BCD9" w14:textId="4737C83F" w:rsidR="0005536C" w:rsidRPr="0005536C" w:rsidRDefault="0005536C" w:rsidP="0005536C">
      <w:pPr>
        <w:spacing w:after="0"/>
        <w:contextualSpacing/>
        <w:rPr>
          <w:highlight w:val="black"/>
        </w:rPr>
      </w:pPr>
      <w:r w:rsidRPr="0005536C">
        <w:rPr>
          <w:highlight w:val="black"/>
        </w:rPr>
        <w:t>XXXXXXXXXXXXXXXXXXXXXXXXXXXXXXXXXXXXXXXXXXXXXXXXXXXXXXXXXXXXXXXXXXXXXXXXXXXXXXXXXXXXXXXXXXXXXXXXXXXXXXXXXXXXXXXXXXXXXXXXXXXXXXXXXXXXXXXXXXXXX</w:t>
      </w:r>
    </w:p>
    <w:p w14:paraId="4209EADC" w14:textId="1BEF27C5" w:rsidR="0005536C" w:rsidRPr="0005536C" w:rsidRDefault="0005536C" w:rsidP="0005536C">
      <w:pPr>
        <w:spacing w:after="0"/>
        <w:contextualSpacing/>
        <w:rPr>
          <w:highlight w:val="black"/>
        </w:rPr>
      </w:pPr>
      <w:r w:rsidRPr="0005536C">
        <w:rPr>
          <w:highlight w:val="black"/>
        </w:rPr>
        <w:t>XXXXXXXXXXXXXXXXXXXXXXXXXXXXXXXXXXXXXXXXXXXXXXXXXXXXXXXXXXXXXXXXXX</w:t>
      </w:r>
    </w:p>
    <w:p w14:paraId="40D5702E" w14:textId="20559CFB" w:rsidR="0005536C" w:rsidRPr="0005536C" w:rsidRDefault="0005536C" w:rsidP="0005536C">
      <w:pPr>
        <w:spacing w:after="0"/>
        <w:contextualSpacing/>
        <w:rPr>
          <w:highlight w:val="black"/>
        </w:rPr>
      </w:pPr>
      <w:r w:rsidRPr="0005536C">
        <w:rPr>
          <w:highlight w:val="black"/>
        </w:rPr>
        <w:t>XXXXXXXXXXXXXXXXXXXXXXXXXXXXXXXXXXXXXXXXXXXXXXXXXXXXXXXXXXXXXXXXXXXX</w:t>
      </w:r>
    </w:p>
    <w:p w14:paraId="0F73FBEA" w14:textId="256E538B" w:rsidR="0005536C" w:rsidRDefault="0005536C" w:rsidP="0005536C">
      <w:pPr>
        <w:spacing w:after="0"/>
        <w:contextualSpacing/>
      </w:pPr>
      <w:r w:rsidRPr="0005536C">
        <w:rPr>
          <w:highlight w:val="black"/>
        </w:rPr>
        <w:t>XXXXXXXXXXXXXXX</w:t>
      </w:r>
    </w:p>
    <w:p w14:paraId="1487D2CA" w14:textId="77777777" w:rsidR="0005536C" w:rsidRDefault="0005536C" w:rsidP="0005536C">
      <w:pPr>
        <w:spacing w:after="0"/>
        <w:contextualSpacing/>
      </w:pPr>
    </w:p>
    <w:p w14:paraId="66A2E592" w14:textId="4378A7CA" w:rsidR="0005536C" w:rsidRPr="0005536C" w:rsidRDefault="0005536C" w:rsidP="0005536C">
      <w:pPr>
        <w:spacing w:after="0"/>
        <w:contextualSpacing/>
        <w:rPr>
          <w:highlight w:val="black"/>
        </w:rPr>
      </w:pPr>
      <w:r w:rsidRPr="0005536C">
        <w:rPr>
          <w:highlight w:val="black"/>
        </w:rPr>
        <w:t>XXXXXXXXXXXXXXXXXXXXXXXXXXXXXXXXXXXXXXXXXXXXXXXXXXXXXXXXXXXXXXXXXXXXXXXXXXXXXXXXXXXXXXXXXXXXXXXXXXXXXXXXXXXXXXXXXXXXXXXXXXXXXXXXXXXXXXXXXXXXX</w:t>
      </w:r>
    </w:p>
    <w:p w14:paraId="06C9D4B7" w14:textId="0AC86FCB" w:rsidR="0005536C" w:rsidRDefault="0005536C" w:rsidP="0005536C">
      <w:pPr>
        <w:spacing w:after="0"/>
        <w:contextualSpacing/>
      </w:pPr>
      <w:r w:rsidRPr="0005536C">
        <w:rPr>
          <w:highlight w:val="black"/>
        </w:rPr>
        <w:t>XXXXXXXXXXXXXXXXXXXXXXXXXXXXXXXXXXXXXXXXXXXXXXXXXXXXXXXXXXXXXXXXXXXXXXXXXXXXXXXXXXXXXXXXXXXXXXXXXXXX</w:t>
      </w:r>
    </w:p>
    <w:p w14:paraId="46757D3C" w14:textId="77777777" w:rsidR="0005536C" w:rsidRDefault="0005536C" w:rsidP="0005536C">
      <w:pPr>
        <w:spacing w:after="0"/>
        <w:contextualSpacing/>
      </w:pPr>
    </w:p>
    <w:p w14:paraId="3F6E4F89" w14:textId="77B2381C" w:rsidR="008421D8" w:rsidRPr="005C724A" w:rsidRDefault="00E35C94" w:rsidP="00700C0E">
      <w:r w:rsidRPr="005C724A">
        <w:t>The</w:t>
      </w:r>
      <w:r w:rsidR="00D5742F" w:rsidRPr="005C724A">
        <w:t xml:space="preserve"> </w:t>
      </w:r>
      <w:r w:rsidR="00A86CF6" w:rsidRPr="005C724A">
        <w:t xml:space="preserve">revised </w:t>
      </w:r>
      <w:r w:rsidRPr="005C724A">
        <w:t xml:space="preserve">uptake rate was estimated to be 40% in Year 1 to 100% in Year 6. </w:t>
      </w:r>
    </w:p>
    <w:p w14:paraId="44EABD61" w14:textId="33581F17" w:rsidR="0005536C" w:rsidRPr="0005536C" w:rsidRDefault="0005536C" w:rsidP="0005536C">
      <w:pPr>
        <w:spacing w:after="0"/>
        <w:contextualSpacing/>
        <w:rPr>
          <w:highlight w:val="black"/>
        </w:rPr>
      </w:pPr>
      <w:r w:rsidRPr="0005536C">
        <w:rPr>
          <w:highlight w:val="black"/>
        </w:rPr>
        <w:t>XXXXXXXXXXXXXXXXXXXXXXXXXXXXXXXXXXXXXXXXXXXXXXXXXXXXXXXXXXXXXXXXXXX</w:t>
      </w:r>
    </w:p>
    <w:p w14:paraId="56AD85D4" w14:textId="3D1697CB" w:rsidR="0005536C" w:rsidRPr="0005536C" w:rsidRDefault="0005536C" w:rsidP="0005536C">
      <w:pPr>
        <w:spacing w:after="0"/>
        <w:contextualSpacing/>
        <w:rPr>
          <w:highlight w:val="black"/>
        </w:rPr>
      </w:pPr>
      <w:r w:rsidRPr="0005536C">
        <w:rPr>
          <w:highlight w:val="black"/>
        </w:rPr>
        <w:t>XXXXXXXXXXXXXXXXXXXXXXXXXXXXXXXXXXXXXXXXXXXXXXXXXXXXXXXXXXXXXXXXXXXXXXX</w:t>
      </w:r>
    </w:p>
    <w:p w14:paraId="26CA1A38" w14:textId="35A66CA1" w:rsidR="0005536C" w:rsidRPr="0005536C" w:rsidRDefault="0005536C" w:rsidP="0005536C">
      <w:pPr>
        <w:spacing w:after="0"/>
        <w:contextualSpacing/>
        <w:rPr>
          <w:highlight w:val="black"/>
        </w:rPr>
      </w:pPr>
      <w:r w:rsidRPr="0005536C">
        <w:rPr>
          <w:highlight w:val="black"/>
        </w:rPr>
        <w:t>XXXXXXXXXXXXXXXXXXXXXXXXXXXXXXXXXXXXXXXXXXXXXXXXXXXXXXXXXXXXXXXXXXXXXX</w:t>
      </w:r>
    </w:p>
    <w:p w14:paraId="4CA22E16" w14:textId="04331C0A" w:rsidR="0005536C" w:rsidRDefault="0005536C" w:rsidP="0005536C">
      <w:pPr>
        <w:spacing w:after="0"/>
        <w:contextualSpacing/>
      </w:pPr>
      <w:r w:rsidRPr="0005536C">
        <w:rPr>
          <w:highlight w:val="black"/>
        </w:rPr>
        <w:t>XXXXXXXXXXXXXXXXXXXXXXXXXXX</w:t>
      </w:r>
    </w:p>
    <w:p w14:paraId="37C75080" w14:textId="77777777" w:rsidR="0005536C" w:rsidRDefault="0005536C" w:rsidP="0005536C">
      <w:pPr>
        <w:spacing w:after="0"/>
        <w:contextualSpacing/>
      </w:pPr>
    </w:p>
    <w:p w14:paraId="54D73D2E" w14:textId="1F8D7590" w:rsidR="0005536C" w:rsidRDefault="0005536C" w:rsidP="00F41F4A">
      <w:r w:rsidRPr="0005536C">
        <w:rPr>
          <w:highlight w:val="black"/>
        </w:rPr>
        <w:t>XXXXXXXXXXXXXXXXXXXXXXXXXXXXXXXXXXXXXX</w:t>
      </w:r>
    </w:p>
    <w:p w14:paraId="111E7694" w14:textId="0D1F30D5" w:rsidR="0005536C" w:rsidRPr="0005536C" w:rsidRDefault="0005536C" w:rsidP="0005536C">
      <w:pPr>
        <w:spacing w:after="0"/>
        <w:contextualSpacing/>
        <w:rPr>
          <w:highlight w:val="black"/>
        </w:rPr>
      </w:pPr>
      <w:r w:rsidRPr="0005536C">
        <w:rPr>
          <w:highlight w:val="black"/>
        </w:rPr>
        <w:t>XXXXXXXXXXXXXXXXXXXXXXXXXXXXXXXXXXXXXXXXXXXXXXXXXXXXXXXXXXXXXXXXXXXXX</w:t>
      </w:r>
    </w:p>
    <w:p w14:paraId="00A11D78" w14:textId="4CD34CEA" w:rsidR="0005536C" w:rsidRPr="0005536C" w:rsidRDefault="0005536C" w:rsidP="0005536C">
      <w:pPr>
        <w:spacing w:after="0"/>
        <w:contextualSpacing/>
        <w:rPr>
          <w:highlight w:val="black"/>
        </w:rPr>
      </w:pPr>
      <w:r w:rsidRPr="0005536C">
        <w:rPr>
          <w:highlight w:val="black"/>
        </w:rPr>
        <w:t>XXXXXXXXXXXXXXXXXXXXXXXXXXXXXXXXXXXXXXXXXXXXXXXXXXXXXXXXXXXXXXXXXXXXXXX</w:t>
      </w:r>
    </w:p>
    <w:p w14:paraId="613A9E39" w14:textId="5DB62A7D" w:rsidR="0005536C" w:rsidRDefault="0005536C" w:rsidP="0005536C">
      <w:pPr>
        <w:spacing w:after="0"/>
        <w:contextualSpacing/>
      </w:pPr>
      <w:r w:rsidRPr="0005536C">
        <w:rPr>
          <w:highlight w:val="black"/>
        </w:rPr>
        <w:t>XXXXXXXXXXXXXXXXXXXXXXXXXXXXXXXXXXXXXXXXXXXXXXXXXXXXXXX</w:t>
      </w:r>
    </w:p>
    <w:p w14:paraId="3088EF01" w14:textId="77777777" w:rsidR="0005536C" w:rsidRDefault="0005536C" w:rsidP="0005536C">
      <w:pPr>
        <w:spacing w:after="0"/>
        <w:contextualSpacing/>
      </w:pPr>
    </w:p>
    <w:p w14:paraId="2954CD57" w14:textId="77777777" w:rsidR="00567FA6" w:rsidRDefault="00567FA6">
      <w:pPr>
        <w:spacing w:line="276" w:lineRule="auto"/>
        <w:rPr>
          <w:rFonts w:ascii="Arial Narrow" w:eastAsiaTheme="minorHAnsi" w:hAnsi="Arial Narrow"/>
          <w:b/>
          <w:sz w:val="20"/>
          <w:szCs w:val="20"/>
          <w:lang w:eastAsia="en-US"/>
        </w:rPr>
      </w:pPr>
      <w:r>
        <w:rPr>
          <w:szCs w:val="20"/>
        </w:rPr>
        <w:br w:type="page"/>
      </w:r>
    </w:p>
    <w:p w14:paraId="6C1B15A8" w14:textId="3A8344DF" w:rsidR="000B3544" w:rsidRPr="000B3544" w:rsidRDefault="000B3544" w:rsidP="000B3544">
      <w:pPr>
        <w:pStyle w:val="Tabletitle"/>
      </w:pPr>
      <w:r>
        <w:lastRenderedPageBreak/>
        <w:t xml:space="preserve">Table 2: Total utilisation and cost to PBS of listing teduglutide (as presented in the March 2019 resubmission) </w:t>
      </w:r>
    </w:p>
    <w:tbl>
      <w:tblPr>
        <w:tblpPr w:leftFromText="180" w:rightFromText="180" w:vertAnchor="text" w:horzAnchor="margin"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88"/>
        <w:gridCol w:w="1026"/>
        <w:gridCol w:w="1026"/>
        <w:gridCol w:w="1026"/>
        <w:gridCol w:w="1026"/>
        <w:gridCol w:w="1026"/>
        <w:gridCol w:w="1029"/>
      </w:tblGrid>
      <w:tr w:rsidR="00CD2C0D" w:rsidRPr="005C724A" w14:paraId="70D18B46" w14:textId="77777777" w:rsidTr="005F0E98">
        <w:trPr>
          <w:tblHeader/>
        </w:trPr>
        <w:tc>
          <w:tcPr>
            <w:tcW w:w="2788" w:type="dxa"/>
            <w:shd w:val="clear" w:color="auto" w:fill="BFBFBF" w:themeFill="background1" w:themeFillShade="BF"/>
            <w:vAlign w:val="center"/>
          </w:tcPr>
          <w:p w14:paraId="79FAF966" w14:textId="77777777" w:rsidR="00CD2C0D" w:rsidRPr="00345633" w:rsidRDefault="00CD2C0D" w:rsidP="00CD2C0D">
            <w:pPr>
              <w:keepNext/>
              <w:spacing w:after="0"/>
              <w:rPr>
                <w:rFonts w:ascii="Arial Narrow" w:eastAsia="Calibri" w:hAnsi="Arial Narrow"/>
                <w:sz w:val="20"/>
                <w:szCs w:val="20"/>
              </w:rPr>
            </w:pPr>
          </w:p>
        </w:tc>
        <w:tc>
          <w:tcPr>
            <w:tcW w:w="1026" w:type="dxa"/>
            <w:shd w:val="clear" w:color="auto" w:fill="BFBFBF" w:themeFill="background1" w:themeFillShade="BF"/>
            <w:vAlign w:val="center"/>
          </w:tcPr>
          <w:p w14:paraId="2C3EB2CB" w14:textId="77777777" w:rsidR="00CD2C0D" w:rsidRPr="005C724A" w:rsidRDefault="00CD2C0D" w:rsidP="00CD2C0D">
            <w:pPr>
              <w:keepNext/>
              <w:spacing w:after="0"/>
              <w:jc w:val="center"/>
              <w:rPr>
                <w:rFonts w:ascii="Arial Narrow" w:eastAsia="Calibri" w:hAnsi="Arial Narrow"/>
                <w:b/>
                <w:sz w:val="20"/>
                <w:szCs w:val="20"/>
              </w:rPr>
            </w:pPr>
            <w:r w:rsidRPr="005C724A">
              <w:rPr>
                <w:rFonts w:ascii="Arial Narrow" w:eastAsia="Calibri" w:hAnsi="Arial Narrow"/>
                <w:b/>
                <w:sz w:val="20"/>
                <w:szCs w:val="20"/>
              </w:rPr>
              <w:t>Year 1</w:t>
            </w:r>
          </w:p>
        </w:tc>
        <w:tc>
          <w:tcPr>
            <w:tcW w:w="1026" w:type="dxa"/>
            <w:shd w:val="clear" w:color="auto" w:fill="BFBFBF" w:themeFill="background1" w:themeFillShade="BF"/>
            <w:vAlign w:val="center"/>
          </w:tcPr>
          <w:p w14:paraId="7C5DEF95" w14:textId="77777777" w:rsidR="00CD2C0D" w:rsidRPr="005C724A" w:rsidRDefault="00CD2C0D" w:rsidP="00CD2C0D">
            <w:pPr>
              <w:keepNext/>
              <w:spacing w:after="0"/>
              <w:jc w:val="center"/>
              <w:rPr>
                <w:rFonts w:ascii="Arial Narrow" w:eastAsia="Calibri" w:hAnsi="Arial Narrow"/>
                <w:b/>
                <w:sz w:val="20"/>
                <w:szCs w:val="20"/>
              </w:rPr>
            </w:pPr>
            <w:r w:rsidRPr="005C724A">
              <w:rPr>
                <w:rFonts w:ascii="Arial Narrow" w:eastAsia="Calibri" w:hAnsi="Arial Narrow"/>
                <w:b/>
                <w:sz w:val="20"/>
                <w:szCs w:val="20"/>
              </w:rPr>
              <w:t>Year 2</w:t>
            </w:r>
          </w:p>
        </w:tc>
        <w:tc>
          <w:tcPr>
            <w:tcW w:w="1026" w:type="dxa"/>
            <w:shd w:val="clear" w:color="auto" w:fill="BFBFBF" w:themeFill="background1" w:themeFillShade="BF"/>
            <w:vAlign w:val="center"/>
          </w:tcPr>
          <w:p w14:paraId="3ABD1F2A" w14:textId="77777777" w:rsidR="00CD2C0D" w:rsidRPr="005C724A" w:rsidRDefault="00CD2C0D" w:rsidP="00CD2C0D">
            <w:pPr>
              <w:keepNext/>
              <w:spacing w:after="0"/>
              <w:jc w:val="center"/>
              <w:rPr>
                <w:rFonts w:ascii="Arial Narrow" w:eastAsia="Calibri" w:hAnsi="Arial Narrow"/>
                <w:b/>
                <w:sz w:val="20"/>
                <w:szCs w:val="20"/>
              </w:rPr>
            </w:pPr>
            <w:r w:rsidRPr="005C724A">
              <w:rPr>
                <w:rFonts w:ascii="Arial Narrow" w:eastAsia="Calibri" w:hAnsi="Arial Narrow"/>
                <w:b/>
                <w:sz w:val="20"/>
                <w:szCs w:val="20"/>
              </w:rPr>
              <w:t>Year 3</w:t>
            </w:r>
          </w:p>
        </w:tc>
        <w:tc>
          <w:tcPr>
            <w:tcW w:w="1026" w:type="dxa"/>
            <w:shd w:val="clear" w:color="auto" w:fill="BFBFBF" w:themeFill="background1" w:themeFillShade="BF"/>
            <w:vAlign w:val="center"/>
          </w:tcPr>
          <w:p w14:paraId="046167CD" w14:textId="77777777" w:rsidR="00CD2C0D" w:rsidRPr="005C724A" w:rsidRDefault="00CD2C0D" w:rsidP="00CD2C0D">
            <w:pPr>
              <w:keepNext/>
              <w:spacing w:after="0"/>
              <w:jc w:val="center"/>
              <w:rPr>
                <w:rFonts w:ascii="Arial Narrow" w:eastAsia="Calibri" w:hAnsi="Arial Narrow"/>
                <w:b/>
                <w:sz w:val="20"/>
                <w:szCs w:val="20"/>
              </w:rPr>
            </w:pPr>
            <w:r w:rsidRPr="005C724A">
              <w:rPr>
                <w:rFonts w:ascii="Arial Narrow" w:eastAsia="Calibri" w:hAnsi="Arial Narrow"/>
                <w:b/>
                <w:sz w:val="20"/>
                <w:szCs w:val="20"/>
              </w:rPr>
              <w:t>Year 4</w:t>
            </w:r>
          </w:p>
        </w:tc>
        <w:tc>
          <w:tcPr>
            <w:tcW w:w="1026" w:type="dxa"/>
            <w:shd w:val="clear" w:color="auto" w:fill="BFBFBF" w:themeFill="background1" w:themeFillShade="BF"/>
            <w:vAlign w:val="center"/>
          </w:tcPr>
          <w:p w14:paraId="27D7D946" w14:textId="77777777" w:rsidR="00CD2C0D" w:rsidRPr="005C724A" w:rsidRDefault="00CD2C0D" w:rsidP="00CD2C0D">
            <w:pPr>
              <w:keepNext/>
              <w:spacing w:after="0"/>
              <w:jc w:val="center"/>
              <w:rPr>
                <w:rFonts w:ascii="Arial Narrow" w:eastAsia="Calibri" w:hAnsi="Arial Narrow"/>
                <w:b/>
                <w:sz w:val="20"/>
                <w:szCs w:val="20"/>
              </w:rPr>
            </w:pPr>
            <w:r w:rsidRPr="005C724A">
              <w:rPr>
                <w:rFonts w:ascii="Arial Narrow" w:eastAsia="Calibri" w:hAnsi="Arial Narrow"/>
                <w:b/>
                <w:sz w:val="20"/>
                <w:szCs w:val="20"/>
              </w:rPr>
              <w:t>Year 5</w:t>
            </w:r>
          </w:p>
        </w:tc>
        <w:tc>
          <w:tcPr>
            <w:tcW w:w="1029" w:type="dxa"/>
            <w:shd w:val="clear" w:color="auto" w:fill="BFBFBF" w:themeFill="background1" w:themeFillShade="BF"/>
          </w:tcPr>
          <w:p w14:paraId="1EB715F1" w14:textId="77777777" w:rsidR="00CD2C0D" w:rsidRPr="005C724A" w:rsidRDefault="00CD2C0D" w:rsidP="00CD2C0D">
            <w:pPr>
              <w:keepNext/>
              <w:spacing w:after="0"/>
              <w:jc w:val="center"/>
              <w:rPr>
                <w:rFonts w:ascii="Arial Narrow" w:eastAsia="Calibri" w:hAnsi="Arial Narrow"/>
                <w:b/>
                <w:sz w:val="20"/>
                <w:szCs w:val="20"/>
              </w:rPr>
            </w:pPr>
            <w:r w:rsidRPr="005C724A">
              <w:rPr>
                <w:rFonts w:ascii="Arial Narrow" w:eastAsia="Calibri" w:hAnsi="Arial Narrow"/>
                <w:b/>
                <w:sz w:val="20"/>
                <w:szCs w:val="20"/>
              </w:rPr>
              <w:t>Year 6</w:t>
            </w:r>
          </w:p>
        </w:tc>
      </w:tr>
      <w:tr w:rsidR="00CD2C0D" w:rsidRPr="005C724A" w14:paraId="6C60A499" w14:textId="77777777" w:rsidTr="00CD2C0D">
        <w:tc>
          <w:tcPr>
            <w:tcW w:w="0" w:type="auto"/>
            <w:gridSpan w:val="7"/>
            <w:shd w:val="clear" w:color="auto" w:fill="auto"/>
            <w:vAlign w:val="center"/>
          </w:tcPr>
          <w:p w14:paraId="31D8FCA2" w14:textId="77777777" w:rsidR="00CD2C0D" w:rsidRPr="005C724A" w:rsidRDefault="00CD2C0D" w:rsidP="00CD2C0D">
            <w:pPr>
              <w:keepNext/>
              <w:spacing w:after="0"/>
              <w:rPr>
                <w:rFonts w:ascii="Arial Narrow" w:eastAsia="Calibri" w:hAnsi="Arial Narrow"/>
                <w:b/>
                <w:bCs/>
                <w:color w:val="000000"/>
                <w:sz w:val="20"/>
                <w:szCs w:val="20"/>
              </w:rPr>
            </w:pPr>
            <w:r w:rsidRPr="005C724A">
              <w:rPr>
                <w:rFonts w:ascii="Arial Narrow" w:eastAsia="Calibri" w:hAnsi="Arial Narrow"/>
                <w:b/>
                <w:bCs/>
                <w:color w:val="000000"/>
                <w:sz w:val="20"/>
                <w:szCs w:val="20"/>
              </w:rPr>
              <w:t>Eligible population</w:t>
            </w:r>
          </w:p>
        </w:tc>
      </w:tr>
      <w:tr w:rsidR="00065435" w:rsidRPr="005C724A" w14:paraId="501125C1" w14:textId="77777777" w:rsidTr="00503C5E">
        <w:tc>
          <w:tcPr>
            <w:tcW w:w="2788" w:type="dxa"/>
            <w:shd w:val="clear" w:color="auto" w:fill="auto"/>
            <w:vAlign w:val="center"/>
          </w:tcPr>
          <w:p w14:paraId="529761F0" w14:textId="37E5210C" w:rsidR="00065435" w:rsidRPr="005C724A" w:rsidRDefault="00065435" w:rsidP="00065435">
            <w:pPr>
              <w:keepNext/>
              <w:spacing w:after="0"/>
              <w:rPr>
                <w:rFonts w:ascii="Arial Narrow" w:eastAsia="Calibri" w:hAnsi="Arial Narrow"/>
                <w:sz w:val="20"/>
                <w:szCs w:val="20"/>
              </w:rPr>
            </w:pPr>
            <w:r w:rsidRPr="005C724A">
              <w:rPr>
                <w:rFonts w:ascii="Arial Narrow" w:eastAsia="Calibri" w:hAnsi="Arial Narrow"/>
                <w:sz w:val="20"/>
                <w:szCs w:val="20"/>
              </w:rPr>
              <w:t>Total HPN patients (</w:t>
            </w:r>
            <w:r w:rsidR="00176649" w:rsidRPr="00065435">
              <w:rPr>
                <w:rFonts w:ascii="Arial Narrow" w:hAnsi="Arial Narrow"/>
                <w:sz w:val="20"/>
                <w:szCs w:val="20"/>
                <w:highlight w:val="black"/>
              </w:rPr>
              <w:t xml:space="preserve"> </w:t>
            </w:r>
            <w:r w:rsidR="00176649" w:rsidRPr="00065435">
              <w:rPr>
                <w:rFonts w:ascii="Arial Narrow" w:hAnsi="Arial Narrow"/>
                <w:sz w:val="20"/>
                <w:szCs w:val="20"/>
                <w:highlight w:val="black"/>
              </w:rPr>
              <w:t>XXXX</w:t>
            </w:r>
            <w:r w:rsidR="00176649" w:rsidRPr="005C724A">
              <w:rPr>
                <w:rFonts w:ascii="Arial Narrow" w:eastAsia="Calibri" w:hAnsi="Arial Narrow"/>
                <w:sz w:val="20"/>
                <w:szCs w:val="20"/>
              </w:rPr>
              <w:t xml:space="preserve"> </w:t>
            </w:r>
            <w:r w:rsidRPr="005C724A">
              <w:rPr>
                <w:rFonts w:ascii="Arial Narrow" w:eastAsia="Calibri" w:hAnsi="Arial Narrow"/>
                <w:sz w:val="20"/>
                <w:szCs w:val="20"/>
              </w:rPr>
              <w:t xml:space="preserve"> annual growth)</w:t>
            </w:r>
          </w:p>
        </w:tc>
        <w:tc>
          <w:tcPr>
            <w:tcW w:w="1026" w:type="dxa"/>
            <w:shd w:val="clear" w:color="auto" w:fill="auto"/>
            <w:vAlign w:val="center"/>
          </w:tcPr>
          <w:p w14:paraId="149524CF" w14:textId="3F19F106" w:rsidR="00065435" w:rsidRPr="005C724A" w:rsidRDefault="00065435" w:rsidP="00065435">
            <w:pPr>
              <w:keepNext/>
              <w:spacing w:after="0"/>
              <w:jc w:val="center"/>
              <w:rPr>
                <w:rFonts w:ascii="Arial Narrow" w:hAnsi="Arial Narrow"/>
                <w:sz w:val="20"/>
                <w:szCs w:val="20"/>
              </w:rPr>
            </w:pPr>
            <w:r w:rsidRPr="00065435">
              <w:rPr>
                <w:rFonts w:ascii="Arial Narrow" w:hAnsi="Arial Narrow"/>
                <w:sz w:val="20"/>
                <w:szCs w:val="20"/>
                <w:highlight w:val="black"/>
              </w:rPr>
              <w:t>XXXX</w:t>
            </w:r>
          </w:p>
        </w:tc>
        <w:tc>
          <w:tcPr>
            <w:tcW w:w="1026" w:type="dxa"/>
            <w:shd w:val="clear" w:color="auto" w:fill="auto"/>
          </w:tcPr>
          <w:p w14:paraId="38B1CCE7" w14:textId="1D446726" w:rsidR="00065435" w:rsidRPr="005C724A" w:rsidRDefault="00065435" w:rsidP="00065435">
            <w:pPr>
              <w:keepNext/>
              <w:spacing w:after="0"/>
              <w:jc w:val="center"/>
              <w:rPr>
                <w:rFonts w:ascii="Arial Narrow" w:hAnsi="Arial Narrow"/>
                <w:sz w:val="20"/>
                <w:szCs w:val="20"/>
              </w:rPr>
            </w:pPr>
            <w:r w:rsidRPr="006032D5">
              <w:rPr>
                <w:rFonts w:ascii="Arial Narrow" w:hAnsi="Arial Narrow"/>
                <w:sz w:val="20"/>
                <w:szCs w:val="20"/>
                <w:highlight w:val="black"/>
              </w:rPr>
              <w:t>XXXX</w:t>
            </w:r>
          </w:p>
        </w:tc>
        <w:tc>
          <w:tcPr>
            <w:tcW w:w="1026" w:type="dxa"/>
            <w:shd w:val="clear" w:color="auto" w:fill="auto"/>
          </w:tcPr>
          <w:p w14:paraId="180E7A22" w14:textId="25ECE96F" w:rsidR="00065435" w:rsidRPr="005C724A" w:rsidRDefault="00065435" w:rsidP="00065435">
            <w:pPr>
              <w:keepNext/>
              <w:spacing w:after="0"/>
              <w:jc w:val="center"/>
              <w:rPr>
                <w:rFonts w:ascii="Arial Narrow" w:hAnsi="Arial Narrow"/>
                <w:sz w:val="20"/>
                <w:szCs w:val="20"/>
              </w:rPr>
            </w:pPr>
            <w:r w:rsidRPr="006032D5">
              <w:rPr>
                <w:rFonts w:ascii="Arial Narrow" w:hAnsi="Arial Narrow"/>
                <w:sz w:val="20"/>
                <w:szCs w:val="20"/>
                <w:highlight w:val="black"/>
              </w:rPr>
              <w:t>XXXX</w:t>
            </w:r>
          </w:p>
        </w:tc>
        <w:tc>
          <w:tcPr>
            <w:tcW w:w="1026" w:type="dxa"/>
            <w:shd w:val="clear" w:color="auto" w:fill="auto"/>
          </w:tcPr>
          <w:p w14:paraId="7E703760" w14:textId="19272A11" w:rsidR="00065435" w:rsidRPr="005C724A" w:rsidRDefault="00065435" w:rsidP="00065435">
            <w:pPr>
              <w:keepNext/>
              <w:spacing w:after="0"/>
              <w:jc w:val="center"/>
              <w:rPr>
                <w:rFonts w:ascii="Arial Narrow" w:hAnsi="Arial Narrow"/>
                <w:sz w:val="20"/>
                <w:szCs w:val="20"/>
              </w:rPr>
            </w:pPr>
            <w:r w:rsidRPr="006032D5">
              <w:rPr>
                <w:rFonts w:ascii="Arial Narrow" w:hAnsi="Arial Narrow"/>
                <w:sz w:val="20"/>
                <w:szCs w:val="20"/>
                <w:highlight w:val="black"/>
              </w:rPr>
              <w:t>XXXX</w:t>
            </w:r>
          </w:p>
        </w:tc>
        <w:tc>
          <w:tcPr>
            <w:tcW w:w="1026" w:type="dxa"/>
            <w:shd w:val="clear" w:color="auto" w:fill="auto"/>
          </w:tcPr>
          <w:p w14:paraId="32095397" w14:textId="2F8B73D8" w:rsidR="00065435" w:rsidRPr="005C724A" w:rsidRDefault="00065435" w:rsidP="00065435">
            <w:pPr>
              <w:keepNext/>
              <w:spacing w:after="0"/>
              <w:jc w:val="center"/>
              <w:rPr>
                <w:rFonts w:ascii="Arial Narrow" w:hAnsi="Arial Narrow"/>
                <w:sz w:val="20"/>
                <w:szCs w:val="20"/>
              </w:rPr>
            </w:pPr>
            <w:r w:rsidRPr="006032D5">
              <w:rPr>
                <w:rFonts w:ascii="Arial Narrow" w:hAnsi="Arial Narrow"/>
                <w:sz w:val="20"/>
                <w:szCs w:val="20"/>
                <w:highlight w:val="black"/>
              </w:rPr>
              <w:t>XXXX</w:t>
            </w:r>
          </w:p>
        </w:tc>
        <w:tc>
          <w:tcPr>
            <w:tcW w:w="1029" w:type="dxa"/>
          </w:tcPr>
          <w:p w14:paraId="2AD8891F" w14:textId="672324CE" w:rsidR="00065435" w:rsidRPr="005C724A" w:rsidRDefault="00065435" w:rsidP="00065435">
            <w:pPr>
              <w:keepNext/>
              <w:spacing w:after="0"/>
              <w:jc w:val="center"/>
              <w:rPr>
                <w:rFonts w:ascii="Arial Narrow" w:hAnsi="Arial Narrow"/>
                <w:sz w:val="20"/>
                <w:szCs w:val="20"/>
              </w:rPr>
            </w:pPr>
            <w:r w:rsidRPr="006032D5">
              <w:rPr>
                <w:rFonts w:ascii="Arial Narrow" w:hAnsi="Arial Narrow"/>
                <w:sz w:val="20"/>
                <w:szCs w:val="20"/>
                <w:highlight w:val="black"/>
              </w:rPr>
              <w:t>XXXX</w:t>
            </w:r>
          </w:p>
        </w:tc>
      </w:tr>
      <w:tr w:rsidR="00065435" w:rsidRPr="005C724A" w14:paraId="10B5668D" w14:textId="77777777" w:rsidTr="00503C5E">
        <w:tc>
          <w:tcPr>
            <w:tcW w:w="2788" w:type="dxa"/>
            <w:shd w:val="clear" w:color="auto" w:fill="auto"/>
            <w:vAlign w:val="center"/>
          </w:tcPr>
          <w:p w14:paraId="3CE23F7F" w14:textId="43614EE3" w:rsidR="00065435" w:rsidRPr="005C724A" w:rsidRDefault="00065435" w:rsidP="00065435">
            <w:pPr>
              <w:keepNext/>
              <w:spacing w:after="0"/>
              <w:rPr>
                <w:rFonts w:ascii="Arial Narrow" w:eastAsia="Calibri" w:hAnsi="Arial Narrow"/>
                <w:sz w:val="20"/>
                <w:szCs w:val="20"/>
              </w:rPr>
            </w:pPr>
            <w:r w:rsidRPr="005C724A">
              <w:rPr>
                <w:rFonts w:ascii="Arial Narrow" w:eastAsia="Calibri" w:hAnsi="Arial Narrow"/>
                <w:sz w:val="20"/>
                <w:szCs w:val="20"/>
              </w:rPr>
              <w:t>Total eligible patients (</w:t>
            </w:r>
            <w:r w:rsidR="00176649" w:rsidRPr="00065435">
              <w:rPr>
                <w:rFonts w:ascii="Arial Narrow" w:hAnsi="Arial Narrow"/>
                <w:sz w:val="20"/>
                <w:szCs w:val="20"/>
                <w:highlight w:val="black"/>
              </w:rPr>
              <w:t xml:space="preserve"> </w:t>
            </w:r>
            <w:r w:rsidR="00176649" w:rsidRPr="00065435">
              <w:rPr>
                <w:rFonts w:ascii="Arial Narrow" w:hAnsi="Arial Narrow"/>
                <w:sz w:val="20"/>
                <w:szCs w:val="20"/>
                <w:highlight w:val="black"/>
              </w:rPr>
              <w:t>XXXX</w:t>
            </w:r>
            <w:r w:rsidR="00176649" w:rsidRPr="005C724A">
              <w:rPr>
                <w:rFonts w:ascii="Arial Narrow" w:eastAsia="Calibri" w:hAnsi="Arial Narrow"/>
                <w:sz w:val="20"/>
                <w:szCs w:val="20"/>
              </w:rPr>
              <w:t xml:space="preserve"> </w:t>
            </w:r>
            <w:r w:rsidRPr="005C724A">
              <w:rPr>
                <w:rFonts w:ascii="Arial Narrow" w:eastAsia="Calibri" w:hAnsi="Arial Narrow"/>
                <w:sz w:val="20"/>
                <w:szCs w:val="20"/>
              </w:rPr>
              <w:t xml:space="preserve"> of total HPN patients) </w:t>
            </w:r>
          </w:p>
        </w:tc>
        <w:tc>
          <w:tcPr>
            <w:tcW w:w="1026" w:type="dxa"/>
            <w:shd w:val="clear" w:color="auto" w:fill="auto"/>
            <w:vAlign w:val="center"/>
          </w:tcPr>
          <w:p w14:paraId="4EAAB192" w14:textId="20AA091F" w:rsidR="00065435" w:rsidRPr="005C724A" w:rsidRDefault="00065435" w:rsidP="00065435">
            <w:pPr>
              <w:keepNext/>
              <w:spacing w:after="0"/>
              <w:jc w:val="center"/>
              <w:rPr>
                <w:rFonts w:ascii="Arial Narrow" w:eastAsia="Calibri" w:hAnsi="Arial Narrow"/>
                <w:bCs/>
                <w:color w:val="000000"/>
                <w:sz w:val="20"/>
                <w:szCs w:val="20"/>
              </w:rPr>
            </w:pPr>
            <w:r w:rsidRPr="00065435">
              <w:rPr>
                <w:rFonts w:ascii="Arial Narrow" w:hAnsi="Arial Narrow"/>
                <w:sz w:val="20"/>
                <w:szCs w:val="20"/>
                <w:highlight w:val="black"/>
              </w:rPr>
              <w:t>XXXX</w:t>
            </w:r>
          </w:p>
        </w:tc>
        <w:tc>
          <w:tcPr>
            <w:tcW w:w="1026" w:type="dxa"/>
            <w:shd w:val="clear" w:color="auto" w:fill="auto"/>
          </w:tcPr>
          <w:p w14:paraId="056AFDFE" w14:textId="7F506E27" w:rsidR="00065435" w:rsidRPr="005C724A" w:rsidRDefault="00065435" w:rsidP="00065435">
            <w:pPr>
              <w:keepNext/>
              <w:spacing w:after="0"/>
              <w:jc w:val="center"/>
              <w:rPr>
                <w:rFonts w:ascii="Arial Narrow" w:eastAsia="Calibri" w:hAnsi="Arial Narrow"/>
                <w:bCs/>
                <w:color w:val="000000"/>
                <w:sz w:val="20"/>
                <w:szCs w:val="20"/>
              </w:rPr>
            </w:pPr>
            <w:r w:rsidRPr="006032D5">
              <w:rPr>
                <w:rFonts w:ascii="Arial Narrow" w:hAnsi="Arial Narrow"/>
                <w:sz w:val="20"/>
                <w:szCs w:val="20"/>
                <w:highlight w:val="black"/>
              </w:rPr>
              <w:t>XXXX</w:t>
            </w:r>
          </w:p>
        </w:tc>
        <w:tc>
          <w:tcPr>
            <w:tcW w:w="1026" w:type="dxa"/>
            <w:shd w:val="clear" w:color="auto" w:fill="auto"/>
          </w:tcPr>
          <w:p w14:paraId="749EA57A" w14:textId="58285D3C" w:rsidR="00065435" w:rsidRPr="005C724A" w:rsidRDefault="00065435" w:rsidP="00065435">
            <w:pPr>
              <w:keepNext/>
              <w:spacing w:after="0"/>
              <w:jc w:val="center"/>
              <w:rPr>
                <w:rFonts w:ascii="Arial Narrow" w:eastAsia="Calibri" w:hAnsi="Arial Narrow"/>
                <w:bCs/>
                <w:color w:val="000000"/>
                <w:sz w:val="20"/>
                <w:szCs w:val="20"/>
              </w:rPr>
            </w:pPr>
            <w:r w:rsidRPr="006032D5">
              <w:rPr>
                <w:rFonts w:ascii="Arial Narrow" w:hAnsi="Arial Narrow"/>
                <w:sz w:val="20"/>
                <w:szCs w:val="20"/>
                <w:highlight w:val="black"/>
              </w:rPr>
              <w:t>XXXX</w:t>
            </w:r>
          </w:p>
        </w:tc>
        <w:tc>
          <w:tcPr>
            <w:tcW w:w="1026" w:type="dxa"/>
            <w:shd w:val="clear" w:color="auto" w:fill="auto"/>
          </w:tcPr>
          <w:p w14:paraId="053F3FF8" w14:textId="36C8276E" w:rsidR="00065435" w:rsidRPr="005C724A" w:rsidRDefault="00065435" w:rsidP="00065435">
            <w:pPr>
              <w:keepNext/>
              <w:spacing w:after="0"/>
              <w:jc w:val="center"/>
              <w:rPr>
                <w:rFonts w:ascii="Arial Narrow" w:eastAsia="Calibri" w:hAnsi="Arial Narrow"/>
                <w:bCs/>
                <w:color w:val="000000"/>
                <w:sz w:val="20"/>
                <w:szCs w:val="20"/>
              </w:rPr>
            </w:pPr>
            <w:r w:rsidRPr="006032D5">
              <w:rPr>
                <w:rFonts w:ascii="Arial Narrow" w:hAnsi="Arial Narrow"/>
                <w:sz w:val="20"/>
                <w:szCs w:val="20"/>
                <w:highlight w:val="black"/>
              </w:rPr>
              <w:t>XXXX</w:t>
            </w:r>
          </w:p>
        </w:tc>
        <w:tc>
          <w:tcPr>
            <w:tcW w:w="1026" w:type="dxa"/>
            <w:shd w:val="clear" w:color="auto" w:fill="auto"/>
          </w:tcPr>
          <w:p w14:paraId="6685D04D" w14:textId="467C6866" w:rsidR="00065435" w:rsidRPr="005C724A" w:rsidRDefault="00065435" w:rsidP="00065435">
            <w:pPr>
              <w:keepNext/>
              <w:spacing w:after="0"/>
              <w:jc w:val="center"/>
              <w:rPr>
                <w:rFonts w:ascii="Arial Narrow" w:eastAsia="Calibri" w:hAnsi="Arial Narrow"/>
                <w:bCs/>
                <w:color w:val="000000"/>
                <w:sz w:val="20"/>
                <w:szCs w:val="20"/>
              </w:rPr>
            </w:pPr>
            <w:r w:rsidRPr="006032D5">
              <w:rPr>
                <w:rFonts w:ascii="Arial Narrow" w:hAnsi="Arial Narrow"/>
                <w:sz w:val="20"/>
                <w:szCs w:val="20"/>
                <w:highlight w:val="black"/>
              </w:rPr>
              <w:t>XXXX</w:t>
            </w:r>
          </w:p>
        </w:tc>
        <w:tc>
          <w:tcPr>
            <w:tcW w:w="1029" w:type="dxa"/>
          </w:tcPr>
          <w:p w14:paraId="3695178E" w14:textId="428357FD" w:rsidR="00065435" w:rsidRPr="005C724A" w:rsidRDefault="00065435" w:rsidP="00065435">
            <w:pPr>
              <w:keepNext/>
              <w:spacing w:after="0"/>
              <w:jc w:val="center"/>
              <w:rPr>
                <w:rFonts w:ascii="Arial Narrow" w:eastAsia="Calibri" w:hAnsi="Arial Narrow"/>
                <w:bCs/>
                <w:color w:val="000000"/>
                <w:sz w:val="20"/>
                <w:szCs w:val="20"/>
              </w:rPr>
            </w:pPr>
            <w:r w:rsidRPr="006032D5">
              <w:rPr>
                <w:rFonts w:ascii="Arial Narrow" w:hAnsi="Arial Narrow"/>
                <w:sz w:val="20"/>
                <w:szCs w:val="20"/>
                <w:highlight w:val="black"/>
              </w:rPr>
              <w:t>XXXX</w:t>
            </w:r>
          </w:p>
        </w:tc>
      </w:tr>
      <w:tr w:rsidR="00CD2C0D" w:rsidRPr="005C724A" w14:paraId="1F31EF62" w14:textId="77777777" w:rsidTr="005F0E98">
        <w:tc>
          <w:tcPr>
            <w:tcW w:w="8947" w:type="dxa"/>
            <w:gridSpan w:val="7"/>
            <w:tcBorders>
              <w:right w:val="single" w:sz="4" w:space="0" w:color="000000"/>
            </w:tcBorders>
            <w:shd w:val="clear" w:color="auto" w:fill="auto"/>
            <w:vAlign w:val="center"/>
          </w:tcPr>
          <w:p w14:paraId="1A2BD909" w14:textId="77777777" w:rsidR="00CD2C0D" w:rsidRPr="005C724A" w:rsidRDefault="00CD2C0D" w:rsidP="00CD2C0D">
            <w:pPr>
              <w:keepNext/>
              <w:spacing w:after="0"/>
              <w:rPr>
                <w:rFonts w:ascii="Arial Narrow" w:hAnsi="Arial Narrow" w:cs="Arial"/>
                <w:b/>
                <w:color w:val="000000"/>
                <w:sz w:val="20"/>
                <w:szCs w:val="20"/>
              </w:rPr>
            </w:pPr>
            <w:r w:rsidRPr="005C724A">
              <w:rPr>
                <w:rFonts w:ascii="Arial Narrow" w:hAnsi="Arial Narrow" w:cs="Arial"/>
                <w:b/>
                <w:color w:val="000000"/>
                <w:sz w:val="20"/>
                <w:szCs w:val="20"/>
              </w:rPr>
              <w:t>Initiating patients</w:t>
            </w:r>
          </w:p>
        </w:tc>
      </w:tr>
      <w:tr w:rsidR="00065435" w:rsidRPr="005C724A" w14:paraId="115544C1" w14:textId="77777777" w:rsidTr="005F4D3E">
        <w:tc>
          <w:tcPr>
            <w:tcW w:w="2788" w:type="dxa"/>
            <w:shd w:val="clear" w:color="auto" w:fill="auto"/>
            <w:vAlign w:val="center"/>
          </w:tcPr>
          <w:p w14:paraId="59B95685" w14:textId="77777777" w:rsidR="00065435" w:rsidRPr="005C724A" w:rsidRDefault="00065435" w:rsidP="00065435">
            <w:pPr>
              <w:keepNext/>
              <w:spacing w:after="0"/>
              <w:rPr>
                <w:rFonts w:ascii="Arial Narrow" w:eastAsia="Calibri" w:hAnsi="Arial Narrow"/>
                <w:sz w:val="20"/>
                <w:szCs w:val="20"/>
              </w:rPr>
            </w:pPr>
            <w:r w:rsidRPr="005C724A">
              <w:rPr>
                <w:rFonts w:ascii="Arial Narrow" w:eastAsia="Calibri" w:hAnsi="Arial Narrow"/>
                <w:sz w:val="20"/>
                <w:szCs w:val="20"/>
              </w:rPr>
              <w:t>Eligible patients</w:t>
            </w:r>
          </w:p>
        </w:tc>
        <w:tc>
          <w:tcPr>
            <w:tcW w:w="1026" w:type="dxa"/>
            <w:tcBorders>
              <w:top w:val="single" w:sz="4" w:space="0" w:color="auto"/>
              <w:left w:val="single" w:sz="4" w:space="0" w:color="auto"/>
              <w:bottom w:val="single" w:sz="4" w:space="0" w:color="auto"/>
              <w:right w:val="single" w:sz="4" w:space="0" w:color="000000"/>
            </w:tcBorders>
            <w:shd w:val="clear" w:color="auto" w:fill="auto"/>
          </w:tcPr>
          <w:p w14:paraId="363916F1" w14:textId="7DE98BDB" w:rsidR="00065435" w:rsidRPr="005C724A" w:rsidRDefault="00065435" w:rsidP="00065435">
            <w:pPr>
              <w:keepNext/>
              <w:spacing w:after="0"/>
              <w:jc w:val="center"/>
              <w:rPr>
                <w:rFonts w:ascii="Arial Narrow" w:hAnsi="Arial Narrow" w:cs="Calibri"/>
                <w:sz w:val="20"/>
                <w:szCs w:val="20"/>
              </w:rPr>
            </w:pPr>
            <w:r w:rsidRPr="00A76ED5">
              <w:rPr>
                <w:rFonts w:ascii="Arial Narrow" w:hAnsi="Arial Narrow"/>
                <w:sz w:val="20"/>
                <w:szCs w:val="20"/>
                <w:highlight w:val="black"/>
              </w:rPr>
              <w:t>XXXX</w:t>
            </w:r>
          </w:p>
        </w:tc>
        <w:tc>
          <w:tcPr>
            <w:tcW w:w="1026" w:type="dxa"/>
            <w:tcBorders>
              <w:top w:val="single" w:sz="4" w:space="0" w:color="auto"/>
              <w:left w:val="nil"/>
              <w:bottom w:val="single" w:sz="4" w:space="0" w:color="auto"/>
              <w:right w:val="single" w:sz="4" w:space="0" w:color="000000"/>
            </w:tcBorders>
            <w:shd w:val="clear" w:color="auto" w:fill="auto"/>
          </w:tcPr>
          <w:p w14:paraId="4731E13C" w14:textId="31B592CB" w:rsidR="00065435" w:rsidRPr="005C724A" w:rsidRDefault="00065435" w:rsidP="00065435">
            <w:pPr>
              <w:keepNext/>
              <w:spacing w:after="0"/>
              <w:jc w:val="center"/>
              <w:rPr>
                <w:rFonts w:ascii="Arial Narrow" w:hAnsi="Arial Narrow" w:cs="Calibri"/>
                <w:sz w:val="20"/>
                <w:szCs w:val="20"/>
              </w:rPr>
            </w:pPr>
            <w:r w:rsidRPr="00A76ED5">
              <w:rPr>
                <w:rFonts w:ascii="Arial Narrow" w:hAnsi="Arial Narrow"/>
                <w:sz w:val="20"/>
                <w:szCs w:val="20"/>
                <w:highlight w:val="black"/>
              </w:rPr>
              <w:t>XXXX</w:t>
            </w:r>
          </w:p>
        </w:tc>
        <w:tc>
          <w:tcPr>
            <w:tcW w:w="1026" w:type="dxa"/>
            <w:tcBorders>
              <w:top w:val="single" w:sz="4" w:space="0" w:color="auto"/>
              <w:left w:val="nil"/>
              <w:bottom w:val="single" w:sz="4" w:space="0" w:color="auto"/>
              <w:right w:val="single" w:sz="4" w:space="0" w:color="000000"/>
            </w:tcBorders>
            <w:shd w:val="clear" w:color="auto" w:fill="auto"/>
          </w:tcPr>
          <w:p w14:paraId="5F9A91C9" w14:textId="6F6A62FF" w:rsidR="00065435" w:rsidRPr="005C724A" w:rsidRDefault="00065435" w:rsidP="00065435">
            <w:pPr>
              <w:keepNext/>
              <w:spacing w:after="0"/>
              <w:jc w:val="center"/>
              <w:rPr>
                <w:rFonts w:ascii="Arial Narrow" w:hAnsi="Arial Narrow" w:cs="Calibri"/>
                <w:sz w:val="20"/>
                <w:szCs w:val="20"/>
              </w:rPr>
            </w:pPr>
            <w:r w:rsidRPr="00A76ED5">
              <w:rPr>
                <w:rFonts w:ascii="Arial Narrow" w:hAnsi="Arial Narrow"/>
                <w:sz w:val="20"/>
                <w:szCs w:val="20"/>
                <w:highlight w:val="black"/>
              </w:rPr>
              <w:t>XXXX</w:t>
            </w:r>
          </w:p>
        </w:tc>
        <w:tc>
          <w:tcPr>
            <w:tcW w:w="1026" w:type="dxa"/>
            <w:tcBorders>
              <w:top w:val="single" w:sz="4" w:space="0" w:color="auto"/>
              <w:left w:val="nil"/>
              <w:bottom w:val="single" w:sz="4" w:space="0" w:color="auto"/>
              <w:right w:val="single" w:sz="4" w:space="0" w:color="000000"/>
            </w:tcBorders>
            <w:shd w:val="clear" w:color="auto" w:fill="auto"/>
          </w:tcPr>
          <w:p w14:paraId="47D7C7CD" w14:textId="016616D0" w:rsidR="00065435" w:rsidRPr="005C724A" w:rsidRDefault="00065435" w:rsidP="00065435">
            <w:pPr>
              <w:keepNext/>
              <w:spacing w:after="0"/>
              <w:jc w:val="center"/>
              <w:rPr>
                <w:rFonts w:ascii="Arial Narrow" w:hAnsi="Arial Narrow" w:cs="Calibri"/>
                <w:sz w:val="20"/>
                <w:szCs w:val="20"/>
              </w:rPr>
            </w:pPr>
            <w:r w:rsidRPr="00A76ED5">
              <w:rPr>
                <w:rFonts w:ascii="Arial Narrow" w:hAnsi="Arial Narrow"/>
                <w:sz w:val="20"/>
                <w:szCs w:val="20"/>
                <w:highlight w:val="black"/>
              </w:rPr>
              <w:t>XXXX</w:t>
            </w:r>
          </w:p>
        </w:tc>
        <w:tc>
          <w:tcPr>
            <w:tcW w:w="1026" w:type="dxa"/>
            <w:tcBorders>
              <w:top w:val="single" w:sz="4" w:space="0" w:color="auto"/>
              <w:left w:val="nil"/>
              <w:bottom w:val="single" w:sz="4" w:space="0" w:color="auto"/>
              <w:right w:val="single" w:sz="4" w:space="0" w:color="000000"/>
            </w:tcBorders>
            <w:shd w:val="clear" w:color="auto" w:fill="auto"/>
          </w:tcPr>
          <w:p w14:paraId="3C18E002" w14:textId="4774FAD4" w:rsidR="00065435" w:rsidRPr="005C724A" w:rsidRDefault="00065435" w:rsidP="00065435">
            <w:pPr>
              <w:keepNext/>
              <w:spacing w:after="0"/>
              <w:jc w:val="center"/>
              <w:rPr>
                <w:rFonts w:ascii="Arial Narrow" w:hAnsi="Arial Narrow" w:cs="Calibri"/>
                <w:sz w:val="20"/>
                <w:szCs w:val="20"/>
              </w:rPr>
            </w:pPr>
            <w:r w:rsidRPr="00A76ED5">
              <w:rPr>
                <w:rFonts w:ascii="Arial Narrow" w:hAnsi="Arial Narrow"/>
                <w:sz w:val="20"/>
                <w:szCs w:val="20"/>
                <w:highlight w:val="black"/>
              </w:rPr>
              <w:t>XXXX</w:t>
            </w:r>
          </w:p>
        </w:tc>
        <w:tc>
          <w:tcPr>
            <w:tcW w:w="1029" w:type="dxa"/>
            <w:tcBorders>
              <w:top w:val="single" w:sz="4" w:space="0" w:color="auto"/>
              <w:left w:val="nil"/>
              <w:bottom w:val="single" w:sz="4" w:space="0" w:color="auto"/>
              <w:right w:val="single" w:sz="4" w:space="0" w:color="000000"/>
            </w:tcBorders>
            <w:shd w:val="clear" w:color="auto" w:fill="auto"/>
          </w:tcPr>
          <w:p w14:paraId="21569315" w14:textId="7BA0A039" w:rsidR="00065435" w:rsidRPr="005C724A" w:rsidRDefault="00065435" w:rsidP="00065435">
            <w:pPr>
              <w:keepNext/>
              <w:spacing w:after="0"/>
              <w:jc w:val="center"/>
              <w:rPr>
                <w:rFonts w:ascii="Arial Narrow" w:hAnsi="Arial Narrow" w:cs="Calibri"/>
                <w:sz w:val="20"/>
                <w:szCs w:val="20"/>
              </w:rPr>
            </w:pPr>
            <w:r w:rsidRPr="00A76ED5">
              <w:rPr>
                <w:rFonts w:ascii="Arial Narrow" w:hAnsi="Arial Narrow"/>
                <w:sz w:val="20"/>
                <w:szCs w:val="20"/>
                <w:highlight w:val="black"/>
              </w:rPr>
              <w:t>XXXX</w:t>
            </w:r>
          </w:p>
        </w:tc>
      </w:tr>
      <w:tr w:rsidR="00065435" w:rsidRPr="005C724A" w14:paraId="44E6137B" w14:textId="77777777" w:rsidTr="005F4D3E">
        <w:tc>
          <w:tcPr>
            <w:tcW w:w="2788" w:type="dxa"/>
            <w:shd w:val="clear" w:color="auto" w:fill="auto"/>
            <w:vAlign w:val="center"/>
          </w:tcPr>
          <w:p w14:paraId="0F3B5577" w14:textId="77777777" w:rsidR="00065435" w:rsidRPr="005C724A" w:rsidRDefault="00065435" w:rsidP="00065435">
            <w:pPr>
              <w:keepNext/>
              <w:spacing w:after="0"/>
              <w:rPr>
                <w:rFonts w:ascii="Arial Narrow" w:eastAsia="Calibri" w:hAnsi="Arial Narrow"/>
                <w:sz w:val="20"/>
                <w:szCs w:val="20"/>
              </w:rPr>
            </w:pPr>
            <w:r w:rsidRPr="005C724A">
              <w:rPr>
                <w:rFonts w:ascii="Arial Narrow" w:eastAsia="Calibri" w:hAnsi="Arial Narrow"/>
                <w:sz w:val="20"/>
                <w:szCs w:val="20"/>
              </w:rPr>
              <w:t>Uptake rate</w:t>
            </w:r>
          </w:p>
        </w:tc>
        <w:tc>
          <w:tcPr>
            <w:tcW w:w="1026" w:type="dxa"/>
            <w:shd w:val="clear" w:color="auto" w:fill="auto"/>
          </w:tcPr>
          <w:p w14:paraId="724A764B" w14:textId="42CF91A9" w:rsidR="00065435" w:rsidRPr="005C724A" w:rsidRDefault="00065435" w:rsidP="00065435">
            <w:pPr>
              <w:keepNext/>
              <w:spacing w:after="0"/>
              <w:jc w:val="center"/>
              <w:rPr>
                <w:rFonts w:ascii="Arial Narrow" w:eastAsia="Calibri" w:hAnsi="Arial Narrow"/>
                <w:bCs/>
                <w:color w:val="000000"/>
                <w:sz w:val="20"/>
                <w:szCs w:val="20"/>
                <w:vertAlign w:val="superscript"/>
              </w:rPr>
            </w:pPr>
            <w:r w:rsidRPr="00A76ED5">
              <w:rPr>
                <w:rFonts w:ascii="Arial Narrow" w:hAnsi="Arial Narrow"/>
                <w:sz w:val="20"/>
                <w:szCs w:val="20"/>
                <w:highlight w:val="black"/>
              </w:rPr>
              <w:t>XXXX</w:t>
            </w:r>
          </w:p>
        </w:tc>
        <w:tc>
          <w:tcPr>
            <w:tcW w:w="1026" w:type="dxa"/>
            <w:shd w:val="clear" w:color="auto" w:fill="auto"/>
          </w:tcPr>
          <w:p w14:paraId="2DA900B3" w14:textId="67452CBE"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shd w:val="clear" w:color="auto" w:fill="auto"/>
          </w:tcPr>
          <w:p w14:paraId="478CAAC5" w14:textId="39817BB8"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shd w:val="clear" w:color="auto" w:fill="auto"/>
          </w:tcPr>
          <w:p w14:paraId="7A8015F0" w14:textId="60C2402E"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shd w:val="clear" w:color="auto" w:fill="auto"/>
          </w:tcPr>
          <w:p w14:paraId="1ED6983E" w14:textId="1901BF0F"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9" w:type="dxa"/>
            <w:shd w:val="clear" w:color="auto" w:fill="auto"/>
          </w:tcPr>
          <w:p w14:paraId="299B4656" w14:textId="285E2531"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r>
      <w:tr w:rsidR="00065435" w:rsidRPr="005C724A" w14:paraId="0223D252" w14:textId="77777777" w:rsidTr="005F4D3E">
        <w:tc>
          <w:tcPr>
            <w:tcW w:w="2788" w:type="dxa"/>
            <w:shd w:val="clear" w:color="auto" w:fill="auto"/>
            <w:vAlign w:val="center"/>
          </w:tcPr>
          <w:p w14:paraId="49861F0A" w14:textId="77777777" w:rsidR="00065435" w:rsidRPr="005C724A" w:rsidRDefault="00065435" w:rsidP="00065435">
            <w:pPr>
              <w:keepNext/>
              <w:spacing w:after="0"/>
              <w:rPr>
                <w:rFonts w:ascii="Arial Narrow" w:hAnsi="Arial Narrow" w:cs="Times New Roman"/>
                <w:sz w:val="20"/>
                <w:szCs w:val="20"/>
              </w:rPr>
            </w:pPr>
            <w:r w:rsidRPr="005C724A">
              <w:rPr>
                <w:rFonts w:ascii="Arial Narrow" w:eastAsia="Calibri" w:hAnsi="Arial Narrow"/>
                <w:sz w:val="20"/>
                <w:szCs w:val="20"/>
              </w:rPr>
              <w:t>New patient uptake of teduglutide</w:t>
            </w:r>
          </w:p>
        </w:tc>
        <w:tc>
          <w:tcPr>
            <w:tcW w:w="1026" w:type="dxa"/>
            <w:tcBorders>
              <w:top w:val="single" w:sz="4" w:space="0" w:color="auto"/>
              <w:left w:val="single" w:sz="4" w:space="0" w:color="auto"/>
              <w:bottom w:val="single" w:sz="4" w:space="0" w:color="auto"/>
              <w:right w:val="single" w:sz="4" w:space="0" w:color="000000"/>
            </w:tcBorders>
            <w:shd w:val="clear" w:color="auto" w:fill="auto"/>
          </w:tcPr>
          <w:p w14:paraId="396195CE" w14:textId="05E7131E"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tcBorders>
              <w:top w:val="single" w:sz="4" w:space="0" w:color="auto"/>
              <w:left w:val="nil"/>
              <w:bottom w:val="single" w:sz="4" w:space="0" w:color="auto"/>
              <w:right w:val="single" w:sz="4" w:space="0" w:color="000000"/>
            </w:tcBorders>
            <w:shd w:val="clear" w:color="auto" w:fill="auto"/>
          </w:tcPr>
          <w:p w14:paraId="6FBCCB23" w14:textId="17B2143E"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tcBorders>
              <w:top w:val="single" w:sz="4" w:space="0" w:color="auto"/>
              <w:left w:val="nil"/>
              <w:bottom w:val="single" w:sz="4" w:space="0" w:color="auto"/>
              <w:right w:val="single" w:sz="4" w:space="0" w:color="000000"/>
            </w:tcBorders>
            <w:shd w:val="clear" w:color="auto" w:fill="auto"/>
          </w:tcPr>
          <w:p w14:paraId="38C9EC9C" w14:textId="7A0994C1"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tcBorders>
              <w:top w:val="single" w:sz="4" w:space="0" w:color="auto"/>
              <w:left w:val="nil"/>
              <w:bottom w:val="single" w:sz="4" w:space="0" w:color="auto"/>
              <w:right w:val="single" w:sz="4" w:space="0" w:color="000000"/>
            </w:tcBorders>
            <w:shd w:val="clear" w:color="auto" w:fill="auto"/>
          </w:tcPr>
          <w:p w14:paraId="3586EFEB" w14:textId="04A771F9"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tcBorders>
              <w:top w:val="single" w:sz="4" w:space="0" w:color="auto"/>
              <w:left w:val="nil"/>
              <w:bottom w:val="single" w:sz="4" w:space="0" w:color="auto"/>
              <w:right w:val="single" w:sz="4" w:space="0" w:color="000000"/>
            </w:tcBorders>
            <w:shd w:val="clear" w:color="auto" w:fill="auto"/>
          </w:tcPr>
          <w:p w14:paraId="14AEDCA5" w14:textId="16452741"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9" w:type="dxa"/>
            <w:tcBorders>
              <w:top w:val="single" w:sz="4" w:space="0" w:color="auto"/>
              <w:left w:val="nil"/>
              <w:bottom w:val="single" w:sz="4" w:space="0" w:color="auto"/>
              <w:right w:val="single" w:sz="4" w:space="0" w:color="000000"/>
            </w:tcBorders>
            <w:shd w:val="clear" w:color="auto" w:fill="auto"/>
          </w:tcPr>
          <w:p w14:paraId="13536A5B" w14:textId="3B850736"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r>
      <w:tr w:rsidR="00065435" w:rsidRPr="005C724A" w14:paraId="506E45A4" w14:textId="77777777" w:rsidTr="005F4D3E">
        <w:tc>
          <w:tcPr>
            <w:tcW w:w="2788" w:type="dxa"/>
            <w:shd w:val="clear" w:color="auto" w:fill="auto"/>
            <w:vAlign w:val="center"/>
          </w:tcPr>
          <w:p w14:paraId="33483C2D" w14:textId="5A556AAB" w:rsidR="00065435" w:rsidRPr="005C724A" w:rsidRDefault="00065435" w:rsidP="00065435">
            <w:pPr>
              <w:keepNext/>
              <w:spacing w:after="0"/>
              <w:rPr>
                <w:rFonts w:ascii="Arial Narrow" w:eastAsia="Calibri" w:hAnsi="Arial Narrow"/>
                <w:sz w:val="20"/>
                <w:szCs w:val="20"/>
              </w:rPr>
            </w:pPr>
            <w:r w:rsidRPr="005C724A">
              <w:rPr>
                <w:rFonts w:ascii="Arial Narrow" w:eastAsia="Calibri" w:hAnsi="Arial Narrow"/>
                <w:sz w:val="20"/>
                <w:szCs w:val="20"/>
              </w:rPr>
              <w:t>Patients who meet continuation criteria at 12 months (</w:t>
            </w:r>
            <w:r w:rsidR="00176649" w:rsidRPr="00065435">
              <w:rPr>
                <w:rFonts w:ascii="Arial Narrow" w:hAnsi="Arial Narrow"/>
                <w:sz w:val="20"/>
                <w:szCs w:val="20"/>
                <w:highlight w:val="black"/>
              </w:rPr>
              <w:t xml:space="preserve"> </w:t>
            </w:r>
            <w:r w:rsidR="00176649" w:rsidRPr="00065435">
              <w:rPr>
                <w:rFonts w:ascii="Arial Narrow" w:hAnsi="Arial Narrow"/>
                <w:sz w:val="20"/>
                <w:szCs w:val="20"/>
                <w:highlight w:val="black"/>
              </w:rPr>
              <w:t>XXXX</w:t>
            </w:r>
            <w:r w:rsidRPr="005C724A">
              <w:rPr>
                <w:rFonts w:ascii="Arial Narrow" w:eastAsia="Calibri" w:hAnsi="Arial Narrow"/>
                <w:sz w:val="20"/>
                <w:szCs w:val="20"/>
              </w:rPr>
              <w:t>)</w:t>
            </w:r>
          </w:p>
        </w:tc>
        <w:tc>
          <w:tcPr>
            <w:tcW w:w="1026" w:type="dxa"/>
            <w:shd w:val="clear" w:color="auto" w:fill="auto"/>
          </w:tcPr>
          <w:p w14:paraId="75396084" w14:textId="669A2547" w:rsidR="00065435" w:rsidRPr="005C724A" w:rsidRDefault="00065435" w:rsidP="00065435">
            <w:pPr>
              <w:keepNext/>
              <w:spacing w:after="0"/>
              <w:jc w:val="center"/>
              <w:rPr>
                <w:rFonts w:ascii="Arial Narrow" w:hAnsi="Arial Narrow"/>
                <w:sz w:val="20"/>
                <w:szCs w:val="20"/>
              </w:rPr>
            </w:pPr>
            <w:r w:rsidRPr="00A76ED5">
              <w:rPr>
                <w:rFonts w:ascii="Arial Narrow" w:hAnsi="Arial Narrow"/>
                <w:sz w:val="20"/>
                <w:szCs w:val="20"/>
                <w:highlight w:val="black"/>
              </w:rPr>
              <w:t>XXXX</w:t>
            </w:r>
          </w:p>
        </w:tc>
        <w:tc>
          <w:tcPr>
            <w:tcW w:w="1026" w:type="dxa"/>
            <w:shd w:val="clear" w:color="auto" w:fill="auto"/>
          </w:tcPr>
          <w:p w14:paraId="35389473" w14:textId="36E359B2" w:rsidR="00065435" w:rsidRPr="005C724A" w:rsidRDefault="00065435" w:rsidP="00065435">
            <w:pPr>
              <w:keepNext/>
              <w:spacing w:after="0"/>
              <w:jc w:val="center"/>
              <w:rPr>
                <w:rFonts w:ascii="Arial Narrow" w:hAnsi="Arial Narrow"/>
                <w:sz w:val="20"/>
                <w:szCs w:val="20"/>
              </w:rPr>
            </w:pPr>
            <w:r w:rsidRPr="00A76ED5">
              <w:rPr>
                <w:rFonts w:ascii="Arial Narrow" w:hAnsi="Arial Narrow"/>
                <w:sz w:val="20"/>
                <w:szCs w:val="20"/>
                <w:highlight w:val="black"/>
              </w:rPr>
              <w:t>XXXX</w:t>
            </w:r>
          </w:p>
        </w:tc>
        <w:tc>
          <w:tcPr>
            <w:tcW w:w="1026" w:type="dxa"/>
            <w:shd w:val="clear" w:color="auto" w:fill="auto"/>
          </w:tcPr>
          <w:p w14:paraId="56A3DA37" w14:textId="02334475" w:rsidR="00065435" w:rsidRPr="005C724A" w:rsidRDefault="00065435" w:rsidP="00065435">
            <w:pPr>
              <w:keepNext/>
              <w:spacing w:after="0"/>
              <w:jc w:val="center"/>
              <w:rPr>
                <w:rFonts w:ascii="Arial Narrow" w:hAnsi="Arial Narrow"/>
                <w:sz w:val="20"/>
                <w:szCs w:val="20"/>
              </w:rPr>
            </w:pPr>
            <w:r w:rsidRPr="00A76ED5">
              <w:rPr>
                <w:rFonts w:ascii="Arial Narrow" w:hAnsi="Arial Narrow"/>
                <w:sz w:val="20"/>
                <w:szCs w:val="20"/>
                <w:highlight w:val="black"/>
              </w:rPr>
              <w:t>XXXX</w:t>
            </w:r>
          </w:p>
        </w:tc>
        <w:tc>
          <w:tcPr>
            <w:tcW w:w="1026" w:type="dxa"/>
            <w:shd w:val="clear" w:color="auto" w:fill="auto"/>
          </w:tcPr>
          <w:p w14:paraId="66F75309" w14:textId="7BB5A962" w:rsidR="00065435" w:rsidRPr="005C724A" w:rsidRDefault="00065435" w:rsidP="00065435">
            <w:pPr>
              <w:keepNext/>
              <w:spacing w:after="0"/>
              <w:jc w:val="center"/>
              <w:rPr>
                <w:rFonts w:ascii="Arial Narrow" w:hAnsi="Arial Narrow"/>
                <w:sz w:val="20"/>
                <w:szCs w:val="20"/>
              </w:rPr>
            </w:pPr>
            <w:r w:rsidRPr="00A76ED5">
              <w:rPr>
                <w:rFonts w:ascii="Arial Narrow" w:hAnsi="Arial Narrow"/>
                <w:sz w:val="20"/>
                <w:szCs w:val="20"/>
                <w:highlight w:val="black"/>
              </w:rPr>
              <w:t>XXXX</w:t>
            </w:r>
          </w:p>
        </w:tc>
        <w:tc>
          <w:tcPr>
            <w:tcW w:w="1026" w:type="dxa"/>
            <w:shd w:val="clear" w:color="auto" w:fill="auto"/>
          </w:tcPr>
          <w:p w14:paraId="39395F0E" w14:textId="6AA9694D" w:rsidR="00065435" w:rsidRPr="005C724A" w:rsidRDefault="00065435" w:rsidP="00065435">
            <w:pPr>
              <w:keepNext/>
              <w:spacing w:after="0"/>
              <w:jc w:val="center"/>
              <w:rPr>
                <w:rFonts w:ascii="Arial Narrow" w:hAnsi="Arial Narrow"/>
                <w:sz w:val="20"/>
                <w:szCs w:val="20"/>
              </w:rPr>
            </w:pPr>
            <w:r w:rsidRPr="00A76ED5">
              <w:rPr>
                <w:rFonts w:ascii="Arial Narrow" w:hAnsi="Arial Narrow"/>
                <w:sz w:val="20"/>
                <w:szCs w:val="20"/>
                <w:highlight w:val="black"/>
              </w:rPr>
              <w:t>XXXX</w:t>
            </w:r>
          </w:p>
        </w:tc>
        <w:tc>
          <w:tcPr>
            <w:tcW w:w="1029" w:type="dxa"/>
          </w:tcPr>
          <w:p w14:paraId="69006D4E" w14:textId="3928BA26" w:rsidR="00065435" w:rsidRPr="005C724A" w:rsidRDefault="00065435" w:rsidP="00065435">
            <w:pPr>
              <w:keepNext/>
              <w:spacing w:after="0"/>
              <w:jc w:val="center"/>
              <w:rPr>
                <w:rStyle w:val="CommentReference"/>
                <w:rFonts w:ascii="Arial Narrow" w:hAnsi="Arial Narrow" w:cs="Times New Roman"/>
                <w:sz w:val="20"/>
                <w:szCs w:val="20"/>
              </w:rPr>
            </w:pPr>
            <w:r w:rsidRPr="00A76ED5">
              <w:rPr>
                <w:rFonts w:ascii="Arial Narrow" w:hAnsi="Arial Narrow"/>
                <w:sz w:val="20"/>
                <w:szCs w:val="20"/>
                <w:highlight w:val="black"/>
              </w:rPr>
              <w:t>XXXX</w:t>
            </w:r>
          </w:p>
        </w:tc>
      </w:tr>
      <w:tr w:rsidR="00065435" w:rsidRPr="005C724A" w14:paraId="68DB16ED" w14:textId="77777777" w:rsidTr="005F4D3E">
        <w:tc>
          <w:tcPr>
            <w:tcW w:w="2788" w:type="dxa"/>
            <w:shd w:val="clear" w:color="auto" w:fill="auto"/>
            <w:vAlign w:val="center"/>
          </w:tcPr>
          <w:p w14:paraId="31728B88" w14:textId="6BC9DCD6" w:rsidR="00065435" w:rsidRPr="005C724A" w:rsidRDefault="00065435" w:rsidP="00065435">
            <w:pPr>
              <w:keepNext/>
              <w:spacing w:after="0"/>
              <w:rPr>
                <w:rFonts w:ascii="Arial Narrow" w:eastAsia="Calibri" w:hAnsi="Arial Narrow"/>
                <w:sz w:val="20"/>
                <w:szCs w:val="20"/>
                <w:vertAlign w:val="superscript"/>
              </w:rPr>
            </w:pPr>
            <w:r w:rsidRPr="005C724A">
              <w:rPr>
                <w:rFonts w:ascii="Arial Narrow" w:eastAsia="Calibri" w:hAnsi="Arial Narrow"/>
                <w:sz w:val="20"/>
                <w:szCs w:val="20"/>
              </w:rPr>
              <w:t>Patients qualifying for permanent treatment (</w:t>
            </w:r>
            <w:r w:rsidR="00176649" w:rsidRPr="00065435">
              <w:rPr>
                <w:rFonts w:ascii="Arial Narrow" w:hAnsi="Arial Narrow"/>
                <w:sz w:val="20"/>
                <w:szCs w:val="20"/>
                <w:highlight w:val="black"/>
              </w:rPr>
              <w:t xml:space="preserve"> </w:t>
            </w:r>
            <w:r w:rsidR="00176649" w:rsidRPr="00065435">
              <w:rPr>
                <w:rFonts w:ascii="Arial Narrow" w:hAnsi="Arial Narrow"/>
                <w:sz w:val="20"/>
                <w:szCs w:val="20"/>
                <w:highlight w:val="black"/>
              </w:rPr>
              <w:t>XXXX</w:t>
            </w:r>
            <w:r w:rsidRPr="005C724A">
              <w:rPr>
                <w:rFonts w:ascii="Arial Narrow" w:eastAsia="Calibri" w:hAnsi="Arial Narrow"/>
                <w:sz w:val="20"/>
                <w:szCs w:val="20"/>
              </w:rPr>
              <w:t>)</w:t>
            </w:r>
            <w:r w:rsidRPr="005C724A">
              <w:rPr>
                <w:rFonts w:ascii="Arial Narrow" w:eastAsia="Calibri" w:hAnsi="Arial Narrow"/>
                <w:sz w:val="20"/>
                <w:szCs w:val="20"/>
                <w:vertAlign w:val="superscript"/>
              </w:rPr>
              <w:t>1</w:t>
            </w:r>
          </w:p>
        </w:tc>
        <w:tc>
          <w:tcPr>
            <w:tcW w:w="1026" w:type="dxa"/>
            <w:shd w:val="clear" w:color="auto" w:fill="auto"/>
          </w:tcPr>
          <w:p w14:paraId="125FA9EA" w14:textId="6920112A"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shd w:val="clear" w:color="auto" w:fill="auto"/>
          </w:tcPr>
          <w:p w14:paraId="7B0630C0" w14:textId="2EE911C9"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shd w:val="clear" w:color="auto" w:fill="auto"/>
          </w:tcPr>
          <w:p w14:paraId="37891F2D" w14:textId="3E3C8633"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shd w:val="clear" w:color="auto" w:fill="auto"/>
          </w:tcPr>
          <w:p w14:paraId="227DCAB4" w14:textId="669DD460"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6" w:type="dxa"/>
            <w:shd w:val="clear" w:color="auto" w:fill="auto"/>
          </w:tcPr>
          <w:p w14:paraId="4ED62E8F" w14:textId="3C984A56"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c>
          <w:tcPr>
            <w:tcW w:w="1029" w:type="dxa"/>
          </w:tcPr>
          <w:p w14:paraId="09C5159E" w14:textId="69D0149C" w:rsidR="00065435" w:rsidRPr="005C724A" w:rsidRDefault="00065435" w:rsidP="00065435">
            <w:pPr>
              <w:keepNext/>
              <w:spacing w:after="0"/>
              <w:jc w:val="center"/>
              <w:rPr>
                <w:rFonts w:ascii="Arial Narrow" w:eastAsia="Calibri" w:hAnsi="Arial Narrow"/>
                <w:bCs/>
                <w:color w:val="000000"/>
                <w:sz w:val="20"/>
                <w:szCs w:val="20"/>
              </w:rPr>
            </w:pPr>
            <w:r w:rsidRPr="00A76ED5">
              <w:rPr>
                <w:rFonts w:ascii="Arial Narrow" w:hAnsi="Arial Narrow"/>
                <w:sz w:val="20"/>
                <w:szCs w:val="20"/>
                <w:highlight w:val="black"/>
              </w:rPr>
              <w:t>XXXX</w:t>
            </w:r>
          </w:p>
        </w:tc>
      </w:tr>
      <w:tr w:rsidR="00CD2C0D" w:rsidRPr="005C724A" w14:paraId="2B95A107" w14:textId="77777777" w:rsidTr="005F0E98">
        <w:tc>
          <w:tcPr>
            <w:tcW w:w="8947" w:type="dxa"/>
            <w:gridSpan w:val="7"/>
            <w:shd w:val="clear" w:color="auto" w:fill="auto"/>
            <w:vAlign w:val="center"/>
          </w:tcPr>
          <w:p w14:paraId="380B7BB5" w14:textId="77777777" w:rsidR="00CD2C0D" w:rsidRPr="005C724A" w:rsidRDefault="00CD2C0D" w:rsidP="00CD2C0D">
            <w:pPr>
              <w:keepNext/>
              <w:spacing w:after="0"/>
              <w:rPr>
                <w:rFonts w:ascii="Arial Narrow" w:eastAsia="Calibri" w:hAnsi="Arial Narrow"/>
                <w:b/>
                <w:bCs/>
                <w:color w:val="000000"/>
                <w:sz w:val="20"/>
                <w:szCs w:val="20"/>
              </w:rPr>
            </w:pPr>
            <w:r w:rsidRPr="005C724A">
              <w:rPr>
                <w:rFonts w:ascii="Arial Narrow" w:eastAsia="Calibri" w:hAnsi="Arial Narrow"/>
                <w:b/>
                <w:bCs/>
                <w:color w:val="000000"/>
                <w:sz w:val="20"/>
                <w:szCs w:val="20"/>
              </w:rPr>
              <w:t>Total treated patients</w:t>
            </w:r>
          </w:p>
        </w:tc>
      </w:tr>
      <w:tr w:rsidR="00065435" w:rsidRPr="005C724A" w14:paraId="6DCD4E0F" w14:textId="77777777" w:rsidTr="00045407">
        <w:tc>
          <w:tcPr>
            <w:tcW w:w="2788" w:type="dxa"/>
            <w:shd w:val="clear" w:color="auto" w:fill="auto"/>
            <w:vAlign w:val="center"/>
          </w:tcPr>
          <w:p w14:paraId="264F4DF4" w14:textId="77777777" w:rsidR="00065435" w:rsidRPr="005C724A" w:rsidRDefault="00065435" w:rsidP="00065435">
            <w:pPr>
              <w:keepNext/>
              <w:spacing w:after="0"/>
              <w:rPr>
                <w:rFonts w:ascii="Arial Narrow" w:eastAsia="Calibri" w:hAnsi="Arial Narrow"/>
                <w:sz w:val="20"/>
                <w:szCs w:val="20"/>
                <w:vertAlign w:val="superscript"/>
              </w:rPr>
            </w:pPr>
            <w:r w:rsidRPr="005C724A">
              <w:rPr>
                <w:rFonts w:ascii="Arial Narrow" w:eastAsia="Calibri" w:hAnsi="Arial Narrow"/>
                <w:sz w:val="20"/>
                <w:szCs w:val="20"/>
              </w:rPr>
              <w:t>Total treated patients</w:t>
            </w:r>
            <w:r w:rsidRPr="005C724A">
              <w:rPr>
                <w:rFonts w:ascii="Arial Narrow" w:eastAsia="Calibri" w:hAnsi="Arial Narrow"/>
                <w:sz w:val="20"/>
                <w:szCs w:val="20"/>
                <w:vertAlign w:val="superscript"/>
              </w:rPr>
              <w:t>2</w:t>
            </w:r>
          </w:p>
          <w:p w14:paraId="4B6E5D43" w14:textId="77777777" w:rsidR="00065435" w:rsidRPr="005C724A" w:rsidRDefault="00065435" w:rsidP="00065435">
            <w:pPr>
              <w:pStyle w:val="ListParagraph"/>
              <w:keepNext/>
              <w:numPr>
                <w:ilvl w:val="0"/>
                <w:numId w:val="9"/>
              </w:numPr>
              <w:spacing w:after="0"/>
              <w:contextualSpacing w:val="0"/>
              <w:rPr>
                <w:rFonts w:ascii="Arial Narrow" w:eastAsia="Calibri" w:hAnsi="Arial Narrow"/>
                <w:sz w:val="20"/>
                <w:szCs w:val="20"/>
              </w:rPr>
            </w:pPr>
            <w:r w:rsidRPr="005C724A">
              <w:rPr>
                <w:rFonts w:ascii="Arial Narrow" w:eastAsia="Calibri" w:hAnsi="Arial Narrow"/>
                <w:sz w:val="20"/>
                <w:szCs w:val="20"/>
              </w:rPr>
              <w:t>Non-permanent</w:t>
            </w:r>
          </w:p>
          <w:p w14:paraId="63FCA216" w14:textId="77777777" w:rsidR="00065435" w:rsidRPr="005C724A" w:rsidRDefault="00065435" w:rsidP="00065435">
            <w:pPr>
              <w:pStyle w:val="ListParagraph"/>
              <w:keepNext/>
              <w:numPr>
                <w:ilvl w:val="0"/>
                <w:numId w:val="9"/>
              </w:numPr>
              <w:spacing w:after="0"/>
              <w:contextualSpacing w:val="0"/>
              <w:rPr>
                <w:rFonts w:ascii="Arial Narrow" w:eastAsia="Calibri" w:hAnsi="Arial Narrow"/>
                <w:sz w:val="20"/>
                <w:szCs w:val="20"/>
              </w:rPr>
            </w:pPr>
            <w:r w:rsidRPr="005C724A">
              <w:rPr>
                <w:rFonts w:ascii="Arial Narrow" w:eastAsia="Calibri" w:hAnsi="Arial Narrow"/>
                <w:sz w:val="20"/>
                <w:szCs w:val="20"/>
              </w:rPr>
              <w:t>Permanent</w:t>
            </w:r>
          </w:p>
        </w:tc>
        <w:tc>
          <w:tcPr>
            <w:tcW w:w="1026" w:type="dxa"/>
            <w:shd w:val="clear" w:color="auto" w:fill="auto"/>
          </w:tcPr>
          <w:p w14:paraId="2E342F91" w14:textId="3F3E8EBF"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38688B15" w14:textId="26031DAE"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355B91B6" w14:textId="43D5DC62"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620BDA35" w14:textId="4454F35C"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73315F9A" w14:textId="1CDC0EA8"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9" w:type="dxa"/>
          </w:tcPr>
          <w:p w14:paraId="74B8BA3B" w14:textId="794B2F64"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r>
      <w:tr w:rsidR="00065435" w:rsidRPr="005C724A" w14:paraId="4D071665" w14:textId="77777777" w:rsidTr="00045407">
        <w:tc>
          <w:tcPr>
            <w:tcW w:w="2788" w:type="dxa"/>
            <w:shd w:val="clear" w:color="auto" w:fill="auto"/>
            <w:vAlign w:val="center"/>
          </w:tcPr>
          <w:p w14:paraId="7838938D" w14:textId="0DC982F3" w:rsidR="00065435" w:rsidRPr="005C724A" w:rsidRDefault="00065435" w:rsidP="00065435">
            <w:pPr>
              <w:keepNext/>
              <w:spacing w:after="0"/>
              <w:rPr>
                <w:rFonts w:ascii="Arial Narrow" w:eastAsia="Calibri" w:hAnsi="Arial Narrow"/>
                <w:sz w:val="20"/>
                <w:szCs w:val="20"/>
              </w:rPr>
            </w:pPr>
            <w:r w:rsidRPr="005C724A">
              <w:rPr>
                <w:rFonts w:ascii="Arial Narrow" w:eastAsia="Calibri" w:hAnsi="Arial Narrow"/>
                <w:sz w:val="20"/>
                <w:szCs w:val="20"/>
              </w:rPr>
              <w:t>Mortality (</w:t>
            </w:r>
            <w:r w:rsidR="00176649" w:rsidRPr="00065435">
              <w:rPr>
                <w:rFonts w:ascii="Arial Narrow" w:hAnsi="Arial Narrow"/>
                <w:sz w:val="20"/>
                <w:szCs w:val="20"/>
                <w:highlight w:val="black"/>
              </w:rPr>
              <w:t xml:space="preserve"> </w:t>
            </w:r>
            <w:r w:rsidR="00176649" w:rsidRPr="00065435">
              <w:rPr>
                <w:rFonts w:ascii="Arial Narrow" w:hAnsi="Arial Narrow"/>
                <w:sz w:val="20"/>
                <w:szCs w:val="20"/>
                <w:highlight w:val="black"/>
              </w:rPr>
              <w:t>XXXX</w:t>
            </w:r>
            <w:r w:rsidRPr="005C724A">
              <w:rPr>
                <w:rFonts w:ascii="Arial Narrow" w:eastAsia="Calibri" w:hAnsi="Arial Narrow"/>
                <w:sz w:val="20"/>
                <w:szCs w:val="20"/>
              </w:rPr>
              <w:t>)</w:t>
            </w:r>
          </w:p>
        </w:tc>
        <w:tc>
          <w:tcPr>
            <w:tcW w:w="1026" w:type="dxa"/>
            <w:shd w:val="clear" w:color="auto" w:fill="auto"/>
          </w:tcPr>
          <w:p w14:paraId="2D817D0A" w14:textId="692CDFF5"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5BA6A300" w14:textId="04CBDE76"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22C823F3" w14:textId="541DC97B"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7317D8CC" w14:textId="1229E85C"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74E4FACC" w14:textId="28EC2324"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9" w:type="dxa"/>
          </w:tcPr>
          <w:p w14:paraId="0F766B82" w14:textId="6A072ACE"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r>
      <w:tr w:rsidR="00065435" w:rsidRPr="005C724A" w14:paraId="6CB6632C" w14:textId="77777777" w:rsidTr="00045407">
        <w:tc>
          <w:tcPr>
            <w:tcW w:w="2788" w:type="dxa"/>
            <w:shd w:val="clear" w:color="auto" w:fill="auto"/>
            <w:vAlign w:val="center"/>
          </w:tcPr>
          <w:p w14:paraId="23F2F510" w14:textId="7B2A54E0" w:rsidR="00065435" w:rsidRPr="005C724A" w:rsidRDefault="00065435" w:rsidP="00065435">
            <w:pPr>
              <w:keepNext/>
              <w:spacing w:after="0"/>
              <w:rPr>
                <w:rFonts w:ascii="Arial Narrow" w:eastAsia="Calibri" w:hAnsi="Arial Narrow"/>
                <w:sz w:val="20"/>
                <w:szCs w:val="20"/>
              </w:rPr>
            </w:pPr>
            <w:r w:rsidRPr="005C724A">
              <w:rPr>
                <w:rFonts w:ascii="Arial Narrow" w:eastAsia="Calibri" w:hAnsi="Arial Narrow"/>
                <w:sz w:val="20"/>
                <w:szCs w:val="20"/>
              </w:rPr>
              <w:t>Discontinuing patients (</w:t>
            </w:r>
            <w:r w:rsidR="00176649" w:rsidRPr="00065435">
              <w:rPr>
                <w:rFonts w:ascii="Arial Narrow" w:hAnsi="Arial Narrow"/>
                <w:sz w:val="20"/>
                <w:szCs w:val="20"/>
                <w:highlight w:val="black"/>
              </w:rPr>
              <w:t xml:space="preserve"> </w:t>
            </w:r>
            <w:r w:rsidR="00176649" w:rsidRPr="00065435">
              <w:rPr>
                <w:rFonts w:ascii="Arial Narrow" w:hAnsi="Arial Narrow"/>
                <w:sz w:val="20"/>
                <w:szCs w:val="20"/>
                <w:highlight w:val="black"/>
              </w:rPr>
              <w:t>XXXX</w:t>
            </w:r>
            <w:r w:rsidRPr="005C724A">
              <w:rPr>
                <w:rFonts w:ascii="Arial Narrow" w:eastAsia="Calibri" w:hAnsi="Arial Narrow"/>
                <w:sz w:val="20"/>
                <w:szCs w:val="20"/>
              </w:rPr>
              <w:t>)</w:t>
            </w:r>
          </w:p>
        </w:tc>
        <w:tc>
          <w:tcPr>
            <w:tcW w:w="1026" w:type="dxa"/>
            <w:shd w:val="clear" w:color="auto" w:fill="auto"/>
          </w:tcPr>
          <w:p w14:paraId="3AB02E85" w14:textId="702717B6"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13F577A4" w14:textId="625EB5DA"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4AFB8174" w14:textId="1C79C263"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2DA225CB" w14:textId="30BE16B0"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4090B0BE" w14:textId="37A2684E"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9" w:type="dxa"/>
          </w:tcPr>
          <w:p w14:paraId="09D93441" w14:textId="5CF0EBD9"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r>
      <w:tr w:rsidR="00065435" w:rsidRPr="005C724A" w14:paraId="5CE2F230" w14:textId="77777777" w:rsidTr="00045407">
        <w:tc>
          <w:tcPr>
            <w:tcW w:w="2788" w:type="dxa"/>
            <w:shd w:val="clear" w:color="auto" w:fill="auto"/>
            <w:vAlign w:val="center"/>
          </w:tcPr>
          <w:p w14:paraId="2C078CB7" w14:textId="77777777" w:rsidR="00065435" w:rsidRPr="005C724A" w:rsidRDefault="00065435" w:rsidP="00065435">
            <w:pPr>
              <w:keepNext/>
              <w:spacing w:after="0"/>
              <w:rPr>
                <w:rFonts w:ascii="Arial Narrow" w:eastAsia="Calibri" w:hAnsi="Arial Narrow"/>
                <w:sz w:val="20"/>
                <w:szCs w:val="20"/>
              </w:rPr>
            </w:pPr>
            <w:r w:rsidRPr="005C724A">
              <w:rPr>
                <w:rFonts w:ascii="Arial Narrow" w:eastAsia="Calibri" w:hAnsi="Arial Narrow"/>
                <w:sz w:val="20"/>
                <w:szCs w:val="20"/>
              </w:rPr>
              <w:t>Total treated patients</w:t>
            </w:r>
          </w:p>
        </w:tc>
        <w:tc>
          <w:tcPr>
            <w:tcW w:w="1026" w:type="dxa"/>
            <w:shd w:val="clear" w:color="auto" w:fill="auto"/>
          </w:tcPr>
          <w:p w14:paraId="38AE1A87" w14:textId="0623E00A"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0A3C82EA" w14:textId="72801457"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4E7704A1" w14:textId="07DA9CA4"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46F9621D" w14:textId="503B2084"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auto"/>
          </w:tcPr>
          <w:p w14:paraId="6835D344" w14:textId="457D51BE"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9" w:type="dxa"/>
            <w:shd w:val="clear" w:color="auto" w:fill="auto"/>
          </w:tcPr>
          <w:p w14:paraId="73F6C4A5" w14:textId="61EFA4A5"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r>
      <w:tr w:rsidR="00065435" w:rsidRPr="005C724A" w14:paraId="696492DA" w14:textId="77777777" w:rsidTr="00045407">
        <w:tc>
          <w:tcPr>
            <w:tcW w:w="2788" w:type="dxa"/>
            <w:shd w:val="clear" w:color="auto" w:fill="D9D9D9" w:themeFill="background1" w:themeFillShade="D9"/>
            <w:vAlign w:val="center"/>
          </w:tcPr>
          <w:p w14:paraId="09720C35" w14:textId="033B72E1" w:rsidR="00065435" w:rsidRPr="005C724A" w:rsidRDefault="00176649" w:rsidP="00065435">
            <w:pPr>
              <w:keepNext/>
              <w:spacing w:after="0"/>
              <w:rPr>
                <w:rFonts w:ascii="Arial Narrow" w:eastAsia="Calibri" w:hAnsi="Arial Narrow"/>
                <w:sz w:val="20"/>
                <w:szCs w:val="20"/>
              </w:rPr>
            </w:pPr>
            <w:r w:rsidRPr="00065435">
              <w:rPr>
                <w:rFonts w:ascii="Arial Narrow" w:hAnsi="Arial Narrow"/>
                <w:sz w:val="20"/>
                <w:szCs w:val="20"/>
                <w:highlight w:val="black"/>
              </w:rPr>
              <w:t>XXXX</w:t>
            </w:r>
          </w:p>
        </w:tc>
        <w:tc>
          <w:tcPr>
            <w:tcW w:w="1026" w:type="dxa"/>
            <w:shd w:val="clear" w:color="auto" w:fill="D9D9D9" w:themeFill="background1" w:themeFillShade="D9"/>
          </w:tcPr>
          <w:p w14:paraId="774B0EE3" w14:textId="7BA3B054"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D9D9D9" w:themeFill="background1" w:themeFillShade="D9"/>
          </w:tcPr>
          <w:p w14:paraId="15871F2A" w14:textId="2FEC4B29"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D9D9D9" w:themeFill="background1" w:themeFillShade="D9"/>
          </w:tcPr>
          <w:p w14:paraId="7BC35C1B" w14:textId="745BAD19"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D9D9D9" w:themeFill="background1" w:themeFillShade="D9"/>
          </w:tcPr>
          <w:p w14:paraId="10B16D73" w14:textId="5490080D"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shd w:val="clear" w:color="auto" w:fill="D9D9D9" w:themeFill="background1" w:themeFillShade="D9"/>
          </w:tcPr>
          <w:p w14:paraId="01C08F27" w14:textId="1F3ACB33"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9" w:type="dxa"/>
            <w:shd w:val="clear" w:color="auto" w:fill="D9D9D9" w:themeFill="background1" w:themeFillShade="D9"/>
          </w:tcPr>
          <w:p w14:paraId="53406B63" w14:textId="3DFADA7C"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r>
      <w:tr w:rsidR="00065435" w:rsidRPr="005C724A" w14:paraId="4DC93C74" w14:textId="77777777" w:rsidTr="00045407">
        <w:tc>
          <w:tcPr>
            <w:tcW w:w="2788" w:type="dxa"/>
            <w:shd w:val="clear" w:color="auto" w:fill="auto"/>
            <w:vAlign w:val="center"/>
          </w:tcPr>
          <w:p w14:paraId="52629687" w14:textId="37A494D8" w:rsidR="00065435" w:rsidRPr="005C724A" w:rsidRDefault="00065435" w:rsidP="00065435">
            <w:pPr>
              <w:keepNext/>
              <w:spacing w:after="0"/>
              <w:rPr>
                <w:rFonts w:ascii="Arial Narrow" w:eastAsia="Calibri" w:hAnsi="Arial Narrow"/>
                <w:sz w:val="20"/>
                <w:szCs w:val="20"/>
              </w:rPr>
            </w:pPr>
            <w:r w:rsidRPr="005C724A">
              <w:rPr>
                <w:rFonts w:ascii="Arial Narrow" w:eastAsia="Calibri" w:hAnsi="Arial Narrow"/>
                <w:sz w:val="20"/>
                <w:szCs w:val="20"/>
              </w:rPr>
              <w:t>Total packs dispensed (</w:t>
            </w:r>
            <w:r w:rsidR="00176649" w:rsidRPr="00065435">
              <w:rPr>
                <w:rFonts w:ascii="Arial Narrow" w:hAnsi="Arial Narrow"/>
                <w:sz w:val="20"/>
                <w:szCs w:val="20"/>
                <w:highlight w:val="black"/>
              </w:rPr>
              <w:t xml:space="preserve"> </w:t>
            </w:r>
            <w:r w:rsidR="00176649" w:rsidRPr="00065435">
              <w:rPr>
                <w:rFonts w:ascii="Arial Narrow" w:hAnsi="Arial Narrow"/>
                <w:sz w:val="20"/>
                <w:szCs w:val="20"/>
                <w:highlight w:val="black"/>
              </w:rPr>
              <w:t>XXXX</w:t>
            </w:r>
            <w:r w:rsidRPr="005C724A">
              <w:rPr>
                <w:rFonts w:ascii="Arial Narrow" w:eastAsia="Calibri" w:hAnsi="Arial Narrow"/>
                <w:sz w:val="20"/>
                <w:szCs w:val="20"/>
              </w:rPr>
              <w:t>)</w:t>
            </w:r>
          </w:p>
        </w:tc>
        <w:tc>
          <w:tcPr>
            <w:tcW w:w="1026" w:type="dxa"/>
            <w:tcBorders>
              <w:bottom w:val="single" w:sz="4" w:space="0" w:color="000000"/>
            </w:tcBorders>
            <w:shd w:val="clear" w:color="auto" w:fill="auto"/>
          </w:tcPr>
          <w:p w14:paraId="2B359103" w14:textId="7BFC34DC"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tcBorders>
              <w:bottom w:val="single" w:sz="4" w:space="0" w:color="000000"/>
            </w:tcBorders>
            <w:shd w:val="clear" w:color="auto" w:fill="auto"/>
          </w:tcPr>
          <w:p w14:paraId="4108DD02" w14:textId="49AC5DDC"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tcBorders>
              <w:bottom w:val="single" w:sz="4" w:space="0" w:color="000000"/>
            </w:tcBorders>
            <w:shd w:val="clear" w:color="auto" w:fill="auto"/>
          </w:tcPr>
          <w:p w14:paraId="0C13630E" w14:textId="0AED3240"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tcBorders>
              <w:bottom w:val="single" w:sz="4" w:space="0" w:color="000000"/>
            </w:tcBorders>
            <w:shd w:val="clear" w:color="auto" w:fill="auto"/>
          </w:tcPr>
          <w:p w14:paraId="5ECBD4F2" w14:textId="5901995B"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6" w:type="dxa"/>
            <w:tcBorders>
              <w:bottom w:val="single" w:sz="4" w:space="0" w:color="000000"/>
            </w:tcBorders>
            <w:shd w:val="clear" w:color="auto" w:fill="auto"/>
          </w:tcPr>
          <w:p w14:paraId="4CB51EFB" w14:textId="5BAE2ED3"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c>
          <w:tcPr>
            <w:tcW w:w="1029" w:type="dxa"/>
            <w:tcBorders>
              <w:bottom w:val="single" w:sz="4" w:space="0" w:color="000000"/>
            </w:tcBorders>
          </w:tcPr>
          <w:p w14:paraId="5B725F92" w14:textId="2378CEC4" w:rsidR="00065435" w:rsidRPr="005C724A" w:rsidRDefault="00065435" w:rsidP="00065435">
            <w:pPr>
              <w:keepNext/>
              <w:spacing w:after="0"/>
              <w:jc w:val="center"/>
              <w:rPr>
                <w:rFonts w:ascii="Arial Narrow" w:hAnsi="Arial Narrow"/>
                <w:sz w:val="20"/>
                <w:szCs w:val="20"/>
              </w:rPr>
            </w:pPr>
            <w:r w:rsidRPr="00132954">
              <w:rPr>
                <w:rFonts w:ascii="Arial Narrow" w:hAnsi="Arial Narrow"/>
                <w:sz w:val="20"/>
                <w:szCs w:val="20"/>
                <w:highlight w:val="black"/>
              </w:rPr>
              <w:t>XXXX</w:t>
            </w:r>
          </w:p>
        </w:tc>
      </w:tr>
    </w:tbl>
    <w:p w14:paraId="68DBCA16" w14:textId="77777777" w:rsidR="00567FA6" w:rsidRPr="005C724A" w:rsidRDefault="00567FA6" w:rsidP="00345633">
      <w:pPr>
        <w:keepNext/>
        <w:contextualSpacing/>
        <w:rPr>
          <w:rFonts w:ascii="Arial Narrow" w:hAnsi="Arial Narrow"/>
          <w:sz w:val="20"/>
          <w:szCs w:val="20"/>
        </w:rPr>
      </w:pPr>
    </w:p>
    <w:p w14:paraId="4E693356" w14:textId="34E34907" w:rsidR="00176649" w:rsidRDefault="00176649" w:rsidP="005F0E98">
      <w:pPr>
        <w:keepNext/>
        <w:contextualSpacing/>
        <w:rPr>
          <w:rFonts w:ascii="Arial Narrow" w:hAnsi="Arial Narrow"/>
          <w:sz w:val="20"/>
          <w:szCs w:val="20"/>
        </w:rPr>
      </w:pPr>
    </w:p>
    <w:p w14:paraId="0E7562C5" w14:textId="01E6B0A9" w:rsidR="00176649" w:rsidRPr="00176649" w:rsidRDefault="00176649" w:rsidP="005F0E98">
      <w:pPr>
        <w:keepNext/>
        <w:contextualSpacing/>
        <w:rPr>
          <w:rFonts w:ascii="Arial Narrow" w:hAnsi="Arial Narrow"/>
          <w:sz w:val="20"/>
          <w:szCs w:val="20"/>
          <w:highlight w:val="black"/>
        </w:rPr>
      </w:pPr>
      <w:r w:rsidRPr="00176649">
        <w:rPr>
          <w:rFonts w:ascii="Arial Narrow" w:hAnsi="Arial Narrow"/>
          <w:sz w:val="20"/>
          <w:szCs w:val="20"/>
          <w:highlight w:val="black"/>
        </w:rPr>
        <w:t>XXXXXXXXXXXXXXXXXXXXXXXXXXXXXXXXXXXXXXXXXXXXXXXXXXXXXXXXXXXXXXXXXXXXXXXXXXXXXXXXXXXXXXXXXXXXXXXXXXXXXXXXXXXXXXXXXXXXXXXXXXXXXX</w:t>
      </w:r>
    </w:p>
    <w:p w14:paraId="0A13EC02" w14:textId="4EBC1D4A" w:rsidR="00176649" w:rsidRPr="00176649" w:rsidRDefault="00176649" w:rsidP="005F0E98">
      <w:pPr>
        <w:keepNext/>
        <w:contextualSpacing/>
        <w:rPr>
          <w:rFonts w:ascii="Arial Narrow" w:hAnsi="Arial Narrow"/>
          <w:sz w:val="20"/>
          <w:szCs w:val="20"/>
          <w:highlight w:val="black"/>
        </w:rPr>
      </w:pPr>
      <w:r w:rsidRPr="00176649">
        <w:rPr>
          <w:rFonts w:ascii="Arial Narrow" w:hAnsi="Arial Narrow"/>
          <w:sz w:val="20"/>
          <w:szCs w:val="20"/>
          <w:highlight w:val="black"/>
        </w:rPr>
        <w:t>XXXXXXXXXXXXXXXXXXXXXXXXXXXXXXXXXXXXXXXXXXXXXXXXXXXXXXXXXXXXXXXXX</w:t>
      </w:r>
    </w:p>
    <w:p w14:paraId="21BC7321" w14:textId="60412B84" w:rsidR="00176649" w:rsidRPr="00176649" w:rsidRDefault="00176649" w:rsidP="005F0E98">
      <w:pPr>
        <w:keepNext/>
        <w:contextualSpacing/>
        <w:rPr>
          <w:rFonts w:ascii="Arial Narrow" w:hAnsi="Arial Narrow"/>
          <w:sz w:val="20"/>
          <w:szCs w:val="20"/>
          <w:highlight w:val="black"/>
        </w:rPr>
      </w:pPr>
      <w:r w:rsidRPr="00176649">
        <w:rPr>
          <w:rFonts w:ascii="Arial Narrow" w:hAnsi="Arial Narrow"/>
          <w:sz w:val="20"/>
          <w:szCs w:val="20"/>
          <w:highlight w:val="black"/>
        </w:rPr>
        <w:t>XXXXXXXXXXXXXXXXXXXXXXXXXXXXXXXX</w:t>
      </w:r>
    </w:p>
    <w:p w14:paraId="3F2F63A2" w14:textId="0E467867" w:rsidR="00176649" w:rsidRPr="00176649" w:rsidRDefault="00176649" w:rsidP="005F0E98">
      <w:pPr>
        <w:keepNext/>
        <w:contextualSpacing/>
        <w:rPr>
          <w:rFonts w:ascii="Arial Narrow" w:hAnsi="Arial Narrow"/>
          <w:sz w:val="20"/>
          <w:szCs w:val="20"/>
          <w:highlight w:val="black"/>
        </w:rPr>
      </w:pPr>
      <w:r w:rsidRPr="00176649">
        <w:rPr>
          <w:rFonts w:ascii="Arial Narrow" w:hAnsi="Arial Narrow"/>
          <w:sz w:val="20"/>
          <w:szCs w:val="20"/>
          <w:highlight w:val="black"/>
        </w:rPr>
        <w:t>XXXXXXXXXXXXXXXXXXXXXXXXXX</w:t>
      </w:r>
    </w:p>
    <w:p w14:paraId="4085BA85" w14:textId="52CF2A62" w:rsidR="00176649" w:rsidRPr="005F0E98" w:rsidRDefault="00176649" w:rsidP="005F0E98">
      <w:pPr>
        <w:keepNext/>
        <w:contextualSpacing/>
        <w:rPr>
          <w:rFonts w:ascii="Arial Narrow" w:hAnsi="Arial Narrow"/>
          <w:sz w:val="20"/>
          <w:szCs w:val="20"/>
        </w:rPr>
      </w:pPr>
      <w:r w:rsidRPr="00176649">
        <w:rPr>
          <w:rFonts w:ascii="Arial Narrow" w:hAnsi="Arial Narrow"/>
          <w:sz w:val="20"/>
          <w:szCs w:val="20"/>
          <w:highlight w:val="black"/>
        </w:rPr>
        <w:t>XXXXXXXXXXXXXXXXXXXXXXXXXXXXXXXX</w:t>
      </w:r>
    </w:p>
    <w:p w14:paraId="0312FFEC" w14:textId="3BCEC8B9" w:rsidR="00E677DD" w:rsidRPr="005E22C2" w:rsidRDefault="00E677DD" w:rsidP="00CF5E22">
      <w:pPr>
        <w:pStyle w:val="Heading1"/>
      </w:pPr>
      <w:r w:rsidRPr="005E22C2">
        <w:t>Method</w:t>
      </w:r>
      <w:r w:rsidR="001B5D37" w:rsidRPr="005E22C2">
        <w:t>s</w:t>
      </w:r>
    </w:p>
    <w:p w14:paraId="15D08449" w14:textId="6075875E" w:rsidR="00326FCD" w:rsidRDefault="00326FCD" w:rsidP="00524D13">
      <w:r>
        <w:t>Data extracted from the PBS claims database maintained by the Department of Health</w:t>
      </w:r>
      <w:r w:rsidR="005C724A">
        <w:t xml:space="preserve"> and Aged Care</w:t>
      </w:r>
      <w:r>
        <w:t xml:space="preserve"> and processed by Services Australia were used for the analyses. Prescription data were extracted from when teduglutide was PBS listed </w:t>
      </w:r>
      <w:r w:rsidR="007C2ADA">
        <w:t xml:space="preserve">on </w:t>
      </w:r>
      <w:r>
        <w:t xml:space="preserve">1 October 2019 up to and including 31 December 2021. Data were extracted </w:t>
      </w:r>
      <w:r w:rsidRPr="00567FA6">
        <w:t xml:space="preserve">on </w:t>
      </w:r>
      <w:r w:rsidR="00567FA6" w:rsidRPr="00567FA6">
        <w:t>28 March</w:t>
      </w:r>
      <w:r w:rsidR="00072442" w:rsidRPr="00567FA6">
        <w:t xml:space="preserve"> </w:t>
      </w:r>
      <w:r w:rsidR="00B95FAC" w:rsidRPr="00567FA6">
        <w:t>2022</w:t>
      </w:r>
      <w:r w:rsidRPr="00567FA6">
        <w:t>.</w:t>
      </w:r>
      <w:r>
        <w:t xml:space="preserve"> </w:t>
      </w:r>
    </w:p>
    <w:p w14:paraId="42E3346E" w14:textId="6824710C" w:rsidR="00326FCD" w:rsidRDefault="00326FCD" w:rsidP="00524D13">
      <w:r>
        <w:t>Th</w:t>
      </w:r>
      <w:r w:rsidR="0009197B">
        <w:t>is</w:t>
      </w:r>
      <w:r>
        <w:t xml:space="preserve"> data </w:t>
      </w:r>
      <w:r w:rsidR="0009197B">
        <w:t>was</w:t>
      </w:r>
      <w:r>
        <w:t xml:space="preserve"> used to determine the number of </w:t>
      </w:r>
      <w:r w:rsidR="00B701FF">
        <w:t>initiating</w:t>
      </w:r>
      <w:r>
        <w:t xml:space="preserve"> and prevalent patients, number of prescriptions supplied</w:t>
      </w:r>
      <w:r w:rsidR="00C07A82">
        <w:t>, supply according to hospital type (based on item code)</w:t>
      </w:r>
      <w:r>
        <w:t xml:space="preserve"> and to analyse patient demographics such as age and gender. Initiating and prevalent patients were counted by quarter of supply. An initiating patient was defined based on their first date of supply of teduglutide. </w:t>
      </w:r>
    </w:p>
    <w:p w14:paraId="5B893C2E" w14:textId="1C2CBC3D" w:rsidR="00E3546E" w:rsidRDefault="00326FCD" w:rsidP="00524D13">
      <w:r>
        <w:t>The Kaplan-Meier method was used to analyse treatment duration with teduglutide, censoring patients that were still continuing treatment at the analysis end date. Patients were followed until 31 December 2021. Patients were censored if they received a supply within three sets of standard treatment days before the analysis end date.</w:t>
      </w:r>
    </w:p>
    <w:p w14:paraId="28092F40" w14:textId="18B50B11" w:rsidR="00326FCD" w:rsidRDefault="00326FCD" w:rsidP="00524D13">
      <w:r>
        <w:lastRenderedPageBreak/>
        <w:t xml:space="preserve">As this analysis uses date of supply prescription data, there may be small differences compared with publicly available </w:t>
      </w:r>
      <w:r w:rsidR="00D762AB">
        <w:t>Services Australia</w:t>
      </w:r>
      <w:r>
        <w:t xml:space="preserve"> Medicare date of processing data.</w:t>
      </w:r>
      <w:r w:rsidR="005654E4" w:rsidRPr="005654E4">
        <w:rPr>
          <w:rStyle w:val="FootnoteReference"/>
        </w:rPr>
        <w:t xml:space="preserve"> </w:t>
      </w:r>
      <w:r w:rsidR="005654E4">
        <w:rPr>
          <w:rStyle w:val="FootnoteReference"/>
        </w:rPr>
        <w:footnoteReference w:id="5"/>
      </w:r>
      <w:r w:rsidR="005654E4">
        <w:t xml:space="preserve"> The publicly available Medicare data only includes subsidised R/PBS prescriptions with prescriptions under the patient co-payment not included.  The Medicare data used in this report includes under co-payment prescriptions from 1 April 2012.</w:t>
      </w:r>
    </w:p>
    <w:p w14:paraId="7AFA540C" w14:textId="1C5E945C" w:rsidR="00872431" w:rsidRDefault="009D7E34" w:rsidP="00524D13">
      <w:r>
        <w:t>Additional data w</w:t>
      </w:r>
      <w:r w:rsidR="007C2ADA">
        <w:t>ere</w:t>
      </w:r>
      <w:r>
        <w:t xml:space="preserve"> extracted from the Authorities database maintained by Department of Health and processed by Services Australia. Teduglutide is an Authority Required (Written) listing where questions regarding the patient’s condition are answered by prescribing clinicians. Responses to these questions, such as the level of parenteral support</w:t>
      </w:r>
      <w:r w:rsidR="00880C20">
        <w:t>, and the number of patients treated under each treatment phase</w:t>
      </w:r>
      <w:r>
        <w:t xml:space="preserve"> were analysed.</w:t>
      </w:r>
    </w:p>
    <w:p w14:paraId="25FB8921" w14:textId="736E5D98" w:rsidR="00592B9A" w:rsidRDefault="00592B9A" w:rsidP="00524D13">
      <w:r>
        <w:t xml:space="preserve">Date of </w:t>
      </w:r>
      <w:r w:rsidR="00000F8F">
        <w:t>d</w:t>
      </w:r>
      <w:r>
        <w:t xml:space="preserve">eath data were </w:t>
      </w:r>
      <w:r w:rsidR="0034456C">
        <w:t xml:space="preserve">linked to </w:t>
      </w:r>
      <w:r w:rsidR="00000F8F">
        <w:t xml:space="preserve">the </w:t>
      </w:r>
      <w:r w:rsidR="0034456C">
        <w:t>PBS claims data</w:t>
      </w:r>
      <w:r w:rsidR="00880C20">
        <w:t xml:space="preserve"> </w:t>
      </w:r>
      <w:r w:rsidR="0034456C">
        <w:t xml:space="preserve">based on </w:t>
      </w:r>
      <w:r w:rsidR="00000F8F">
        <w:t xml:space="preserve">the unique </w:t>
      </w:r>
      <w:r w:rsidR="0034456C">
        <w:t xml:space="preserve">patient </w:t>
      </w:r>
      <w:r w:rsidR="00000F8F">
        <w:t>identifier</w:t>
      </w:r>
      <w:r>
        <w:t xml:space="preserve">. However, no deaths were identified in patients who were treated with teduglutide during the analysis period. </w:t>
      </w:r>
    </w:p>
    <w:p w14:paraId="4916E3D9" w14:textId="54930A91" w:rsidR="00326FCD" w:rsidRDefault="00326FCD" w:rsidP="00524D13">
      <w:r>
        <w:t>Data manipulation was undertaken using SAS.</w:t>
      </w:r>
    </w:p>
    <w:p w14:paraId="1D5D2AA5" w14:textId="77777777" w:rsidR="00F3273F" w:rsidRDefault="00F3273F">
      <w:pPr>
        <w:spacing w:line="276" w:lineRule="auto"/>
        <w:rPr>
          <w:rFonts w:eastAsiaTheme="majorEastAsia" w:cstheme="majorBidi"/>
          <w:b/>
          <w:bCs/>
          <w:sz w:val="32"/>
          <w:szCs w:val="32"/>
        </w:rPr>
      </w:pPr>
      <w:r>
        <w:br w:type="page"/>
      </w:r>
    </w:p>
    <w:p w14:paraId="4F91A98A" w14:textId="7542C3C4" w:rsidR="00C714D0" w:rsidRPr="005E22C2" w:rsidRDefault="00C714D0" w:rsidP="00CF5E22">
      <w:pPr>
        <w:pStyle w:val="Heading1"/>
      </w:pPr>
      <w:r w:rsidRPr="005E22C2">
        <w:lastRenderedPageBreak/>
        <w:t>Results</w:t>
      </w:r>
    </w:p>
    <w:p w14:paraId="2221FF19" w14:textId="336CE8B2" w:rsidR="00736041" w:rsidRPr="005E22C2" w:rsidRDefault="001B5D37" w:rsidP="00CF5E22">
      <w:pPr>
        <w:pStyle w:val="Heading2"/>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535CD55F" w14:textId="428E0126" w:rsidR="007748E1" w:rsidRDefault="00736041" w:rsidP="00AF6FF7">
      <w:pPr>
        <w:pStyle w:val="Heading3"/>
      </w:pPr>
      <w:r w:rsidRPr="005E22C2">
        <w:t>Overall utilisation</w:t>
      </w:r>
    </w:p>
    <w:p w14:paraId="5CCEE93E" w14:textId="7EFA0D5F" w:rsidR="007E787D" w:rsidRPr="007E787D" w:rsidRDefault="007E787D" w:rsidP="007E787D">
      <w:r>
        <w:t>From Figure 1, the number of prescriptions remained relatively stable</w:t>
      </w:r>
      <w:r w:rsidR="00163308">
        <w:t xml:space="preserve"> from since PBS listing</w:t>
      </w:r>
      <w:r>
        <w:t xml:space="preserve"> up to the second quarter of 2021, with an average of approximately </w:t>
      </w:r>
      <w:r w:rsidR="00950EB5">
        <w:t>60</w:t>
      </w:r>
      <w:r>
        <w:t xml:space="preserve"> prescriptions supplied per quarter. Following the extension </w:t>
      </w:r>
      <w:r w:rsidR="006F3123">
        <w:t xml:space="preserve">of the </w:t>
      </w:r>
      <w:r>
        <w:t xml:space="preserve">restriction </w:t>
      </w:r>
      <w:r w:rsidR="007C2ADA">
        <w:t xml:space="preserve">on September 2021 </w:t>
      </w:r>
      <w:r>
        <w:t xml:space="preserve">to allow use in </w:t>
      </w:r>
      <w:r w:rsidR="00567FA6">
        <w:t>paediatric</w:t>
      </w:r>
      <w:r>
        <w:t xml:space="preserve"> patients</w:t>
      </w:r>
      <w:r w:rsidR="006F3123">
        <w:t>,</w:t>
      </w:r>
      <w:r>
        <w:t xml:space="preserve"> the</w:t>
      </w:r>
      <w:r w:rsidR="007C2ADA">
        <w:t xml:space="preserve"> number of prescriptions supplied </w:t>
      </w:r>
      <w:r w:rsidR="00241C9C">
        <w:t xml:space="preserve">increased to approximately 90 prescriptions </w:t>
      </w:r>
      <w:r>
        <w:t xml:space="preserve">supplied per quarter. </w:t>
      </w:r>
    </w:p>
    <w:p w14:paraId="4B862140" w14:textId="09F6D2E0" w:rsidR="006C669F" w:rsidRDefault="007748E1" w:rsidP="006C669F">
      <w:pPr>
        <w:pStyle w:val="Figurecaption"/>
        <w:jc w:val="center"/>
      </w:pPr>
      <w:r>
        <w:rPr>
          <w:noProof/>
        </w:rPr>
        <w:drawing>
          <wp:inline distT="0" distB="0" distL="0" distR="0" wp14:anchorId="3FC2A01B" wp14:editId="3625E63E">
            <wp:extent cx="4442604" cy="2018581"/>
            <wp:effectExtent l="0" t="0" r="15240" b="1270"/>
            <wp:docPr id="1" name="Chart 1">
              <a:extLst xmlns:a="http://schemas.openxmlformats.org/drawingml/2006/main">
                <a:ext uri="{FF2B5EF4-FFF2-40B4-BE49-F238E27FC236}">
                  <a16:creationId xmlns:a16="http://schemas.microsoft.com/office/drawing/2014/main" id="{A927152A-CBE5-48F5-9DF6-EE8754FC950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AAE8EF0" w14:textId="77777777" w:rsidR="007748E1" w:rsidRDefault="007748E1" w:rsidP="007748E1">
      <w:pPr>
        <w:pStyle w:val="Tabletitle"/>
      </w:pPr>
      <w:r>
        <w:t xml:space="preserve">Figure 1: Number of teduglutide prescriptions supplied according to supply quarter </w:t>
      </w:r>
    </w:p>
    <w:p w14:paraId="6594AF0C" w14:textId="77777777" w:rsidR="004533C2" w:rsidRDefault="004533C2" w:rsidP="007E787D">
      <w:pPr>
        <w:pStyle w:val="Figurecaption"/>
        <w:rPr>
          <w:sz w:val="24"/>
          <w:szCs w:val="24"/>
        </w:rPr>
      </w:pPr>
    </w:p>
    <w:p w14:paraId="76250DC7" w14:textId="021F0294" w:rsidR="002B7739" w:rsidRDefault="007E787D" w:rsidP="007E787D">
      <w:pPr>
        <w:pStyle w:val="Figurecaption"/>
        <w:rPr>
          <w:sz w:val="24"/>
          <w:szCs w:val="24"/>
        </w:rPr>
      </w:pPr>
      <w:r>
        <w:rPr>
          <w:sz w:val="24"/>
          <w:szCs w:val="24"/>
        </w:rPr>
        <w:t xml:space="preserve">In Figure 2, </w:t>
      </w:r>
      <w:r w:rsidR="00E23121">
        <w:rPr>
          <w:sz w:val="24"/>
          <w:szCs w:val="24"/>
        </w:rPr>
        <w:t xml:space="preserve">the </w:t>
      </w:r>
      <w:r>
        <w:rPr>
          <w:sz w:val="24"/>
          <w:szCs w:val="24"/>
        </w:rPr>
        <w:t xml:space="preserve">number of patients treated with teduglutide </w:t>
      </w:r>
      <w:r w:rsidR="002B7739">
        <w:rPr>
          <w:sz w:val="24"/>
          <w:szCs w:val="24"/>
        </w:rPr>
        <w:t xml:space="preserve">is </w:t>
      </w:r>
      <w:r>
        <w:rPr>
          <w:sz w:val="24"/>
          <w:szCs w:val="24"/>
        </w:rPr>
        <w:t xml:space="preserve">increasing over time, with a steeper increase in the number of treated patients </w:t>
      </w:r>
      <w:r w:rsidR="002B7739">
        <w:rPr>
          <w:sz w:val="24"/>
          <w:szCs w:val="24"/>
        </w:rPr>
        <w:t xml:space="preserve">from 2021 onwards. </w:t>
      </w:r>
      <w:r w:rsidR="00E23121">
        <w:rPr>
          <w:sz w:val="24"/>
          <w:szCs w:val="24"/>
        </w:rPr>
        <w:t xml:space="preserve">Less than five patients initiated teduglutide treatment per supply quarter. </w:t>
      </w:r>
    </w:p>
    <w:p w14:paraId="426FC46C" w14:textId="77777777" w:rsidR="00E23121" w:rsidRPr="007E787D" w:rsidRDefault="00E23121" w:rsidP="007E787D">
      <w:pPr>
        <w:pStyle w:val="Figurecaption"/>
        <w:rPr>
          <w:sz w:val="24"/>
          <w:szCs w:val="24"/>
        </w:rPr>
      </w:pPr>
    </w:p>
    <w:p w14:paraId="5B93E1F0" w14:textId="46DC5961" w:rsidR="00416A4B" w:rsidRDefault="00416A4B" w:rsidP="007748E1">
      <w:pPr>
        <w:pStyle w:val="Figurecaption"/>
        <w:jc w:val="center"/>
      </w:pPr>
      <w:r>
        <w:rPr>
          <w:noProof/>
        </w:rPr>
        <w:drawing>
          <wp:inline distT="0" distB="0" distL="0" distR="0" wp14:anchorId="49AD2E69" wp14:editId="66FEA33A">
            <wp:extent cx="4554220" cy="2242868"/>
            <wp:effectExtent l="0" t="0" r="17780" b="5080"/>
            <wp:docPr id="2" name="Chart 2">
              <a:extLst xmlns:a="http://schemas.openxmlformats.org/drawingml/2006/main">
                <a:ext uri="{FF2B5EF4-FFF2-40B4-BE49-F238E27FC236}">
                  <a16:creationId xmlns:a16="http://schemas.microsoft.com/office/drawing/2014/main" id="{6176EF32-DF15-4C69-BCFB-B52F3118A386}"/>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FFA30F9" w14:textId="66641CBA" w:rsidR="00416A4B" w:rsidRDefault="00416A4B" w:rsidP="00416A4B">
      <w:pPr>
        <w:pStyle w:val="Tabletitle"/>
      </w:pPr>
      <w:r>
        <w:t xml:space="preserve">Figure 2: Number of prevalent </w:t>
      </w:r>
      <w:r w:rsidR="002B7739">
        <w:t xml:space="preserve">teduglutide </w:t>
      </w:r>
      <w:r>
        <w:t xml:space="preserve">patients by supply quarter </w:t>
      </w:r>
    </w:p>
    <w:p w14:paraId="29AF03E8" w14:textId="77777777" w:rsidR="00E23121" w:rsidRPr="00E23121" w:rsidRDefault="00E23121" w:rsidP="00E23121"/>
    <w:p w14:paraId="09F9D349" w14:textId="44036D44" w:rsidR="00736041" w:rsidRDefault="00736041" w:rsidP="00CF5E22">
      <w:pPr>
        <w:pStyle w:val="Heading3"/>
      </w:pPr>
      <w:r w:rsidRPr="005E22C2">
        <w:lastRenderedPageBreak/>
        <w:t>Utilisation by relevant sub-populations/regions</w:t>
      </w:r>
      <w:r w:rsidR="001B5D37" w:rsidRPr="005E22C2">
        <w:t xml:space="preserve"> or patient level analysis</w:t>
      </w:r>
    </w:p>
    <w:p w14:paraId="405977CE" w14:textId="7AE20FF4" w:rsidR="006C66AD" w:rsidRPr="006C66AD" w:rsidRDefault="006C66AD" w:rsidP="006C66AD">
      <w:r>
        <w:t xml:space="preserve">From Figure 3, the median </w:t>
      </w:r>
      <w:r w:rsidR="0009600B">
        <w:t xml:space="preserve">and mean </w:t>
      </w:r>
      <w:r>
        <w:t>age of patients initiating teduglutide treatment was 47 years</w:t>
      </w:r>
      <w:r w:rsidR="0009600B">
        <w:t xml:space="preserve"> and 43 years, respectively</w:t>
      </w:r>
      <w:r>
        <w:t xml:space="preserve">. </w:t>
      </w:r>
      <w:r w:rsidR="0009600B">
        <w:t>Patient age ranged from 2 to 78 years old. The 25</w:t>
      </w:r>
      <w:r w:rsidR="0009600B" w:rsidRPr="0009600B">
        <w:rPr>
          <w:vertAlign w:val="superscript"/>
        </w:rPr>
        <w:t>th</w:t>
      </w:r>
      <w:r w:rsidR="0009600B">
        <w:t xml:space="preserve"> and 75</w:t>
      </w:r>
      <w:r w:rsidR="0009600B" w:rsidRPr="0009600B">
        <w:rPr>
          <w:vertAlign w:val="superscript"/>
        </w:rPr>
        <w:t>th</w:t>
      </w:r>
      <w:r w:rsidR="0009600B">
        <w:t xml:space="preserve"> percentile of initiating patient age was 27 years and 61 years, respectively. </w:t>
      </w:r>
    </w:p>
    <w:p w14:paraId="2D1D0F1A" w14:textId="7B90BC58" w:rsidR="00416A4B" w:rsidRDefault="006C66AD" w:rsidP="006C66AD">
      <w:pPr>
        <w:jc w:val="center"/>
      </w:pPr>
      <w:r>
        <w:rPr>
          <w:noProof/>
        </w:rPr>
        <w:drawing>
          <wp:inline distT="0" distB="0" distL="0" distR="0" wp14:anchorId="7A967D24" wp14:editId="17B75F43">
            <wp:extent cx="3027871" cy="2270903"/>
            <wp:effectExtent l="0" t="0" r="1270" b="0"/>
            <wp:docPr id="6" name="Graphic 3">
              <a:extLst xmlns:a="http://schemas.openxmlformats.org/drawingml/2006/main">
                <a:ext uri="{FF2B5EF4-FFF2-40B4-BE49-F238E27FC236}">
                  <a16:creationId xmlns:a16="http://schemas.microsoft.com/office/drawing/2014/main" id="{BD2FD84A-275C-41FA-A617-AC8A304413EE}"/>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3">
                      <a:extLst>
                        <a:ext uri="{FF2B5EF4-FFF2-40B4-BE49-F238E27FC236}">
                          <a16:creationId xmlns:a16="http://schemas.microsoft.com/office/drawing/2014/main" id="{BD2FD84A-275C-41FA-A617-AC8A304413EE}"/>
                        </a:ext>
                        <a:ext uri="{C183D7F6-B498-43B3-948B-1728B52AA6E4}">
                          <adec:decorative xmlns:adec="http://schemas.microsoft.com/office/drawing/2017/decorative" val="1"/>
                        </a:ext>
                      </a:extLst>
                    </pic:cNvPr>
                    <pic:cNvPicPr>
                      <a:picLocks noChangeAspect="1"/>
                    </pic:cNvPicPr>
                  </pic:nvPicPr>
                  <pic:blipFill>
                    <a:blip r:embed="rId20">
                      <a:extLst>
                        <a:ext uri="{96DAC541-7B7A-43D3-8B79-37D633B846F1}">
                          <asvg:svgBlip xmlns:asvg="http://schemas.microsoft.com/office/drawing/2016/SVG/main" r:embed="rId21"/>
                        </a:ext>
                      </a:extLst>
                    </a:blip>
                    <a:stretch>
                      <a:fillRect/>
                    </a:stretch>
                  </pic:blipFill>
                  <pic:spPr>
                    <a:xfrm>
                      <a:off x="0" y="0"/>
                      <a:ext cx="3027871" cy="2270903"/>
                    </a:xfrm>
                    <a:prstGeom prst="rect">
                      <a:avLst/>
                    </a:prstGeom>
                  </pic:spPr>
                </pic:pic>
              </a:graphicData>
            </a:graphic>
          </wp:inline>
        </w:drawing>
      </w:r>
    </w:p>
    <w:p w14:paraId="09CD5D18" w14:textId="77777777" w:rsidR="00653F83" w:rsidRDefault="00653F83" w:rsidP="00653F83">
      <w:pPr>
        <w:pStyle w:val="Tabletitle"/>
        <w:rPr>
          <w:sz w:val="22"/>
          <w:szCs w:val="22"/>
        </w:rPr>
      </w:pPr>
      <w:r w:rsidRPr="00E57F90">
        <w:rPr>
          <w:sz w:val="22"/>
          <w:szCs w:val="22"/>
        </w:rPr>
        <w:t xml:space="preserve">Figure 3: Age distribution of initiating patients </w:t>
      </w:r>
      <w:r>
        <w:rPr>
          <w:sz w:val="22"/>
          <w:szCs w:val="22"/>
        </w:rPr>
        <w:t xml:space="preserve">since PBS listing October 2019 </w:t>
      </w:r>
    </w:p>
    <w:p w14:paraId="79A5D433" w14:textId="77777777" w:rsidR="00185632" w:rsidRDefault="00185632" w:rsidP="00C4174F">
      <w:pPr>
        <w:rPr>
          <w:sz w:val="20"/>
          <w:szCs w:val="20"/>
        </w:rPr>
      </w:pPr>
    </w:p>
    <w:p w14:paraId="2BF7E994" w14:textId="2D70DEEC" w:rsidR="00C4174F" w:rsidRDefault="00C4174F" w:rsidP="00C4174F">
      <w:r>
        <w:t xml:space="preserve">From Figure 4, the median age of initiating patients since PBS listing for females </w:t>
      </w:r>
      <w:r w:rsidR="001A7E20">
        <w:t xml:space="preserve">and males was 50 and </w:t>
      </w:r>
      <w:r>
        <w:t>39 years</w:t>
      </w:r>
      <w:r w:rsidR="001A7E20">
        <w:t>, respectively</w:t>
      </w:r>
      <w:r>
        <w:t xml:space="preserve">. </w:t>
      </w:r>
      <w:r w:rsidR="0009600B">
        <w:t xml:space="preserve">The mean age of females and males was 49 years and 37 years, respectively. </w:t>
      </w:r>
      <w:r>
        <w:t>There was wider age distribution for males compared to females</w:t>
      </w:r>
      <w:r w:rsidR="0009600B">
        <w:t xml:space="preserve">, the age of male patients ranged from 2 to 78 years old, whereas for female patients this ranged from 9 to 73 years old. </w:t>
      </w:r>
      <w:r w:rsidR="0085277F">
        <w:t>The 25</w:t>
      </w:r>
      <w:r w:rsidR="0085277F" w:rsidRPr="0085277F">
        <w:rPr>
          <w:vertAlign w:val="superscript"/>
        </w:rPr>
        <w:t>th</w:t>
      </w:r>
      <w:r w:rsidR="0085277F">
        <w:t xml:space="preserve"> and 75</w:t>
      </w:r>
      <w:r w:rsidR="0085277F" w:rsidRPr="0085277F">
        <w:rPr>
          <w:vertAlign w:val="superscript"/>
        </w:rPr>
        <w:t>th</w:t>
      </w:r>
      <w:r w:rsidR="0085277F">
        <w:t xml:space="preserve"> percentile for females was 40</w:t>
      </w:r>
      <w:r w:rsidR="009924B4">
        <w:t xml:space="preserve"> and 6</w:t>
      </w:r>
      <w:r w:rsidR="001A7E20">
        <w:t>2</w:t>
      </w:r>
      <w:r w:rsidR="009924B4">
        <w:t xml:space="preserve"> years, whereas for males this was </w:t>
      </w:r>
      <w:r w:rsidR="001A7E20">
        <w:t xml:space="preserve">7 and 60 years. </w:t>
      </w:r>
    </w:p>
    <w:p w14:paraId="60C8A363" w14:textId="77777777" w:rsidR="00C4174F" w:rsidRDefault="00C4174F" w:rsidP="00C4174F">
      <w:pPr>
        <w:jc w:val="center"/>
      </w:pPr>
      <w:r>
        <w:rPr>
          <w:noProof/>
        </w:rPr>
        <w:drawing>
          <wp:inline distT="0" distB="0" distL="0" distR="0" wp14:anchorId="4DA2A105" wp14:editId="51C8C594">
            <wp:extent cx="3303917" cy="2478033"/>
            <wp:effectExtent l="0" t="0" r="6985" b="0"/>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303917" cy="2478033"/>
                    </a:xfrm>
                    <a:prstGeom prst="rect">
                      <a:avLst/>
                    </a:prstGeom>
                  </pic:spPr>
                </pic:pic>
              </a:graphicData>
            </a:graphic>
          </wp:inline>
        </w:drawing>
      </w:r>
    </w:p>
    <w:p w14:paraId="4D5E0BCF" w14:textId="4B5102B4" w:rsidR="00C4174F" w:rsidRPr="004533C2" w:rsidRDefault="00C4174F" w:rsidP="004533C2">
      <w:pPr>
        <w:pStyle w:val="Tabletitle"/>
        <w:rPr>
          <w:sz w:val="22"/>
          <w:szCs w:val="22"/>
        </w:rPr>
      </w:pPr>
      <w:r w:rsidRPr="00E57F90">
        <w:rPr>
          <w:sz w:val="22"/>
          <w:szCs w:val="22"/>
        </w:rPr>
        <w:t xml:space="preserve">Figure </w:t>
      </w:r>
      <w:r>
        <w:rPr>
          <w:sz w:val="22"/>
          <w:szCs w:val="22"/>
        </w:rPr>
        <w:t>4</w:t>
      </w:r>
      <w:r w:rsidRPr="00E57F90">
        <w:rPr>
          <w:sz w:val="22"/>
          <w:szCs w:val="22"/>
        </w:rPr>
        <w:t xml:space="preserve">: Age and gender distribution of initiating </w:t>
      </w:r>
      <w:r>
        <w:rPr>
          <w:sz w:val="22"/>
          <w:szCs w:val="22"/>
        </w:rPr>
        <w:t xml:space="preserve">teduglutide </w:t>
      </w:r>
      <w:r w:rsidRPr="00E57F90">
        <w:rPr>
          <w:sz w:val="22"/>
          <w:szCs w:val="22"/>
        </w:rPr>
        <w:t xml:space="preserve">patients </w:t>
      </w:r>
      <w:r>
        <w:rPr>
          <w:sz w:val="22"/>
          <w:szCs w:val="22"/>
        </w:rPr>
        <w:t xml:space="preserve">since PBS listing </w:t>
      </w:r>
      <w:r w:rsidR="004533C2">
        <w:rPr>
          <w:sz w:val="22"/>
          <w:szCs w:val="22"/>
        </w:rPr>
        <w:t>(</w:t>
      </w:r>
      <w:r>
        <w:rPr>
          <w:sz w:val="22"/>
          <w:szCs w:val="22"/>
        </w:rPr>
        <w:t>October 2019</w:t>
      </w:r>
      <w:r w:rsidR="004533C2">
        <w:rPr>
          <w:sz w:val="22"/>
          <w:szCs w:val="22"/>
        </w:rPr>
        <w:t>)</w:t>
      </w:r>
    </w:p>
    <w:p w14:paraId="0BDF5A12" w14:textId="77777777" w:rsidR="00100154" w:rsidRDefault="00100154" w:rsidP="00D5742F"/>
    <w:p w14:paraId="1309A44C" w14:textId="4E9C062B" w:rsidR="003B5532" w:rsidRDefault="0020418B" w:rsidP="00D5742F">
      <w:r>
        <w:lastRenderedPageBreak/>
        <w:t>I</w:t>
      </w:r>
      <w:r w:rsidR="00581383">
        <w:t xml:space="preserve">n Figure </w:t>
      </w:r>
      <w:r w:rsidR="00C4174F">
        <w:t>5</w:t>
      </w:r>
      <w:r w:rsidR="007E787D">
        <w:t xml:space="preserve">, there was an older and wider age distribution </w:t>
      </w:r>
      <w:r w:rsidR="00E861D0">
        <w:t xml:space="preserve">of patients </w:t>
      </w:r>
      <w:r w:rsidR="007E787D">
        <w:t xml:space="preserve">before the restriction was extended to </w:t>
      </w:r>
      <w:r w:rsidR="00E861D0">
        <w:t xml:space="preserve">include </w:t>
      </w:r>
      <w:r w:rsidR="007E787D">
        <w:t>paediatric patients</w:t>
      </w:r>
      <w:r w:rsidR="002B7739">
        <w:t xml:space="preserve">. </w:t>
      </w:r>
    </w:p>
    <w:p w14:paraId="1765407A" w14:textId="5E75A93B" w:rsidR="00B03030" w:rsidRDefault="003B5532" w:rsidP="00D5742F">
      <w:r>
        <w:t>The median age of initiating patients before and after the restriction was ex</w:t>
      </w:r>
      <w:r w:rsidR="00E861D0">
        <w:t>tended</w:t>
      </w:r>
      <w:r>
        <w:t xml:space="preserve"> to</w:t>
      </w:r>
      <w:r w:rsidR="00E861D0">
        <w:t xml:space="preserve"> include</w:t>
      </w:r>
      <w:r>
        <w:t xml:space="preserve"> the paediatric population was </w:t>
      </w:r>
      <w:r w:rsidR="00B03030">
        <w:t xml:space="preserve">49 years old and </w:t>
      </w:r>
      <w:r>
        <w:t>7 years</w:t>
      </w:r>
      <w:r w:rsidR="00B03030">
        <w:t xml:space="preserve"> old, respectively. </w:t>
      </w:r>
      <w:r w:rsidR="001A7E20">
        <w:t xml:space="preserve">The mean age of patients before and after the restriction was extended to include the paediatric population was 46 years and 21 years, respectively. </w:t>
      </w:r>
    </w:p>
    <w:p w14:paraId="4A95D51F" w14:textId="1FD19EE3" w:rsidR="007E787D" w:rsidRPr="00D5742F" w:rsidRDefault="00B03030" w:rsidP="00D5742F">
      <w:r>
        <w:t xml:space="preserve">The age range of </w:t>
      </w:r>
      <w:r w:rsidR="00E861D0">
        <w:t xml:space="preserve">initiating </w:t>
      </w:r>
      <w:r>
        <w:t>patients before and after the restriction was ex</w:t>
      </w:r>
      <w:r w:rsidR="00E861D0">
        <w:t xml:space="preserve">tended to include the paediatric population </w:t>
      </w:r>
      <w:r>
        <w:t xml:space="preserve">was 4 to 78 years old and 2 to 47 years old, respectively. </w:t>
      </w:r>
      <w:r w:rsidR="00BD0F98">
        <w:t>The 25</w:t>
      </w:r>
      <w:r w:rsidR="00BD0F98" w:rsidRPr="00BD0F98">
        <w:rPr>
          <w:vertAlign w:val="superscript"/>
        </w:rPr>
        <w:t>th</w:t>
      </w:r>
      <w:r w:rsidR="00BD0F98">
        <w:t xml:space="preserve"> and 75</w:t>
      </w:r>
      <w:r w:rsidR="00BD0F98" w:rsidRPr="00BD0F98">
        <w:rPr>
          <w:vertAlign w:val="superscript"/>
        </w:rPr>
        <w:t>th</w:t>
      </w:r>
      <w:r w:rsidR="00BD0F98">
        <w:t xml:space="preserve"> percentile for patients who initiated before the restriction extension was 34 and 61 years, respectively. The 25</w:t>
      </w:r>
      <w:r w:rsidR="00BD0F98" w:rsidRPr="00BD0F98">
        <w:rPr>
          <w:vertAlign w:val="superscript"/>
        </w:rPr>
        <w:t>th</w:t>
      </w:r>
      <w:r w:rsidR="00BD0F98">
        <w:t xml:space="preserve"> and 75</w:t>
      </w:r>
      <w:r w:rsidR="00BD0F98" w:rsidRPr="00BD0F98">
        <w:rPr>
          <w:vertAlign w:val="superscript"/>
        </w:rPr>
        <w:t>th</w:t>
      </w:r>
      <w:r w:rsidR="00BD0F98">
        <w:t xml:space="preserve"> percentile in patients who initiated after the restriction extension was 7 and 42 years, respectively. </w:t>
      </w:r>
    </w:p>
    <w:p w14:paraId="7308AA50" w14:textId="790681C1" w:rsidR="006C66AD" w:rsidRDefault="006C66AD" w:rsidP="006C66AD">
      <w:pPr>
        <w:jc w:val="center"/>
        <w:rPr>
          <w:sz w:val="22"/>
          <w:szCs w:val="22"/>
        </w:rPr>
      </w:pPr>
      <w:r>
        <w:rPr>
          <w:noProof/>
        </w:rPr>
        <w:drawing>
          <wp:inline distT="0" distB="0" distL="0" distR="0" wp14:anchorId="09ACCE6A" wp14:editId="70CE51D2">
            <wp:extent cx="2940711" cy="2205615"/>
            <wp:effectExtent l="0" t="0" r="0" b="4445"/>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24">
                      <a:extLst>
                        <a:ext uri="{96DAC541-7B7A-43D3-8B79-37D633B846F1}">
                          <asvg:svgBlip xmlns:asvg="http://schemas.microsoft.com/office/drawing/2016/SVG/main" r:embed="rId25"/>
                        </a:ext>
                      </a:extLst>
                    </a:blip>
                    <a:stretch>
                      <a:fillRect/>
                    </a:stretch>
                  </pic:blipFill>
                  <pic:spPr>
                    <a:xfrm>
                      <a:off x="0" y="0"/>
                      <a:ext cx="3036453" cy="2277424"/>
                    </a:xfrm>
                    <a:prstGeom prst="rect">
                      <a:avLst/>
                    </a:prstGeom>
                  </pic:spPr>
                </pic:pic>
              </a:graphicData>
            </a:graphic>
          </wp:inline>
        </w:drawing>
      </w:r>
    </w:p>
    <w:p w14:paraId="1E1FC79C" w14:textId="7DD2C4BA" w:rsidR="006C66AD" w:rsidRPr="00E57F90" w:rsidRDefault="006C66AD" w:rsidP="006C66AD">
      <w:pPr>
        <w:pStyle w:val="Tabletitle"/>
        <w:rPr>
          <w:sz w:val="22"/>
          <w:szCs w:val="22"/>
        </w:rPr>
      </w:pPr>
      <w:r>
        <w:rPr>
          <w:sz w:val="22"/>
          <w:szCs w:val="22"/>
        </w:rPr>
        <w:t xml:space="preserve">Figure </w:t>
      </w:r>
      <w:r w:rsidR="00C4174F">
        <w:rPr>
          <w:sz w:val="22"/>
          <w:szCs w:val="22"/>
        </w:rPr>
        <w:t>5</w:t>
      </w:r>
      <w:r>
        <w:rPr>
          <w:sz w:val="22"/>
          <w:szCs w:val="22"/>
        </w:rPr>
        <w:t>: Comparison of the age distribution of initiating</w:t>
      </w:r>
      <w:r w:rsidR="00C4174F">
        <w:rPr>
          <w:sz w:val="22"/>
          <w:szCs w:val="22"/>
        </w:rPr>
        <w:t xml:space="preserve"> teduglutide</w:t>
      </w:r>
      <w:r>
        <w:rPr>
          <w:sz w:val="22"/>
          <w:szCs w:val="22"/>
        </w:rPr>
        <w:t xml:space="preserve"> patients before and after extending the restriction to paediatric patients </w:t>
      </w:r>
      <w:r w:rsidR="00B03030">
        <w:rPr>
          <w:sz w:val="22"/>
          <w:szCs w:val="22"/>
        </w:rPr>
        <w:t>on September 2021</w:t>
      </w:r>
    </w:p>
    <w:p w14:paraId="519EA212" w14:textId="77777777" w:rsidR="00586720" w:rsidRDefault="00586720" w:rsidP="00494000"/>
    <w:p w14:paraId="20283033" w14:textId="6C16119A" w:rsidR="00653F83" w:rsidRDefault="00653F83" w:rsidP="00653F83">
      <w:r>
        <w:t xml:space="preserve">The </w:t>
      </w:r>
      <w:r w:rsidR="00CF4599">
        <w:t>re</w:t>
      </w:r>
      <w:r>
        <w:t xml:space="preserve">submission </w:t>
      </w:r>
      <w:r w:rsidRPr="005C724A">
        <w:t>assumed 100% of patients</w:t>
      </w:r>
      <w:r>
        <w:t xml:space="preserve"> would be treated in a public hospital. Treatment must be under the supervision and direction of a medical specialist with experience in the management of patients with SBS-IF. All SBS multidisciplinary teams are </w:t>
      </w:r>
      <w:r w:rsidR="00100154">
        <w:t xml:space="preserve">based </w:t>
      </w:r>
      <w:r>
        <w:t xml:space="preserve">in public hospitals in Australia. </w:t>
      </w:r>
    </w:p>
    <w:p w14:paraId="0B3AC4F5" w14:textId="77777777" w:rsidR="00BD0F98" w:rsidRDefault="00BD0F98">
      <w:pPr>
        <w:spacing w:line="276" w:lineRule="auto"/>
      </w:pPr>
      <w:r>
        <w:br w:type="page"/>
      </w:r>
    </w:p>
    <w:p w14:paraId="3D241807" w14:textId="47C9291B" w:rsidR="003C73E4" w:rsidRPr="00FB21F6" w:rsidRDefault="00C4174F" w:rsidP="00FB21F6">
      <w:r>
        <w:lastRenderedPageBreak/>
        <w:t>Figure 6 shows t</w:t>
      </w:r>
      <w:r w:rsidR="00FB21F6">
        <w:t xml:space="preserve">he number of prescriptions supplied </w:t>
      </w:r>
      <w:r>
        <w:t>according to hospital setting</w:t>
      </w:r>
      <w:r w:rsidR="00FB21F6">
        <w:t xml:space="preserve"> and based on item code</w:t>
      </w:r>
      <w:r>
        <w:t xml:space="preserve">. </w:t>
      </w:r>
      <w:r w:rsidR="000A4E1F">
        <w:t xml:space="preserve"> </w:t>
      </w:r>
      <w:r>
        <w:t xml:space="preserve">Since PBS listing, </w:t>
      </w:r>
      <w:r w:rsidR="00FB21F6">
        <w:t xml:space="preserve">the number of prescriptions supplied at </w:t>
      </w:r>
      <w:r w:rsidR="000A4E1F">
        <w:t xml:space="preserve">public hospitals accounted for a greater proportion compared to private hospitals. </w:t>
      </w:r>
    </w:p>
    <w:p w14:paraId="13574D9C" w14:textId="20801C6C" w:rsidR="00FB21F6" w:rsidRDefault="00FB21F6" w:rsidP="00494000">
      <w:pPr>
        <w:jc w:val="center"/>
        <w:rPr>
          <w:sz w:val="22"/>
          <w:szCs w:val="22"/>
        </w:rPr>
      </w:pPr>
      <w:r>
        <w:rPr>
          <w:noProof/>
        </w:rPr>
        <w:drawing>
          <wp:inline distT="0" distB="0" distL="0" distR="0" wp14:anchorId="6DCF0F02" wp14:editId="1E50B2FB">
            <wp:extent cx="4476902" cy="1741018"/>
            <wp:effectExtent l="0" t="0" r="0" b="12065"/>
            <wp:docPr id="10" name="Chart 10">
              <a:extLst xmlns:a="http://schemas.openxmlformats.org/drawingml/2006/main">
                <a:ext uri="{FF2B5EF4-FFF2-40B4-BE49-F238E27FC236}">
                  <a16:creationId xmlns:a16="http://schemas.microsoft.com/office/drawing/2014/main" id="{24E811B5-C66E-4878-97AC-5AC9168F24A3}"/>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8E961D9" w14:textId="06C7C039" w:rsidR="00100154" w:rsidRDefault="003C73E4" w:rsidP="00100154">
      <w:pPr>
        <w:pStyle w:val="Tabletitle"/>
        <w:rPr>
          <w:sz w:val="22"/>
          <w:szCs w:val="22"/>
        </w:rPr>
      </w:pPr>
      <w:r w:rsidRPr="00E57F90">
        <w:rPr>
          <w:sz w:val="22"/>
          <w:szCs w:val="22"/>
        </w:rPr>
        <w:t xml:space="preserve">Figure </w:t>
      </w:r>
      <w:r w:rsidR="00494000">
        <w:rPr>
          <w:sz w:val="22"/>
          <w:szCs w:val="22"/>
        </w:rPr>
        <w:t>6</w:t>
      </w:r>
      <w:r>
        <w:rPr>
          <w:sz w:val="22"/>
          <w:szCs w:val="22"/>
        </w:rPr>
        <w:t xml:space="preserve">: Number of teduglutide </w:t>
      </w:r>
      <w:r w:rsidR="00FB21F6">
        <w:rPr>
          <w:sz w:val="22"/>
          <w:szCs w:val="22"/>
        </w:rPr>
        <w:t>prescription</w:t>
      </w:r>
      <w:r>
        <w:rPr>
          <w:sz w:val="22"/>
          <w:szCs w:val="22"/>
        </w:rPr>
        <w:t xml:space="preserve">s according to hospital setting </w:t>
      </w:r>
    </w:p>
    <w:p w14:paraId="303681EE" w14:textId="77777777" w:rsidR="00FB21F6" w:rsidRPr="0020418B" w:rsidRDefault="00FB21F6" w:rsidP="0020418B"/>
    <w:p w14:paraId="10907A36" w14:textId="3FD9658C" w:rsidR="00045FDB" w:rsidRDefault="00045FDB" w:rsidP="00A35800">
      <w:r>
        <w:t xml:space="preserve">From Figure 7, the most common time to resupply teduglutide was 28 </w:t>
      </w:r>
      <w:r w:rsidR="00917103">
        <w:t xml:space="preserve">days, </w:t>
      </w:r>
      <w:r w:rsidR="000678BD">
        <w:t xml:space="preserve">which corresponds </w:t>
      </w:r>
      <w:r w:rsidR="00917103">
        <w:t>to the number of vials in a</w:t>
      </w:r>
      <w:r w:rsidR="000678BD">
        <w:t xml:space="preserve"> pack of</w:t>
      </w:r>
      <w:r w:rsidR="00917103">
        <w:t xml:space="preserve"> teduglutid</w:t>
      </w:r>
      <w:r w:rsidR="000678BD">
        <w:t>e</w:t>
      </w:r>
      <w:r w:rsidR="00375FB2">
        <w:t xml:space="preserve">. </w:t>
      </w:r>
    </w:p>
    <w:p w14:paraId="6C99BBE9" w14:textId="1CB46FE6" w:rsidR="001A191E" w:rsidRDefault="001A191E" w:rsidP="00E57F90">
      <w:pPr>
        <w:jc w:val="center"/>
      </w:pPr>
      <w:r>
        <w:rPr>
          <w:noProof/>
        </w:rPr>
        <w:drawing>
          <wp:inline distT="0" distB="0" distL="0" distR="0" wp14:anchorId="54D7A497" wp14:editId="18EF1676">
            <wp:extent cx="4770755" cy="2340864"/>
            <wp:effectExtent l="0" t="0" r="10795" b="2540"/>
            <wp:docPr id="7" name="Chart 7">
              <a:extLst xmlns:a="http://schemas.openxmlformats.org/drawingml/2006/main">
                <a:ext uri="{FF2B5EF4-FFF2-40B4-BE49-F238E27FC236}">
                  <a16:creationId xmlns:a16="http://schemas.microsoft.com/office/drawing/2014/main" id="{08DD3C7C-CE81-40D1-9D20-361569109D45}"/>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434DEAF" w14:textId="6B4FBFDB" w:rsidR="00045FDB" w:rsidRPr="00045FDB" w:rsidRDefault="00355631" w:rsidP="00045FDB">
      <w:pPr>
        <w:pStyle w:val="Tabletitle"/>
        <w:rPr>
          <w:sz w:val="22"/>
        </w:rPr>
      </w:pPr>
      <w:r w:rsidRPr="00355631">
        <w:rPr>
          <w:sz w:val="22"/>
          <w:szCs w:val="22"/>
        </w:rPr>
        <w:t xml:space="preserve">Figure </w:t>
      </w:r>
      <w:r w:rsidR="00494000">
        <w:rPr>
          <w:sz w:val="22"/>
          <w:szCs w:val="22"/>
        </w:rPr>
        <w:t>7</w:t>
      </w:r>
      <w:r w:rsidRPr="00355631">
        <w:rPr>
          <w:sz w:val="22"/>
          <w:szCs w:val="22"/>
        </w:rPr>
        <w:t>:</w:t>
      </w:r>
      <w:r>
        <w:t xml:space="preserve"> </w:t>
      </w:r>
      <w:r>
        <w:rPr>
          <w:sz w:val="22"/>
        </w:rPr>
        <w:t>Time to refill teduglutide prescriptions</w:t>
      </w:r>
    </w:p>
    <w:p w14:paraId="0DB5B131" w14:textId="77777777" w:rsidR="0086412E" w:rsidRDefault="0086412E" w:rsidP="00A35800"/>
    <w:p w14:paraId="5D19F3C4" w14:textId="0A2308C2" w:rsidR="00045FDB" w:rsidRDefault="00045FDB" w:rsidP="00A35800">
      <w:r>
        <w:t>The data were too immature to fully analyse the time on</w:t>
      </w:r>
      <w:r w:rsidR="00145198">
        <w:t xml:space="preserve"> </w:t>
      </w:r>
      <w:r w:rsidR="00461D5E">
        <w:t>teduglutide</w:t>
      </w:r>
      <w:r>
        <w:t xml:space="preserve">, with a median time on therapy not being reached within 27 months from first listing. Of the 38 patients who initiated teduglutide treatment between 1 October 2019 and 31 December 2021, 86.8% patients were censored at </w:t>
      </w:r>
      <w:r w:rsidR="00461D5E">
        <w:t xml:space="preserve">the </w:t>
      </w:r>
      <w:r>
        <w:t>analysis end date</w:t>
      </w:r>
      <w:r w:rsidR="008651E8">
        <w:t xml:space="preserve"> (Figure 8)</w:t>
      </w:r>
      <w:r>
        <w:t>.</w:t>
      </w:r>
    </w:p>
    <w:p w14:paraId="54165545" w14:textId="4DB8DC6D" w:rsidR="00072442" w:rsidRDefault="00EC47DF" w:rsidP="00EC47DF">
      <w:pPr>
        <w:jc w:val="center"/>
      </w:pPr>
      <w:r>
        <w:rPr>
          <w:noProof/>
        </w:rPr>
        <w:lastRenderedPageBreak/>
        <w:drawing>
          <wp:inline distT="0" distB="0" distL="0" distR="0" wp14:anchorId="47ED26C0" wp14:editId="273D6717">
            <wp:extent cx="3786996" cy="2840351"/>
            <wp:effectExtent l="0" t="0" r="4445" b="0"/>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28">
                      <a:extLst>
                        <a:ext uri="{96DAC541-7B7A-43D3-8B79-37D633B846F1}">
                          <asvg:svgBlip xmlns:asvg="http://schemas.microsoft.com/office/drawing/2016/SVG/main" r:embed="rId29"/>
                        </a:ext>
                      </a:extLst>
                    </a:blip>
                    <a:stretch>
                      <a:fillRect/>
                    </a:stretch>
                  </pic:blipFill>
                  <pic:spPr>
                    <a:xfrm>
                      <a:off x="0" y="0"/>
                      <a:ext cx="3843294" cy="2882576"/>
                    </a:xfrm>
                    <a:prstGeom prst="rect">
                      <a:avLst/>
                    </a:prstGeom>
                  </pic:spPr>
                </pic:pic>
              </a:graphicData>
            </a:graphic>
          </wp:inline>
        </w:drawing>
      </w:r>
    </w:p>
    <w:p w14:paraId="2EC0B504" w14:textId="3362AB88" w:rsidR="00072442" w:rsidRDefault="00072442" w:rsidP="00072442">
      <w:pPr>
        <w:pStyle w:val="Tabletitle"/>
        <w:rPr>
          <w:sz w:val="22"/>
        </w:rPr>
      </w:pPr>
      <w:r w:rsidRPr="00355631">
        <w:rPr>
          <w:sz w:val="22"/>
          <w:szCs w:val="22"/>
        </w:rPr>
        <w:t xml:space="preserve">Figure </w:t>
      </w:r>
      <w:r w:rsidR="00494000">
        <w:rPr>
          <w:sz w:val="22"/>
          <w:szCs w:val="22"/>
        </w:rPr>
        <w:t>8</w:t>
      </w:r>
      <w:r w:rsidRPr="00355631">
        <w:rPr>
          <w:sz w:val="22"/>
          <w:szCs w:val="22"/>
        </w:rPr>
        <w:t>:</w:t>
      </w:r>
      <w:r>
        <w:t xml:space="preserve"> </w:t>
      </w:r>
      <w:r>
        <w:rPr>
          <w:sz w:val="22"/>
        </w:rPr>
        <w:t>Kaplan</w:t>
      </w:r>
      <w:r w:rsidR="003C00E0">
        <w:rPr>
          <w:sz w:val="22"/>
        </w:rPr>
        <w:t>-</w:t>
      </w:r>
      <w:r>
        <w:rPr>
          <w:sz w:val="22"/>
        </w:rPr>
        <w:t xml:space="preserve">Meier curve of </w:t>
      </w:r>
      <w:r w:rsidR="00F9588D">
        <w:rPr>
          <w:sz w:val="22"/>
        </w:rPr>
        <w:t xml:space="preserve">time of supply of </w:t>
      </w:r>
      <w:r>
        <w:rPr>
          <w:sz w:val="22"/>
        </w:rPr>
        <w:t xml:space="preserve">teduglutide treatment in patients who were followed to 31 December 2021 </w:t>
      </w:r>
    </w:p>
    <w:p w14:paraId="61F6918B" w14:textId="77777777" w:rsidR="002011D7" w:rsidRDefault="002011D7" w:rsidP="002011D7"/>
    <w:p w14:paraId="53E5DD02" w14:textId="05C783DD" w:rsidR="002011D7" w:rsidRDefault="002011D7" w:rsidP="002011D7">
      <w:r>
        <w:t xml:space="preserve">At its March 2019 meeting, the PBAC noted the resubmission had significantly revised the restriction to restrict to patients most likely to achieve a clinically meaningful benefit. The initiation criteria were revised to limit use of teduglutide to patients who have a history of dependence on parenteral support for at least 12 months, require ≥ 3 days per week of parenteral support, and have stable parenteral support requirements for at least four consecutive weeks prior to initiating teduglutide. </w:t>
      </w:r>
    </w:p>
    <w:p w14:paraId="345C79C2" w14:textId="3D43C996" w:rsidR="002011D7" w:rsidRDefault="00CA212F" w:rsidP="002011D7">
      <w:r>
        <w:t>Referring to</w:t>
      </w:r>
      <w:r w:rsidR="002011D7">
        <w:t xml:space="preserve"> Table 3 below, patients had an average of 72 months of dependence on parenteral support and received an average of 6 days per week for 4 consecutive weeks o</w:t>
      </w:r>
      <w:r>
        <w:t>f</w:t>
      </w:r>
      <w:r w:rsidR="002011D7">
        <w:t xml:space="preserve"> parenteral support prior to teduglutide initiation. </w:t>
      </w:r>
    </w:p>
    <w:p w14:paraId="5AB7CDC2" w14:textId="308B43F8" w:rsidR="002011D7" w:rsidRDefault="002011D7" w:rsidP="002011D7">
      <w:pPr>
        <w:pStyle w:val="Tabletitle"/>
      </w:pPr>
      <w:r>
        <w:t>Table 3</w:t>
      </w:r>
      <w:r w:rsidRPr="004F057D">
        <w:t>:</w:t>
      </w:r>
      <w:r>
        <w:t xml:space="preserve"> Mean days of parenteral support reported in </w:t>
      </w:r>
      <w:r w:rsidR="00126B2D">
        <w:t xml:space="preserve">approved </w:t>
      </w:r>
      <w:r>
        <w:t xml:space="preserve">initial teduglutide authority applications </w:t>
      </w:r>
    </w:p>
    <w:tbl>
      <w:tblPr>
        <w:tblStyle w:val="TableGrid"/>
        <w:tblW w:w="8926" w:type="dxa"/>
        <w:tblLook w:val="04A0" w:firstRow="1" w:lastRow="0" w:firstColumn="1" w:lastColumn="0" w:noHBand="0" w:noVBand="1"/>
      </w:tblPr>
      <w:tblGrid>
        <w:gridCol w:w="5665"/>
        <w:gridCol w:w="1087"/>
        <w:gridCol w:w="1087"/>
        <w:gridCol w:w="1087"/>
      </w:tblGrid>
      <w:tr w:rsidR="00A97B22" w:rsidRPr="00BC04DC" w14:paraId="68C12542" w14:textId="77777777" w:rsidTr="00634507">
        <w:trPr>
          <w:trHeight w:val="238"/>
        </w:trPr>
        <w:tc>
          <w:tcPr>
            <w:tcW w:w="5665" w:type="dxa"/>
            <w:shd w:val="clear" w:color="auto" w:fill="BFBFBF" w:themeFill="background1" w:themeFillShade="BF"/>
          </w:tcPr>
          <w:p w14:paraId="585D73DA" w14:textId="77777777" w:rsidR="00A97B22" w:rsidRPr="00BC04DC" w:rsidRDefault="00A97B22" w:rsidP="00F50954">
            <w:pPr>
              <w:pStyle w:val="Tabletitle"/>
              <w:spacing w:before="0"/>
              <w:rPr>
                <w:sz w:val="22"/>
                <w:szCs w:val="22"/>
              </w:rPr>
            </w:pPr>
          </w:p>
        </w:tc>
        <w:tc>
          <w:tcPr>
            <w:tcW w:w="1087" w:type="dxa"/>
            <w:shd w:val="clear" w:color="auto" w:fill="BFBFBF" w:themeFill="background1" w:themeFillShade="BF"/>
          </w:tcPr>
          <w:p w14:paraId="69AEE72F" w14:textId="77777777" w:rsidR="00A97B22" w:rsidRPr="00BC04DC" w:rsidRDefault="00A97B22" w:rsidP="00F50954">
            <w:pPr>
              <w:pStyle w:val="Tabletitle"/>
              <w:spacing w:before="0"/>
              <w:jc w:val="center"/>
              <w:rPr>
                <w:sz w:val="22"/>
                <w:szCs w:val="22"/>
              </w:rPr>
            </w:pPr>
            <w:r w:rsidRPr="00BC04DC">
              <w:rPr>
                <w:sz w:val="22"/>
                <w:szCs w:val="22"/>
              </w:rPr>
              <w:t>Mean</w:t>
            </w:r>
          </w:p>
        </w:tc>
        <w:tc>
          <w:tcPr>
            <w:tcW w:w="1087" w:type="dxa"/>
            <w:shd w:val="clear" w:color="auto" w:fill="BFBFBF" w:themeFill="background1" w:themeFillShade="BF"/>
          </w:tcPr>
          <w:p w14:paraId="6A7A3ADC" w14:textId="01EAC531" w:rsidR="00A97B22" w:rsidRPr="00AC0545" w:rsidRDefault="00AC0545" w:rsidP="00F50954">
            <w:pPr>
              <w:pStyle w:val="Tabletitle"/>
              <w:spacing w:before="0"/>
              <w:jc w:val="center"/>
              <w:rPr>
                <w:bCs/>
                <w:sz w:val="22"/>
                <w:szCs w:val="22"/>
              </w:rPr>
            </w:pPr>
            <w:r w:rsidRPr="00AC0545">
              <w:rPr>
                <w:bCs/>
                <w:sz w:val="22"/>
                <w:szCs w:val="22"/>
              </w:rPr>
              <w:t xml:space="preserve">Median </w:t>
            </w:r>
          </w:p>
        </w:tc>
        <w:tc>
          <w:tcPr>
            <w:tcW w:w="1087" w:type="dxa"/>
            <w:shd w:val="clear" w:color="auto" w:fill="BFBFBF" w:themeFill="background1" w:themeFillShade="BF"/>
          </w:tcPr>
          <w:p w14:paraId="14324D03" w14:textId="5F28EB0C" w:rsidR="00A97B22" w:rsidRPr="00BC04DC" w:rsidRDefault="00AC0545" w:rsidP="00F50954">
            <w:pPr>
              <w:pStyle w:val="Tabletitle"/>
              <w:spacing w:before="0"/>
              <w:jc w:val="center"/>
              <w:rPr>
                <w:sz w:val="22"/>
                <w:szCs w:val="22"/>
              </w:rPr>
            </w:pPr>
            <w:r>
              <w:rPr>
                <w:sz w:val="22"/>
                <w:szCs w:val="22"/>
              </w:rPr>
              <w:t xml:space="preserve">Range </w:t>
            </w:r>
          </w:p>
        </w:tc>
      </w:tr>
      <w:tr w:rsidR="00A97B22" w:rsidRPr="00BC04DC" w14:paraId="0DC6F0D9" w14:textId="77777777" w:rsidTr="00634507">
        <w:trPr>
          <w:trHeight w:val="238"/>
        </w:trPr>
        <w:tc>
          <w:tcPr>
            <w:tcW w:w="5665" w:type="dxa"/>
          </w:tcPr>
          <w:p w14:paraId="54BF4585" w14:textId="63FC5AE9" w:rsidR="00A97B22" w:rsidRPr="00BC04DC" w:rsidRDefault="00A97B22" w:rsidP="00F50954">
            <w:pPr>
              <w:rPr>
                <w:rFonts w:ascii="Calibri" w:hAnsi="Calibri" w:cs="Calibri"/>
                <w:color w:val="000000"/>
                <w:sz w:val="22"/>
                <w:szCs w:val="22"/>
              </w:rPr>
            </w:pPr>
            <w:r w:rsidRPr="00BC04DC">
              <w:rPr>
                <w:rFonts w:ascii="Calibri" w:hAnsi="Calibri" w:cs="Calibri"/>
                <w:color w:val="000000"/>
                <w:sz w:val="22"/>
                <w:szCs w:val="22"/>
              </w:rPr>
              <w:t>The duration in months of prior dependence of parenteral support</w:t>
            </w:r>
            <w:r w:rsidR="00AC0545">
              <w:rPr>
                <w:rFonts w:ascii="Calibri" w:hAnsi="Calibri" w:cs="Calibri"/>
                <w:color w:val="000000"/>
                <w:sz w:val="22"/>
                <w:szCs w:val="22"/>
              </w:rPr>
              <w:t>.</w:t>
            </w:r>
            <w:r w:rsidRPr="00BC04DC">
              <w:rPr>
                <w:rFonts w:ascii="Calibri" w:hAnsi="Calibri" w:cs="Calibri"/>
                <w:color w:val="000000"/>
                <w:sz w:val="22"/>
                <w:szCs w:val="22"/>
              </w:rPr>
              <w:t xml:space="preserve"> </w:t>
            </w:r>
          </w:p>
        </w:tc>
        <w:tc>
          <w:tcPr>
            <w:tcW w:w="1087" w:type="dxa"/>
            <w:shd w:val="clear" w:color="auto" w:fill="auto"/>
          </w:tcPr>
          <w:p w14:paraId="123D04F8" w14:textId="6944EFD3" w:rsidR="00A97B22" w:rsidRPr="00BC04DC" w:rsidRDefault="00AC0545" w:rsidP="00F50954">
            <w:pPr>
              <w:pStyle w:val="Tabletitle"/>
              <w:spacing w:before="0"/>
              <w:jc w:val="center"/>
              <w:rPr>
                <w:b w:val="0"/>
                <w:sz w:val="22"/>
                <w:szCs w:val="22"/>
              </w:rPr>
            </w:pPr>
            <w:r w:rsidRPr="00BC04DC">
              <w:rPr>
                <w:b w:val="0"/>
                <w:sz w:val="22"/>
                <w:szCs w:val="22"/>
              </w:rPr>
              <w:t>72 months</w:t>
            </w:r>
          </w:p>
        </w:tc>
        <w:tc>
          <w:tcPr>
            <w:tcW w:w="1087" w:type="dxa"/>
            <w:shd w:val="clear" w:color="auto" w:fill="auto"/>
          </w:tcPr>
          <w:p w14:paraId="49F469FF" w14:textId="31154530" w:rsidR="00A97B22" w:rsidRPr="00BC04DC" w:rsidRDefault="00AC0545" w:rsidP="00F50954">
            <w:pPr>
              <w:pStyle w:val="Tabletitle"/>
              <w:spacing w:before="0"/>
              <w:jc w:val="center"/>
              <w:rPr>
                <w:b w:val="0"/>
                <w:sz w:val="22"/>
                <w:szCs w:val="22"/>
              </w:rPr>
            </w:pPr>
            <w:r>
              <w:rPr>
                <w:b w:val="0"/>
                <w:sz w:val="22"/>
                <w:szCs w:val="22"/>
              </w:rPr>
              <w:t xml:space="preserve">52 months </w:t>
            </w:r>
          </w:p>
        </w:tc>
        <w:tc>
          <w:tcPr>
            <w:tcW w:w="1087" w:type="dxa"/>
            <w:shd w:val="clear" w:color="auto" w:fill="auto"/>
          </w:tcPr>
          <w:p w14:paraId="48DAD269" w14:textId="70BD6BBE" w:rsidR="00A97B22" w:rsidRPr="00BC04DC" w:rsidRDefault="00AC0545" w:rsidP="00F50954">
            <w:pPr>
              <w:pStyle w:val="Tabletitle"/>
              <w:spacing w:before="0"/>
              <w:jc w:val="center"/>
              <w:rPr>
                <w:b w:val="0"/>
                <w:sz w:val="22"/>
                <w:szCs w:val="22"/>
              </w:rPr>
            </w:pPr>
            <w:r>
              <w:rPr>
                <w:b w:val="0"/>
                <w:sz w:val="22"/>
                <w:szCs w:val="22"/>
              </w:rPr>
              <w:t xml:space="preserve">12-384 months </w:t>
            </w:r>
          </w:p>
        </w:tc>
      </w:tr>
      <w:tr w:rsidR="00A97B22" w:rsidRPr="00BC04DC" w14:paraId="4CD2F925" w14:textId="77777777" w:rsidTr="00634507">
        <w:trPr>
          <w:trHeight w:val="238"/>
        </w:trPr>
        <w:tc>
          <w:tcPr>
            <w:tcW w:w="5665" w:type="dxa"/>
          </w:tcPr>
          <w:p w14:paraId="24125B1F" w14:textId="77777777" w:rsidR="00A97B22" w:rsidRPr="00BC04DC" w:rsidRDefault="00A97B22" w:rsidP="00F50954">
            <w:pPr>
              <w:rPr>
                <w:rFonts w:ascii="Calibri" w:hAnsi="Calibri" w:cs="Calibri"/>
                <w:color w:val="000000"/>
                <w:sz w:val="22"/>
                <w:szCs w:val="22"/>
              </w:rPr>
            </w:pPr>
            <w:r w:rsidRPr="00BC04DC">
              <w:rPr>
                <w:rFonts w:ascii="Calibri" w:hAnsi="Calibri" w:cs="Calibri"/>
                <w:color w:val="000000"/>
                <w:sz w:val="22"/>
                <w:szCs w:val="22"/>
              </w:rPr>
              <w:t>The baseline mean number of days on parenteral support per week for 4 consecutive weeks immediately preceding this application.</w:t>
            </w:r>
          </w:p>
        </w:tc>
        <w:tc>
          <w:tcPr>
            <w:tcW w:w="1087" w:type="dxa"/>
            <w:shd w:val="clear" w:color="auto" w:fill="auto"/>
          </w:tcPr>
          <w:p w14:paraId="138A7A0B" w14:textId="211DD46B" w:rsidR="00A97B22" w:rsidRPr="00BC04DC" w:rsidRDefault="00AC0545" w:rsidP="00F50954">
            <w:pPr>
              <w:pStyle w:val="Tabletitle"/>
              <w:spacing w:before="0"/>
              <w:jc w:val="center"/>
              <w:rPr>
                <w:b w:val="0"/>
                <w:sz w:val="22"/>
                <w:szCs w:val="22"/>
              </w:rPr>
            </w:pPr>
            <w:r w:rsidRPr="00BC04DC">
              <w:rPr>
                <w:b w:val="0"/>
                <w:sz w:val="22"/>
                <w:szCs w:val="22"/>
              </w:rPr>
              <w:t>6 days</w:t>
            </w:r>
          </w:p>
        </w:tc>
        <w:tc>
          <w:tcPr>
            <w:tcW w:w="1087" w:type="dxa"/>
            <w:shd w:val="clear" w:color="auto" w:fill="auto"/>
          </w:tcPr>
          <w:p w14:paraId="4278C207" w14:textId="7B9752C6" w:rsidR="00A97B22" w:rsidRPr="00BC04DC" w:rsidRDefault="00AC0545" w:rsidP="00F50954">
            <w:pPr>
              <w:pStyle w:val="Tabletitle"/>
              <w:spacing w:before="0"/>
              <w:jc w:val="center"/>
              <w:rPr>
                <w:b w:val="0"/>
                <w:sz w:val="22"/>
                <w:szCs w:val="22"/>
              </w:rPr>
            </w:pPr>
            <w:r>
              <w:rPr>
                <w:b w:val="0"/>
                <w:sz w:val="22"/>
                <w:szCs w:val="22"/>
              </w:rPr>
              <w:t xml:space="preserve">7 days </w:t>
            </w:r>
          </w:p>
        </w:tc>
        <w:tc>
          <w:tcPr>
            <w:tcW w:w="1087" w:type="dxa"/>
            <w:shd w:val="clear" w:color="auto" w:fill="auto"/>
          </w:tcPr>
          <w:p w14:paraId="6F3E8721" w14:textId="739DB1CA" w:rsidR="00A97B22" w:rsidRPr="00BC04DC" w:rsidRDefault="00AC0545" w:rsidP="00F50954">
            <w:pPr>
              <w:pStyle w:val="Tabletitle"/>
              <w:spacing w:before="0"/>
              <w:jc w:val="center"/>
              <w:rPr>
                <w:b w:val="0"/>
                <w:sz w:val="22"/>
                <w:szCs w:val="22"/>
              </w:rPr>
            </w:pPr>
            <w:r>
              <w:rPr>
                <w:b w:val="0"/>
                <w:sz w:val="22"/>
                <w:szCs w:val="22"/>
              </w:rPr>
              <w:t>3-7 days</w:t>
            </w:r>
          </w:p>
        </w:tc>
      </w:tr>
    </w:tbl>
    <w:p w14:paraId="54ACD988" w14:textId="77777777" w:rsidR="002011D7" w:rsidRDefault="002011D7" w:rsidP="002011D7"/>
    <w:p w14:paraId="06220F20" w14:textId="77777777" w:rsidR="002011D7" w:rsidRDefault="002011D7" w:rsidP="002011D7">
      <w:r>
        <w:t xml:space="preserve">The continuation criteria requires patients to demonstrate a reduction of ≥ 1 day per week in parenteral support requirements after the first 12 months of teduglutide therapy to be eligible for continuing use. Based on Table 4 below, patients had an average of 1.4 days reduction of parenteral support prior to receiving continuing teduglutide therapy. </w:t>
      </w:r>
    </w:p>
    <w:p w14:paraId="63AAF47F" w14:textId="69BB5550" w:rsidR="002011D7" w:rsidRDefault="002011D7" w:rsidP="002011D7">
      <w:pPr>
        <w:pStyle w:val="Tabletitle"/>
      </w:pPr>
      <w:r>
        <w:lastRenderedPageBreak/>
        <w:t>Table 4</w:t>
      </w:r>
      <w:r w:rsidRPr="004F057D">
        <w:t>:</w:t>
      </w:r>
      <w:r>
        <w:t xml:space="preserve"> Mean days of parenteral support reported in</w:t>
      </w:r>
      <w:r w:rsidR="00126B2D">
        <w:t xml:space="preserve"> approved</w:t>
      </w:r>
      <w:r>
        <w:t xml:space="preserve"> continuing teduglutide authority applications  </w:t>
      </w:r>
    </w:p>
    <w:tbl>
      <w:tblPr>
        <w:tblStyle w:val="TableGrid"/>
        <w:tblW w:w="8926" w:type="dxa"/>
        <w:tblLook w:val="04A0" w:firstRow="1" w:lastRow="0" w:firstColumn="1" w:lastColumn="0" w:noHBand="0" w:noVBand="1"/>
      </w:tblPr>
      <w:tblGrid>
        <w:gridCol w:w="5665"/>
        <w:gridCol w:w="1087"/>
        <w:gridCol w:w="1087"/>
        <w:gridCol w:w="1087"/>
      </w:tblGrid>
      <w:tr w:rsidR="00AC0545" w:rsidRPr="0004475E" w14:paraId="02A04C9A" w14:textId="77777777" w:rsidTr="00634507">
        <w:trPr>
          <w:trHeight w:val="224"/>
        </w:trPr>
        <w:tc>
          <w:tcPr>
            <w:tcW w:w="5665" w:type="dxa"/>
            <w:shd w:val="clear" w:color="auto" w:fill="BFBFBF" w:themeFill="background1" w:themeFillShade="BF"/>
          </w:tcPr>
          <w:p w14:paraId="30729CFB" w14:textId="77777777" w:rsidR="00AC0545" w:rsidRPr="0004475E" w:rsidRDefault="00AC0545" w:rsidP="00F50954">
            <w:pPr>
              <w:pStyle w:val="Tabletitle"/>
              <w:spacing w:before="0"/>
              <w:rPr>
                <w:sz w:val="22"/>
                <w:szCs w:val="22"/>
              </w:rPr>
            </w:pPr>
          </w:p>
        </w:tc>
        <w:tc>
          <w:tcPr>
            <w:tcW w:w="1087" w:type="dxa"/>
            <w:shd w:val="clear" w:color="auto" w:fill="BFBFBF" w:themeFill="background1" w:themeFillShade="BF"/>
          </w:tcPr>
          <w:p w14:paraId="245F42DD" w14:textId="77777777" w:rsidR="00AC0545" w:rsidRPr="0004475E" w:rsidRDefault="00AC0545" w:rsidP="00F50954">
            <w:pPr>
              <w:pStyle w:val="Tabletitle"/>
              <w:spacing w:before="0"/>
              <w:jc w:val="center"/>
              <w:rPr>
                <w:sz w:val="22"/>
                <w:szCs w:val="22"/>
              </w:rPr>
            </w:pPr>
            <w:r w:rsidRPr="0004475E">
              <w:rPr>
                <w:sz w:val="22"/>
                <w:szCs w:val="22"/>
              </w:rPr>
              <w:t>Mean</w:t>
            </w:r>
          </w:p>
        </w:tc>
        <w:tc>
          <w:tcPr>
            <w:tcW w:w="1087" w:type="dxa"/>
            <w:shd w:val="clear" w:color="auto" w:fill="BFBFBF" w:themeFill="background1" w:themeFillShade="BF"/>
          </w:tcPr>
          <w:p w14:paraId="380998A9" w14:textId="324CD270" w:rsidR="00AC0545" w:rsidRPr="00AC0545" w:rsidRDefault="00AC0545" w:rsidP="00F50954">
            <w:pPr>
              <w:pStyle w:val="Tabletitle"/>
              <w:spacing w:before="0"/>
              <w:jc w:val="center"/>
              <w:rPr>
                <w:sz w:val="22"/>
                <w:szCs w:val="22"/>
              </w:rPr>
            </w:pPr>
            <w:r>
              <w:rPr>
                <w:sz w:val="22"/>
                <w:szCs w:val="22"/>
              </w:rPr>
              <w:t xml:space="preserve">Median </w:t>
            </w:r>
          </w:p>
        </w:tc>
        <w:tc>
          <w:tcPr>
            <w:tcW w:w="1087" w:type="dxa"/>
            <w:shd w:val="clear" w:color="auto" w:fill="BFBFBF" w:themeFill="background1" w:themeFillShade="BF"/>
          </w:tcPr>
          <w:p w14:paraId="37FD11CA" w14:textId="4415C068" w:rsidR="00AC0545" w:rsidRPr="0004475E" w:rsidRDefault="00AC0545" w:rsidP="00F50954">
            <w:pPr>
              <w:pStyle w:val="Tabletitle"/>
              <w:spacing w:before="0"/>
              <w:jc w:val="center"/>
              <w:rPr>
                <w:sz w:val="22"/>
                <w:szCs w:val="22"/>
              </w:rPr>
            </w:pPr>
            <w:r>
              <w:rPr>
                <w:sz w:val="22"/>
                <w:szCs w:val="22"/>
              </w:rPr>
              <w:t xml:space="preserve">Range </w:t>
            </w:r>
          </w:p>
        </w:tc>
      </w:tr>
      <w:tr w:rsidR="00AC0545" w:rsidRPr="0004475E" w14:paraId="2E53E8BB" w14:textId="77777777" w:rsidTr="00634507">
        <w:trPr>
          <w:trHeight w:val="224"/>
        </w:trPr>
        <w:tc>
          <w:tcPr>
            <w:tcW w:w="5665" w:type="dxa"/>
          </w:tcPr>
          <w:p w14:paraId="5AA757BB" w14:textId="77777777" w:rsidR="00AC0545" w:rsidRPr="0004475E" w:rsidRDefault="00AC0545" w:rsidP="00F50954">
            <w:pPr>
              <w:rPr>
                <w:rFonts w:ascii="Calibri" w:hAnsi="Calibri" w:cs="Calibri"/>
                <w:color w:val="000000"/>
                <w:sz w:val="22"/>
                <w:szCs w:val="22"/>
              </w:rPr>
            </w:pPr>
            <w:r w:rsidRPr="0004475E">
              <w:rPr>
                <w:rFonts w:ascii="Calibri" w:hAnsi="Calibri" w:cs="Calibri"/>
                <w:color w:val="000000"/>
                <w:sz w:val="22"/>
                <w:szCs w:val="22"/>
              </w:rPr>
              <w:t>The mean number of days reduction of parenteral support (parenteral nutrition I IV fluids) per week to meet caloric, fluid or electrolyte needs from baseline (if applicable).</w:t>
            </w:r>
          </w:p>
        </w:tc>
        <w:tc>
          <w:tcPr>
            <w:tcW w:w="1087" w:type="dxa"/>
          </w:tcPr>
          <w:p w14:paraId="26B1AB61" w14:textId="77777777" w:rsidR="00AC0545" w:rsidRPr="0004475E" w:rsidRDefault="00AC0545" w:rsidP="00F50954">
            <w:pPr>
              <w:pStyle w:val="Tabletitle"/>
              <w:spacing w:before="0"/>
              <w:jc w:val="center"/>
              <w:rPr>
                <w:b w:val="0"/>
                <w:sz w:val="22"/>
                <w:szCs w:val="22"/>
              </w:rPr>
            </w:pPr>
            <w:r w:rsidRPr="0004475E">
              <w:rPr>
                <w:b w:val="0"/>
                <w:sz w:val="22"/>
                <w:szCs w:val="22"/>
              </w:rPr>
              <w:t>4.4 days</w:t>
            </w:r>
          </w:p>
        </w:tc>
        <w:tc>
          <w:tcPr>
            <w:tcW w:w="1087" w:type="dxa"/>
            <w:shd w:val="clear" w:color="auto" w:fill="auto"/>
          </w:tcPr>
          <w:p w14:paraId="61CBA827" w14:textId="3195E741" w:rsidR="00AC0545" w:rsidRPr="0004475E" w:rsidRDefault="00AC0545" w:rsidP="00F50954">
            <w:pPr>
              <w:pStyle w:val="Tabletitle"/>
              <w:spacing w:before="0"/>
              <w:jc w:val="center"/>
              <w:rPr>
                <w:b w:val="0"/>
                <w:sz w:val="22"/>
                <w:szCs w:val="22"/>
              </w:rPr>
            </w:pPr>
            <w:r>
              <w:rPr>
                <w:b w:val="0"/>
                <w:sz w:val="22"/>
                <w:szCs w:val="22"/>
              </w:rPr>
              <w:t xml:space="preserve">4 days </w:t>
            </w:r>
          </w:p>
        </w:tc>
        <w:tc>
          <w:tcPr>
            <w:tcW w:w="1087" w:type="dxa"/>
            <w:shd w:val="clear" w:color="auto" w:fill="auto"/>
          </w:tcPr>
          <w:p w14:paraId="60DD8C15" w14:textId="410F96A4" w:rsidR="00AC0545" w:rsidRPr="0004475E" w:rsidRDefault="00AC0545" w:rsidP="00F50954">
            <w:pPr>
              <w:pStyle w:val="Tabletitle"/>
              <w:spacing w:before="0"/>
              <w:jc w:val="center"/>
              <w:rPr>
                <w:b w:val="0"/>
                <w:sz w:val="22"/>
                <w:szCs w:val="22"/>
              </w:rPr>
            </w:pPr>
            <w:r>
              <w:rPr>
                <w:b w:val="0"/>
                <w:sz w:val="22"/>
                <w:szCs w:val="22"/>
              </w:rPr>
              <w:t xml:space="preserve">1-7 days </w:t>
            </w:r>
          </w:p>
        </w:tc>
      </w:tr>
      <w:tr w:rsidR="00AC0545" w:rsidRPr="0004475E" w14:paraId="0CF1B8D6" w14:textId="77777777" w:rsidTr="00634507">
        <w:trPr>
          <w:trHeight w:val="224"/>
        </w:trPr>
        <w:tc>
          <w:tcPr>
            <w:tcW w:w="5665" w:type="dxa"/>
          </w:tcPr>
          <w:p w14:paraId="6414255F" w14:textId="77777777" w:rsidR="00AC0545" w:rsidRPr="0004475E" w:rsidRDefault="00AC0545" w:rsidP="00F50954">
            <w:pPr>
              <w:rPr>
                <w:rFonts w:ascii="Calibri" w:hAnsi="Calibri" w:cs="Calibri"/>
                <w:color w:val="000000"/>
                <w:sz w:val="22"/>
                <w:szCs w:val="22"/>
              </w:rPr>
            </w:pPr>
            <w:r w:rsidRPr="0004475E">
              <w:rPr>
                <w:rFonts w:ascii="Calibri" w:hAnsi="Calibri" w:cs="Calibri"/>
                <w:color w:val="000000"/>
                <w:sz w:val="22"/>
                <w:szCs w:val="22"/>
              </w:rPr>
              <w:t>The mean number of days reduction of parenteral support (parenteral nutrition I IV fluids) per week to meet caloric, fluid or electrolyte needs over the proceeding treatment period.</w:t>
            </w:r>
          </w:p>
        </w:tc>
        <w:tc>
          <w:tcPr>
            <w:tcW w:w="1087" w:type="dxa"/>
          </w:tcPr>
          <w:p w14:paraId="01923775" w14:textId="77777777" w:rsidR="00AC0545" w:rsidRPr="0004475E" w:rsidRDefault="00AC0545" w:rsidP="00F50954">
            <w:pPr>
              <w:pStyle w:val="Tabletitle"/>
              <w:spacing w:before="0"/>
              <w:jc w:val="center"/>
              <w:rPr>
                <w:b w:val="0"/>
                <w:sz w:val="22"/>
                <w:szCs w:val="22"/>
              </w:rPr>
            </w:pPr>
            <w:r w:rsidRPr="0004475E">
              <w:rPr>
                <w:b w:val="0"/>
                <w:sz w:val="22"/>
                <w:szCs w:val="22"/>
              </w:rPr>
              <w:t>1.4 days</w:t>
            </w:r>
          </w:p>
        </w:tc>
        <w:tc>
          <w:tcPr>
            <w:tcW w:w="1087" w:type="dxa"/>
            <w:shd w:val="clear" w:color="auto" w:fill="auto"/>
          </w:tcPr>
          <w:p w14:paraId="3F092935" w14:textId="6AFBEEC4" w:rsidR="00AC0545" w:rsidRPr="0004475E" w:rsidRDefault="00AC0545" w:rsidP="00F50954">
            <w:pPr>
              <w:pStyle w:val="Tabletitle"/>
              <w:spacing w:before="0"/>
              <w:jc w:val="center"/>
              <w:rPr>
                <w:b w:val="0"/>
                <w:sz w:val="22"/>
                <w:szCs w:val="22"/>
              </w:rPr>
            </w:pPr>
            <w:r>
              <w:rPr>
                <w:b w:val="0"/>
                <w:sz w:val="22"/>
                <w:szCs w:val="22"/>
              </w:rPr>
              <w:t xml:space="preserve">1 day </w:t>
            </w:r>
          </w:p>
        </w:tc>
        <w:tc>
          <w:tcPr>
            <w:tcW w:w="1087" w:type="dxa"/>
            <w:shd w:val="clear" w:color="auto" w:fill="auto"/>
          </w:tcPr>
          <w:p w14:paraId="73EAACBD" w14:textId="279AF788" w:rsidR="00AC0545" w:rsidRPr="0004475E" w:rsidRDefault="00AC0545" w:rsidP="00F50954">
            <w:pPr>
              <w:pStyle w:val="Tabletitle"/>
              <w:spacing w:before="0"/>
              <w:jc w:val="center"/>
              <w:rPr>
                <w:b w:val="0"/>
                <w:sz w:val="22"/>
                <w:szCs w:val="22"/>
              </w:rPr>
            </w:pPr>
            <w:r>
              <w:rPr>
                <w:b w:val="0"/>
                <w:sz w:val="22"/>
                <w:szCs w:val="22"/>
              </w:rPr>
              <w:t xml:space="preserve">0-4 days </w:t>
            </w:r>
          </w:p>
        </w:tc>
      </w:tr>
      <w:tr w:rsidR="00AC0545" w:rsidRPr="0004475E" w14:paraId="014C3C33" w14:textId="77777777" w:rsidTr="00634507">
        <w:trPr>
          <w:trHeight w:val="224"/>
        </w:trPr>
        <w:tc>
          <w:tcPr>
            <w:tcW w:w="5665" w:type="dxa"/>
          </w:tcPr>
          <w:p w14:paraId="304CAC0E" w14:textId="77777777" w:rsidR="00AC0545" w:rsidRPr="0004475E" w:rsidRDefault="00AC0545" w:rsidP="00F50954">
            <w:pPr>
              <w:pStyle w:val="Tabletitle"/>
              <w:spacing w:before="0"/>
              <w:rPr>
                <w:b w:val="0"/>
                <w:bCs/>
                <w:sz w:val="22"/>
                <w:szCs w:val="22"/>
              </w:rPr>
            </w:pPr>
            <w:r w:rsidRPr="0004475E">
              <w:rPr>
                <w:b w:val="0"/>
                <w:bCs/>
                <w:sz w:val="22"/>
                <w:szCs w:val="22"/>
              </w:rPr>
              <w:t>The current mean number of days per week or mean volume per week of any parenteral support (parenteral nutrition with or without IV fluids) over the preceding 4 week period</w:t>
            </w:r>
            <w:r>
              <w:rPr>
                <w:b w:val="0"/>
                <w:bCs/>
                <w:sz w:val="22"/>
                <w:szCs w:val="22"/>
              </w:rPr>
              <w:t xml:space="preserve">. </w:t>
            </w:r>
          </w:p>
        </w:tc>
        <w:tc>
          <w:tcPr>
            <w:tcW w:w="1087" w:type="dxa"/>
          </w:tcPr>
          <w:p w14:paraId="2D6E4D8B" w14:textId="77777777" w:rsidR="00AC0545" w:rsidRPr="0004475E" w:rsidRDefault="00AC0545" w:rsidP="00F50954">
            <w:pPr>
              <w:pStyle w:val="Tabletitle"/>
              <w:spacing w:before="0"/>
              <w:jc w:val="center"/>
              <w:rPr>
                <w:b w:val="0"/>
                <w:bCs/>
                <w:sz w:val="22"/>
                <w:szCs w:val="22"/>
              </w:rPr>
            </w:pPr>
            <w:r w:rsidRPr="0004475E">
              <w:rPr>
                <w:b w:val="0"/>
                <w:bCs/>
                <w:sz w:val="22"/>
                <w:szCs w:val="22"/>
              </w:rPr>
              <w:t>1.7 days</w:t>
            </w:r>
          </w:p>
        </w:tc>
        <w:tc>
          <w:tcPr>
            <w:tcW w:w="1087" w:type="dxa"/>
            <w:shd w:val="clear" w:color="auto" w:fill="auto"/>
          </w:tcPr>
          <w:p w14:paraId="14880A28" w14:textId="279DB7D8" w:rsidR="00AC0545" w:rsidRPr="0004475E" w:rsidRDefault="00AC0545" w:rsidP="00F50954">
            <w:pPr>
              <w:pStyle w:val="Tabletitle"/>
              <w:spacing w:before="0"/>
              <w:jc w:val="center"/>
              <w:rPr>
                <w:b w:val="0"/>
                <w:bCs/>
                <w:sz w:val="22"/>
                <w:szCs w:val="22"/>
              </w:rPr>
            </w:pPr>
            <w:r>
              <w:rPr>
                <w:b w:val="0"/>
                <w:bCs/>
                <w:sz w:val="22"/>
                <w:szCs w:val="22"/>
              </w:rPr>
              <w:t xml:space="preserve">1 day </w:t>
            </w:r>
          </w:p>
        </w:tc>
        <w:tc>
          <w:tcPr>
            <w:tcW w:w="1087" w:type="dxa"/>
            <w:shd w:val="clear" w:color="auto" w:fill="auto"/>
          </w:tcPr>
          <w:p w14:paraId="0871656A" w14:textId="3D337063" w:rsidR="00AC0545" w:rsidRPr="0004475E" w:rsidRDefault="00AC0545" w:rsidP="00F50954">
            <w:pPr>
              <w:pStyle w:val="Tabletitle"/>
              <w:spacing w:before="0"/>
              <w:jc w:val="center"/>
              <w:rPr>
                <w:b w:val="0"/>
                <w:bCs/>
                <w:sz w:val="22"/>
                <w:szCs w:val="22"/>
              </w:rPr>
            </w:pPr>
            <w:r>
              <w:rPr>
                <w:b w:val="0"/>
                <w:bCs/>
                <w:sz w:val="22"/>
                <w:szCs w:val="22"/>
              </w:rPr>
              <w:t xml:space="preserve">0-6 days </w:t>
            </w:r>
          </w:p>
        </w:tc>
      </w:tr>
    </w:tbl>
    <w:p w14:paraId="676CC96E" w14:textId="77777777" w:rsidR="00634507" w:rsidRDefault="00634507" w:rsidP="00A35800"/>
    <w:p w14:paraId="12A03FCC" w14:textId="6C0977B1" w:rsidR="009C000F" w:rsidRPr="0008240F" w:rsidRDefault="002011D7" w:rsidP="0008240F">
      <w:pPr>
        <w:spacing w:line="276" w:lineRule="auto"/>
        <w:rPr>
          <w:bCs/>
        </w:rPr>
      </w:pPr>
      <w:r>
        <w:rPr>
          <w:bCs/>
        </w:rPr>
        <w:t xml:space="preserve">As shown in Figure </w:t>
      </w:r>
      <w:r w:rsidR="00812020">
        <w:rPr>
          <w:bCs/>
        </w:rPr>
        <w:t>9</w:t>
      </w:r>
      <w:r>
        <w:rPr>
          <w:bCs/>
        </w:rPr>
        <w:t xml:space="preserve">, there were </w:t>
      </w:r>
      <w:r w:rsidR="00F60752">
        <w:rPr>
          <w:bCs/>
        </w:rPr>
        <w:t xml:space="preserve">approximately </w:t>
      </w:r>
      <w:r>
        <w:rPr>
          <w:bCs/>
        </w:rPr>
        <w:t xml:space="preserve">5 patients who recommenced treatment with teduglutide. </w:t>
      </w:r>
      <w:r w:rsidR="00F60752">
        <w:rPr>
          <w:bCs/>
        </w:rPr>
        <w:t xml:space="preserve">These patients undertook a trial cessation period due to experiencing a stable parenteral support regimen in the first continuing or subsequent continuing treatment phase </w:t>
      </w:r>
      <w:r w:rsidR="000F3B96">
        <w:rPr>
          <w:bCs/>
        </w:rPr>
        <w:t>(</w:t>
      </w:r>
      <w:r w:rsidR="00F60752">
        <w:rPr>
          <w:bCs/>
        </w:rPr>
        <w:t>and not due to treatment failure</w:t>
      </w:r>
      <w:r w:rsidR="000F3B96">
        <w:rPr>
          <w:bCs/>
        </w:rPr>
        <w:t>)</w:t>
      </w:r>
      <w:r w:rsidR="00F60752">
        <w:rPr>
          <w:bCs/>
        </w:rPr>
        <w:t xml:space="preserve">. The </w:t>
      </w:r>
      <w:r w:rsidR="008D6EA1">
        <w:rPr>
          <w:bCs/>
        </w:rPr>
        <w:t xml:space="preserve">average </w:t>
      </w:r>
      <w:r w:rsidR="00F60752">
        <w:rPr>
          <w:bCs/>
        </w:rPr>
        <w:t xml:space="preserve">trial cessation period </w:t>
      </w:r>
      <w:r w:rsidR="008D1322">
        <w:rPr>
          <w:bCs/>
        </w:rPr>
        <w:t xml:space="preserve">of patients who recommenced treatment </w:t>
      </w:r>
      <w:r w:rsidR="00F60752">
        <w:rPr>
          <w:bCs/>
        </w:rPr>
        <w:t xml:space="preserve">was </w:t>
      </w:r>
      <w:r w:rsidR="00D27217">
        <w:rPr>
          <w:bCs/>
        </w:rPr>
        <w:t xml:space="preserve">approximately 126 days. This was </w:t>
      </w:r>
      <w:r w:rsidR="000F3B96">
        <w:rPr>
          <w:bCs/>
        </w:rPr>
        <w:t>estimate</w:t>
      </w:r>
      <w:r w:rsidR="008D1322">
        <w:rPr>
          <w:bCs/>
        </w:rPr>
        <w:t xml:space="preserve">d by determining the </w:t>
      </w:r>
      <w:r w:rsidR="00AA3537">
        <w:rPr>
          <w:bCs/>
        </w:rPr>
        <w:t xml:space="preserve">time </w:t>
      </w:r>
      <w:r w:rsidR="008D1322">
        <w:rPr>
          <w:bCs/>
        </w:rPr>
        <w:t>between the supply date of the</w:t>
      </w:r>
      <w:r w:rsidR="00AA3537">
        <w:rPr>
          <w:bCs/>
        </w:rPr>
        <w:t xml:space="preserve"> last script before the recommencing treatment and the first</w:t>
      </w:r>
      <w:r w:rsidR="008D1322">
        <w:rPr>
          <w:bCs/>
        </w:rPr>
        <w:t xml:space="preserve"> script under the recommencement of treatment phase</w:t>
      </w:r>
      <w:r w:rsidR="00AA3537">
        <w:rPr>
          <w:bCs/>
        </w:rPr>
        <w:t xml:space="preserve">, </w:t>
      </w:r>
      <w:r w:rsidR="008D1322">
        <w:rPr>
          <w:bCs/>
        </w:rPr>
        <w:t xml:space="preserve">excluding 28 days to account for completion of the last script. </w:t>
      </w:r>
      <w:r w:rsidR="00AD13C1">
        <w:rPr>
          <w:bCs/>
        </w:rPr>
        <w:t>T</w:t>
      </w:r>
      <w:r>
        <w:rPr>
          <w:bCs/>
        </w:rPr>
        <w:t>eduglutide treatment</w:t>
      </w:r>
      <w:r w:rsidR="00AD13C1">
        <w:rPr>
          <w:bCs/>
        </w:rPr>
        <w:t xml:space="preserve"> was recommenced</w:t>
      </w:r>
      <w:r>
        <w:rPr>
          <w:bCs/>
        </w:rPr>
        <w:t xml:space="preserve"> due to reasons such as: dehydration, weight loss, poor appetite and diarrhoea. </w:t>
      </w:r>
    </w:p>
    <w:p w14:paraId="5827419E" w14:textId="1601C48D" w:rsidR="0008240F" w:rsidRDefault="0008240F" w:rsidP="0008240F">
      <w:pPr>
        <w:jc w:val="center"/>
      </w:pPr>
      <w:r>
        <w:rPr>
          <w:noProof/>
        </w:rPr>
        <w:drawing>
          <wp:inline distT="0" distB="0" distL="0" distR="0" wp14:anchorId="5CDE1AC1" wp14:editId="79A89600">
            <wp:extent cx="4623759" cy="2346385"/>
            <wp:effectExtent l="0" t="0" r="5715" b="15875"/>
            <wp:docPr id="8" name="Chart 8">
              <a:extLst xmlns:a="http://schemas.openxmlformats.org/drawingml/2006/main">
                <a:ext uri="{FF2B5EF4-FFF2-40B4-BE49-F238E27FC236}">
                  <a16:creationId xmlns:a16="http://schemas.microsoft.com/office/drawing/2014/main" id="{62169D79-70D2-4CE9-80ED-3542F521CACB}"/>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17B6711" w14:textId="0ABE2875" w:rsidR="009C000F" w:rsidRDefault="009C000F" w:rsidP="009C000F">
      <w:pPr>
        <w:pStyle w:val="Tabletitle"/>
        <w:rPr>
          <w:sz w:val="22"/>
        </w:rPr>
      </w:pPr>
      <w:r w:rsidRPr="00355631">
        <w:rPr>
          <w:sz w:val="22"/>
          <w:szCs w:val="22"/>
        </w:rPr>
        <w:t xml:space="preserve">Figure </w:t>
      </w:r>
      <w:r w:rsidR="003A3D92">
        <w:rPr>
          <w:sz w:val="22"/>
          <w:szCs w:val="22"/>
        </w:rPr>
        <w:t>9</w:t>
      </w:r>
      <w:r w:rsidRPr="00355631">
        <w:rPr>
          <w:sz w:val="22"/>
          <w:szCs w:val="22"/>
        </w:rPr>
        <w:t>:</w:t>
      </w:r>
      <w:r>
        <w:t xml:space="preserve"> </w:t>
      </w:r>
      <w:r>
        <w:rPr>
          <w:sz w:val="22"/>
        </w:rPr>
        <w:t xml:space="preserve">Number of patients according to treatment phase in authority application </w:t>
      </w:r>
      <w:r w:rsidR="002011D7">
        <w:rPr>
          <w:sz w:val="22"/>
        </w:rPr>
        <w:t>since October 2019</w:t>
      </w:r>
    </w:p>
    <w:p w14:paraId="1C0C42E5" w14:textId="77B0D390" w:rsidR="00891996" w:rsidRDefault="00653F83" w:rsidP="00145198">
      <w:pPr>
        <w:pStyle w:val="Figurecaption"/>
      </w:pPr>
      <w:r>
        <w:t>Note: Where the patient count is between 1 and 4 (inclusive), a figure data point is set to 5 to protect patient confidentiality.</w:t>
      </w:r>
    </w:p>
    <w:p w14:paraId="00D8BD4A" w14:textId="68A29DCE" w:rsidR="003A3D92" w:rsidRDefault="003A3D92">
      <w:pPr>
        <w:spacing w:line="276" w:lineRule="auto"/>
        <w:rPr>
          <w:b/>
          <w:sz w:val="28"/>
        </w:rPr>
      </w:pPr>
    </w:p>
    <w:p w14:paraId="5F22B4D8" w14:textId="1B7F61D4" w:rsidR="00736041" w:rsidRPr="005E22C2" w:rsidRDefault="00D151EB" w:rsidP="00F73113">
      <w:pPr>
        <w:pStyle w:val="Heading2"/>
      </w:pPr>
      <w:r>
        <w:lastRenderedPageBreak/>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p>
    <w:p w14:paraId="371B2A62" w14:textId="5EC8EDFD" w:rsidR="0017585C" w:rsidRPr="0017585C" w:rsidRDefault="00BF7F00" w:rsidP="0017585C">
      <w:pPr>
        <w:pStyle w:val="Tabletitle"/>
      </w:pPr>
      <w:r>
        <w:t>Table</w:t>
      </w:r>
      <w:r w:rsidR="002C6E97">
        <w:t xml:space="preserve"> </w:t>
      </w:r>
      <w:r w:rsidR="00F56560">
        <w:t>5</w:t>
      </w:r>
      <w:r w:rsidRPr="004F057D">
        <w:t>:</w:t>
      </w:r>
      <w:r>
        <w:t xml:space="preserve"> Teduglutide actual versus predicted utilisation </w:t>
      </w:r>
    </w:p>
    <w:tbl>
      <w:tblPr>
        <w:tblStyle w:val="TableGrid"/>
        <w:tblW w:w="0" w:type="auto"/>
        <w:tblLook w:val="04A0" w:firstRow="1" w:lastRow="0" w:firstColumn="1" w:lastColumn="0" w:noHBand="0" w:noVBand="1"/>
      </w:tblPr>
      <w:tblGrid>
        <w:gridCol w:w="1789"/>
        <w:gridCol w:w="1789"/>
        <w:gridCol w:w="1789"/>
        <w:gridCol w:w="1790"/>
        <w:gridCol w:w="1790"/>
      </w:tblGrid>
      <w:tr w:rsidR="001043FD" w14:paraId="0664E23D" w14:textId="77777777" w:rsidTr="001043FD">
        <w:tc>
          <w:tcPr>
            <w:tcW w:w="1789" w:type="dxa"/>
            <w:tcBorders>
              <w:bottom w:val="nil"/>
              <w:right w:val="nil"/>
            </w:tcBorders>
            <w:shd w:val="clear" w:color="auto" w:fill="BFBFBF" w:themeFill="background1" w:themeFillShade="BF"/>
          </w:tcPr>
          <w:p w14:paraId="51CFFE42" w14:textId="77777777" w:rsidR="001043FD" w:rsidRDefault="001043FD" w:rsidP="0017585C">
            <w:pPr>
              <w:rPr>
                <w:sz w:val="20"/>
              </w:rPr>
            </w:pPr>
            <w:r>
              <w:rPr>
                <w:b/>
                <w:sz w:val="20"/>
                <w:szCs w:val="20"/>
              </w:rPr>
              <w:t>Teduglutide</w:t>
            </w:r>
            <w:r w:rsidRPr="00C11A65">
              <w:rPr>
                <w:b/>
                <w:sz w:val="20"/>
                <w:szCs w:val="20"/>
              </w:rPr>
              <w:t xml:space="preserve"> listing years </w:t>
            </w:r>
          </w:p>
        </w:tc>
        <w:tc>
          <w:tcPr>
            <w:tcW w:w="1789" w:type="dxa"/>
            <w:tcBorders>
              <w:left w:val="nil"/>
              <w:bottom w:val="nil"/>
            </w:tcBorders>
            <w:shd w:val="clear" w:color="auto" w:fill="BFBFBF" w:themeFill="background1" w:themeFillShade="BF"/>
          </w:tcPr>
          <w:p w14:paraId="135779F3" w14:textId="7735461F" w:rsidR="001043FD" w:rsidRDefault="001043FD" w:rsidP="0017585C">
            <w:pPr>
              <w:rPr>
                <w:sz w:val="20"/>
              </w:rPr>
            </w:pPr>
          </w:p>
        </w:tc>
        <w:tc>
          <w:tcPr>
            <w:tcW w:w="1789" w:type="dxa"/>
            <w:shd w:val="clear" w:color="auto" w:fill="BFBFBF" w:themeFill="background1" w:themeFillShade="BF"/>
          </w:tcPr>
          <w:p w14:paraId="1DEE24D0" w14:textId="3D545E6D" w:rsidR="001043FD" w:rsidRDefault="001043FD" w:rsidP="0017585C">
            <w:pPr>
              <w:jc w:val="center"/>
              <w:rPr>
                <w:sz w:val="20"/>
              </w:rPr>
            </w:pPr>
            <w:r w:rsidRPr="00C11A65">
              <w:rPr>
                <w:b/>
                <w:sz w:val="20"/>
                <w:szCs w:val="20"/>
              </w:rPr>
              <w:t>Year 1</w:t>
            </w:r>
          </w:p>
        </w:tc>
        <w:tc>
          <w:tcPr>
            <w:tcW w:w="1790" w:type="dxa"/>
            <w:shd w:val="clear" w:color="auto" w:fill="BFBFBF" w:themeFill="background1" w:themeFillShade="BF"/>
          </w:tcPr>
          <w:p w14:paraId="5407089E" w14:textId="2DC1B12E" w:rsidR="001043FD" w:rsidRDefault="001043FD" w:rsidP="0017585C">
            <w:pPr>
              <w:jc w:val="center"/>
              <w:rPr>
                <w:sz w:val="20"/>
              </w:rPr>
            </w:pPr>
            <w:r w:rsidRPr="00C11A65">
              <w:rPr>
                <w:b/>
                <w:sz w:val="20"/>
                <w:szCs w:val="20"/>
              </w:rPr>
              <w:t>Year 2</w:t>
            </w:r>
          </w:p>
        </w:tc>
        <w:tc>
          <w:tcPr>
            <w:tcW w:w="1790" w:type="dxa"/>
            <w:shd w:val="clear" w:color="auto" w:fill="BFBFBF" w:themeFill="background1" w:themeFillShade="BF"/>
          </w:tcPr>
          <w:p w14:paraId="2CE2730F" w14:textId="3DE18C4A" w:rsidR="001043FD" w:rsidRDefault="001043FD" w:rsidP="0017585C">
            <w:pPr>
              <w:jc w:val="center"/>
              <w:rPr>
                <w:sz w:val="20"/>
              </w:rPr>
            </w:pPr>
            <w:r w:rsidRPr="00C11A65">
              <w:rPr>
                <w:b/>
                <w:sz w:val="20"/>
                <w:szCs w:val="20"/>
              </w:rPr>
              <w:t>Year 3</w:t>
            </w:r>
          </w:p>
        </w:tc>
      </w:tr>
      <w:tr w:rsidR="001043FD" w14:paraId="4079735C" w14:textId="77777777" w:rsidTr="001043FD">
        <w:tc>
          <w:tcPr>
            <w:tcW w:w="1789" w:type="dxa"/>
            <w:tcBorders>
              <w:top w:val="nil"/>
              <w:right w:val="nil"/>
            </w:tcBorders>
            <w:shd w:val="clear" w:color="auto" w:fill="BFBFBF" w:themeFill="background1" w:themeFillShade="BF"/>
          </w:tcPr>
          <w:p w14:paraId="08D1E470" w14:textId="77777777" w:rsidR="001043FD" w:rsidRDefault="001043FD" w:rsidP="0017585C">
            <w:pPr>
              <w:rPr>
                <w:sz w:val="20"/>
              </w:rPr>
            </w:pPr>
          </w:p>
        </w:tc>
        <w:tc>
          <w:tcPr>
            <w:tcW w:w="1789" w:type="dxa"/>
            <w:tcBorders>
              <w:top w:val="nil"/>
              <w:left w:val="nil"/>
            </w:tcBorders>
            <w:shd w:val="clear" w:color="auto" w:fill="BFBFBF" w:themeFill="background1" w:themeFillShade="BF"/>
          </w:tcPr>
          <w:p w14:paraId="50FC0A22" w14:textId="5037D421" w:rsidR="001043FD" w:rsidRDefault="001043FD" w:rsidP="0017585C">
            <w:pPr>
              <w:rPr>
                <w:sz w:val="20"/>
              </w:rPr>
            </w:pPr>
          </w:p>
        </w:tc>
        <w:tc>
          <w:tcPr>
            <w:tcW w:w="1789" w:type="dxa"/>
            <w:shd w:val="clear" w:color="auto" w:fill="BFBFBF" w:themeFill="background1" w:themeFillShade="BF"/>
          </w:tcPr>
          <w:p w14:paraId="701D9251" w14:textId="145C0993" w:rsidR="001043FD" w:rsidRDefault="001043FD" w:rsidP="0017585C">
            <w:pPr>
              <w:jc w:val="center"/>
              <w:rPr>
                <w:sz w:val="20"/>
              </w:rPr>
            </w:pPr>
            <w:r>
              <w:rPr>
                <w:b/>
                <w:sz w:val="20"/>
                <w:szCs w:val="20"/>
              </w:rPr>
              <w:t>October 2019- September 2020</w:t>
            </w:r>
          </w:p>
        </w:tc>
        <w:tc>
          <w:tcPr>
            <w:tcW w:w="1790" w:type="dxa"/>
            <w:shd w:val="clear" w:color="auto" w:fill="BFBFBF" w:themeFill="background1" w:themeFillShade="BF"/>
          </w:tcPr>
          <w:p w14:paraId="398310B5" w14:textId="78CB9385" w:rsidR="001043FD" w:rsidRDefault="001043FD" w:rsidP="0017585C">
            <w:pPr>
              <w:jc w:val="center"/>
              <w:rPr>
                <w:sz w:val="20"/>
              </w:rPr>
            </w:pPr>
            <w:r>
              <w:rPr>
                <w:b/>
                <w:sz w:val="20"/>
                <w:szCs w:val="20"/>
              </w:rPr>
              <w:t>October 2020- September 2021</w:t>
            </w:r>
          </w:p>
        </w:tc>
        <w:tc>
          <w:tcPr>
            <w:tcW w:w="1790" w:type="dxa"/>
            <w:shd w:val="clear" w:color="auto" w:fill="BFBFBF" w:themeFill="background1" w:themeFillShade="BF"/>
          </w:tcPr>
          <w:p w14:paraId="7424BD27" w14:textId="16EAC435" w:rsidR="001043FD" w:rsidRDefault="001043FD" w:rsidP="0017585C">
            <w:pPr>
              <w:jc w:val="center"/>
              <w:rPr>
                <w:sz w:val="20"/>
              </w:rPr>
            </w:pPr>
            <w:r>
              <w:rPr>
                <w:b/>
                <w:sz w:val="20"/>
                <w:szCs w:val="20"/>
              </w:rPr>
              <w:t>October 2021- September 2022</w:t>
            </w:r>
          </w:p>
        </w:tc>
      </w:tr>
      <w:tr w:rsidR="009F2D74" w:rsidRPr="005C724A" w14:paraId="2146E788" w14:textId="77777777" w:rsidTr="001043FD">
        <w:tc>
          <w:tcPr>
            <w:tcW w:w="1789" w:type="dxa"/>
            <w:tcBorders>
              <w:bottom w:val="nil"/>
            </w:tcBorders>
          </w:tcPr>
          <w:p w14:paraId="0E4B635F" w14:textId="2FF9E86F" w:rsidR="009F2D74" w:rsidRPr="005C724A" w:rsidRDefault="009F2D74" w:rsidP="0017585C">
            <w:pPr>
              <w:rPr>
                <w:sz w:val="20"/>
              </w:rPr>
            </w:pPr>
            <w:r w:rsidRPr="005C724A">
              <w:rPr>
                <w:sz w:val="20"/>
                <w:szCs w:val="20"/>
              </w:rPr>
              <w:t>Patients</w:t>
            </w:r>
          </w:p>
        </w:tc>
        <w:tc>
          <w:tcPr>
            <w:tcW w:w="1789" w:type="dxa"/>
          </w:tcPr>
          <w:p w14:paraId="7D2FE9E8" w14:textId="15FBA09F" w:rsidR="009F2D74" w:rsidRPr="005C724A" w:rsidRDefault="009F2D74" w:rsidP="0017585C">
            <w:pPr>
              <w:rPr>
                <w:sz w:val="20"/>
              </w:rPr>
            </w:pPr>
            <w:r w:rsidRPr="005C724A">
              <w:rPr>
                <w:sz w:val="20"/>
                <w:szCs w:val="20"/>
              </w:rPr>
              <w:t xml:space="preserve">Predicted </w:t>
            </w:r>
          </w:p>
        </w:tc>
        <w:tc>
          <w:tcPr>
            <w:tcW w:w="1789" w:type="dxa"/>
          </w:tcPr>
          <w:p w14:paraId="322D648A" w14:textId="10F2DA46" w:rsidR="009F2D74" w:rsidRPr="005C724A" w:rsidRDefault="00DE6016" w:rsidP="0017585C">
            <w:pPr>
              <w:jc w:val="center"/>
              <w:rPr>
                <w:sz w:val="20"/>
              </w:rPr>
            </w:pPr>
            <w:r w:rsidRPr="00DE6016">
              <w:rPr>
                <w:sz w:val="20"/>
                <w:szCs w:val="20"/>
                <w:highlight w:val="black"/>
              </w:rPr>
              <w:t>xxx</w:t>
            </w:r>
          </w:p>
        </w:tc>
        <w:tc>
          <w:tcPr>
            <w:tcW w:w="1790" w:type="dxa"/>
          </w:tcPr>
          <w:p w14:paraId="1276D455" w14:textId="26DC079B" w:rsidR="009F2D74" w:rsidRPr="005C724A" w:rsidRDefault="00DE6016" w:rsidP="0017585C">
            <w:pPr>
              <w:jc w:val="center"/>
              <w:rPr>
                <w:sz w:val="20"/>
              </w:rPr>
            </w:pPr>
            <w:r w:rsidRPr="00DE6016">
              <w:rPr>
                <w:sz w:val="20"/>
                <w:szCs w:val="20"/>
                <w:highlight w:val="black"/>
              </w:rPr>
              <w:t>xxx</w:t>
            </w:r>
          </w:p>
        </w:tc>
        <w:tc>
          <w:tcPr>
            <w:tcW w:w="1790" w:type="dxa"/>
          </w:tcPr>
          <w:p w14:paraId="73BC7E51" w14:textId="7C0A2964" w:rsidR="009F2D74" w:rsidRPr="005C724A" w:rsidRDefault="00DE6016" w:rsidP="0017585C">
            <w:pPr>
              <w:jc w:val="center"/>
              <w:rPr>
                <w:sz w:val="20"/>
              </w:rPr>
            </w:pPr>
            <w:r w:rsidRPr="00DE6016">
              <w:rPr>
                <w:sz w:val="20"/>
                <w:szCs w:val="20"/>
                <w:highlight w:val="black"/>
              </w:rPr>
              <w:t>xxx</w:t>
            </w:r>
          </w:p>
        </w:tc>
      </w:tr>
      <w:tr w:rsidR="009F2D74" w:rsidRPr="005C724A" w14:paraId="0858E78E" w14:textId="77777777" w:rsidTr="001043FD">
        <w:tc>
          <w:tcPr>
            <w:tcW w:w="1789" w:type="dxa"/>
            <w:tcBorders>
              <w:top w:val="nil"/>
              <w:bottom w:val="nil"/>
            </w:tcBorders>
          </w:tcPr>
          <w:p w14:paraId="382D1ADB" w14:textId="77777777" w:rsidR="009F2D74" w:rsidRPr="005C724A" w:rsidRDefault="009F2D74" w:rsidP="0017585C">
            <w:pPr>
              <w:rPr>
                <w:sz w:val="20"/>
              </w:rPr>
            </w:pPr>
          </w:p>
        </w:tc>
        <w:tc>
          <w:tcPr>
            <w:tcW w:w="1789" w:type="dxa"/>
          </w:tcPr>
          <w:p w14:paraId="356C2438" w14:textId="714DC402" w:rsidR="009F2D74" w:rsidRPr="005C724A" w:rsidRDefault="009F2D74" w:rsidP="0017585C">
            <w:pPr>
              <w:rPr>
                <w:sz w:val="20"/>
              </w:rPr>
            </w:pPr>
            <w:r w:rsidRPr="005C724A">
              <w:rPr>
                <w:sz w:val="20"/>
                <w:szCs w:val="20"/>
              </w:rPr>
              <w:t xml:space="preserve">Actual </w:t>
            </w:r>
          </w:p>
        </w:tc>
        <w:tc>
          <w:tcPr>
            <w:tcW w:w="1789" w:type="dxa"/>
          </w:tcPr>
          <w:p w14:paraId="10B637F6" w14:textId="46788009" w:rsidR="009F2D74" w:rsidRPr="005C724A" w:rsidRDefault="009F2D74" w:rsidP="0017585C">
            <w:pPr>
              <w:jc w:val="center"/>
              <w:rPr>
                <w:sz w:val="20"/>
              </w:rPr>
            </w:pPr>
            <w:r w:rsidRPr="005C724A">
              <w:rPr>
                <w:sz w:val="20"/>
                <w:szCs w:val="20"/>
              </w:rPr>
              <w:t>24</w:t>
            </w:r>
          </w:p>
        </w:tc>
        <w:tc>
          <w:tcPr>
            <w:tcW w:w="1790" w:type="dxa"/>
          </w:tcPr>
          <w:p w14:paraId="398D9403" w14:textId="17D4BD9A" w:rsidR="009F2D74" w:rsidRPr="005C724A" w:rsidRDefault="009F2D74" w:rsidP="0017585C">
            <w:pPr>
              <w:jc w:val="center"/>
              <w:rPr>
                <w:sz w:val="20"/>
              </w:rPr>
            </w:pPr>
            <w:r w:rsidRPr="005C724A">
              <w:rPr>
                <w:sz w:val="20"/>
                <w:szCs w:val="20"/>
              </w:rPr>
              <w:t>33</w:t>
            </w:r>
          </w:p>
        </w:tc>
        <w:tc>
          <w:tcPr>
            <w:tcW w:w="1790" w:type="dxa"/>
          </w:tcPr>
          <w:p w14:paraId="0774010C" w14:textId="577A78BD" w:rsidR="009F2D74" w:rsidRPr="005C724A" w:rsidRDefault="009F2D74" w:rsidP="0017585C">
            <w:pPr>
              <w:jc w:val="center"/>
              <w:rPr>
                <w:sz w:val="20"/>
              </w:rPr>
            </w:pPr>
            <w:r w:rsidRPr="005C724A">
              <w:rPr>
                <w:sz w:val="20"/>
                <w:szCs w:val="20"/>
              </w:rPr>
              <w:t>34</w:t>
            </w:r>
          </w:p>
        </w:tc>
      </w:tr>
      <w:tr w:rsidR="009F2D74" w:rsidRPr="005C724A" w14:paraId="33B3CF4F" w14:textId="77777777" w:rsidTr="001043FD">
        <w:tc>
          <w:tcPr>
            <w:tcW w:w="1789" w:type="dxa"/>
            <w:tcBorders>
              <w:top w:val="nil"/>
            </w:tcBorders>
          </w:tcPr>
          <w:p w14:paraId="55B7DCEB" w14:textId="77777777" w:rsidR="009F2D74" w:rsidRPr="005C724A" w:rsidRDefault="009F2D74" w:rsidP="0017585C">
            <w:pPr>
              <w:rPr>
                <w:sz w:val="20"/>
              </w:rPr>
            </w:pPr>
          </w:p>
        </w:tc>
        <w:tc>
          <w:tcPr>
            <w:tcW w:w="1789" w:type="dxa"/>
          </w:tcPr>
          <w:p w14:paraId="09A31544" w14:textId="4F656F2C" w:rsidR="009F2D74" w:rsidRPr="005C724A" w:rsidRDefault="009F2D74" w:rsidP="0017585C">
            <w:pPr>
              <w:rPr>
                <w:sz w:val="20"/>
              </w:rPr>
            </w:pPr>
            <w:r w:rsidRPr="005C724A">
              <w:rPr>
                <w:sz w:val="20"/>
                <w:szCs w:val="20"/>
              </w:rPr>
              <w:t xml:space="preserve">Difference </w:t>
            </w:r>
          </w:p>
        </w:tc>
        <w:tc>
          <w:tcPr>
            <w:tcW w:w="1789" w:type="dxa"/>
          </w:tcPr>
          <w:p w14:paraId="507388C6" w14:textId="37B57372" w:rsidR="009F2D74" w:rsidRPr="005C724A" w:rsidRDefault="00DE6016" w:rsidP="0017585C">
            <w:pPr>
              <w:jc w:val="center"/>
              <w:rPr>
                <w:sz w:val="20"/>
              </w:rPr>
            </w:pPr>
            <w:r w:rsidRPr="00DE6016">
              <w:rPr>
                <w:sz w:val="20"/>
                <w:szCs w:val="20"/>
                <w:highlight w:val="black"/>
              </w:rPr>
              <w:t>xxx</w:t>
            </w:r>
          </w:p>
        </w:tc>
        <w:tc>
          <w:tcPr>
            <w:tcW w:w="1790" w:type="dxa"/>
          </w:tcPr>
          <w:p w14:paraId="7B53012C" w14:textId="70A6BA69" w:rsidR="009F2D74" w:rsidRPr="005C724A" w:rsidRDefault="00DE6016" w:rsidP="0017585C">
            <w:pPr>
              <w:jc w:val="center"/>
              <w:rPr>
                <w:sz w:val="20"/>
              </w:rPr>
            </w:pPr>
            <w:r w:rsidRPr="00DE6016">
              <w:rPr>
                <w:sz w:val="20"/>
                <w:szCs w:val="20"/>
                <w:highlight w:val="black"/>
              </w:rPr>
              <w:t>xxx</w:t>
            </w:r>
          </w:p>
        </w:tc>
        <w:tc>
          <w:tcPr>
            <w:tcW w:w="1790" w:type="dxa"/>
          </w:tcPr>
          <w:p w14:paraId="3A60EEBE" w14:textId="06033CCF" w:rsidR="009F2D74" w:rsidRPr="005C724A" w:rsidRDefault="00DE6016" w:rsidP="0017585C">
            <w:pPr>
              <w:jc w:val="center"/>
              <w:rPr>
                <w:sz w:val="20"/>
              </w:rPr>
            </w:pPr>
            <w:r w:rsidRPr="00DE6016">
              <w:rPr>
                <w:sz w:val="20"/>
                <w:szCs w:val="20"/>
                <w:highlight w:val="black"/>
              </w:rPr>
              <w:t>xxx</w:t>
            </w:r>
          </w:p>
        </w:tc>
      </w:tr>
      <w:tr w:rsidR="00A66065" w:rsidRPr="005C724A" w14:paraId="1B5EC31D" w14:textId="77777777" w:rsidTr="001043FD">
        <w:tc>
          <w:tcPr>
            <w:tcW w:w="1789" w:type="dxa"/>
            <w:tcBorders>
              <w:bottom w:val="nil"/>
            </w:tcBorders>
          </w:tcPr>
          <w:p w14:paraId="1424CCD7" w14:textId="1E5896A3" w:rsidR="00A66065" w:rsidRPr="005C724A" w:rsidRDefault="00A66065" w:rsidP="0017585C">
            <w:pPr>
              <w:rPr>
                <w:sz w:val="20"/>
              </w:rPr>
            </w:pPr>
            <w:r w:rsidRPr="005C724A">
              <w:rPr>
                <w:sz w:val="20"/>
                <w:szCs w:val="20"/>
              </w:rPr>
              <w:t>Prescriptions</w:t>
            </w:r>
          </w:p>
        </w:tc>
        <w:tc>
          <w:tcPr>
            <w:tcW w:w="1789" w:type="dxa"/>
          </w:tcPr>
          <w:p w14:paraId="62D2FDFD" w14:textId="0166BAF0" w:rsidR="00A66065" w:rsidRPr="005C724A" w:rsidRDefault="00A66065" w:rsidP="0017585C">
            <w:pPr>
              <w:rPr>
                <w:sz w:val="20"/>
              </w:rPr>
            </w:pPr>
            <w:r w:rsidRPr="005C724A">
              <w:rPr>
                <w:sz w:val="20"/>
                <w:szCs w:val="20"/>
              </w:rPr>
              <w:t xml:space="preserve">Predicted </w:t>
            </w:r>
          </w:p>
        </w:tc>
        <w:tc>
          <w:tcPr>
            <w:tcW w:w="1789" w:type="dxa"/>
          </w:tcPr>
          <w:p w14:paraId="5366C15B" w14:textId="0F083D43" w:rsidR="00A66065" w:rsidRPr="005C724A" w:rsidRDefault="00DE6016" w:rsidP="0017585C">
            <w:pPr>
              <w:jc w:val="center"/>
              <w:rPr>
                <w:sz w:val="20"/>
              </w:rPr>
            </w:pPr>
            <w:r w:rsidRPr="00DE6016">
              <w:rPr>
                <w:sz w:val="20"/>
                <w:szCs w:val="20"/>
                <w:highlight w:val="black"/>
              </w:rPr>
              <w:t>xxx</w:t>
            </w:r>
          </w:p>
        </w:tc>
        <w:tc>
          <w:tcPr>
            <w:tcW w:w="1790" w:type="dxa"/>
          </w:tcPr>
          <w:p w14:paraId="28148FDC" w14:textId="39B29DF1" w:rsidR="00A66065" w:rsidRPr="005C724A" w:rsidRDefault="00DE6016" w:rsidP="0017585C">
            <w:pPr>
              <w:jc w:val="center"/>
              <w:rPr>
                <w:sz w:val="20"/>
              </w:rPr>
            </w:pPr>
            <w:r w:rsidRPr="00DE6016">
              <w:rPr>
                <w:sz w:val="20"/>
                <w:szCs w:val="20"/>
                <w:highlight w:val="black"/>
              </w:rPr>
              <w:t>xxx</w:t>
            </w:r>
          </w:p>
        </w:tc>
        <w:tc>
          <w:tcPr>
            <w:tcW w:w="1790" w:type="dxa"/>
          </w:tcPr>
          <w:p w14:paraId="37DFAF8F" w14:textId="0CC1A482" w:rsidR="00A66065" w:rsidRPr="005C724A" w:rsidRDefault="00DE6016" w:rsidP="0017585C">
            <w:pPr>
              <w:jc w:val="center"/>
              <w:rPr>
                <w:sz w:val="20"/>
              </w:rPr>
            </w:pPr>
            <w:r w:rsidRPr="00DE6016">
              <w:rPr>
                <w:sz w:val="20"/>
                <w:szCs w:val="20"/>
                <w:highlight w:val="black"/>
              </w:rPr>
              <w:t>xxx</w:t>
            </w:r>
          </w:p>
        </w:tc>
      </w:tr>
      <w:tr w:rsidR="00A66065" w:rsidRPr="005C724A" w14:paraId="1F2F552B" w14:textId="77777777" w:rsidTr="001043FD">
        <w:tc>
          <w:tcPr>
            <w:tcW w:w="1789" w:type="dxa"/>
            <w:tcBorders>
              <w:top w:val="nil"/>
              <w:bottom w:val="nil"/>
            </w:tcBorders>
          </w:tcPr>
          <w:p w14:paraId="1D6FF1ED" w14:textId="77777777" w:rsidR="00A66065" w:rsidRPr="005C724A" w:rsidRDefault="00A66065" w:rsidP="0017585C">
            <w:pPr>
              <w:rPr>
                <w:sz w:val="20"/>
              </w:rPr>
            </w:pPr>
          </w:p>
        </w:tc>
        <w:tc>
          <w:tcPr>
            <w:tcW w:w="1789" w:type="dxa"/>
          </w:tcPr>
          <w:p w14:paraId="6AA0C206" w14:textId="5D1E3565" w:rsidR="00A66065" w:rsidRPr="005C724A" w:rsidRDefault="00A66065" w:rsidP="0017585C">
            <w:pPr>
              <w:rPr>
                <w:sz w:val="20"/>
              </w:rPr>
            </w:pPr>
            <w:r w:rsidRPr="005C724A">
              <w:rPr>
                <w:sz w:val="20"/>
                <w:szCs w:val="20"/>
              </w:rPr>
              <w:t xml:space="preserve">Actual </w:t>
            </w:r>
          </w:p>
        </w:tc>
        <w:tc>
          <w:tcPr>
            <w:tcW w:w="1789" w:type="dxa"/>
          </w:tcPr>
          <w:p w14:paraId="34405179" w14:textId="5D78B4BA" w:rsidR="00A66065" w:rsidRPr="005C724A" w:rsidRDefault="00A66065" w:rsidP="0017585C">
            <w:pPr>
              <w:jc w:val="center"/>
              <w:rPr>
                <w:sz w:val="20"/>
              </w:rPr>
            </w:pPr>
            <w:r w:rsidRPr="005C724A">
              <w:rPr>
                <w:sz w:val="20"/>
                <w:szCs w:val="20"/>
              </w:rPr>
              <w:t>215</w:t>
            </w:r>
          </w:p>
        </w:tc>
        <w:tc>
          <w:tcPr>
            <w:tcW w:w="1790" w:type="dxa"/>
          </w:tcPr>
          <w:p w14:paraId="22825B03" w14:textId="7ABA3BE7" w:rsidR="00A66065" w:rsidRPr="005C724A" w:rsidRDefault="00A66065" w:rsidP="0017585C">
            <w:pPr>
              <w:jc w:val="center"/>
              <w:rPr>
                <w:sz w:val="20"/>
              </w:rPr>
            </w:pPr>
            <w:r w:rsidRPr="005C724A">
              <w:rPr>
                <w:sz w:val="20"/>
                <w:szCs w:val="20"/>
              </w:rPr>
              <w:t>277</w:t>
            </w:r>
          </w:p>
        </w:tc>
        <w:tc>
          <w:tcPr>
            <w:tcW w:w="1790" w:type="dxa"/>
          </w:tcPr>
          <w:p w14:paraId="7DEA4393" w14:textId="5599022E" w:rsidR="00A66065" w:rsidRPr="005C724A" w:rsidRDefault="00A66065" w:rsidP="0017585C">
            <w:pPr>
              <w:jc w:val="center"/>
              <w:rPr>
                <w:sz w:val="20"/>
              </w:rPr>
            </w:pPr>
            <w:r w:rsidRPr="005C724A">
              <w:rPr>
                <w:sz w:val="20"/>
                <w:szCs w:val="20"/>
              </w:rPr>
              <w:t>120</w:t>
            </w:r>
          </w:p>
        </w:tc>
      </w:tr>
      <w:tr w:rsidR="00A66065" w:rsidRPr="005C724A" w14:paraId="42B789E0" w14:textId="77777777" w:rsidTr="001043FD">
        <w:tc>
          <w:tcPr>
            <w:tcW w:w="1789" w:type="dxa"/>
            <w:tcBorders>
              <w:top w:val="nil"/>
            </w:tcBorders>
          </w:tcPr>
          <w:p w14:paraId="27F35907" w14:textId="77777777" w:rsidR="00A66065" w:rsidRPr="005C724A" w:rsidRDefault="00A66065" w:rsidP="0017585C">
            <w:pPr>
              <w:rPr>
                <w:sz w:val="20"/>
              </w:rPr>
            </w:pPr>
          </w:p>
        </w:tc>
        <w:tc>
          <w:tcPr>
            <w:tcW w:w="1789" w:type="dxa"/>
          </w:tcPr>
          <w:p w14:paraId="3DAB2803" w14:textId="16312F51" w:rsidR="00A66065" w:rsidRPr="005C724A" w:rsidRDefault="00A66065" w:rsidP="0017585C">
            <w:pPr>
              <w:rPr>
                <w:sz w:val="20"/>
                <w:szCs w:val="20"/>
              </w:rPr>
            </w:pPr>
            <w:r w:rsidRPr="005C724A">
              <w:rPr>
                <w:sz w:val="20"/>
                <w:szCs w:val="20"/>
              </w:rPr>
              <w:t xml:space="preserve">Difference </w:t>
            </w:r>
          </w:p>
        </w:tc>
        <w:tc>
          <w:tcPr>
            <w:tcW w:w="1789" w:type="dxa"/>
          </w:tcPr>
          <w:p w14:paraId="6A2AE1B4" w14:textId="5617DF10" w:rsidR="00A66065" w:rsidRPr="005C724A" w:rsidRDefault="00DE6016" w:rsidP="0017585C">
            <w:pPr>
              <w:jc w:val="center"/>
              <w:rPr>
                <w:sz w:val="20"/>
              </w:rPr>
            </w:pPr>
            <w:r w:rsidRPr="00DE6016">
              <w:rPr>
                <w:sz w:val="20"/>
                <w:szCs w:val="20"/>
                <w:highlight w:val="black"/>
              </w:rPr>
              <w:t>xxx</w:t>
            </w:r>
          </w:p>
        </w:tc>
        <w:tc>
          <w:tcPr>
            <w:tcW w:w="1790" w:type="dxa"/>
          </w:tcPr>
          <w:p w14:paraId="0A219A0D" w14:textId="4EC3974F" w:rsidR="00A66065" w:rsidRPr="005C724A" w:rsidRDefault="00DE6016" w:rsidP="0017585C">
            <w:pPr>
              <w:jc w:val="center"/>
              <w:rPr>
                <w:sz w:val="20"/>
              </w:rPr>
            </w:pPr>
            <w:r w:rsidRPr="00DE6016">
              <w:rPr>
                <w:sz w:val="20"/>
                <w:szCs w:val="20"/>
                <w:highlight w:val="black"/>
              </w:rPr>
              <w:t>xxx</w:t>
            </w:r>
          </w:p>
        </w:tc>
        <w:tc>
          <w:tcPr>
            <w:tcW w:w="1790" w:type="dxa"/>
          </w:tcPr>
          <w:p w14:paraId="461F882A" w14:textId="075F5B1D" w:rsidR="00A66065" w:rsidRPr="005C724A" w:rsidRDefault="00DE6016" w:rsidP="0017585C">
            <w:pPr>
              <w:jc w:val="center"/>
              <w:rPr>
                <w:sz w:val="20"/>
              </w:rPr>
            </w:pPr>
            <w:r w:rsidRPr="00DE6016">
              <w:rPr>
                <w:sz w:val="20"/>
                <w:szCs w:val="20"/>
                <w:highlight w:val="black"/>
              </w:rPr>
              <w:t>xxx</w:t>
            </w:r>
          </w:p>
        </w:tc>
      </w:tr>
      <w:tr w:rsidR="0017585C" w:rsidRPr="005C724A" w14:paraId="416F3337" w14:textId="77777777" w:rsidTr="001043FD">
        <w:tc>
          <w:tcPr>
            <w:tcW w:w="1789" w:type="dxa"/>
            <w:tcBorders>
              <w:bottom w:val="nil"/>
            </w:tcBorders>
          </w:tcPr>
          <w:p w14:paraId="5AFA25DB" w14:textId="7E0E548F" w:rsidR="0017585C" w:rsidRPr="005C724A" w:rsidRDefault="0017585C" w:rsidP="0017585C">
            <w:pPr>
              <w:rPr>
                <w:sz w:val="20"/>
              </w:rPr>
            </w:pPr>
            <w:r w:rsidRPr="005C724A">
              <w:rPr>
                <w:sz w:val="20"/>
                <w:szCs w:val="20"/>
              </w:rPr>
              <w:t>Expenditure</w:t>
            </w:r>
          </w:p>
        </w:tc>
        <w:tc>
          <w:tcPr>
            <w:tcW w:w="1789" w:type="dxa"/>
          </w:tcPr>
          <w:p w14:paraId="498B2769" w14:textId="06CEE9EA" w:rsidR="0017585C" w:rsidRPr="005C724A" w:rsidRDefault="0017585C" w:rsidP="0017585C">
            <w:pPr>
              <w:rPr>
                <w:sz w:val="20"/>
                <w:szCs w:val="20"/>
              </w:rPr>
            </w:pPr>
            <w:r w:rsidRPr="005C724A">
              <w:rPr>
                <w:sz w:val="20"/>
                <w:szCs w:val="20"/>
              </w:rPr>
              <w:t xml:space="preserve">Predicted </w:t>
            </w:r>
          </w:p>
        </w:tc>
        <w:tc>
          <w:tcPr>
            <w:tcW w:w="1789" w:type="dxa"/>
            <w:shd w:val="clear" w:color="auto" w:fill="auto"/>
          </w:tcPr>
          <w:p w14:paraId="7A73D3B6" w14:textId="593717E5" w:rsidR="0017585C" w:rsidRPr="005C724A" w:rsidRDefault="00A66065" w:rsidP="00A66065">
            <w:pPr>
              <w:jc w:val="center"/>
              <w:rPr>
                <w:sz w:val="20"/>
              </w:rPr>
            </w:pPr>
            <w:r w:rsidRPr="005C724A">
              <w:rPr>
                <w:sz w:val="20"/>
              </w:rPr>
              <w:t>$</w:t>
            </w:r>
            <w:proofErr w:type="spellStart"/>
            <w:r w:rsidR="00DE6016" w:rsidRPr="00DE6016">
              <w:rPr>
                <w:sz w:val="20"/>
                <w:highlight w:val="black"/>
              </w:rPr>
              <w:t>xxxxxxxxxxx</w:t>
            </w:r>
            <w:proofErr w:type="spellEnd"/>
          </w:p>
        </w:tc>
        <w:tc>
          <w:tcPr>
            <w:tcW w:w="1790" w:type="dxa"/>
            <w:shd w:val="clear" w:color="auto" w:fill="auto"/>
          </w:tcPr>
          <w:p w14:paraId="488DF4E3" w14:textId="68F3D147" w:rsidR="0017585C" w:rsidRPr="005C724A" w:rsidRDefault="00A66065" w:rsidP="00A66065">
            <w:pPr>
              <w:jc w:val="center"/>
              <w:rPr>
                <w:sz w:val="20"/>
              </w:rPr>
            </w:pPr>
            <w:r w:rsidRPr="005C724A">
              <w:rPr>
                <w:sz w:val="20"/>
              </w:rPr>
              <w:t>$</w:t>
            </w:r>
            <w:r w:rsidR="00DE6016" w:rsidRPr="00DE6016">
              <w:rPr>
                <w:sz w:val="20"/>
                <w:szCs w:val="20"/>
                <w:highlight w:val="black"/>
              </w:rPr>
              <w:t xml:space="preserve"> </w:t>
            </w:r>
            <w:proofErr w:type="spellStart"/>
            <w:r w:rsidR="00DE6016" w:rsidRPr="00DE6016">
              <w:rPr>
                <w:sz w:val="20"/>
                <w:highlight w:val="black"/>
              </w:rPr>
              <w:t>xxxxxxxxxxx</w:t>
            </w:r>
            <w:proofErr w:type="spellEnd"/>
          </w:p>
        </w:tc>
        <w:tc>
          <w:tcPr>
            <w:tcW w:w="1790" w:type="dxa"/>
            <w:shd w:val="clear" w:color="auto" w:fill="auto"/>
          </w:tcPr>
          <w:p w14:paraId="08F88767" w14:textId="700E706B" w:rsidR="0017585C" w:rsidRPr="005C724A" w:rsidRDefault="00A66065" w:rsidP="00A66065">
            <w:pPr>
              <w:jc w:val="center"/>
              <w:rPr>
                <w:sz w:val="20"/>
              </w:rPr>
            </w:pPr>
            <w:r w:rsidRPr="005C724A">
              <w:rPr>
                <w:sz w:val="20"/>
              </w:rPr>
              <w:t>$</w:t>
            </w:r>
            <w:r w:rsidR="00DE6016" w:rsidRPr="00DE6016">
              <w:rPr>
                <w:sz w:val="20"/>
                <w:highlight w:val="black"/>
              </w:rPr>
              <w:t xml:space="preserve"> </w:t>
            </w:r>
            <w:proofErr w:type="spellStart"/>
            <w:r w:rsidR="00DE6016" w:rsidRPr="00DE6016">
              <w:rPr>
                <w:sz w:val="20"/>
                <w:highlight w:val="black"/>
              </w:rPr>
              <w:t>xxxxxxxxxxx</w:t>
            </w:r>
            <w:proofErr w:type="spellEnd"/>
          </w:p>
        </w:tc>
      </w:tr>
      <w:tr w:rsidR="0017585C" w:rsidRPr="005C724A" w14:paraId="05962C8E" w14:textId="77777777" w:rsidTr="001043FD">
        <w:tc>
          <w:tcPr>
            <w:tcW w:w="1789" w:type="dxa"/>
            <w:tcBorders>
              <w:top w:val="nil"/>
              <w:bottom w:val="nil"/>
            </w:tcBorders>
          </w:tcPr>
          <w:p w14:paraId="1A8C4F21" w14:textId="77777777" w:rsidR="0017585C" w:rsidRPr="005C724A" w:rsidRDefault="0017585C" w:rsidP="0017585C">
            <w:pPr>
              <w:rPr>
                <w:sz w:val="20"/>
              </w:rPr>
            </w:pPr>
          </w:p>
        </w:tc>
        <w:tc>
          <w:tcPr>
            <w:tcW w:w="1789" w:type="dxa"/>
          </w:tcPr>
          <w:p w14:paraId="13C45DB6" w14:textId="4AF06224" w:rsidR="0017585C" w:rsidRPr="005C724A" w:rsidRDefault="0017585C" w:rsidP="0017585C">
            <w:pPr>
              <w:rPr>
                <w:sz w:val="20"/>
                <w:szCs w:val="20"/>
              </w:rPr>
            </w:pPr>
            <w:r w:rsidRPr="005C724A">
              <w:rPr>
                <w:sz w:val="20"/>
                <w:szCs w:val="20"/>
              </w:rPr>
              <w:t xml:space="preserve">Actual </w:t>
            </w:r>
          </w:p>
        </w:tc>
        <w:tc>
          <w:tcPr>
            <w:tcW w:w="1789" w:type="dxa"/>
          </w:tcPr>
          <w:p w14:paraId="6F4BD5D9" w14:textId="57031432" w:rsidR="0017585C" w:rsidRPr="005C724A" w:rsidRDefault="0017585C" w:rsidP="0017585C">
            <w:pPr>
              <w:jc w:val="center"/>
              <w:rPr>
                <w:sz w:val="20"/>
              </w:rPr>
            </w:pPr>
            <w:r w:rsidRPr="005C724A">
              <w:rPr>
                <w:sz w:val="20"/>
              </w:rPr>
              <w:t>$4,507,217</w:t>
            </w:r>
          </w:p>
        </w:tc>
        <w:tc>
          <w:tcPr>
            <w:tcW w:w="1790" w:type="dxa"/>
          </w:tcPr>
          <w:p w14:paraId="4B57D1A7" w14:textId="5DDECE36" w:rsidR="0017585C" w:rsidRPr="005C724A" w:rsidRDefault="0017585C" w:rsidP="0017585C">
            <w:pPr>
              <w:jc w:val="center"/>
              <w:rPr>
                <w:sz w:val="20"/>
              </w:rPr>
            </w:pPr>
            <w:r w:rsidRPr="005C724A">
              <w:rPr>
                <w:sz w:val="20"/>
              </w:rPr>
              <w:t>$6,030,613</w:t>
            </w:r>
          </w:p>
        </w:tc>
        <w:tc>
          <w:tcPr>
            <w:tcW w:w="1790" w:type="dxa"/>
          </w:tcPr>
          <w:p w14:paraId="0312DC32" w14:textId="332CF53D" w:rsidR="0017585C" w:rsidRPr="005C724A" w:rsidRDefault="0017585C" w:rsidP="0017585C">
            <w:pPr>
              <w:jc w:val="center"/>
              <w:rPr>
                <w:sz w:val="20"/>
              </w:rPr>
            </w:pPr>
            <w:r w:rsidRPr="005C724A">
              <w:rPr>
                <w:sz w:val="20"/>
              </w:rPr>
              <w:t>$2,645,023</w:t>
            </w:r>
          </w:p>
        </w:tc>
      </w:tr>
      <w:tr w:rsidR="009F2D74" w:rsidRPr="005C724A" w14:paraId="66484A83" w14:textId="77777777" w:rsidTr="001043FD">
        <w:tc>
          <w:tcPr>
            <w:tcW w:w="1789" w:type="dxa"/>
            <w:tcBorders>
              <w:top w:val="nil"/>
            </w:tcBorders>
          </w:tcPr>
          <w:p w14:paraId="170A293B" w14:textId="77777777" w:rsidR="009F2D74" w:rsidRPr="005C724A" w:rsidRDefault="009F2D74" w:rsidP="009F2D74">
            <w:pPr>
              <w:rPr>
                <w:sz w:val="20"/>
              </w:rPr>
            </w:pPr>
          </w:p>
        </w:tc>
        <w:tc>
          <w:tcPr>
            <w:tcW w:w="1789" w:type="dxa"/>
          </w:tcPr>
          <w:p w14:paraId="7BDC71DB" w14:textId="02F1D866" w:rsidR="009F2D74" w:rsidRPr="005C724A" w:rsidRDefault="009F2D74" w:rsidP="009F2D74">
            <w:pPr>
              <w:rPr>
                <w:sz w:val="20"/>
                <w:szCs w:val="20"/>
              </w:rPr>
            </w:pPr>
            <w:r w:rsidRPr="005C724A">
              <w:rPr>
                <w:sz w:val="20"/>
                <w:szCs w:val="20"/>
              </w:rPr>
              <w:t xml:space="preserve">Difference </w:t>
            </w:r>
          </w:p>
        </w:tc>
        <w:tc>
          <w:tcPr>
            <w:tcW w:w="1789" w:type="dxa"/>
          </w:tcPr>
          <w:p w14:paraId="5308CBF4" w14:textId="092DACC2" w:rsidR="009F2D74" w:rsidRPr="005C724A" w:rsidRDefault="00DE6016" w:rsidP="009F2D74">
            <w:pPr>
              <w:jc w:val="center"/>
              <w:rPr>
                <w:sz w:val="20"/>
              </w:rPr>
            </w:pPr>
            <w:r w:rsidRPr="00DE6016">
              <w:rPr>
                <w:sz w:val="20"/>
                <w:szCs w:val="20"/>
                <w:highlight w:val="black"/>
              </w:rPr>
              <w:t>xxx</w:t>
            </w:r>
          </w:p>
        </w:tc>
        <w:tc>
          <w:tcPr>
            <w:tcW w:w="1790" w:type="dxa"/>
          </w:tcPr>
          <w:p w14:paraId="138530FA" w14:textId="6C5D2BDB" w:rsidR="009F2D74" w:rsidRPr="005C724A" w:rsidRDefault="00DE6016" w:rsidP="009F2D74">
            <w:pPr>
              <w:jc w:val="center"/>
              <w:rPr>
                <w:sz w:val="20"/>
              </w:rPr>
            </w:pPr>
            <w:r w:rsidRPr="00DE6016">
              <w:rPr>
                <w:sz w:val="20"/>
                <w:szCs w:val="20"/>
                <w:highlight w:val="black"/>
              </w:rPr>
              <w:t>xxx</w:t>
            </w:r>
          </w:p>
        </w:tc>
        <w:tc>
          <w:tcPr>
            <w:tcW w:w="1790" w:type="dxa"/>
          </w:tcPr>
          <w:p w14:paraId="77B4986B" w14:textId="3753C1B3" w:rsidR="009F2D74" w:rsidRPr="005C724A" w:rsidRDefault="00DE6016" w:rsidP="009F2D74">
            <w:pPr>
              <w:jc w:val="center"/>
              <w:rPr>
                <w:sz w:val="20"/>
              </w:rPr>
            </w:pPr>
            <w:r w:rsidRPr="00DE6016">
              <w:rPr>
                <w:sz w:val="20"/>
                <w:szCs w:val="20"/>
                <w:highlight w:val="black"/>
              </w:rPr>
              <w:t>xxx</w:t>
            </w:r>
          </w:p>
        </w:tc>
      </w:tr>
    </w:tbl>
    <w:p w14:paraId="5B91083B" w14:textId="649DCB08" w:rsidR="005969FE" w:rsidRDefault="00BF7F00" w:rsidP="00F56560">
      <w:pPr>
        <w:spacing w:after="0"/>
        <w:rPr>
          <w:sz w:val="20"/>
        </w:rPr>
      </w:pPr>
      <w:r w:rsidRPr="006D5C42">
        <w:rPr>
          <w:sz w:val="20"/>
        </w:rPr>
        <w:t>Note</w:t>
      </w:r>
      <w:r w:rsidR="003879C1">
        <w:rPr>
          <w:sz w:val="20"/>
        </w:rPr>
        <w:t>s</w:t>
      </w:r>
      <w:r w:rsidRPr="006D5C42">
        <w:rPr>
          <w:sz w:val="20"/>
        </w:rPr>
        <w:t xml:space="preserve">: </w:t>
      </w:r>
    </w:p>
    <w:p w14:paraId="7CC27AB0" w14:textId="77777777" w:rsidR="005969FE" w:rsidRDefault="00BF7F00" w:rsidP="00F56560">
      <w:pPr>
        <w:pStyle w:val="ListParagraph"/>
        <w:numPr>
          <w:ilvl w:val="0"/>
          <w:numId w:val="33"/>
        </w:numPr>
        <w:spacing w:after="0"/>
        <w:rPr>
          <w:sz w:val="20"/>
        </w:rPr>
      </w:pPr>
      <w:r w:rsidRPr="005969FE">
        <w:rPr>
          <w:sz w:val="20"/>
        </w:rPr>
        <w:t xml:space="preserve">Year 3 predicted numbers are for the full year, actual numbers are </w:t>
      </w:r>
      <w:r w:rsidR="00F56560" w:rsidRPr="005969FE">
        <w:rPr>
          <w:sz w:val="20"/>
        </w:rPr>
        <w:t>three</w:t>
      </w:r>
      <w:r w:rsidRPr="005969FE">
        <w:rPr>
          <w:sz w:val="20"/>
        </w:rPr>
        <w:t xml:space="preserve"> months of data (</w:t>
      </w:r>
      <w:r w:rsidR="00FE1940" w:rsidRPr="005969FE">
        <w:rPr>
          <w:sz w:val="20"/>
        </w:rPr>
        <w:t xml:space="preserve">October </w:t>
      </w:r>
      <w:r w:rsidRPr="005969FE">
        <w:rPr>
          <w:sz w:val="20"/>
        </w:rPr>
        <w:t xml:space="preserve">2021 to </w:t>
      </w:r>
      <w:r w:rsidR="00F56560" w:rsidRPr="005969FE">
        <w:rPr>
          <w:sz w:val="20"/>
        </w:rPr>
        <w:t>December</w:t>
      </w:r>
      <w:r w:rsidR="00FE1940" w:rsidRPr="005969FE">
        <w:rPr>
          <w:sz w:val="20"/>
        </w:rPr>
        <w:t xml:space="preserve"> 202</w:t>
      </w:r>
      <w:r w:rsidR="00F56560" w:rsidRPr="005969FE">
        <w:rPr>
          <w:sz w:val="20"/>
        </w:rPr>
        <w:t xml:space="preserve">1 </w:t>
      </w:r>
      <w:r w:rsidRPr="005969FE">
        <w:rPr>
          <w:sz w:val="20"/>
        </w:rPr>
        <w:t xml:space="preserve">inclusive). </w:t>
      </w:r>
      <w:bookmarkStart w:id="4" w:name="_Ref486850264"/>
      <w:bookmarkStart w:id="5" w:name="_Toc486610593"/>
      <w:bookmarkStart w:id="6" w:name="_Toc507788228"/>
      <w:bookmarkStart w:id="7" w:name="_Toc507786651"/>
      <w:bookmarkStart w:id="8" w:name="_Toc508010464"/>
      <w:bookmarkStart w:id="9" w:name="_Toc528667949"/>
    </w:p>
    <w:p w14:paraId="437DB9BB" w14:textId="0C9744A6" w:rsidR="00F56560" w:rsidRDefault="00145198" w:rsidP="009A4D65">
      <w:pPr>
        <w:pStyle w:val="ListParagraph"/>
        <w:numPr>
          <w:ilvl w:val="0"/>
          <w:numId w:val="33"/>
        </w:numPr>
        <w:spacing w:after="0"/>
        <w:rPr>
          <w:sz w:val="20"/>
        </w:rPr>
      </w:pPr>
      <w:r w:rsidRPr="00356E95">
        <w:rPr>
          <w:sz w:val="20"/>
        </w:rPr>
        <w:t>Expenditure</w:t>
      </w:r>
      <w:r w:rsidR="005969FE" w:rsidRPr="00356E95">
        <w:rPr>
          <w:sz w:val="20"/>
        </w:rPr>
        <w:t xml:space="preserve"> figures are</w:t>
      </w:r>
      <w:r w:rsidRPr="00356E95">
        <w:rPr>
          <w:sz w:val="20"/>
        </w:rPr>
        <w:t xml:space="preserve"> based on published prices. </w:t>
      </w:r>
    </w:p>
    <w:p w14:paraId="22314130" w14:textId="77777777" w:rsidR="00356E95" w:rsidRPr="00356E95" w:rsidRDefault="00356E95" w:rsidP="00356E95">
      <w:pPr>
        <w:pStyle w:val="ListParagraph"/>
        <w:spacing w:after="0"/>
        <w:rPr>
          <w:sz w:val="20"/>
        </w:rPr>
      </w:pPr>
    </w:p>
    <w:p w14:paraId="6B684B00" w14:textId="7CD0FD9A" w:rsidR="006A30FD" w:rsidRPr="005C724A" w:rsidRDefault="003C091B" w:rsidP="006A30FD">
      <w:pPr>
        <w:rPr>
          <w:iCs/>
          <w:color w:val="000000"/>
        </w:rPr>
      </w:pPr>
      <w:r w:rsidRPr="005C724A">
        <w:rPr>
          <w:iCs/>
          <w:color w:val="000000"/>
        </w:rPr>
        <w:t>As shown in</w:t>
      </w:r>
      <w:r w:rsidR="006A30FD" w:rsidRPr="005C724A">
        <w:rPr>
          <w:iCs/>
          <w:color w:val="000000"/>
        </w:rPr>
        <w:t xml:space="preserve"> Table </w:t>
      </w:r>
      <w:r w:rsidR="00683D2B" w:rsidRPr="005C724A">
        <w:rPr>
          <w:iCs/>
          <w:color w:val="000000"/>
        </w:rPr>
        <w:t>5</w:t>
      </w:r>
      <w:r w:rsidR="006A30FD" w:rsidRPr="005C724A">
        <w:rPr>
          <w:iCs/>
          <w:color w:val="000000"/>
        </w:rPr>
        <w:t xml:space="preserve">, actual patient and prescription figures were </w:t>
      </w:r>
      <w:r w:rsidR="00DE6016" w:rsidRPr="00DE6016">
        <w:rPr>
          <w:highlight w:val="black"/>
        </w:rPr>
        <w:t>XXXX</w:t>
      </w:r>
      <w:r w:rsidR="00DE6016">
        <w:t xml:space="preserve"> </w:t>
      </w:r>
      <w:r w:rsidR="006A30FD" w:rsidRPr="005C724A">
        <w:rPr>
          <w:iCs/>
          <w:color w:val="000000"/>
        </w:rPr>
        <w:t xml:space="preserve">than estimated. The number of patients in the first and second year of teduglutide listing were lower by </w:t>
      </w:r>
      <w:r w:rsidR="00DE6016" w:rsidRPr="00DE6016">
        <w:rPr>
          <w:sz w:val="20"/>
          <w:szCs w:val="20"/>
          <w:highlight w:val="black"/>
        </w:rPr>
        <w:t>xxx</w:t>
      </w:r>
      <w:r w:rsidR="00097CF9" w:rsidRPr="005C724A">
        <w:rPr>
          <w:iCs/>
          <w:color w:val="000000"/>
        </w:rPr>
        <w:t xml:space="preserve">% </w:t>
      </w:r>
      <w:r w:rsidR="006A30FD" w:rsidRPr="005C724A">
        <w:rPr>
          <w:iCs/>
          <w:color w:val="000000"/>
        </w:rPr>
        <w:t xml:space="preserve">and </w:t>
      </w:r>
      <w:r w:rsidR="00DE6016" w:rsidRPr="00DE6016">
        <w:rPr>
          <w:sz w:val="20"/>
          <w:szCs w:val="20"/>
          <w:highlight w:val="black"/>
        </w:rPr>
        <w:t>xxx</w:t>
      </w:r>
      <w:r w:rsidR="00097CF9" w:rsidRPr="005C724A">
        <w:rPr>
          <w:iCs/>
          <w:color w:val="000000"/>
        </w:rPr>
        <w:t>%</w:t>
      </w:r>
      <w:r w:rsidRPr="005C724A">
        <w:rPr>
          <w:iCs/>
          <w:color w:val="000000"/>
        </w:rPr>
        <w:t xml:space="preserve">, </w:t>
      </w:r>
      <w:r w:rsidR="006A30FD" w:rsidRPr="005C724A">
        <w:rPr>
          <w:iCs/>
          <w:color w:val="000000"/>
        </w:rPr>
        <w:t xml:space="preserve">respectively. </w:t>
      </w:r>
    </w:p>
    <w:p w14:paraId="4D211C9B" w14:textId="5F6A3389" w:rsidR="003879C1" w:rsidRPr="005C724A" w:rsidRDefault="006A30FD" w:rsidP="006A30FD">
      <w:pPr>
        <w:rPr>
          <w:iCs/>
          <w:color w:val="000000"/>
        </w:rPr>
      </w:pPr>
      <w:r w:rsidRPr="005C724A">
        <w:rPr>
          <w:iCs/>
          <w:color w:val="000000"/>
        </w:rPr>
        <w:t xml:space="preserve">The number of prescriptions in the first and second year of teduglutide listing were </w:t>
      </w:r>
      <w:r w:rsidR="00DE6016" w:rsidRPr="00DE6016">
        <w:rPr>
          <w:highlight w:val="black"/>
        </w:rPr>
        <w:t>XXXX</w:t>
      </w:r>
      <w:r w:rsidR="00DE6016">
        <w:t xml:space="preserve"> </w:t>
      </w:r>
      <w:r w:rsidRPr="005C724A">
        <w:rPr>
          <w:iCs/>
          <w:color w:val="000000"/>
        </w:rPr>
        <w:t xml:space="preserve">by </w:t>
      </w:r>
      <w:r w:rsidR="00DE6016" w:rsidRPr="00DE6016">
        <w:rPr>
          <w:sz w:val="20"/>
          <w:szCs w:val="20"/>
          <w:highlight w:val="black"/>
        </w:rPr>
        <w:t>xxx</w:t>
      </w:r>
      <w:r w:rsidRPr="005C724A">
        <w:rPr>
          <w:iCs/>
          <w:color w:val="000000"/>
        </w:rPr>
        <w:t xml:space="preserve">% and </w:t>
      </w:r>
      <w:r w:rsidR="00DE6016" w:rsidRPr="00DE6016">
        <w:rPr>
          <w:sz w:val="20"/>
          <w:szCs w:val="20"/>
          <w:highlight w:val="black"/>
        </w:rPr>
        <w:t>xxx</w:t>
      </w:r>
      <w:r w:rsidRPr="005C724A">
        <w:rPr>
          <w:iCs/>
          <w:color w:val="000000"/>
        </w:rPr>
        <w:t xml:space="preserve">%, respectively. </w:t>
      </w:r>
    </w:p>
    <w:p w14:paraId="2D9B4B41" w14:textId="498B3C27" w:rsidR="005C724A" w:rsidRPr="0020418B" w:rsidRDefault="00E24CDE" w:rsidP="001B6FDA">
      <w:pPr>
        <w:rPr>
          <w:iCs/>
          <w:color w:val="000000"/>
        </w:rPr>
      </w:pPr>
      <w:r w:rsidRPr="005C724A">
        <w:rPr>
          <w:iCs/>
          <w:color w:val="000000"/>
        </w:rPr>
        <w:t>E</w:t>
      </w:r>
      <w:r w:rsidR="00356E95" w:rsidRPr="005C724A">
        <w:rPr>
          <w:iCs/>
          <w:color w:val="000000"/>
        </w:rPr>
        <w:t xml:space="preserve">xpenditure based on published prices in the first and second year of </w:t>
      </w:r>
      <w:r w:rsidRPr="005C724A">
        <w:rPr>
          <w:iCs/>
          <w:color w:val="000000"/>
        </w:rPr>
        <w:t xml:space="preserve">teduglutide </w:t>
      </w:r>
      <w:r w:rsidR="00356E95" w:rsidRPr="005C724A">
        <w:rPr>
          <w:iCs/>
          <w:color w:val="000000"/>
        </w:rPr>
        <w:t xml:space="preserve">listing were </w:t>
      </w:r>
      <w:r w:rsidR="00DE6016" w:rsidRPr="00DE6016">
        <w:rPr>
          <w:highlight w:val="black"/>
        </w:rPr>
        <w:t>XXXX</w:t>
      </w:r>
      <w:r w:rsidR="00DE6016">
        <w:t xml:space="preserve"> </w:t>
      </w:r>
      <w:r w:rsidR="00356E95" w:rsidRPr="005C724A">
        <w:rPr>
          <w:iCs/>
          <w:color w:val="000000"/>
        </w:rPr>
        <w:t xml:space="preserve">by </w:t>
      </w:r>
      <w:r w:rsidR="00DE6016" w:rsidRPr="00DE6016">
        <w:rPr>
          <w:sz w:val="20"/>
          <w:szCs w:val="20"/>
          <w:highlight w:val="black"/>
        </w:rPr>
        <w:t>xxx</w:t>
      </w:r>
      <w:r w:rsidR="00356E95" w:rsidRPr="005C724A">
        <w:rPr>
          <w:iCs/>
          <w:color w:val="000000"/>
        </w:rPr>
        <w:t xml:space="preserve">% and </w:t>
      </w:r>
      <w:r w:rsidR="00DE6016" w:rsidRPr="00DE6016">
        <w:rPr>
          <w:sz w:val="20"/>
          <w:szCs w:val="20"/>
          <w:highlight w:val="black"/>
        </w:rPr>
        <w:t>xxx</w:t>
      </w:r>
      <w:r w:rsidR="00356E95" w:rsidRPr="005C724A">
        <w:rPr>
          <w:iCs/>
          <w:color w:val="000000"/>
        </w:rPr>
        <w:t>%, respectively.</w:t>
      </w:r>
    </w:p>
    <w:p w14:paraId="19847E83" w14:textId="370C1FAB" w:rsidR="001B6FDA" w:rsidRPr="0013775E" w:rsidRDefault="001B6FDA" w:rsidP="001B6FDA">
      <w:pPr>
        <w:rPr>
          <w:b/>
          <w:bCs/>
          <w:iCs/>
          <w:color w:val="000000"/>
          <w:sz w:val="28"/>
          <w:szCs w:val="28"/>
        </w:rPr>
      </w:pPr>
      <w:r w:rsidRPr="0013775E">
        <w:rPr>
          <w:b/>
          <w:bCs/>
          <w:iCs/>
          <w:color w:val="000000"/>
          <w:sz w:val="28"/>
          <w:szCs w:val="28"/>
        </w:rPr>
        <w:t xml:space="preserve">Dosing </w:t>
      </w:r>
    </w:p>
    <w:bookmarkEnd w:id="4"/>
    <w:bookmarkEnd w:id="5"/>
    <w:bookmarkEnd w:id="6"/>
    <w:bookmarkEnd w:id="7"/>
    <w:bookmarkEnd w:id="8"/>
    <w:bookmarkEnd w:id="9"/>
    <w:p w14:paraId="790A309A" w14:textId="48BE1C9D" w:rsidR="0053315A" w:rsidRDefault="0053315A" w:rsidP="009C19EE">
      <w:pPr>
        <w:rPr>
          <w:iCs/>
          <w:color w:val="000000"/>
        </w:rPr>
      </w:pPr>
      <w:r>
        <w:rPr>
          <w:iCs/>
          <w:color w:val="000000"/>
        </w:rPr>
        <w:t xml:space="preserve">The average </w:t>
      </w:r>
      <w:r w:rsidR="001B6FDA">
        <w:rPr>
          <w:iCs/>
          <w:color w:val="000000"/>
        </w:rPr>
        <w:t xml:space="preserve">teduglutide </w:t>
      </w:r>
      <w:r>
        <w:rPr>
          <w:iCs/>
          <w:color w:val="000000"/>
        </w:rPr>
        <w:t>dose supplied to patients was 28</w:t>
      </w:r>
      <w:r w:rsidR="007D4C45">
        <w:rPr>
          <w:iCs/>
          <w:color w:val="000000"/>
        </w:rPr>
        <w:t xml:space="preserve"> vials</w:t>
      </w:r>
      <w:r>
        <w:rPr>
          <w:iCs/>
          <w:color w:val="000000"/>
        </w:rPr>
        <w:t xml:space="preserve">. </w:t>
      </w:r>
    </w:p>
    <w:p w14:paraId="084D2F2D" w14:textId="052AB8B6" w:rsidR="001B6FDA" w:rsidRPr="001B6FDA" w:rsidRDefault="001B6FDA" w:rsidP="001B6FDA">
      <w:pPr>
        <w:pStyle w:val="Tabletitle"/>
      </w:pPr>
      <w:r>
        <w:t xml:space="preserve">Table </w:t>
      </w:r>
      <w:r w:rsidR="00B165A7">
        <w:t>6</w:t>
      </w:r>
      <w:r w:rsidRPr="004F057D">
        <w:t>:</w:t>
      </w:r>
      <w:r>
        <w:t xml:space="preserve"> Teduglutide dosing actual versus predicted utilisation </w:t>
      </w:r>
    </w:p>
    <w:tbl>
      <w:tblPr>
        <w:tblStyle w:val="TableGrid"/>
        <w:tblW w:w="0" w:type="auto"/>
        <w:tblLook w:val="04A0" w:firstRow="1" w:lastRow="0" w:firstColumn="1" w:lastColumn="0" w:noHBand="0" w:noVBand="1"/>
      </w:tblPr>
      <w:tblGrid>
        <w:gridCol w:w="1789"/>
        <w:gridCol w:w="1789"/>
        <w:gridCol w:w="1789"/>
        <w:gridCol w:w="1790"/>
        <w:gridCol w:w="1790"/>
      </w:tblGrid>
      <w:tr w:rsidR="001043FD" w:rsidRPr="005C724A" w14:paraId="51AC8B98" w14:textId="77777777" w:rsidTr="001043FD">
        <w:tc>
          <w:tcPr>
            <w:tcW w:w="1789" w:type="dxa"/>
            <w:tcBorders>
              <w:bottom w:val="nil"/>
              <w:right w:val="nil"/>
            </w:tcBorders>
            <w:shd w:val="clear" w:color="auto" w:fill="BFBFBF" w:themeFill="background1" w:themeFillShade="BF"/>
          </w:tcPr>
          <w:p w14:paraId="574E9D37" w14:textId="77777777" w:rsidR="001043FD" w:rsidRPr="005C724A" w:rsidRDefault="001043FD" w:rsidP="00581383">
            <w:pPr>
              <w:rPr>
                <w:b/>
                <w:bCs/>
                <w:sz w:val="20"/>
                <w:szCs w:val="20"/>
              </w:rPr>
            </w:pPr>
            <w:r w:rsidRPr="005C724A">
              <w:rPr>
                <w:b/>
                <w:bCs/>
                <w:sz w:val="20"/>
                <w:szCs w:val="20"/>
              </w:rPr>
              <w:t xml:space="preserve">Teduglutide listing years </w:t>
            </w:r>
          </w:p>
        </w:tc>
        <w:tc>
          <w:tcPr>
            <w:tcW w:w="1789" w:type="dxa"/>
            <w:tcBorders>
              <w:left w:val="nil"/>
              <w:bottom w:val="nil"/>
            </w:tcBorders>
            <w:shd w:val="clear" w:color="auto" w:fill="BFBFBF" w:themeFill="background1" w:themeFillShade="BF"/>
          </w:tcPr>
          <w:p w14:paraId="13B6D64E" w14:textId="5CAC4136" w:rsidR="001043FD" w:rsidRPr="005C724A" w:rsidRDefault="001043FD" w:rsidP="00581383">
            <w:pPr>
              <w:rPr>
                <w:b/>
                <w:bCs/>
                <w:sz w:val="20"/>
                <w:szCs w:val="20"/>
              </w:rPr>
            </w:pPr>
          </w:p>
        </w:tc>
        <w:tc>
          <w:tcPr>
            <w:tcW w:w="1789" w:type="dxa"/>
            <w:shd w:val="clear" w:color="auto" w:fill="BFBFBF" w:themeFill="background1" w:themeFillShade="BF"/>
          </w:tcPr>
          <w:p w14:paraId="68483032" w14:textId="400D34CF" w:rsidR="001043FD" w:rsidRPr="005C724A" w:rsidRDefault="001043FD" w:rsidP="00581383">
            <w:pPr>
              <w:jc w:val="center"/>
              <w:rPr>
                <w:b/>
                <w:bCs/>
                <w:sz w:val="20"/>
                <w:szCs w:val="20"/>
              </w:rPr>
            </w:pPr>
            <w:r w:rsidRPr="005C724A">
              <w:rPr>
                <w:b/>
                <w:bCs/>
                <w:sz w:val="20"/>
                <w:szCs w:val="20"/>
              </w:rPr>
              <w:t xml:space="preserve">Year 1 </w:t>
            </w:r>
          </w:p>
        </w:tc>
        <w:tc>
          <w:tcPr>
            <w:tcW w:w="1790" w:type="dxa"/>
            <w:shd w:val="clear" w:color="auto" w:fill="BFBFBF" w:themeFill="background1" w:themeFillShade="BF"/>
          </w:tcPr>
          <w:p w14:paraId="346DE168" w14:textId="0205AB5A" w:rsidR="001043FD" w:rsidRPr="005C724A" w:rsidRDefault="001043FD" w:rsidP="00581383">
            <w:pPr>
              <w:jc w:val="center"/>
              <w:rPr>
                <w:b/>
                <w:bCs/>
                <w:sz w:val="20"/>
                <w:szCs w:val="20"/>
              </w:rPr>
            </w:pPr>
            <w:r w:rsidRPr="005C724A">
              <w:rPr>
                <w:b/>
                <w:bCs/>
                <w:sz w:val="20"/>
                <w:szCs w:val="20"/>
              </w:rPr>
              <w:t xml:space="preserve">Year 2 </w:t>
            </w:r>
          </w:p>
        </w:tc>
        <w:tc>
          <w:tcPr>
            <w:tcW w:w="1790" w:type="dxa"/>
            <w:shd w:val="clear" w:color="auto" w:fill="BFBFBF" w:themeFill="background1" w:themeFillShade="BF"/>
          </w:tcPr>
          <w:p w14:paraId="766D1431" w14:textId="42B70C24" w:rsidR="001043FD" w:rsidRPr="005C724A" w:rsidRDefault="001043FD" w:rsidP="00581383">
            <w:pPr>
              <w:jc w:val="center"/>
              <w:rPr>
                <w:b/>
                <w:bCs/>
                <w:sz w:val="20"/>
                <w:szCs w:val="20"/>
              </w:rPr>
            </w:pPr>
            <w:r w:rsidRPr="005C724A">
              <w:rPr>
                <w:b/>
                <w:bCs/>
                <w:sz w:val="20"/>
                <w:szCs w:val="20"/>
              </w:rPr>
              <w:t xml:space="preserve">Year 3 </w:t>
            </w:r>
          </w:p>
        </w:tc>
      </w:tr>
      <w:tr w:rsidR="001043FD" w:rsidRPr="005C724A" w14:paraId="0D6E208F" w14:textId="77777777" w:rsidTr="001043FD">
        <w:tc>
          <w:tcPr>
            <w:tcW w:w="1789" w:type="dxa"/>
            <w:tcBorders>
              <w:top w:val="nil"/>
              <w:right w:val="nil"/>
            </w:tcBorders>
            <w:shd w:val="clear" w:color="auto" w:fill="BFBFBF" w:themeFill="background1" w:themeFillShade="BF"/>
          </w:tcPr>
          <w:p w14:paraId="196BEE93" w14:textId="77777777" w:rsidR="001043FD" w:rsidRPr="005C724A" w:rsidRDefault="001043FD" w:rsidP="001B6FDA">
            <w:pPr>
              <w:rPr>
                <w:b/>
                <w:bCs/>
                <w:sz w:val="20"/>
                <w:szCs w:val="20"/>
              </w:rPr>
            </w:pPr>
          </w:p>
        </w:tc>
        <w:tc>
          <w:tcPr>
            <w:tcW w:w="1789" w:type="dxa"/>
            <w:tcBorders>
              <w:top w:val="nil"/>
              <w:left w:val="nil"/>
            </w:tcBorders>
            <w:shd w:val="clear" w:color="auto" w:fill="BFBFBF" w:themeFill="background1" w:themeFillShade="BF"/>
          </w:tcPr>
          <w:p w14:paraId="409CC45F" w14:textId="49D20739" w:rsidR="001043FD" w:rsidRPr="005C724A" w:rsidRDefault="001043FD" w:rsidP="001B6FDA">
            <w:pPr>
              <w:rPr>
                <w:b/>
                <w:bCs/>
                <w:sz w:val="20"/>
                <w:szCs w:val="20"/>
              </w:rPr>
            </w:pPr>
          </w:p>
        </w:tc>
        <w:tc>
          <w:tcPr>
            <w:tcW w:w="1789" w:type="dxa"/>
            <w:shd w:val="clear" w:color="auto" w:fill="BFBFBF" w:themeFill="background1" w:themeFillShade="BF"/>
          </w:tcPr>
          <w:p w14:paraId="592644E1" w14:textId="59FAA657" w:rsidR="001043FD" w:rsidRPr="005C724A" w:rsidRDefault="001043FD" w:rsidP="001B6FDA">
            <w:pPr>
              <w:jc w:val="center"/>
              <w:rPr>
                <w:b/>
                <w:bCs/>
                <w:sz w:val="20"/>
                <w:szCs w:val="20"/>
              </w:rPr>
            </w:pPr>
            <w:r w:rsidRPr="005C724A">
              <w:rPr>
                <w:b/>
                <w:bCs/>
                <w:sz w:val="20"/>
                <w:szCs w:val="20"/>
              </w:rPr>
              <w:t xml:space="preserve">October 2019- September 2020 </w:t>
            </w:r>
          </w:p>
        </w:tc>
        <w:tc>
          <w:tcPr>
            <w:tcW w:w="1790" w:type="dxa"/>
            <w:shd w:val="clear" w:color="auto" w:fill="BFBFBF" w:themeFill="background1" w:themeFillShade="BF"/>
          </w:tcPr>
          <w:p w14:paraId="2C2D59CF" w14:textId="7FCC327D" w:rsidR="001043FD" w:rsidRPr="005C724A" w:rsidRDefault="001043FD" w:rsidP="001B6FDA">
            <w:pPr>
              <w:jc w:val="center"/>
              <w:rPr>
                <w:b/>
                <w:bCs/>
                <w:sz w:val="20"/>
                <w:szCs w:val="20"/>
              </w:rPr>
            </w:pPr>
            <w:r w:rsidRPr="005C724A">
              <w:rPr>
                <w:b/>
                <w:bCs/>
                <w:sz w:val="20"/>
                <w:szCs w:val="20"/>
              </w:rPr>
              <w:t>October 2020- September 2021</w:t>
            </w:r>
          </w:p>
        </w:tc>
        <w:tc>
          <w:tcPr>
            <w:tcW w:w="1790" w:type="dxa"/>
            <w:shd w:val="clear" w:color="auto" w:fill="BFBFBF" w:themeFill="background1" w:themeFillShade="BF"/>
          </w:tcPr>
          <w:p w14:paraId="62DB2D85" w14:textId="57B9F246" w:rsidR="001043FD" w:rsidRPr="005C724A" w:rsidRDefault="001043FD" w:rsidP="001B6FDA">
            <w:pPr>
              <w:jc w:val="center"/>
              <w:rPr>
                <w:b/>
                <w:bCs/>
                <w:sz w:val="20"/>
                <w:szCs w:val="20"/>
              </w:rPr>
            </w:pPr>
            <w:r w:rsidRPr="005C724A">
              <w:rPr>
                <w:b/>
                <w:bCs/>
                <w:sz w:val="20"/>
                <w:szCs w:val="20"/>
              </w:rPr>
              <w:t>October 2021- September 2022</w:t>
            </w:r>
          </w:p>
        </w:tc>
      </w:tr>
      <w:tr w:rsidR="001B6FDA" w:rsidRPr="005C724A" w14:paraId="68B00F56" w14:textId="77777777" w:rsidTr="001043FD">
        <w:tc>
          <w:tcPr>
            <w:tcW w:w="1789" w:type="dxa"/>
            <w:tcBorders>
              <w:bottom w:val="nil"/>
            </w:tcBorders>
          </w:tcPr>
          <w:p w14:paraId="5ACF1E50" w14:textId="2E06C67C" w:rsidR="001B6FDA" w:rsidRPr="005C724A" w:rsidRDefault="001B6FDA" w:rsidP="001B6FDA">
            <w:pPr>
              <w:rPr>
                <w:sz w:val="20"/>
                <w:szCs w:val="20"/>
              </w:rPr>
            </w:pPr>
            <w:r w:rsidRPr="005C724A">
              <w:rPr>
                <w:sz w:val="20"/>
                <w:szCs w:val="20"/>
              </w:rPr>
              <w:t xml:space="preserve">Packs per patient </w:t>
            </w:r>
          </w:p>
        </w:tc>
        <w:tc>
          <w:tcPr>
            <w:tcW w:w="1789" w:type="dxa"/>
          </w:tcPr>
          <w:p w14:paraId="56CACA50" w14:textId="386C1A13" w:rsidR="001B6FDA" w:rsidRPr="005C724A" w:rsidRDefault="001B6FDA" w:rsidP="001B6FDA">
            <w:pPr>
              <w:rPr>
                <w:sz w:val="20"/>
                <w:szCs w:val="20"/>
              </w:rPr>
            </w:pPr>
            <w:r w:rsidRPr="005C724A">
              <w:rPr>
                <w:sz w:val="20"/>
                <w:szCs w:val="20"/>
              </w:rPr>
              <w:t>Predicted</w:t>
            </w:r>
            <w:r w:rsidR="00097CF9" w:rsidRPr="005C724A">
              <w:rPr>
                <w:sz w:val="20"/>
                <w:szCs w:val="20"/>
              </w:rPr>
              <w:t xml:space="preserve"> </w:t>
            </w:r>
            <w:r w:rsidR="00097CF9" w:rsidRPr="005C724A">
              <w:rPr>
                <w:sz w:val="20"/>
                <w:szCs w:val="20"/>
                <w:vertAlign w:val="superscript"/>
              </w:rPr>
              <w:t>a</w:t>
            </w:r>
          </w:p>
        </w:tc>
        <w:tc>
          <w:tcPr>
            <w:tcW w:w="1789" w:type="dxa"/>
          </w:tcPr>
          <w:p w14:paraId="3CC04471" w14:textId="7EB7EEDB" w:rsidR="001B6FDA" w:rsidRPr="005C724A" w:rsidRDefault="00DE6016" w:rsidP="001B6FDA">
            <w:pPr>
              <w:jc w:val="center"/>
              <w:rPr>
                <w:sz w:val="20"/>
                <w:szCs w:val="20"/>
              </w:rPr>
            </w:pPr>
            <w:r w:rsidRPr="00DE6016">
              <w:rPr>
                <w:sz w:val="20"/>
                <w:szCs w:val="20"/>
                <w:highlight w:val="black"/>
              </w:rPr>
              <w:t>xxx</w:t>
            </w:r>
          </w:p>
        </w:tc>
        <w:tc>
          <w:tcPr>
            <w:tcW w:w="1790" w:type="dxa"/>
          </w:tcPr>
          <w:p w14:paraId="370E73AD" w14:textId="22AFD8B1" w:rsidR="001B6FDA" w:rsidRPr="005C724A" w:rsidRDefault="00DE6016" w:rsidP="001B6FDA">
            <w:pPr>
              <w:jc w:val="center"/>
              <w:rPr>
                <w:sz w:val="20"/>
                <w:szCs w:val="20"/>
              </w:rPr>
            </w:pPr>
            <w:r w:rsidRPr="00DE6016">
              <w:rPr>
                <w:sz w:val="20"/>
                <w:szCs w:val="20"/>
                <w:highlight w:val="black"/>
              </w:rPr>
              <w:t>xxx</w:t>
            </w:r>
          </w:p>
        </w:tc>
        <w:tc>
          <w:tcPr>
            <w:tcW w:w="1790" w:type="dxa"/>
          </w:tcPr>
          <w:p w14:paraId="40787868" w14:textId="05B8BF4F" w:rsidR="001B6FDA" w:rsidRPr="005C724A" w:rsidRDefault="00DE6016" w:rsidP="001B6FDA">
            <w:pPr>
              <w:jc w:val="center"/>
              <w:rPr>
                <w:sz w:val="20"/>
                <w:szCs w:val="20"/>
              </w:rPr>
            </w:pPr>
            <w:r w:rsidRPr="00DE6016">
              <w:rPr>
                <w:sz w:val="20"/>
                <w:szCs w:val="20"/>
                <w:highlight w:val="black"/>
              </w:rPr>
              <w:t>xxx</w:t>
            </w:r>
          </w:p>
        </w:tc>
      </w:tr>
      <w:tr w:rsidR="001B6FDA" w:rsidRPr="005C724A" w14:paraId="1A2F066D" w14:textId="77777777" w:rsidTr="001043FD">
        <w:tc>
          <w:tcPr>
            <w:tcW w:w="1789" w:type="dxa"/>
            <w:tcBorders>
              <w:top w:val="nil"/>
              <w:bottom w:val="nil"/>
            </w:tcBorders>
          </w:tcPr>
          <w:p w14:paraId="4549431D" w14:textId="77777777" w:rsidR="001B6FDA" w:rsidRPr="005C724A" w:rsidRDefault="001B6FDA" w:rsidP="001B6FDA">
            <w:pPr>
              <w:rPr>
                <w:sz w:val="20"/>
                <w:szCs w:val="20"/>
              </w:rPr>
            </w:pPr>
          </w:p>
        </w:tc>
        <w:tc>
          <w:tcPr>
            <w:tcW w:w="1789" w:type="dxa"/>
          </w:tcPr>
          <w:p w14:paraId="26A08674" w14:textId="77777777" w:rsidR="001B6FDA" w:rsidRPr="005C724A" w:rsidRDefault="001B6FDA" w:rsidP="001B6FDA">
            <w:pPr>
              <w:rPr>
                <w:sz w:val="20"/>
                <w:szCs w:val="20"/>
              </w:rPr>
            </w:pPr>
            <w:r w:rsidRPr="005C724A">
              <w:rPr>
                <w:sz w:val="20"/>
                <w:szCs w:val="20"/>
              </w:rPr>
              <w:t xml:space="preserve">Actual </w:t>
            </w:r>
          </w:p>
        </w:tc>
        <w:tc>
          <w:tcPr>
            <w:tcW w:w="1789" w:type="dxa"/>
          </w:tcPr>
          <w:p w14:paraId="7752DE96" w14:textId="77777777" w:rsidR="001B6FDA" w:rsidRPr="005C724A" w:rsidRDefault="001B6FDA" w:rsidP="001B6FDA">
            <w:pPr>
              <w:jc w:val="center"/>
              <w:rPr>
                <w:sz w:val="20"/>
                <w:szCs w:val="20"/>
              </w:rPr>
            </w:pPr>
            <w:r w:rsidRPr="005C724A">
              <w:rPr>
                <w:sz w:val="20"/>
                <w:szCs w:val="20"/>
              </w:rPr>
              <w:t>8.60</w:t>
            </w:r>
          </w:p>
        </w:tc>
        <w:tc>
          <w:tcPr>
            <w:tcW w:w="1790" w:type="dxa"/>
          </w:tcPr>
          <w:p w14:paraId="41322783" w14:textId="77777777" w:rsidR="001B6FDA" w:rsidRPr="005C724A" w:rsidRDefault="001B6FDA" w:rsidP="001B6FDA">
            <w:pPr>
              <w:jc w:val="center"/>
              <w:rPr>
                <w:sz w:val="20"/>
                <w:szCs w:val="20"/>
              </w:rPr>
            </w:pPr>
            <w:r w:rsidRPr="005C724A">
              <w:rPr>
                <w:sz w:val="20"/>
                <w:szCs w:val="20"/>
              </w:rPr>
              <w:t>8.36</w:t>
            </w:r>
          </w:p>
        </w:tc>
        <w:tc>
          <w:tcPr>
            <w:tcW w:w="1790" w:type="dxa"/>
          </w:tcPr>
          <w:p w14:paraId="3C22B2B8" w14:textId="77777777" w:rsidR="001B6FDA" w:rsidRPr="005C724A" w:rsidRDefault="001B6FDA" w:rsidP="001B6FDA">
            <w:pPr>
              <w:jc w:val="center"/>
              <w:rPr>
                <w:sz w:val="20"/>
                <w:szCs w:val="20"/>
              </w:rPr>
            </w:pPr>
            <w:r w:rsidRPr="005C724A">
              <w:rPr>
                <w:sz w:val="20"/>
                <w:szCs w:val="20"/>
              </w:rPr>
              <w:t>3.56</w:t>
            </w:r>
          </w:p>
        </w:tc>
      </w:tr>
      <w:tr w:rsidR="001B6FDA" w:rsidRPr="005C724A" w14:paraId="652E8DD1" w14:textId="77777777" w:rsidTr="001043FD">
        <w:tc>
          <w:tcPr>
            <w:tcW w:w="1789" w:type="dxa"/>
            <w:tcBorders>
              <w:top w:val="nil"/>
            </w:tcBorders>
          </w:tcPr>
          <w:p w14:paraId="19164550" w14:textId="77777777" w:rsidR="001B6FDA" w:rsidRPr="005C724A" w:rsidRDefault="001B6FDA" w:rsidP="001B6FDA">
            <w:pPr>
              <w:rPr>
                <w:sz w:val="20"/>
                <w:szCs w:val="20"/>
              </w:rPr>
            </w:pPr>
          </w:p>
        </w:tc>
        <w:tc>
          <w:tcPr>
            <w:tcW w:w="1789" w:type="dxa"/>
          </w:tcPr>
          <w:p w14:paraId="066DCD02" w14:textId="77777777" w:rsidR="001B6FDA" w:rsidRPr="005C724A" w:rsidRDefault="001B6FDA" w:rsidP="001B6FDA">
            <w:pPr>
              <w:rPr>
                <w:sz w:val="20"/>
                <w:szCs w:val="20"/>
              </w:rPr>
            </w:pPr>
            <w:r w:rsidRPr="005C724A">
              <w:rPr>
                <w:sz w:val="20"/>
                <w:szCs w:val="20"/>
              </w:rPr>
              <w:t xml:space="preserve">Difference </w:t>
            </w:r>
          </w:p>
        </w:tc>
        <w:tc>
          <w:tcPr>
            <w:tcW w:w="1789" w:type="dxa"/>
          </w:tcPr>
          <w:p w14:paraId="3D5E6905" w14:textId="1EB5D9F9" w:rsidR="001B6FDA" w:rsidRPr="005C724A" w:rsidRDefault="00DE6016" w:rsidP="001B6FDA">
            <w:pPr>
              <w:jc w:val="center"/>
              <w:rPr>
                <w:sz w:val="20"/>
                <w:szCs w:val="20"/>
              </w:rPr>
            </w:pPr>
            <w:r w:rsidRPr="00DE6016">
              <w:rPr>
                <w:sz w:val="20"/>
                <w:szCs w:val="20"/>
                <w:highlight w:val="black"/>
              </w:rPr>
              <w:t>xxx</w:t>
            </w:r>
          </w:p>
        </w:tc>
        <w:tc>
          <w:tcPr>
            <w:tcW w:w="1790" w:type="dxa"/>
          </w:tcPr>
          <w:p w14:paraId="69EFAD7F" w14:textId="305C5CE2" w:rsidR="001B6FDA" w:rsidRPr="005C724A" w:rsidRDefault="00DE6016" w:rsidP="001B6FDA">
            <w:pPr>
              <w:jc w:val="center"/>
              <w:rPr>
                <w:sz w:val="20"/>
                <w:szCs w:val="20"/>
              </w:rPr>
            </w:pPr>
            <w:r w:rsidRPr="00DE6016">
              <w:rPr>
                <w:sz w:val="20"/>
                <w:szCs w:val="20"/>
                <w:highlight w:val="black"/>
              </w:rPr>
              <w:t>xxx</w:t>
            </w:r>
          </w:p>
        </w:tc>
        <w:tc>
          <w:tcPr>
            <w:tcW w:w="1790" w:type="dxa"/>
          </w:tcPr>
          <w:p w14:paraId="2ADFC252" w14:textId="333FEEB4" w:rsidR="001B6FDA" w:rsidRPr="005C724A" w:rsidRDefault="00DE6016" w:rsidP="001B6FDA">
            <w:pPr>
              <w:jc w:val="center"/>
              <w:rPr>
                <w:sz w:val="20"/>
                <w:szCs w:val="20"/>
              </w:rPr>
            </w:pPr>
            <w:r w:rsidRPr="00DE6016">
              <w:rPr>
                <w:sz w:val="20"/>
                <w:szCs w:val="20"/>
                <w:highlight w:val="black"/>
              </w:rPr>
              <w:t>xxx</w:t>
            </w:r>
          </w:p>
        </w:tc>
      </w:tr>
      <w:tr w:rsidR="001B6FDA" w:rsidRPr="005C724A" w14:paraId="2BFDDC61" w14:textId="77777777" w:rsidTr="001043FD">
        <w:trPr>
          <w:trHeight w:val="165"/>
        </w:trPr>
        <w:tc>
          <w:tcPr>
            <w:tcW w:w="1789" w:type="dxa"/>
            <w:tcBorders>
              <w:bottom w:val="nil"/>
            </w:tcBorders>
          </w:tcPr>
          <w:p w14:paraId="46037673" w14:textId="77777777" w:rsidR="001B6FDA" w:rsidRPr="005C724A" w:rsidRDefault="001B6FDA" w:rsidP="001B6FDA">
            <w:pPr>
              <w:rPr>
                <w:sz w:val="20"/>
                <w:szCs w:val="20"/>
              </w:rPr>
            </w:pPr>
            <w:r w:rsidRPr="005C724A">
              <w:rPr>
                <w:sz w:val="20"/>
                <w:szCs w:val="20"/>
              </w:rPr>
              <w:t xml:space="preserve">Packs </w:t>
            </w:r>
          </w:p>
        </w:tc>
        <w:tc>
          <w:tcPr>
            <w:tcW w:w="1789" w:type="dxa"/>
          </w:tcPr>
          <w:p w14:paraId="0DE3E65C" w14:textId="26312A5D" w:rsidR="001B6FDA" w:rsidRPr="005C724A" w:rsidRDefault="001B6FDA" w:rsidP="001B6FDA">
            <w:pPr>
              <w:rPr>
                <w:sz w:val="20"/>
                <w:szCs w:val="20"/>
              </w:rPr>
            </w:pPr>
            <w:r w:rsidRPr="005C724A">
              <w:rPr>
                <w:sz w:val="20"/>
                <w:szCs w:val="20"/>
              </w:rPr>
              <w:t xml:space="preserve">Predicted </w:t>
            </w:r>
            <w:r w:rsidR="00097CF9" w:rsidRPr="005C724A">
              <w:rPr>
                <w:sz w:val="20"/>
                <w:szCs w:val="20"/>
                <w:vertAlign w:val="superscript"/>
              </w:rPr>
              <w:t>b</w:t>
            </w:r>
          </w:p>
        </w:tc>
        <w:tc>
          <w:tcPr>
            <w:tcW w:w="1789" w:type="dxa"/>
          </w:tcPr>
          <w:p w14:paraId="7B08FCF5" w14:textId="7FB8F88B" w:rsidR="001B6FDA" w:rsidRPr="005C724A" w:rsidRDefault="00DE6016" w:rsidP="001B6FDA">
            <w:pPr>
              <w:jc w:val="center"/>
              <w:rPr>
                <w:sz w:val="20"/>
                <w:szCs w:val="20"/>
              </w:rPr>
            </w:pPr>
            <w:r w:rsidRPr="00DE6016">
              <w:rPr>
                <w:sz w:val="20"/>
                <w:szCs w:val="20"/>
                <w:highlight w:val="black"/>
              </w:rPr>
              <w:t>xxx</w:t>
            </w:r>
          </w:p>
        </w:tc>
        <w:tc>
          <w:tcPr>
            <w:tcW w:w="1790" w:type="dxa"/>
          </w:tcPr>
          <w:p w14:paraId="22DD4349" w14:textId="5D0B2BE0" w:rsidR="001B6FDA" w:rsidRPr="005C724A" w:rsidRDefault="00DE6016" w:rsidP="001B6FDA">
            <w:pPr>
              <w:jc w:val="center"/>
              <w:rPr>
                <w:sz w:val="20"/>
                <w:szCs w:val="20"/>
              </w:rPr>
            </w:pPr>
            <w:r w:rsidRPr="00DE6016">
              <w:rPr>
                <w:sz w:val="20"/>
                <w:szCs w:val="20"/>
                <w:highlight w:val="black"/>
              </w:rPr>
              <w:t>xxx</w:t>
            </w:r>
          </w:p>
        </w:tc>
        <w:tc>
          <w:tcPr>
            <w:tcW w:w="1790" w:type="dxa"/>
          </w:tcPr>
          <w:p w14:paraId="1D6AF9CD" w14:textId="4457039D" w:rsidR="001B6FDA" w:rsidRPr="005C724A" w:rsidRDefault="00DE6016" w:rsidP="001B6FDA">
            <w:pPr>
              <w:jc w:val="center"/>
              <w:rPr>
                <w:sz w:val="20"/>
                <w:szCs w:val="20"/>
              </w:rPr>
            </w:pPr>
            <w:r w:rsidRPr="00DE6016">
              <w:rPr>
                <w:sz w:val="20"/>
                <w:szCs w:val="20"/>
                <w:highlight w:val="black"/>
              </w:rPr>
              <w:t>xxx</w:t>
            </w:r>
          </w:p>
        </w:tc>
      </w:tr>
      <w:tr w:rsidR="001B6FDA" w:rsidRPr="005C724A" w14:paraId="6CB0A6A0" w14:textId="77777777" w:rsidTr="001043FD">
        <w:tc>
          <w:tcPr>
            <w:tcW w:w="1789" w:type="dxa"/>
            <w:tcBorders>
              <w:top w:val="nil"/>
              <w:bottom w:val="nil"/>
            </w:tcBorders>
          </w:tcPr>
          <w:p w14:paraId="44FC43D7" w14:textId="77777777" w:rsidR="001B6FDA" w:rsidRPr="005C724A" w:rsidRDefault="001B6FDA" w:rsidP="001B6FDA">
            <w:pPr>
              <w:rPr>
                <w:sz w:val="20"/>
                <w:szCs w:val="20"/>
              </w:rPr>
            </w:pPr>
          </w:p>
        </w:tc>
        <w:tc>
          <w:tcPr>
            <w:tcW w:w="1789" w:type="dxa"/>
          </w:tcPr>
          <w:p w14:paraId="1CC35757" w14:textId="77777777" w:rsidR="001B6FDA" w:rsidRPr="005C724A" w:rsidRDefault="001B6FDA" w:rsidP="001B6FDA">
            <w:pPr>
              <w:rPr>
                <w:sz w:val="20"/>
                <w:szCs w:val="20"/>
              </w:rPr>
            </w:pPr>
            <w:r w:rsidRPr="005C724A">
              <w:rPr>
                <w:sz w:val="20"/>
                <w:szCs w:val="20"/>
              </w:rPr>
              <w:t xml:space="preserve">Actual </w:t>
            </w:r>
          </w:p>
        </w:tc>
        <w:tc>
          <w:tcPr>
            <w:tcW w:w="1789" w:type="dxa"/>
          </w:tcPr>
          <w:p w14:paraId="0CFA5BFB" w14:textId="77777777" w:rsidR="001B6FDA" w:rsidRPr="005C724A" w:rsidRDefault="001B6FDA" w:rsidP="001B6FDA">
            <w:pPr>
              <w:jc w:val="center"/>
              <w:rPr>
                <w:sz w:val="20"/>
                <w:szCs w:val="20"/>
              </w:rPr>
            </w:pPr>
            <w:r w:rsidRPr="005C724A">
              <w:rPr>
                <w:sz w:val="20"/>
                <w:szCs w:val="20"/>
              </w:rPr>
              <w:t>241</w:t>
            </w:r>
          </w:p>
        </w:tc>
        <w:tc>
          <w:tcPr>
            <w:tcW w:w="1790" w:type="dxa"/>
          </w:tcPr>
          <w:p w14:paraId="7BA76893" w14:textId="77777777" w:rsidR="001B6FDA" w:rsidRPr="005C724A" w:rsidRDefault="001B6FDA" w:rsidP="001B6FDA">
            <w:pPr>
              <w:jc w:val="center"/>
              <w:rPr>
                <w:sz w:val="20"/>
                <w:szCs w:val="20"/>
              </w:rPr>
            </w:pPr>
            <w:r w:rsidRPr="005C724A">
              <w:rPr>
                <w:sz w:val="20"/>
                <w:szCs w:val="20"/>
              </w:rPr>
              <w:t>235</w:t>
            </w:r>
          </w:p>
        </w:tc>
        <w:tc>
          <w:tcPr>
            <w:tcW w:w="1790" w:type="dxa"/>
          </w:tcPr>
          <w:p w14:paraId="6063B8AD" w14:textId="77777777" w:rsidR="001B6FDA" w:rsidRPr="005C724A" w:rsidRDefault="001B6FDA" w:rsidP="001B6FDA">
            <w:pPr>
              <w:jc w:val="center"/>
              <w:rPr>
                <w:sz w:val="20"/>
                <w:szCs w:val="20"/>
              </w:rPr>
            </w:pPr>
            <w:r w:rsidRPr="005C724A">
              <w:rPr>
                <w:sz w:val="20"/>
                <w:szCs w:val="20"/>
              </w:rPr>
              <w:t>100</w:t>
            </w:r>
          </w:p>
        </w:tc>
      </w:tr>
      <w:tr w:rsidR="001B6FDA" w:rsidRPr="005C724A" w14:paraId="720917CE" w14:textId="77777777" w:rsidTr="001043FD">
        <w:tc>
          <w:tcPr>
            <w:tcW w:w="1789" w:type="dxa"/>
            <w:tcBorders>
              <w:top w:val="nil"/>
            </w:tcBorders>
          </w:tcPr>
          <w:p w14:paraId="4FF549E6" w14:textId="77777777" w:rsidR="001B6FDA" w:rsidRPr="005C724A" w:rsidRDefault="001B6FDA" w:rsidP="001B6FDA">
            <w:pPr>
              <w:rPr>
                <w:sz w:val="20"/>
                <w:szCs w:val="20"/>
              </w:rPr>
            </w:pPr>
          </w:p>
        </w:tc>
        <w:tc>
          <w:tcPr>
            <w:tcW w:w="1789" w:type="dxa"/>
          </w:tcPr>
          <w:p w14:paraId="1020ED7A" w14:textId="77777777" w:rsidR="001B6FDA" w:rsidRPr="005C724A" w:rsidRDefault="001B6FDA" w:rsidP="001B6FDA">
            <w:pPr>
              <w:rPr>
                <w:sz w:val="20"/>
                <w:szCs w:val="20"/>
              </w:rPr>
            </w:pPr>
            <w:r w:rsidRPr="005C724A">
              <w:rPr>
                <w:sz w:val="20"/>
                <w:szCs w:val="20"/>
              </w:rPr>
              <w:t xml:space="preserve">Difference </w:t>
            </w:r>
          </w:p>
        </w:tc>
        <w:tc>
          <w:tcPr>
            <w:tcW w:w="1789" w:type="dxa"/>
          </w:tcPr>
          <w:p w14:paraId="5A430A88" w14:textId="618B27D7" w:rsidR="001B6FDA" w:rsidRPr="005C724A" w:rsidRDefault="00DE6016" w:rsidP="001B6FDA">
            <w:pPr>
              <w:jc w:val="center"/>
              <w:rPr>
                <w:sz w:val="20"/>
                <w:szCs w:val="20"/>
              </w:rPr>
            </w:pPr>
            <w:r w:rsidRPr="00DE6016">
              <w:rPr>
                <w:sz w:val="20"/>
                <w:szCs w:val="20"/>
                <w:highlight w:val="black"/>
              </w:rPr>
              <w:t>xxx</w:t>
            </w:r>
          </w:p>
        </w:tc>
        <w:tc>
          <w:tcPr>
            <w:tcW w:w="1790" w:type="dxa"/>
          </w:tcPr>
          <w:p w14:paraId="58F7D97F" w14:textId="183C6968" w:rsidR="001B6FDA" w:rsidRPr="005C724A" w:rsidRDefault="00DE6016" w:rsidP="001B6FDA">
            <w:pPr>
              <w:jc w:val="center"/>
              <w:rPr>
                <w:sz w:val="20"/>
                <w:szCs w:val="20"/>
              </w:rPr>
            </w:pPr>
            <w:r w:rsidRPr="00DE6016">
              <w:rPr>
                <w:sz w:val="20"/>
                <w:szCs w:val="20"/>
                <w:highlight w:val="black"/>
              </w:rPr>
              <w:t>xxx</w:t>
            </w:r>
          </w:p>
        </w:tc>
        <w:tc>
          <w:tcPr>
            <w:tcW w:w="1790" w:type="dxa"/>
          </w:tcPr>
          <w:p w14:paraId="375FD207" w14:textId="1E94123F" w:rsidR="001B6FDA" w:rsidRPr="005C724A" w:rsidRDefault="00DE6016" w:rsidP="001B6FDA">
            <w:pPr>
              <w:jc w:val="center"/>
              <w:rPr>
                <w:sz w:val="20"/>
                <w:szCs w:val="20"/>
              </w:rPr>
            </w:pPr>
            <w:r w:rsidRPr="00DE6016">
              <w:rPr>
                <w:sz w:val="20"/>
                <w:szCs w:val="20"/>
                <w:highlight w:val="black"/>
              </w:rPr>
              <w:t>xxx</w:t>
            </w:r>
          </w:p>
        </w:tc>
      </w:tr>
    </w:tbl>
    <w:p w14:paraId="3F3965D9" w14:textId="54F95625" w:rsidR="00F56560" w:rsidRPr="005C724A" w:rsidRDefault="00F56560" w:rsidP="005C724A">
      <w:pPr>
        <w:spacing w:after="0"/>
        <w:rPr>
          <w:sz w:val="20"/>
          <w:szCs w:val="20"/>
        </w:rPr>
      </w:pPr>
      <w:proofErr w:type="spellStart"/>
      <w:r w:rsidRPr="005C724A">
        <w:rPr>
          <w:sz w:val="20"/>
          <w:szCs w:val="20"/>
          <w:vertAlign w:val="superscript"/>
        </w:rPr>
        <w:t>a</w:t>
      </w:r>
      <w:proofErr w:type="spellEnd"/>
      <w:r w:rsidRPr="005C724A">
        <w:rPr>
          <w:sz w:val="20"/>
          <w:szCs w:val="20"/>
        </w:rPr>
        <w:t xml:space="preserve"> The number of packs per patient</w:t>
      </w:r>
      <w:r w:rsidR="007D4C45" w:rsidRPr="005C724A">
        <w:rPr>
          <w:sz w:val="20"/>
          <w:szCs w:val="20"/>
        </w:rPr>
        <w:t xml:space="preserve"> </w:t>
      </w:r>
      <w:r w:rsidRPr="005C724A">
        <w:rPr>
          <w:sz w:val="20"/>
          <w:szCs w:val="20"/>
        </w:rPr>
        <w:t xml:space="preserve">was calculated by the total number of days in a year with the number of vials in a pack (=365/28). </w:t>
      </w:r>
    </w:p>
    <w:p w14:paraId="46AD4D81" w14:textId="536D3E05" w:rsidR="00F56560" w:rsidRPr="005C724A" w:rsidRDefault="00F56560" w:rsidP="00F56560">
      <w:pPr>
        <w:spacing w:after="0"/>
        <w:rPr>
          <w:sz w:val="20"/>
          <w:szCs w:val="20"/>
        </w:rPr>
      </w:pPr>
      <w:r w:rsidRPr="005C724A">
        <w:rPr>
          <w:sz w:val="20"/>
          <w:szCs w:val="20"/>
          <w:vertAlign w:val="superscript"/>
        </w:rPr>
        <w:t xml:space="preserve">b </w:t>
      </w:r>
      <w:r w:rsidRPr="005C724A">
        <w:rPr>
          <w:sz w:val="20"/>
          <w:szCs w:val="20"/>
        </w:rPr>
        <w:t xml:space="preserve">The predicted number of packs was calculated by multiplying the number of treated patients with the number of packs per patient per year. </w:t>
      </w:r>
    </w:p>
    <w:p w14:paraId="72BBEE59" w14:textId="77777777" w:rsidR="004F0356" w:rsidRDefault="004F0356" w:rsidP="004F0356">
      <w:pPr>
        <w:spacing w:after="0"/>
        <w:rPr>
          <w:sz w:val="20"/>
        </w:rPr>
      </w:pPr>
      <w:r w:rsidRPr="005C724A">
        <w:rPr>
          <w:sz w:val="20"/>
        </w:rPr>
        <w:t>Note: Year 3 predicted numbers are for the full year, actual numbers are three months of data (October 2021 to December 2021 inclusive).</w:t>
      </w:r>
      <w:r>
        <w:rPr>
          <w:sz w:val="20"/>
        </w:rPr>
        <w:t xml:space="preserve"> </w:t>
      </w:r>
    </w:p>
    <w:p w14:paraId="688EF930" w14:textId="4FFA88AB" w:rsidR="00097CF9" w:rsidRDefault="00097CF9" w:rsidP="00F56560">
      <w:pPr>
        <w:spacing w:after="0"/>
        <w:rPr>
          <w:sz w:val="20"/>
          <w:szCs w:val="20"/>
        </w:rPr>
      </w:pPr>
    </w:p>
    <w:p w14:paraId="5959E6FB" w14:textId="071578C8" w:rsidR="00097CF9" w:rsidRDefault="003C091B" w:rsidP="00F56560">
      <w:pPr>
        <w:spacing w:after="0"/>
      </w:pPr>
      <w:r w:rsidRPr="003C091B">
        <w:t xml:space="preserve">Similar </w:t>
      </w:r>
      <w:r w:rsidR="0020418B">
        <w:t>to</w:t>
      </w:r>
      <w:r w:rsidRPr="003C091B">
        <w:t xml:space="preserve"> Table </w:t>
      </w:r>
      <w:r w:rsidR="0020418B">
        <w:t>5</w:t>
      </w:r>
      <w:r w:rsidRPr="003C091B">
        <w:t xml:space="preserve">, </w:t>
      </w:r>
      <w:r>
        <w:t xml:space="preserve">the actual number of </w:t>
      </w:r>
      <w:r w:rsidR="00E24CDE">
        <w:t xml:space="preserve">teduglutide </w:t>
      </w:r>
      <w:r>
        <w:t xml:space="preserve">packs and the number of packs per patient per year were </w:t>
      </w:r>
      <w:r w:rsidR="00DE6016" w:rsidRPr="00DE6016">
        <w:rPr>
          <w:highlight w:val="black"/>
        </w:rPr>
        <w:t>XXXX</w:t>
      </w:r>
      <w:r>
        <w:t xml:space="preserve"> than estimated. </w:t>
      </w:r>
    </w:p>
    <w:p w14:paraId="351A4B36" w14:textId="4CC436F9" w:rsidR="003C091B" w:rsidRDefault="003C091B" w:rsidP="00F56560">
      <w:pPr>
        <w:spacing w:after="0"/>
      </w:pPr>
    </w:p>
    <w:p w14:paraId="30BFA3B1" w14:textId="5BF62635" w:rsidR="003C091B" w:rsidRPr="005C724A" w:rsidRDefault="003C091B" w:rsidP="00F56560">
      <w:pPr>
        <w:spacing w:after="0"/>
      </w:pPr>
      <w:r w:rsidRPr="005C724A">
        <w:t xml:space="preserve">The number of packs per year during the first and second year of teduglutide listing were </w:t>
      </w:r>
      <w:r w:rsidR="00DE6016" w:rsidRPr="00DE6016">
        <w:rPr>
          <w:highlight w:val="black"/>
        </w:rPr>
        <w:t>XXXX</w:t>
      </w:r>
      <w:r w:rsidR="00DE6016">
        <w:t xml:space="preserve"> </w:t>
      </w:r>
      <w:r w:rsidRPr="005C724A">
        <w:t xml:space="preserve">by </w:t>
      </w:r>
      <w:r w:rsidR="00DE6016" w:rsidRPr="00DE6016">
        <w:rPr>
          <w:sz w:val="20"/>
          <w:szCs w:val="20"/>
          <w:highlight w:val="black"/>
        </w:rPr>
        <w:t>xxx</w:t>
      </w:r>
      <w:r w:rsidR="00DE6016" w:rsidRPr="005C724A">
        <w:rPr>
          <w:iCs/>
          <w:color w:val="000000"/>
        </w:rPr>
        <w:t>%</w:t>
      </w:r>
      <w:r w:rsidRPr="005C724A">
        <w:t xml:space="preserve"> and </w:t>
      </w:r>
      <w:r w:rsidR="00DE6016" w:rsidRPr="00DE6016">
        <w:rPr>
          <w:sz w:val="20"/>
          <w:szCs w:val="20"/>
          <w:highlight w:val="black"/>
        </w:rPr>
        <w:t>xxx</w:t>
      </w:r>
      <w:r w:rsidR="00DE6016" w:rsidRPr="005C724A">
        <w:rPr>
          <w:iCs/>
          <w:color w:val="000000"/>
        </w:rPr>
        <w:t>%</w:t>
      </w:r>
      <w:r w:rsidRPr="005C724A">
        <w:t>, respectively.</w:t>
      </w:r>
      <w:r w:rsidR="007D4C45" w:rsidRPr="005C724A">
        <w:t xml:space="preserve"> </w:t>
      </w:r>
      <w:r w:rsidRPr="005C724A">
        <w:t xml:space="preserve">The number of packs per patient per year during the first and second year of teduglutide listing were </w:t>
      </w:r>
      <w:r w:rsidR="00DE6016" w:rsidRPr="00DE6016">
        <w:rPr>
          <w:highlight w:val="black"/>
        </w:rPr>
        <w:t>XXXX</w:t>
      </w:r>
      <w:r w:rsidR="00DE6016">
        <w:t xml:space="preserve"> </w:t>
      </w:r>
      <w:r w:rsidRPr="005C724A">
        <w:t xml:space="preserve">by </w:t>
      </w:r>
      <w:r w:rsidR="00DE6016" w:rsidRPr="00DE6016">
        <w:rPr>
          <w:sz w:val="20"/>
          <w:szCs w:val="20"/>
          <w:highlight w:val="black"/>
        </w:rPr>
        <w:t>xxx</w:t>
      </w:r>
      <w:r w:rsidR="00DE6016" w:rsidRPr="005C724A">
        <w:rPr>
          <w:iCs/>
          <w:color w:val="000000"/>
        </w:rPr>
        <w:t>%</w:t>
      </w:r>
      <w:r w:rsidRPr="005C724A">
        <w:t xml:space="preserve"> and </w:t>
      </w:r>
      <w:r w:rsidR="00DE6016" w:rsidRPr="00DE6016">
        <w:rPr>
          <w:sz w:val="20"/>
          <w:szCs w:val="20"/>
          <w:highlight w:val="black"/>
        </w:rPr>
        <w:t>xxx</w:t>
      </w:r>
      <w:r w:rsidR="00DE6016" w:rsidRPr="005C724A">
        <w:rPr>
          <w:iCs/>
          <w:color w:val="000000"/>
        </w:rPr>
        <w:t>%</w:t>
      </w:r>
      <w:r w:rsidRPr="005C724A">
        <w:t xml:space="preserve">, respectively. </w:t>
      </w:r>
    </w:p>
    <w:p w14:paraId="0B53D7CD" w14:textId="77777777" w:rsidR="00E24CDE" w:rsidRPr="005C724A" w:rsidRDefault="00E24CDE" w:rsidP="00F56560">
      <w:pPr>
        <w:spacing w:after="0"/>
      </w:pPr>
    </w:p>
    <w:p w14:paraId="3220B116" w14:textId="0102F060" w:rsidR="007D4C45" w:rsidRDefault="007D4C45" w:rsidP="00F56560">
      <w:pPr>
        <w:spacing w:after="0"/>
      </w:pPr>
      <w:r w:rsidRPr="005C724A">
        <w:t xml:space="preserve">Based on the findings from the Table 5 and Table </w:t>
      </w:r>
      <w:r w:rsidR="006802E5" w:rsidRPr="005C724A">
        <w:t>7</w:t>
      </w:r>
      <w:r w:rsidRPr="005C724A">
        <w:t xml:space="preserve">, there was a </w:t>
      </w:r>
      <w:r w:rsidR="00DE6016" w:rsidRPr="00DE6016">
        <w:rPr>
          <w:highlight w:val="black"/>
        </w:rPr>
        <w:t>XXXX</w:t>
      </w:r>
      <w:r w:rsidR="00DE6016">
        <w:t xml:space="preserve"> </w:t>
      </w:r>
      <w:proofErr w:type="spellStart"/>
      <w:r w:rsidR="00DE6016" w:rsidRPr="00DE6016">
        <w:rPr>
          <w:highlight w:val="black"/>
        </w:rPr>
        <w:t>XXXX</w:t>
      </w:r>
      <w:proofErr w:type="spellEnd"/>
      <w:r w:rsidR="00DE6016">
        <w:t xml:space="preserve"> </w:t>
      </w:r>
      <w:r w:rsidRPr="005C724A">
        <w:t>in the estimated number of prescriptions (</w:t>
      </w:r>
      <w:r w:rsidR="00DE6016" w:rsidRPr="00DE6016">
        <w:rPr>
          <w:sz w:val="20"/>
          <w:szCs w:val="20"/>
          <w:highlight w:val="black"/>
        </w:rPr>
        <w:t>xxx</w:t>
      </w:r>
      <w:r w:rsidR="00DE6016" w:rsidRPr="005C724A">
        <w:rPr>
          <w:iCs/>
          <w:color w:val="000000"/>
        </w:rPr>
        <w:t>%</w:t>
      </w:r>
      <w:r w:rsidRPr="005C724A">
        <w:t xml:space="preserve">, </w:t>
      </w:r>
      <w:r w:rsidR="00DE6016" w:rsidRPr="00DE6016">
        <w:rPr>
          <w:sz w:val="20"/>
          <w:szCs w:val="20"/>
          <w:highlight w:val="black"/>
        </w:rPr>
        <w:t>xxx</w:t>
      </w:r>
      <w:r w:rsidR="00DE6016" w:rsidRPr="005C724A">
        <w:rPr>
          <w:iCs/>
          <w:color w:val="000000"/>
        </w:rPr>
        <w:t>%</w:t>
      </w:r>
      <w:r w:rsidRPr="005C724A">
        <w:t>) and packs (</w:t>
      </w:r>
      <w:r w:rsidR="00DE6016" w:rsidRPr="00DE6016">
        <w:rPr>
          <w:sz w:val="20"/>
          <w:szCs w:val="20"/>
          <w:highlight w:val="black"/>
        </w:rPr>
        <w:t>xxx</w:t>
      </w:r>
      <w:r w:rsidR="00DE6016" w:rsidRPr="005C724A">
        <w:rPr>
          <w:iCs/>
          <w:color w:val="000000"/>
        </w:rPr>
        <w:t>%</w:t>
      </w:r>
      <w:r w:rsidRPr="005C724A">
        <w:t xml:space="preserve">, </w:t>
      </w:r>
      <w:r w:rsidR="00DE6016" w:rsidRPr="00DE6016">
        <w:rPr>
          <w:sz w:val="20"/>
          <w:szCs w:val="20"/>
          <w:highlight w:val="black"/>
        </w:rPr>
        <w:t>xxx</w:t>
      </w:r>
      <w:r w:rsidR="00DE6016" w:rsidRPr="005C724A">
        <w:rPr>
          <w:iCs/>
          <w:color w:val="000000"/>
        </w:rPr>
        <w:t>%</w:t>
      </w:r>
      <w:r w:rsidRPr="005C724A">
        <w:t>) compared to the number of patients (</w:t>
      </w:r>
      <w:r w:rsidR="00DE6016" w:rsidRPr="00DE6016">
        <w:rPr>
          <w:sz w:val="20"/>
          <w:szCs w:val="20"/>
          <w:highlight w:val="black"/>
        </w:rPr>
        <w:t>xxx</w:t>
      </w:r>
      <w:r w:rsidR="00DE6016" w:rsidRPr="005C724A">
        <w:rPr>
          <w:iCs/>
          <w:color w:val="000000"/>
        </w:rPr>
        <w:t>%</w:t>
      </w:r>
      <w:r w:rsidRPr="005C724A">
        <w:t xml:space="preserve">, </w:t>
      </w:r>
      <w:r w:rsidR="00DE6016" w:rsidRPr="00DE6016">
        <w:rPr>
          <w:sz w:val="20"/>
          <w:szCs w:val="20"/>
          <w:highlight w:val="black"/>
        </w:rPr>
        <w:t>xxx</w:t>
      </w:r>
      <w:r w:rsidR="00DE6016" w:rsidRPr="005C724A">
        <w:rPr>
          <w:iCs/>
          <w:color w:val="000000"/>
        </w:rPr>
        <w:t>%</w:t>
      </w:r>
      <w:r w:rsidRPr="005C724A">
        <w:t>)</w:t>
      </w:r>
      <w:r w:rsidR="00776043" w:rsidRPr="005C724A">
        <w:t xml:space="preserve">, possibly indicating a </w:t>
      </w:r>
      <w:r w:rsidR="00DE6016" w:rsidRPr="00DE6016">
        <w:rPr>
          <w:highlight w:val="black"/>
        </w:rPr>
        <w:t>XXXX</w:t>
      </w:r>
      <w:r w:rsidR="00DE6016">
        <w:t xml:space="preserve"> </w:t>
      </w:r>
      <w:r w:rsidR="00776043" w:rsidRPr="005C724A">
        <w:t>proportion of patients discontinued teduglutide treatment than expected</w:t>
      </w:r>
      <w:r w:rsidRPr="005C724A">
        <w:t>.</w:t>
      </w:r>
      <w:r>
        <w:t xml:space="preserve"> </w:t>
      </w:r>
    </w:p>
    <w:p w14:paraId="08CBB29C" w14:textId="098FC199" w:rsidR="00A60E5D" w:rsidRDefault="00A60E5D" w:rsidP="00F56560">
      <w:pPr>
        <w:spacing w:after="0"/>
      </w:pPr>
    </w:p>
    <w:p w14:paraId="6B02C386" w14:textId="77777777" w:rsidR="00A60E5D" w:rsidRDefault="00A60E5D" w:rsidP="00F56560">
      <w:pPr>
        <w:spacing w:after="0"/>
      </w:pPr>
    </w:p>
    <w:p w14:paraId="25844357" w14:textId="77777777" w:rsidR="00145198" w:rsidRDefault="00145198">
      <w:pPr>
        <w:spacing w:line="276" w:lineRule="auto"/>
        <w:rPr>
          <w:rFonts w:eastAsiaTheme="majorEastAsia" w:cstheme="majorBidi"/>
          <w:b/>
          <w:bCs/>
          <w:sz w:val="32"/>
          <w:szCs w:val="32"/>
        </w:rPr>
      </w:pPr>
      <w:r>
        <w:br w:type="page"/>
      </w:r>
    </w:p>
    <w:p w14:paraId="4D3A143B" w14:textId="4198FF3B" w:rsidR="002C6E97" w:rsidRDefault="00AB3733" w:rsidP="002C6E97">
      <w:pPr>
        <w:pStyle w:val="Heading1"/>
      </w:pPr>
      <w:r>
        <w:lastRenderedPageBreak/>
        <w:t>D</w:t>
      </w:r>
      <w:r w:rsidR="007346C7" w:rsidRPr="005E22C2">
        <w:t>iscussion</w:t>
      </w:r>
    </w:p>
    <w:p w14:paraId="78795AC7" w14:textId="07B643D0" w:rsidR="00CF53F2" w:rsidRDefault="002C6E97" w:rsidP="00CF53F2">
      <w:r>
        <w:t xml:space="preserve">Overall utilisation of </w:t>
      </w:r>
      <w:r w:rsidRPr="005C724A">
        <w:t xml:space="preserve">teduglutide was </w:t>
      </w:r>
      <w:r w:rsidR="00DE6016" w:rsidRPr="00DE6016">
        <w:rPr>
          <w:highlight w:val="black"/>
        </w:rPr>
        <w:t>XXXX</w:t>
      </w:r>
      <w:r w:rsidR="00DE6016">
        <w:t xml:space="preserve"> </w:t>
      </w:r>
      <w:r w:rsidRPr="005C724A">
        <w:t>than</w:t>
      </w:r>
      <w:r>
        <w:t xml:space="preserve"> estimated.</w:t>
      </w:r>
      <w:r w:rsidR="00190C99">
        <w:t xml:space="preserve"> </w:t>
      </w:r>
      <w:r w:rsidR="00F27E78">
        <w:t xml:space="preserve">There has </w:t>
      </w:r>
      <w:r w:rsidR="00150233">
        <w:t>been a</w:t>
      </w:r>
      <w:r w:rsidR="00F27E78">
        <w:t xml:space="preserve"> consistent trend of a low number of patients initiating teduglutide treatment per quarter. </w:t>
      </w:r>
      <w:r w:rsidR="00CF53F2">
        <w:t>The majority of patients supplied teduglutide met the parenteral eligibility criteria for treatment (Table</w:t>
      </w:r>
      <w:r w:rsidR="00AB0D63">
        <w:t>s</w:t>
      </w:r>
      <w:r w:rsidR="00CF53F2">
        <w:t xml:space="preserve"> 3 and 4). </w:t>
      </w:r>
    </w:p>
    <w:p w14:paraId="49ED3E19" w14:textId="081EBCC0" w:rsidR="00143127" w:rsidRDefault="003253E8" w:rsidP="00143127">
      <w:pPr>
        <w:pStyle w:val="NoSpacing"/>
      </w:pPr>
      <w:r w:rsidRPr="00EB2DB7">
        <w:t>The data were too immature to analyse the time of</w:t>
      </w:r>
      <w:r w:rsidR="009847C1">
        <w:t xml:space="preserve"> supply of</w:t>
      </w:r>
      <w:r w:rsidRPr="00EB2DB7">
        <w:t xml:space="preserve"> teduglutide treatment, the median treatment duration was not reached by </w:t>
      </w:r>
      <w:r w:rsidR="00CF53F2">
        <w:t>the analysis end date (</w:t>
      </w:r>
      <w:r w:rsidRPr="00EB2DB7">
        <w:t>3</w:t>
      </w:r>
      <w:r w:rsidR="00CF53F2">
        <w:t>1</w:t>
      </w:r>
      <w:r w:rsidRPr="00EB2DB7">
        <w:t xml:space="preserve"> December 2021</w:t>
      </w:r>
      <w:r w:rsidR="00CF53F2">
        <w:t>)</w:t>
      </w:r>
      <w:r w:rsidRPr="00EB2DB7">
        <w:t xml:space="preserve">. </w:t>
      </w:r>
      <w:r w:rsidR="0090165D">
        <w:t>Under the restriction, a</w:t>
      </w:r>
      <w:r w:rsidR="000A4DAD">
        <w:t xml:space="preserve"> ‘trial of treatment cessation’ is required for patients who have a stable frequency of days per week of parenteral support in the preceding 6 months. </w:t>
      </w:r>
      <w:r w:rsidR="005B2CCE">
        <w:t xml:space="preserve">In Figure 8, </w:t>
      </w:r>
      <w:r w:rsidR="005F50CF">
        <w:t>13.2</w:t>
      </w:r>
      <w:r w:rsidR="005B2CCE">
        <w:t xml:space="preserve">% of patients who initiated treatment </w:t>
      </w:r>
      <w:r w:rsidR="00143127">
        <w:t>since PBS listing (1 October 2019)</w:t>
      </w:r>
      <w:r w:rsidR="005F50CF">
        <w:t xml:space="preserve"> were considered to have ceased treatment at </w:t>
      </w:r>
      <w:r w:rsidR="009847C1">
        <w:t xml:space="preserve">the </w:t>
      </w:r>
      <w:r w:rsidR="005F50CF">
        <w:t>analysis end date</w:t>
      </w:r>
      <w:r w:rsidR="005B2CCE">
        <w:t xml:space="preserve">. </w:t>
      </w:r>
      <w:r w:rsidR="00143127">
        <w:t xml:space="preserve">Based on the linkage of PBS claims data with date of death data, no deaths were identified in patients treated with teduglutide at </w:t>
      </w:r>
      <w:r w:rsidR="009847C1">
        <w:t xml:space="preserve">the </w:t>
      </w:r>
      <w:r w:rsidR="00143127">
        <w:t>analysis end date. Approximately</w:t>
      </w:r>
      <w:r w:rsidR="005B2CCE">
        <w:t xml:space="preserve"> 5 patients who underwent a trial cessation perio</w:t>
      </w:r>
      <w:r w:rsidR="00C61D6F">
        <w:t>d</w:t>
      </w:r>
      <w:r w:rsidR="005B2CCE">
        <w:t xml:space="preserve"> recommenced t</w:t>
      </w:r>
      <w:r w:rsidR="00C61D6F">
        <w:t>eduglutide t</w:t>
      </w:r>
      <w:r w:rsidR="005B2CCE">
        <w:t>reatmen</w:t>
      </w:r>
      <w:r w:rsidR="00C61D6F">
        <w:t>t</w:t>
      </w:r>
      <w:r w:rsidR="00143127">
        <w:t xml:space="preserve"> (Figure </w:t>
      </w:r>
      <w:r w:rsidR="003A3D92">
        <w:t>9</w:t>
      </w:r>
      <w:r w:rsidR="00143127">
        <w:t>)</w:t>
      </w:r>
      <w:r w:rsidR="00C61D6F">
        <w:t xml:space="preserve">. </w:t>
      </w:r>
      <w:r w:rsidR="005B2CCE">
        <w:t xml:space="preserve"> </w:t>
      </w:r>
    </w:p>
    <w:p w14:paraId="5AB376D4" w14:textId="77777777" w:rsidR="00143127" w:rsidRDefault="00143127" w:rsidP="00143127">
      <w:pPr>
        <w:pStyle w:val="NoSpacing"/>
      </w:pPr>
    </w:p>
    <w:p w14:paraId="4F47E7EB" w14:textId="4DB42268" w:rsidR="00DE3139" w:rsidRDefault="00CF4599" w:rsidP="00DE3139">
      <w:pPr>
        <w:pStyle w:val="NoSpacing"/>
      </w:pPr>
      <w:r>
        <w:t xml:space="preserve">Although the resubmission assumed that supply of teduglutide was </w:t>
      </w:r>
      <w:r w:rsidR="00DE3139">
        <w:t>expected</w:t>
      </w:r>
      <w:r>
        <w:t xml:space="preserve"> to occur through public hospitals </w:t>
      </w:r>
      <w:r w:rsidR="00DE3139">
        <w:t>where SBS multidisciplinary teams are located</w:t>
      </w:r>
      <w:r>
        <w:t>,</w:t>
      </w:r>
      <w:r w:rsidR="00DE3139">
        <w:t xml:space="preserve"> some private hospital utilisation was identified (Figure 6). </w:t>
      </w:r>
    </w:p>
    <w:p w14:paraId="1298D550" w14:textId="77777777" w:rsidR="00DE3139" w:rsidRDefault="00DE3139" w:rsidP="00DE3139">
      <w:pPr>
        <w:pStyle w:val="NoSpacing"/>
      </w:pPr>
    </w:p>
    <w:p w14:paraId="118D7062" w14:textId="5A06BB2F" w:rsidR="00CA0683" w:rsidRDefault="00CA0683" w:rsidP="002C6E97">
      <w:r>
        <w:t xml:space="preserve">The </w:t>
      </w:r>
      <w:r w:rsidR="00C61D6F">
        <w:t xml:space="preserve">clinical and </w:t>
      </w:r>
      <w:r w:rsidR="003062ED">
        <w:t xml:space="preserve">additional </w:t>
      </w:r>
      <w:r w:rsidR="00C61D6F">
        <w:t xml:space="preserve">material </w:t>
      </w:r>
      <w:r w:rsidR="00564D3B">
        <w:t xml:space="preserve">requirements to </w:t>
      </w:r>
      <w:r w:rsidR="005F50CF">
        <w:t>commence and continue teduglutide</w:t>
      </w:r>
      <w:r w:rsidR="00564D3B">
        <w:t xml:space="preserve"> treatment described in </w:t>
      </w:r>
      <w:r w:rsidR="005F50CF">
        <w:t xml:space="preserve">the </w:t>
      </w:r>
      <w:r w:rsidR="00564D3B">
        <w:t xml:space="preserve">Consumer Medicine Information (CMI) may have contributed </w:t>
      </w:r>
      <w:r w:rsidR="005F50CF">
        <w:t xml:space="preserve">to its </w:t>
      </w:r>
      <w:r w:rsidR="00564D3B">
        <w:t>low</w:t>
      </w:r>
      <w:r w:rsidR="00BA3E3B">
        <w:t>er than anticipated</w:t>
      </w:r>
      <w:r w:rsidR="00564D3B">
        <w:t xml:space="preserve"> utilisation.</w:t>
      </w:r>
      <w:r w:rsidR="00B55FC7" w:rsidRPr="00B55FC7">
        <w:rPr>
          <w:vertAlign w:val="superscript"/>
        </w:rPr>
        <w:fldChar w:fldCharType="begin"/>
      </w:r>
      <w:r w:rsidR="00B55FC7" w:rsidRPr="00B55FC7">
        <w:rPr>
          <w:vertAlign w:val="superscript"/>
        </w:rPr>
        <w:instrText xml:space="preserve"> NOTEREF _Ref99965985 \h </w:instrText>
      </w:r>
      <w:r w:rsidR="00B55FC7">
        <w:rPr>
          <w:vertAlign w:val="superscript"/>
        </w:rPr>
        <w:instrText xml:space="preserve"> \* MERGEFORMAT </w:instrText>
      </w:r>
      <w:r w:rsidR="00B55FC7" w:rsidRPr="00B55FC7">
        <w:rPr>
          <w:vertAlign w:val="superscript"/>
        </w:rPr>
      </w:r>
      <w:r w:rsidR="00B55FC7" w:rsidRPr="00B55FC7">
        <w:rPr>
          <w:vertAlign w:val="superscript"/>
        </w:rPr>
        <w:fldChar w:fldCharType="separate"/>
      </w:r>
      <w:r w:rsidR="00B55FC7" w:rsidRPr="00B55FC7">
        <w:rPr>
          <w:vertAlign w:val="superscript"/>
        </w:rPr>
        <w:t>1</w:t>
      </w:r>
      <w:r w:rsidR="00B55FC7" w:rsidRPr="00B55FC7">
        <w:rPr>
          <w:vertAlign w:val="superscript"/>
        </w:rPr>
        <w:fldChar w:fldCharType="end"/>
      </w:r>
      <w:r w:rsidR="00564D3B">
        <w:t xml:space="preserve"> </w:t>
      </w:r>
      <w:r w:rsidR="002C6E97">
        <w:t xml:space="preserve">As </w:t>
      </w:r>
      <w:r w:rsidR="005F50CF">
        <w:t xml:space="preserve">outlined </w:t>
      </w:r>
      <w:r w:rsidR="002C6E97">
        <w:t xml:space="preserve">in the </w:t>
      </w:r>
      <w:r w:rsidR="00564D3B">
        <w:t>CMI</w:t>
      </w:r>
      <w:r w:rsidR="002C6E97">
        <w:t xml:space="preserve"> for teduglutide, </w:t>
      </w:r>
      <w:r>
        <w:t xml:space="preserve">medical check-ups are required before and during treatment. </w:t>
      </w:r>
    </w:p>
    <w:p w14:paraId="202DDA61" w14:textId="26C38082" w:rsidR="00CA0683" w:rsidRDefault="00B55FC7" w:rsidP="00CA0683">
      <w:pPr>
        <w:pStyle w:val="ListParagraph"/>
        <w:numPr>
          <w:ilvl w:val="0"/>
          <w:numId w:val="10"/>
        </w:numPr>
      </w:pPr>
      <w:r w:rsidRPr="00C61D6F">
        <w:t>In</w:t>
      </w:r>
      <w:r w:rsidR="00CA0683" w:rsidRPr="00C61D6F">
        <w:t xml:space="preserve"> adults:</w:t>
      </w:r>
      <w:r w:rsidR="00CA0683">
        <w:t xml:space="preserve"> “before you start treatment… your doctor will need to perform a colonoscopy to check for the presence of polyps and remove them…It is recommended that your doctor performs these examinations once a year during the first two years after starting treatment, and then at a minimum of five-year intervals. If polyps are found either before or during treatment with teduglutide, your doctor will decide whether you continue using this medicine.” </w:t>
      </w:r>
    </w:p>
    <w:p w14:paraId="442365ED" w14:textId="77777777" w:rsidR="00CA0683" w:rsidRDefault="00CA0683" w:rsidP="00CA0683">
      <w:pPr>
        <w:pStyle w:val="ListParagraph"/>
      </w:pPr>
    </w:p>
    <w:p w14:paraId="31BBC471" w14:textId="4CF5035D" w:rsidR="00B55FC7" w:rsidRDefault="00B55FC7" w:rsidP="00B55FC7">
      <w:pPr>
        <w:pStyle w:val="ListParagraph"/>
        <w:numPr>
          <w:ilvl w:val="0"/>
          <w:numId w:val="10"/>
        </w:numPr>
      </w:pPr>
      <w:r w:rsidRPr="00C61D6F">
        <w:t>In</w:t>
      </w:r>
      <w:r w:rsidR="00CA0683" w:rsidRPr="00C61D6F">
        <w:t xml:space="preserve"> children:</w:t>
      </w:r>
      <w:r w:rsidR="00CA0683">
        <w:rPr>
          <w:b/>
          <w:bCs/>
        </w:rPr>
        <w:t xml:space="preserve"> </w:t>
      </w:r>
      <w:r w:rsidR="00CA0683">
        <w:t xml:space="preserve">“before starting treatment…your child will have a test done to see if there is blood in the stool. Your child will also have a colonoscopy done if they have unexplained blood in their bowel movements. If polyps are found before treatment with teduglutide, the doctor will decide whether your child should use this medicine… The doctor will perform further colonoscopies if your child continues treatment.” </w:t>
      </w:r>
    </w:p>
    <w:p w14:paraId="5827BA7C" w14:textId="7F20F4DE" w:rsidR="00B55FC7" w:rsidRDefault="00564D3B" w:rsidP="00564D3B">
      <w:r>
        <w:t xml:space="preserve">Furthermore, the CMI </w:t>
      </w:r>
      <w:r w:rsidR="005F50CF">
        <w:t>lists</w:t>
      </w:r>
      <w:r>
        <w:t xml:space="preserve"> the materials required for </w:t>
      </w:r>
      <w:r w:rsidR="005F50CF">
        <w:t>teduglutide administration</w:t>
      </w:r>
      <w:r>
        <w:t xml:space="preserve">. </w:t>
      </w:r>
      <w:r w:rsidR="005F50CF">
        <w:t>Each teduglutide</w:t>
      </w:r>
      <w:r w:rsidR="00B55FC7">
        <w:t xml:space="preserve"> pack </w:t>
      </w:r>
      <w:r w:rsidR="005F50CF">
        <w:t>consists of</w:t>
      </w:r>
      <w:r w:rsidR="00B55FC7">
        <w:t xml:space="preserve"> 28 vials with 5 mg teduglutide as a powder and 28 pre-filled syringes with solvent. Additional materials required but are not part of the pack include: </w:t>
      </w:r>
    </w:p>
    <w:p w14:paraId="2CC0B525" w14:textId="77777777" w:rsidR="00B55FC7" w:rsidRPr="00B55FC7" w:rsidRDefault="00564D3B" w:rsidP="00B55FC7">
      <w:pPr>
        <w:pStyle w:val="ListParagraph"/>
        <w:numPr>
          <w:ilvl w:val="0"/>
          <w:numId w:val="11"/>
        </w:numPr>
      </w:pPr>
      <w:r w:rsidRPr="00B55FC7">
        <w:rPr>
          <w:rFonts w:cstheme="minorHAnsi"/>
        </w:rPr>
        <w:t>reconstitution needles (size 22G, length 1½" (0.7 x 40 mm))</w:t>
      </w:r>
    </w:p>
    <w:p w14:paraId="02F82C6F" w14:textId="77777777" w:rsidR="00B55FC7" w:rsidRPr="00B55FC7" w:rsidRDefault="00564D3B" w:rsidP="00B55FC7">
      <w:pPr>
        <w:pStyle w:val="ListParagraph"/>
        <w:numPr>
          <w:ilvl w:val="0"/>
          <w:numId w:val="11"/>
        </w:numPr>
      </w:pPr>
      <w:r w:rsidRPr="00B55FC7">
        <w:rPr>
          <w:rFonts w:cstheme="minorHAnsi"/>
        </w:rPr>
        <w:lastRenderedPageBreak/>
        <w:t>1 mL injection syringes (with scale intervals of 0.02 mL or smaller). For children, up to a 1 mL (or smaller) injection</w:t>
      </w:r>
      <w:r w:rsidR="00B55FC7" w:rsidRPr="00B55FC7">
        <w:rPr>
          <w:rFonts w:cstheme="minorHAnsi"/>
        </w:rPr>
        <w:t xml:space="preserve"> </w:t>
      </w:r>
      <w:r w:rsidRPr="00B55FC7">
        <w:rPr>
          <w:rFonts w:cstheme="minorHAnsi"/>
        </w:rPr>
        <w:t>syringe (with scale intervals of 0.01mL or smaller) may be used</w:t>
      </w:r>
    </w:p>
    <w:p w14:paraId="134C3A10" w14:textId="77777777" w:rsidR="00B55FC7" w:rsidRPr="00B55FC7" w:rsidRDefault="00564D3B" w:rsidP="00B55FC7">
      <w:pPr>
        <w:pStyle w:val="ListParagraph"/>
        <w:numPr>
          <w:ilvl w:val="0"/>
          <w:numId w:val="11"/>
        </w:numPr>
      </w:pPr>
      <w:r w:rsidRPr="00B55FC7">
        <w:rPr>
          <w:rFonts w:cstheme="minorHAnsi"/>
        </w:rPr>
        <w:t>thin injection needles for subcutaneous injection (for example, size 26G, length 5/8" (0.45 x 16 mm), or smaller needles for children, as appropriate)</w:t>
      </w:r>
    </w:p>
    <w:p w14:paraId="578DD9A1" w14:textId="77777777" w:rsidR="00B55FC7" w:rsidRPr="00B55FC7" w:rsidRDefault="00564D3B" w:rsidP="00B55FC7">
      <w:pPr>
        <w:pStyle w:val="ListParagraph"/>
        <w:numPr>
          <w:ilvl w:val="0"/>
          <w:numId w:val="11"/>
        </w:numPr>
      </w:pPr>
      <w:r w:rsidRPr="00B55FC7">
        <w:rPr>
          <w:rFonts w:cstheme="minorHAnsi"/>
        </w:rPr>
        <w:t>alcohol wipes</w:t>
      </w:r>
    </w:p>
    <w:p w14:paraId="5189BA6A" w14:textId="77777777" w:rsidR="00B55FC7" w:rsidRPr="00B55FC7" w:rsidRDefault="00564D3B" w:rsidP="00B55FC7">
      <w:pPr>
        <w:pStyle w:val="ListParagraph"/>
        <w:numPr>
          <w:ilvl w:val="0"/>
          <w:numId w:val="11"/>
        </w:numPr>
      </w:pPr>
      <w:r w:rsidRPr="00B55FC7">
        <w:rPr>
          <w:rFonts w:cstheme="minorHAnsi"/>
        </w:rPr>
        <w:t xml:space="preserve">alcohol swabs </w:t>
      </w:r>
    </w:p>
    <w:p w14:paraId="00B752C5" w14:textId="4424484E" w:rsidR="009A537C" w:rsidRPr="005C724A" w:rsidRDefault="00564D3B" w:rsidP="009A537C">
      <w:pPr>
        <w:pStyle w:val="ListParagraph"/>
        <w:numPr>
          <w:ilvl w:val="0"/>
          <w:numId w:val="11"/>
        </w:numPr>
      </w:pPr>
      <w:r w:rsidRPr="00B55FC7">
        <w:rPr>
          <w:rFonts w:cstheme="minorHAnsi"/>
        </w:rPr>
        <w:t>a puncture-proof container for safe disposal of the used syringes and needles</w:t>
      </w:r>
    </w:p>
    <w:p w14:paraId="54D20187" w14:textId="77777777" w:rsidR="005C724A" w:rsidRDefault="005C724A" w:rsidP="005C724A">
      <w:pPr>
        <w:pStyle w:val="Heading1"/>
      </w:pPr>
      <w:r>
        <w:t>DUSC consideration</w:t>
      </w:r>
    </w:p>
    <w:p w14:paraId="78C154E7" w14:textId="1736F47B" w:rsidR="005C724A" w:rsidRPr="005C724A" w:rsidRDefault="005C724A" w:rsidP="005C724A">
      <w:pPr>
        <w:rPr>
          <w:rFonts w:cstheme="minorHAnsi"/>
          <w:bCs/>
        </w:rPr>
      </w:pPr>
      <w:r w:rsidRPr="005C724A">
        <w:rPr>
          <w:rFonts w:cstheme="minorHAnsi"/>
          <w:bCs/>
        </w:rPr>
        <w:t xml:space="preserve">DUSC noted teduglutide utilisation was </w:t>
      </w:r>
      <w:r w:rsidR="00DE6016" w:rsidRPr="00DE6016">
        <w:rPr>
          <w:highlight w:val="black"/>
        </w:rPr>
        <w:t>XXXX</w:t>
      </w:r>
      <w:r w:rsidR="00DE6016">
        <w:t xml:space="preserve"> </w:t>
      </w:r>
      <w:r w:rsidRPr="005C724A">
        <w:rPr>
          <w:rFonts w:cstheme="minorHAnsi"/>
          <w:bCs/>
        </w:rPr>
        <w:t>than estimated. The Pre-Sub-Committee Response (PSCR) (p1) considered that the COVID-19 pandemic had affected teduglutide utilisation. The sponsor stated that due to the cancellation of non-elective procedures, adult patients could not initiate treatment as a colonoscopy was required for initiation. Furthermore, the PSCR stated that due to the cancellation of outpatient clinics, specialists were reluctant for patients to initiate treatment due to the complexity of the condition which required close monitoring. DUSC sought consumer input from Parenteral Nutrition Down Under (PNDU) who described factors affecting low teduglutide utilisation including:</w:t>
      </w:r>
    </w:p>
    <w:p w14:paraId="2BE32352" w14:textId="77777777" w:rsidR="005C724A" w:rsidRPr="005C724A" w:rsidRDefault="005C724A" w:rsidP="005C724A">
      <w:pPr>
        <w:pStyle w:val="ListParagraph"/>
        <w:numPr>
          <w:ilvl w:val="0"/>
          <w:numId w:val="34"/>
        </w:numPr>
        <w:spacing w:line="276" w:lineRule="auto"/>
        <w:rPr>
          <w:rFonts w:cstheme="minorHAnsi"/>
          <w:bCs/>
        </w:rPr>
      </w:pPr>
      <w:r w:rsidRPr="005C724A">
        <w:rPr>
          <w:rFonts w:cstheme="minorHAnsi"/>
          <w:bCs/>
        </w:rPr>
        <w:t>The impact of the COVID-19 pandemic had affected availability of clinical appointments.</w:t>
      </w:r>
    </w:p>
    <w:p w14:paraId="43CECEF0" w14:textId="77777777" w:rsidR="005C724A" w:rsidRPr="005C724A" w:rsidRDefault="005C724A" w:rsidP="005C724A">
      <w:pPr>
        <w:pStyle w:val="ListParagraph"/>
        <w:numPr>
          <w:ilvl w:val="0"/>
          <w:numId w:val="34"/>
        </w:numPr>
        <w:spacing w:line="276" w:lineRule="auto"/>
        <w:rPr>
          <w:rFonts w:cstheme="minorHAnsi"/>
          <w:bCs/>
        </w:rPr>
      </w:pPr>
      <w:r w:rsidRPr="005C724A">
        <w:rPr>
          <w:rFonts w:cstheme="minorHAnsi"/>
          <w:bCs/>
        </w:rPr>
        <w:t xml:space="preserve">The lack of parenteral nutrition specialists in regional areas where patients must rely on a referral to a gastroenterologist in a major centre. </w:t>
      </w:r>
    </w:p>
    <w:p w14:paraId="6FE5B855" w14:textId="77777777" w:rsidR="005C724A" w:rsidRPr="005C724A" w:rsidRDefault="005C724A" w:rsidP="005C724A">
      <w:pPr>
        <w:pStyle w:val="ListParagraph"/>
        <w:numPr>
          <w:ilvl w:val="0"/>
          <w:numId w:val="34"/>
        </w:numPr>
        <w:spacing w:line="276" w:lineRule="auto"/>
        <w:rPr>
          <w:rFonts w:cstheme="minorHAnsi"/>
          <w:bCs/>
        </w:rPr>
      </w:pPr>
      <w:r w:rsidRPr="005C724A">
        <w:rPr>
          <w:rFonts w:cstheme="minorHAnsi"/>
          <w:bCs/>
        </w:rPr>
        <w:t xml:space="preserve">Underlying medical conditions can prevent a potential teduglutide patient from initiating treatment. </w:t>
      </w:r>
    </w:p>
    <w:p w14:paraId="00376931" w14:textId="1098A9CE" w:rsidR="005C724A" w:rsidRPr="005C724A" w:rsidRDefault="005C724A" w:rsidP="005C724A">
      <w:pPr>
        <w:rPr>
          <w:rFonts w:cstheme="minorHAnsi"/>
          <w:bCs/>
        </w:rPr>
      </w:pPr>
      <w:r w:rsidRPr="005C724A">
        <w:rPr>
          <w:rFonts w:cstheme="minorHAnsi"/>
          <w:bCs/>
        </w:rPr>
        <w:t xml:space="preserve">DUSC noted an additional comment from PNDU who described that not all gastroenterologists, regional and feeder hospitals are familiar with teduglutide. PNDU commented on the need for increased awareness of this drug, and PNDU suggested that the sponsor consider reaching out to clinicians to provide them with further information about teduglutide. </w:t>
      </w:r>
    </w:p>
    <w:p w14:paraId="05B9789E" w14:textId="75C3DE81" w:rsidR="00AB226F" w:rsidRDefault="005C724A" w:rsidP="00B21C43">
      <w:pPr>
        <w:rPr>
          <w:rFonts w:cstheme="minorHAnsi"/>
          <w:bCs/>
        </w:rPr>
      </w:pPr>
      <w:r w:rsidRPr="005C724A">
        <w:rPr>
          <w:rFonts w:cstheme="minorHAnsi"/>
          <w:bCs/>
        </w:rPr>
        <w:t xml:space="preserve">DUSC noted approximately 5 patients recommenced treatment with teduglutide following a treatment break. Based on data from the sponsor’s patient support program (PSP), the PSCR (p1) stated adult patients treated with teduglutide gain days off and independence from parenteral support (PS). DUSC noted consumer input from PNDU who described patients who have accessed teduglutide have found it to be beneficial and improved their quality of life. </w:t>
      </w:r>
    </w:p>
    <w:p w14:paraId="07912CC8" w14:textId="6AC29D7F" w:rsidR="00AB226F" w:rsidRPr="00AB226F" w:rsidRDefault="00AB226F" w:rsidP="00AB226F">
      <w:pPr>
        <w:spacing w:after="0"/>
        <w:rPr>
          <w:rFonts w:eastAsia="Times New Roman" w:cstheme="minorHAnsi"/>
        </w:rPr>
      </w:pPr>
      <w:r w:rsidRPr="00AB226F">
        <w:rPr>
          <w:rFonts w:eastAsia="Times New Roman" w:cstheme="minorHAnsi"/>
        </w:rPr>
        <w:t xml:space="preserve">The PSCR (p2) requested a review of the definition of ‘treatment failure’ in the restriction criteria. The PSCR described the complex clinical situation for patients and commented that “increases in PS volume over the short term are sometimes required.” </w:t>
      </w:r>
      <w:r>
        <w:rPr>
          <w:rFonts w:eastAsia="Times New Roman" w:cstheme="minorHAnsi"/>
        </w:rPr>
        <w:t>DUSC</w:t>
      </w:r>
      <w:r w:rsidRPr="00AB226F">
        <w:rPr>
          <w:rFonts w:eastAsia="Times New Roman" w:cstheme="minorHAnsi"/>
        </w:rPr>
        <w:t xml:space="preserve"> agreed with the sponsor and considered that the definition of treatment failure could be changed </w:t>
      </w:r>
      <w:r w:rsidRPr="00AB226F">
        <w:rPr>
          <w:rFonts w:eastAsia="Times New Roman" w:cstheme="minorHAnsi"/>
        </w:rPr>
        <w:lastRenderedPageBreak/>
        <w:t xml:space="preserve">however </w:t>
      </w:r>
      <w:r>
        <w:rPr>
          <w:rFonts w:eastAsia="Times New Roman" w:cstheme="minorHAnsi"/>
        </w:rPr>
        <w:t>DUSC</w:t>
      </w:r>
      <w:r w:rsidRPr="00AB226F">
        <w:rPr>
          <w:rFonts w:eastAsia="Times New Roman" w:cstheme="minorHAnsi"/>
        </w:rPr>
        <w:t xml:space="preserve"> noted that the current restriction was complex and any changes would require further investigation by the department. </w:t>
      </w:r>
    </w:p>
    <w:p w14:paraId="4237F7DC" w14:textId="77777777" w:rsidR="005C724A" w:rsidRDefault="005C724A" w:rsidP="005C724A">
      <w:pPr>
        <w:pStyle w:val="Heading1"/>
      </w:pPr>
      <w:r>
        <w:t>DUSC actions</w:t>
      </w:r>
    </w:p>
    <w:p w14:paraId="4CF31CFD" w14:textId="768E1854" w:rsidR="005C724A" w:rsidRPr="005C724A" w:rsidRDefault="005C724A" w:rsidP="005C724A">
      <w:r w:rsidRPr="005C724A">
        <w:t xml:space="preserve">DUSC requested that the report be provided to the PBAC for consideration. </w:t>
      </w:r>
    </w:p>
    <w:p w14:paraId="5F96ECB8" w14:textId="77777777" w:rsidR="005C724A" w:rsidRDefault="005C724A" w:rsidP="005C724A">
      <w:pPr>
        <w:pStyle w:val="Heading1"/>
      </w:pPr>
      <w:r w:rsidRPr="0092516A">
        <w:t>Context for analysis</w:t>
      </w:r>
    </w:p>
    <w:p w14:paraId="3C042E61" w14:textId="77777777" w:rsidR="005C724A" w:rsidRDefault="005C724A" w:rsidP="005C724A">
      <w:r>
        <w:t>The DUSC is a Sub Committee of the Pharmaceutical Benefits Advisory Committee (PBAC). The DUSC assesses estimates on projected usage and financial cost of medicines.</w:t>
      </w:r>
    </w:p>
    <w:p w14:paraId="0774096C" w14:textId="77777777" w:rsidR="005C724A" w:rsidRDefault="005C724A" w:rsidP="005C724A">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99A20F8" w14:textId="77777777" w:rsidR="005C724A" w:rsidRDefault="005C724A" w:rsidP="005C724A">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78EF8E6D" w14:textId="77777777" w:rsidR="005C724A" w:rsidRDefault="005C724A" w:rsidP="005C724A">
      <w:r>
        <w:t>The utilisation analysis report was provided to the pharmaceutical sponsors of each drug and comments on the report were provided to DUSC prior to its consideration of the analysis.</w:t>
      </w:r>
    </w:p>
    <w:p w14:paraId="1937DE9E" w14:textId="77777777" w:rsidR="005C724A" w:rsidRDefault="005C724A" w:rsidP="005C724A">
      <w:pPr>
        <w:pStyle w:val="Heading1"/>
      </w:pPr>
      <w:r>
        <w:t>Sponsor</w:t>
      </w:r>
      <w:r w:rsidRPr="0092516A">
        <w:t>s</w:t>
      </w:r>
      <w:r>
        <w:t>’</w:t>
      </w:r>
      <w:r w:rsidRPr="0092516A">
        <w:t xml:space="preserve"> comments</w:t>
      </w:r>
    </w:p>
    <w:p w14:paraId="02C9D948" w14:textId="064FFCD4" w:rsidR="005C724A" w:rsidRDefault="005C724A" w:rsidP="005C724A">
      <w:r w:rsidRPr="00DE6016">
        <w:t>Takeda Pharmaceuticals Australia Pty. Ltd:</w:t>
      </w:r>
      <w:r w:rsidR="00DE6016" w:rsidRPr="00DE6016">
        <w:t xml:space="preserve"> The sponsor has no comment</w:t>
      </w:r>
      <w:r w:rsidR="00DE6016">
        <w:t>.</w:t>
      </w:r>
    </w:p>
    <w:p w14:paraId="0A601CF3" w14:textId="77777777" w:rsidR="005C724A" w:rsidRDefault="005C724A" w:rsidP="005C724A">
      <w:pPr>
        <w:pStyle w:val="Heading1"/>
      </w:pPr>
      <w:r w:rsidRPr="00A4020E">
        <w:t>Disclaimer</w:t>
      </w:r>
    </w:p>
    <w:p w14:paraId="244344CF" w14:textId="77777777" w:rsidR="005C724A" w:rsidRDefault="005C724A" w:rsidP="005C724A">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43B38B52" w14:textId="3B3BFA46" w:rsidR="005C724A" w:rsidRDefault="005C724A" w:rsidP="005C724A">
      <w:r>
        <w:t>The Department of Health and Aged Care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59F4A5A0" w14:textId="72902032" w:rsidR="005C724A" w:rsidRDefault="005C724A" w:rsidP="005C724A">
      <w:r>
        <w:lastRenderedPageBreak/>
        <w:t xml:space="preserve">To the extent provided by law, the Department of Health and Aged Care makes no warranties or representations as to accuracy or completeness of information contained in this report. </w:t>
      </w:r>
    </w:p>
    <w:p w14:paraId="1982C6FD" w14:textId="58F715CD" w:rsidR="005C724A" w:rsidRDefault="005C724A" w:rsidP="005C724A">
      <w:r>
        <w:t>To the fullest extent permitted by law, neither the Department of Health and Aged Care nor any Department of Health and Aged Care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7C8D53BA" w14:textId="77777777" w:rsidR="005C724A" w:rsidRDefault="005C724A" w:rsidP="009A537C">
      <w:pPr>
        <w:rPr>
          <w:b/>
          <w:sz w:val="28"/>
        </w:rPr>
      </w:pPr>
    </w:p>
    <w:p w14:paraId="6EC90DB2" w14:textId="321F548F" w:rsidR="00880C20" w:rsidRDefault="00880C20" w:rsidP="009A537C">
      <w:pPr>
        <w:rPr>
          <w:b/>
          <w:sz w:val="28"/>
        </w:rPr>
      </w:pPr>
    </w:p>
    <w:p w14:paraId="3F9AB992" w14:textId="4AC79026" w:rsidR="00880C20" w:rsidRPr="00880C20" w:rsidRDefault="00880C20" w:rsidP="00880C20">
      <w:pPr>
        <w:rPr>
          <w:b/>
        </w:rPr>
      </w:pPr>
    </w:p>
    <w:sectPr w:rsidR="00880C20" w:rsidRPr="00880C20" w:rsidSect="00DD188C">
      <w:headerReference w:type="even" r:id="rId31"/>
      <w:headerReference w:type="default" r:id="rId32"/>
      <w:footerReference w:type="even" r:id="rId33"/>
      <w:footerReference w:type="default" r:id="rId34"/>
      <w:headerReference w:type="first" r:id="rId35"/>
      <w:footerReference w:type="first" r:id="rId36"/>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7FB70" w14:textId="77777777" w:rsidR="007630B8" w:rsidRDefault="007630B8" w:rsidP="00A35800">
      <w:r>
        <w:separator/>
      </w:r>
    </w:p>
  </w:endnote>
  <w:endnote w:type="continuationSeparator" w:id="0">
    <w:p w14:paraId="1C09B975" w14:textId="77777777" w:rsidR="007630B8" w:rsidRDefault="007630B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9D5E5" w14:textId="77777777" w:rsidR="00CB2885" w:rsidRDefault="00CB2885"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CB2885" w:rsidRDefault="00CB2885" w:rsidP="00A358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sdt>
            <w:sdtPr>
              <w:id w:val="-588690134"/>
              <w:docPartObj>
                <w:docPartGallery w:val="Page Numbers (Top of Page)"/>
                <w:docPartUnique/>
              </w:docPartObj>
            </w:sdtPr>
            <w:sdtEndPr/>
            <w:sdtContent>
              <w:p w14:paraId="532E8DE1" w14:textId="45C78F57" w:rsidR="00CB2885" w:rsidRPr="000E72C6" w:rsidRDefault="00CB2885" w:rsidP="00CB2885">
                <w:pPr>
                  <w:pStyle w:val="Footer"/>
                  <w:jc w:val="center"/>
                  <w:rPr>
                    <w:i/>
                    <w:sz w:val="20"/>
                  </w:rPr>
                </w:pPr>
                <w:r>
                  <w:rPr>
                    <w:i/>
                    <w:sz w:val="20"/>
                  </w:rPr>
                  <w:t>Public Release Document – June 2022 DUSC Meeting</w:t>
                </w:r>
              </w:p>
              <w:p w14:paraId="10292A9A" w14:textId="72125C54" w:rsidR="00CB2885" w:rsidRDefault="00CB2885" w:rsidP="00CB2885">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sz w:val="20"/>
                  </w:rPr>
                  <w:t>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sz w:val="20"/>
                  </w:rPr>
                  <w:t>13</w:t>
                </w:r>
                <w:r w:rsidRPr="00DD188C">
                  <w:rPr>
                    <w:bCs/>
                    <w:i/>
                    <w:sz w:val="20"/>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2E1F" w14:textId="77777777" w:rsidR="00CB2885" w:rsidRDefault="00CB2885" w:rsidP="007A5733">
    <w:pPr>
      <w:pStyle w:val="Footer"/>
      <w:jc w:val="center"/>
      <w:rPr>
        <w:rStyle w:val="PageNumber"/>
      </w:rPr>
    </w:pPr>
    <w:r>
      <w:rPr>
        <w:rStyle w:val="PageNumber"/>
      </w:rPr>
      <w:t>Committee-in-Confidence</w:t>
    </w:r>
  </w:p>
  <w:p w14:paraId="3CE6880B" w14:textId="77777777" w:rsidR="00CB2885" w:rsidRDefault="00CB2885" w:rsidP="007A5733">
    <w:pPr>
      <w:pStyle w:val="Footer"/>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7868" w14:textId="77777777" w:rsidR="007630B8" w:rsidRDefault="007630B8" w:rsidP="00A35800">
      <w:r>
        <w:separator/>
      </w:r>
    </w:p>
  </w:footnote>
  <w:footnote w:type="continuationSeparator" w:id="0">
    <w:p w14:paraId="5569C393" w14:textId="77777777" w:rsidR="007630B8" w:rsidRDefault="007630B8" w:rsidP="00A35800">
      <w:r>
        <w:continuationSeparator/>
      </w:r>
    </w:p>
  </w:footnote>
  <w:footnote w:id="1">
    <w:p w14:paraId="1A9CBE5B" w14:textId="480CDB85" w:rsidR="00CB2885" w:rsidRPr="00DB3E86" w:rsidRDefault="00CB2885" w:rsidP="00DB3E86">
      <w:pPr>
        <w:pStyle w:val="FootnoteText"/>
        <w:spacing w:before="240"/>
        <w:rPr>
          <w:szCs w:val="18"/>
        </w:rPr>
      </w:pPr>
      <w:r w:rsidRPr="00DB3E86">
        <w:rPr>
          <w:rStyle w:val="FootnoteReference"/>
          <w:szCs w:val="18"/>
        </w:rPr>
        <w:footnoteRef/>
      </w:r>
      <w:r w:rsidRPr="00DB3E86">
        <w:rPr>
          <w:szCs w:val="18"/>
        </w:rPr>
        <w:t xml:space="preserve"> </w:t>
      </w:r>
      <w:proofErr w:type="spellStart"/>
      <w:r>
        <w:rPr>
          <w:szCs w:val="18"/>
        </w:rPr>
        <w:t>Revestive</w:t>
      </w:r>
      <w:proofErr w:type="spellEnd"/>
      <w:r w:rsidRPr="00DB3E86">
        <w:rPr>
          <w:szCs w:val="18"/>
        </w:rPr>
        <w:t xml:space="preserve"> (t</w:t>
      </w:r>
      <w:r>
        <w:rPr>
          <w:szCs w:val="18"/>
        </w:rPr>
        <w:t>eduglutide</w:t>
      </w:r>
      <w:r w:rsidRPr="00DB3E86">
        <w:rPr>
          <w:szCs w:val="18"/>
        </w:rPr>
        <w:t xml:space="preserve">). Australian Approved Consumer Medicine Information. </w:t>
      </w:r>
      <w:r>
        <w:rPr>
          <w:szCs w:val="18"/>
        </w:rPr>
        <w:t>Sydney: Takeda Pharmaceuticals Australia Pty Ltd.</w:t>
      </w:r>
      <w:r w:rsidRPr="00DB3E86">
        <w:rPr>
          <w:szCs w:val="18"/>
        </w:rPr>
        <w:t xml:space="preserve"> Approved 24 March 2017</w:t>
      </w:r>
      <w:r>
        <w:rPr>
          <w:szCs w:val="18"/>
        </w:rPr>
        <w:t>, updated November 2020</w:t>
      </w:r>
      <w:r w:rsidRPr="00DB3E86">
        <w:rPr>
          <w:szCs w:val="18"/>
        </w:rPr>
        <w:t>. Available from &lt;https://www.tga.gov.au/consumer-medicines-information-cmi.&gt;</w:t>
      </w:r>
    </w:p>
  </w:footnote>
  <w:footnote w:id="2">
    <w:p w14:paraId="141FF8CD" w14:textId="77777777" w:rsidR="00CB2885" w:rsidRDefault="00CB2885" w:rsidP="00235F59">
      <w:pPr>
        <w:pStyle w:val="FootnoteText"/>
      </w:pPr>
      <w:r>
        <w:rPr>
          <w:rStyle w:val="FootnoteReference"/>
        </w:rPr>
        <w:footnoteRef/>
      </w:r>
      <w:r>
        <w:t xml:space="preserve"> Teduglutide, Public Summary Document March 2019 PBAC Meeting. Department of </w:t>
      </w:r>
      <w:proofErr w:type="spellStart"/>
      <w:r>
        <w:t>Heath</w:t>
      </w:r>
      <w:proofErr w:type="spellEnd"/>
      <w:r>
        <w:t>. Available from &lt;</w:t>
      </w:r>
      <w:r w:rsidRPr="00E73680">
        <w:t>https://www.pbs.gov.au/pbs/industry/listing/elements/pbac-meetings/psd/2019-03/teduglutide-psd-march-2019</w:t>
      </w:r>
      <w:r>
        <w:t>&gt;</w:t>
      </w:r>
    </w:p>
  </w:footnote>
  <w:footnote w:id="3">
    <w:p w14:paraId="4207D952" w14:textId="3F8D0750" w:rsidR="00CB2885" w:rsidRDefault="00CB2885">
      <w:pPr>
        <w:pStyle w:val="FootnoteText"/>
      </w:pPr>
      <w:r>
        <w:rPr>
          <w:rStyle w:val="FootnoteReference"/>
        </w:rPr>
        <w:footnoteRef/>
      </w:r>
      <w:r>
        <w:t xml:space="preserve"> </w:t>
      </w:r>
      <w:proofErr w:type="spellStart"/>
      <w:r>
        <w:t>Pironi</w:t>
      </w:r>
      <w:proofErr w:type="spellEnd"/>
      <w:r>
        <w:t xml:space="preserve"> L, Arends J, Bozzetti F, </w:t>
      </w:r>
      <w:proofErr w:type="spellStart"/>
      <w:r>
        <w:t>Cuerda</w:t>
      </w:r>
      <w:proofErr w:type="spellEnd"/>
      <w:r>
        <w:t xml:space="preserve"> C, </w:t>
      </w:r>
      <w:proofErr w:type="spellStart"/>
      <w:r>
        <w:t>Gillanders</w:t>
      </w:r>
      <w:proofErr w:type="spellEnd"/>
      <w:r>
        <w:t xml:space="preserve"> L, Jeppesen P.B et al. ESPEN guidelines on chronic intestinal failure in adults. Clinical Nutrition 2016; 35: 247-307</w:t>
      </w:r>
    </w:p>
  </w:footnote>
  <w:footnote w:id="4">
    <w:p w14:paraId="758D49DA" w14:textId="4278E4D3" w:rsidR="00CB2885" w:rsidRPr="008142B4" w:rsidRDefault="00CB2885" w:rsidP="00360B9A">
      <w:pPr>
        <w:pStyle w:val="FootnoteText"/>
        <w:rPr>
          <w:szCs w:val="18"/>
        </w:rPr>
      </w:pPr>
      <w:r w:rsidRPr="008142B4">
        <w:rPr>
          <w:rStyle w:val="FootnoteReference"/>
          <w:szCs w:val="18"/>
        </w:rPr>
        <w:footnoteRef/>
      </w:r>
      <w:r w:rsidRPr="008142B4">
        <w:rPr>
          <w:szCs w:val="18"/>
        </w:rPr>
        <w:t xml:space="preserve"> </w:t>
      </w:r>
      <w:proofErr w:type="spellStart"/>
      <w:r>
        <w:rPr>
          <w:szCs w:val="18"/>
        </w:rPr>
        <w:t>Revestive</w:t>
      </w:r>
      <w:proofErr w:type="spellEnd"/>
      <w:r>
        <w:rPr>
          <w:szCs w:val="18"/>
        </w:rPr>
        <w:t xml:space="preserve"> (teduglutide). Australian Approved Product Information. Sydney: Takeda Pharmaceuticals Australia Pty Ltd. Approved 19 May 2017, updated 3 November 2020. Available from &lt;</w:t>
      </w:r>
      <w:r w:rsidRPr="00CD4486">
        <w:t xml:space="preserve"> </w:t>
      </w:r>
      <w:r w:rsidRPr="00CD4486">
        <w:rPr>
          <w:szCs w:val="18"/>
        </w:rPr>
        <w:t>https://www.tga.gov.au/product-information-pi</w:t>
      </w:r>
      <w:r>
        <w:rPr>
          <w:szCs w:val="18"/>
        </w:rPr>
        <w:t>.&gt;</w:t>
      </w:r>
    </w:p>
  </w:footnote>
  <w:footnote w:id="5">
    <w:p w14:paraId="3425029F" w14:textId="1CDA0BB7" w:rsidR="00CB2885" w:rsidRPr="00BC5AE2" w:rsidRDefault="00CB2885" w:rsidP="005654E4">
      <w:pPr>
        <w:pStyle w:val="FootnoteText"/>
        <w:rPr>
          <w:sz w:val="20"/>
        </w:rPr>
      </w:pPr>
      <w:r w:rsidRPr="00BC5AE2">
        <w:rPr>
          <w:rStyle w:val="FootnoteReference"/>
          <w:sz w:val="20"/>
        </w:rPr>
        <w:footnoteRef/>
      </w:r>
      <w:r w:rsidRPr="00BC5AE2">
        <w:rPr>
          <w:sz w:val="20"/>
        </w:rPr>
        <w:t xml:space="preserve"> PBS statistics</w:t>
      </w:r>
      <w:r>
        <w:rPr>
          <w:sz w:val="20"/>
        </w:rPr>
        <w:t>. Services Australia Medicare. Canberra. Available from &lt;</w:t>
      </w:r>
      <w:hyperlink r:id="rId1" w:history="1">
        <w:r>
          <w:rPr>
            <w:rStyle w:val="Hyperlink"/>
            <w:sz w:val="20"/>
          </w:rPr>
          <w:t>http://www.medicareaustralia.gov.au/provider/pbs/stats.jsp</w:t>
        </w:r>
      </w:hyperlink>
      <w:r>
        <w:rPr>
          <w:sz w:val="20"/>
        </w:rP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4A0E" w14:textId="77777777" w:rsidR="00CB2885" w:rsidRDefault="00CB2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DB51" w14:textId="77777777" w:rsidR="00CB2885" w:rsidRDefault="00CB2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C9DF" w14:textId="77777777" w:rsidR="00CB2885" w:rsidRDefault="00CB2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27DB9"/>
    <w:multiLevelType w:val="hybridMultilevel"/>
    <w:tmpl w:val="9B48B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B267EA"/>
    <w:multiLevelType w:val="hybridMultilevel"/>
    <w:tmpl w:val="8A50B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B87D7A"/>
    <w:multiLevelType w:val="hybridMultilevel"/>
    <w:tmpl w:val="ECB800A0"/>
    <w:lvl w:ilvl="0" w:tplc="B066C9EC">
      <w:start w:val="1"/>
      <w:numFmt w:val="lowerRoman"/>
      <w:lvlText w:val="(%1)"/>
      <w:lvlJc w:val="left"/>
      <w:pPr>
        <w:ind w:left="2880" w:hanging="720"/>
      </w:pPr>
      <w:rPr>
        <w:rFonts w:cstheme="minorHAnsi" w:hint="default"/>
        <w:color w:val="222222"/>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19296EDA"/>
    <w:multiLevelType w:val="hybridMultilevel"/>
    <w:tmpl w:val="EA68541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F86A88"/>
    <w:multiLevelType w:val="hybridMultilevel"/>
    <w:tmpl w:val="78B2B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64C30"/>
    <w:multiLevelType w:val="hybridMultilevel"/>
    <w:tmpl w:val="1D049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A5CA2"/>
    <w:multiLevelType w:val="hybridMultilevel"/>
    <w:tmpl w:val="F322ED0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C11B6D"/>
    <w:multiLevelType w:val="hybridMultilevel"/>
    <w:tmpl w:val="999EF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1979B6"/>
    <w:multiLevelType w:val="hybridMultilevel"/>
    <w:tmpl w:val="3D868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4A523C"/>
    <w:multiLevelType w:val="hybridMultilevel"/>
    <w:tmpl w:val="2F927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BF5995"/>
    <w:multiLevelType w:val="hybridMultilevel"/>
    <w:tmpl w:val="E3C217F2"/>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2D59655A"/>
    <w:multiLevelType w:val="hybridMultilevel"/>
    <w:tmpl w:val="A212F68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D780DC0"/>
    <w:multiLevelType w:val="hybridMultilevel"/>
    <w:tmpl w:val="7BB8D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DD5C6D"/>
    <w:multiLevelType w:val="hybridMultilevel"/>
    <w:tmpl w:val="2BEC7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ED4893"/>
    <w:multiLevelType w:val="hybridMultilevel"/>
    <w:tmpl w:val="E3362834"/>
    <w:lvl w:ilvl="0" w:tplc="3B8A9F4E">
      <w:start w:val="1"/>
      <w:numFmt w:val="lowerRoman"/>
      <w:lvlText w:val="(%1)"/>
      <w:lvlJc w:val="left"/>
      <w:pPr>
        <w:ind w:left="1440" w:hanging="720"/>
      </w:pPr>
      <w:rPr>
        <w:rFonts w:ascii="Open Sans" w:eastAsia="Times New Roman" w:hAnsi="Open Sans" w:cs="Open Sans" w:hint="default"/>
        <w:color w:val="222222"/>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23311C2"/>
    <w:multiLevelType w:val="hybridMultilevel"/>
    <w:tmpl w:val="07A4708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3CA1C1A"/>
    <w:multiLevelType w:val="hybridMultilevel"/>
    <w:tmpl w:val="83D6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801DCA"/>
    <w:multiLevelType w:val="hybridMultilevel"/>
    <w:tmpl w:val="ED2C5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A44251"/>
    <w:multiLevelType w:val="hybridMultilevel"/>
    <w:tmpl w:val="A7E8239C"/>
    <w:lvl w:ilvl="0" w:tplc="24B0D24E">
      <w:start w:val="1"/>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B32295"/>
    <w:multiLevelType w:val="multilevel"/>
    <w:tmpl w:val="D0E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03634C"/>
    <w:multiLevelType w:val="hybridMultilevel"/>
    <w:tmpl w:val="275AE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B76F6B"/>
    <w:multiLevelType w:val="hybridMultilevel"/>
    <w:tmpl w:val="5FD2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5F41C64"/>
    <w:multiLevelType w:val="hybridMultilevel"/>
    <w:tmpl w:val="A998E0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406291"/>
    <w:multiLevelType w:val="hybridMultilevel"/>
    <w:tmpl w:val="5B2C0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141BE7"/>
    <w:multiLevelType w:val="hybridMultilevel"/>
    <w:tmpl w:val="5342A1D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2880EB7"/>
    <w:multiLevelType w:val="hybridMultilevel"/>
    <w:tmpl w:val="E0E8B9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84D033C"/>
    <w:multiLevelType w:val="multilevel"/>
    <w:tmpl w:val="94727AB8"/>
    <w:lvl w:ilvl="0">
      <w:start w:val="1"/>
      <w:numFmt w:val="decimal"/>
      <w:pStyle w:val="2-SectionHeading"/>
      <w:lvlText w:val="%1"/>
      <w:lvlJc w:val="left"/>
      <w:pPr>
        <w:ind w:left="720" w:hanging="720"/>
      </w:pPr>
      <w:rPr>
        <w:rFonts w:hint="default"/>
        <w:b/>
        <w:color w:val="auto"/>
        <w:sz w:val="32"/>
        <w:szCs w:val="32"/>
      </w:rPr>
    </w:lvl>
    <w:lvl w:ilvl="1">
      <w:start w:val="1"/>
      <w:numFmt w:val="decimal"/>
      <w:pStyle w:val="3Bodytext"/>
      <w:lvlText w:val="%1.%2"/>
      <w:lvlJc w:val="left"/>
      <w:pPr>
        <w:ind w:left="720" w:hanging="720"/>
      </w:pPr>
      <w:rPr>
        <w:rFonts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32116B"/>
    <w:multiLevelType w:val="hybridMultilevel"/>
    <w:tmpl w:val="EBE2B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DF7D16"/>
    <w:multiLevelType w:val="hybridMultilevel"/>
    <w:tmpl w:val="0C2EA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E57279"/>
    <w:multiLevelType w:val="hybridMultilevel"/>
    <w:tmpl w:val="D6F89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4C6833"/>
    <w:multiLevelType w:val="hybridMultilevel"/>
    <w:tmpl w:val="E0C4412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F955C4C"/>
    <w:multiLevelType w:val="hybridMultilevel"/>
    <w:tmpl w:val="2E6A20F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7"/>
  </w:num>
  <w:num w:numId="2">
    <w:abstractNumId w:val="23"/>
  </w:num>
  <w:num w:numId="3">
    <w:abstractNumId w:val="10"/>
  </w:num>
  <w:num w:numId="4">
    <w:abstractNumId w:val="8"/>
  </w:num>
  <w:num w:numId="5">
    <w:abstractNumId w:val="28"/>
  </w:num>
  <w:num w:numId="6">
    <w:abstractNumId w:val="7"/>
  </w:num>
  <w:num w:numId="7">
    <w:abstractNumId w:val="20"/>
  </w:num>
  <w:num w:numId="8">
    <w:abstractNumId w:val="4"/>
  </w:num>
  <w:num w:numId="9">
    <w:abstractNumId w:val="19"/>
  </w:num>
  <w:num w:numId="10">
    <w:abstractNumId w:val="1"/>
  </w:num>
  <w:num w:numId="11">
    <w:abstractNumId w:val="18"/>
  </w:num>
  <w:num w:numId="12">
    <w:abstractNumId w:val="13"/>
  </w:num>
  <w:num w:numId="13">
    <w:abstractNumId w:val="29"/>
  </w:num>
  <w:num w:numId="14">
    <w:abstractNumId w:val="14"/>
  </w:num>
  <w:num w:numId="15">
    <w:abstractNumId w:val="21"/>
  </w:num>
  <w:num w:numId="16">
    <w:abstractNumId w:val="33"/>
  </w:num>
  <w:num w:numId="17">
    <w:abstractNumId w:val="15"/>
  </w:num>
  <w:num w:numId="18">
    <w:abstractNumId w:val="0"/>
  </w:num>
  <w:num w:numId="19">
    <w:abstractNumId w:val="12"/>
  </w:num>
  <w:num w:numId="20">
    <w:abstractNumId w:val="32"/>
  </w:num>
  <w:num w:numId="21">
    <w:abstractNumId w:val="16"/>
  </w:num>
  <w:num w:numId="22">
    <w:abstractNumId w:val="11"/>
  </w:num>
  <w:num w:numId="23">
    <w:abstractNumId w:val="2"/>
  </w:num>
  <w:num w:numId="24">
    <w:abstractNumId w:val="6"/>
  </w:num>
  <w:num w:numId="25">
    <w:abstractNumId w:val="26"/>
  </w:num>
  <w:num w:numId="26">
    <w:abstractNumId w:val="3"/>
  </w:num>
  <w:num w:numId="27">
    <w:abstractNumId w:val="31"/>
  </w:num>
  <w:num w:numId="28">
    <w:abstractNumId w:val="5"/>
  </w:num>
  <w:num w:numId="29">
    <w:abstractNumId w:val="17"/>
  </w:num>
  <w:num w:numId="30">
    <w:abstractNumId w:val="22"/>
  </w:num>
  <w:num w:numId="31">
    <w:abstractNumId w:val="9"/>
  </w:num>
  <w:num w:numId="32">
    <w:abstractNumId w:val="25"/>
  </w:num>
  <w:num w:numId="33">
    <w:abstractNumId w:val="24"/>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41"/>
    <w:rsid w:val="00000F8F"/>
    <w:rsid w:val="00007E85"/>
    <w:rsid w:val="00013465"/>
    <w:rsid w:val="000138F8"/>
    <w:rsid w:val="000161B2"/>
    <w:rsid w:val="000226B3"/>
    <w:rsid w:val="00024549"/>
    <w:rsid w:val="000315CC"/>
    <w:rsid w:val="00035E65"/>
    <w:rsid w:val="0004475E"/>
    <w:rsid w:val="00045FDB"/>
    <w:rsid w:val="00052A04"/>
    <w:rsid w:val="000544B6"/>
    <w:rsid w:val="0005536C"/>
    <w:rsid w:val="000604AF"/>
    <w:rsid w:val="00062F0F"/>
    <w:rsid w:val="00065435"/>
    <w:rsid w:val="000678BD"/>
    <w:rsid w:val="00072442"/>
    <w:rsid w:val="00081E79"/>
    <w:rsid w:val="0008240F"/>
    <w:rsid w:val="000852F9"/>
    <w:rsid w:val="00086C11"/>
    <w:rsid w:val="0009197B"/>
    <w:rsid w:val="00094DCF"/>
    <w:rsid w:val="0009600B"/>
    <w:rsid w:val="000973D6"/>
    <w:rsid w:val="00097CF9"/>
    <w:rsid w:val="000A0DE2"/>
    <w:rsid w:val="000A4DAD"/>
    <w:rsid w:val="000A4E1F"/>
    <w:rsid w:val="000A6CFD"/>
    <w:rsid w:val="000B0982"/>
    <w:rsid w:val="000B3544"/>
    <w:rsid w:val="000B796C"/>
    <w:rsid w:val="000C46BB"/>
    <w:rsid w:val="000C4D9D"/>
    <w:rsid w:val="000C6938"/>
    <w:rsid w:val="000C7C4B"/>
    <w:rsid w:val="000C7CF7"/>
    <w:rsid w:val="000C7D8B"/>
    <w:rsid w:val="000E485D"/>
    <w:rsid w:val="000E4A18"/>
    <w:rsid w:val="000E6E69"/>
    <w:rsid w:val="000E72C6"/>
    <w:rsid w:val="000F1893"/>
    <w:rsid w:val="000F2F51"/>
    <w:rsid w:val="000F3B96"/>
    <w:rsid w:val="000F4600"/>
    <w:rsid w:val="00100154"/>
    <w:rsid w:val="001043FD"/>
    <w:rsid w:val="00106151"/>
    <w:rsid w:val="00107B57"/>
    <w:rsid w:val="00113CF8"/>
    <w:rsid w:val="00113D74"/>
    <w:rsid w:val="00117C5C"/>
    <w:rsid w:val="0012697C"/>
    <w:rsid w:val="00126B2D"/>
    <w:rsid w:val="001310AE"/>
    <w:rsid w:val="0013775E"/>
    <w:rsid w:val="0013791C"/>
    <w:rsid w:val="001405FE"/>
    <w:rsid w:val="001420B3"/>
    <w:rsid w:val="00143127"/>
    <w:rsid w:val="00145198"/>
    <w:rsid w:val="00145D48"/>
    <w:rsid w:val="001460C4"/>
    <w:rsid w:val="00150233"/>
    <w:rsid w:val="00154CFE"/>
    <w:rsid w:val="0015691C"/>
    <w:rsid w:val="001621F7"/>
    <w:rsid w:val="001624D7"/>
    <w:rsid w:val="00163308"/>
    <w:rsid w:val="00166B2B"/>
    <w:rsid w:val="0017585C"/>
    <w:rsid w:val="00175D33"/>
    <w:rsid w:val="00176649"/>
    <w:rsid w:val="00176AAC"/>
    <w:rsid w:val="00176B51"/>
    <w:rsid w:val="00177B86"/>
    <w:rsid w:val="00182585"/>
    <w:rsid w:val="00185632"/>
    <w:rsid w:val="00190C99"/>
    <w:rsid w:val="00191182"/>
    <w:rsid w:val="0019664D"/>
    <w:rsid w:val="001A191E"/>
    <w:rsid w:val="001A6103"/>
    <w:rsid w:val="001A7E20"/>
    <w:rsid w:val="001B4373"/>
    <w:rsid w:val="001B5D37"/>
    <w:rsid w:val="001B6FDA"/>
    <w:rsid w:val="001B7F52"/>
    <w:rsid w:val="001C2940"/>
    <w:rsid w:val="001C4016"/>
    <w:rsid w:val="001C548D"/>
    <w:rsid w:val="001C6A5D"/>
    <w:rsid w:val="001C720B"/>
    <w:rsid w:val="001E31A6"/>
    <w:rsid w:val="001E3E89"/>
    <w:rsid w:val="001E42C7"/>
    <w:rsid w:val="001E4CAB"/>
    <w:rsid w:val="001F0A4E"/>
    <w:rsid w:val="001F2F27"/>
    <w:rsid w:val="001F2F3E"/>
    <w:rsid w:val="001F4906"/>
    <w:rsid w:val="001F7C4A"/>
    <w:rsid w:val="001F7F65"/>
    <w:rsid w:val="002011D7"/>
    <w:rsid w:val="0020418B"/>
    <w:rsid w:val="0020578A"/>
    <w:rsid w:val="00207631"/>
    <w:rsid w:val="00214013"/>
    <w:rsid w:val="0022015F"/>
    <w:rsid w:val="00220BB3"/>
    <w:rsid w:val="00220FC1"/>
    <w:rsid w:val="002210C1"/>
    <w:rsid w:val="00222E9A"/>
    <w:rsid w:val="0023179D"/>
    <w:rsid w:val="00232CF7"/>
    <w:rsid w:val="002353D4"/>
    <w:rsid w:val="002358AF"/>
    <w:rsid w:val="00235F59"/>
    <w:rsid w:val="00241C2A"/>
    <w:rsid w:val="00241C9C"/>
    <w:rsid w:val="00243B26"/>
    <w:rsid w:val="0025389D"/>
    <w:rsid w:val="00254E02"/>
    <w:rsid w:val="0026265F"/>
    <w:rsid w:val="002633FA"/>
    <w:rsid w:val="00273393"/>
    <w:rsid w:val="0027774A"/>
    <w:rsid w:val="00282368"/>
    <w:rsid w:val="00284873"/>
    <w:rsid w:val="00286C3A"/>
    <w:rsid w:val="002915C7"/>
    <w:rsid w:val="00292DC2"/>
    <w:rsid w:val="002930F5"/>
    <w:rsid w:val="00294FA9"/>
    <w:rsid w:val="002A06B7"/>
    <w:rsid w:val="002A7B27"/>
    <w:rsid w:val="002B53FA"/>
    <w:rsid w:val="002B6084"/>
    <w:rsid w:val="002B7739"/>
    <w:rsid w:val="002C6E0C"/>
    <w:rsid w:val="002C6E97"/>
    <w:rsid w:val="002D144A"/>
    <w:rsid w:val="002D5723"/>
    <w:rsid w:val="002E0E9F"/>
    <w:rsid w:val="002E19A3"/>
    <w:rsid w:val="002E212B"/>
    <w:rsid w:val="002E3337"/>
    <w:rsid w:val="002E6D03"/>
    <w:rsid w:val="002E7939"/>
    <w:rsid w:val="002F3EB1"/>
    <w:rsid w:val="002F49A8"/>
    <w:rsid w:val="002F5E66"/>
    <w:rsid w:val="002F61CA"/>
    <w:rsid w:val="0030010D"/>
    <w:rsid w:val="003016FF"/>
    <w:rsid w:val="003062ED"/>
    <w:rsid w:val="003115A7"/>
    <w:rsid w:val="003173CB"/>
    <w:rsid w:val="003253E8"/>
    <w:rsid w:val="00326FCD"/>
    <w:rsid w:val="0033504C"/>
    <w:rsid w:val="00336816"/>
    <w:rsid w:val="003370D0"/>
    <w:rsid w:val="00337355"/>
    <w:rsid w:val="003402E4"/>
    <w:rsid w:val="00340F95"/>
    <w:rsid w:val="00341CB2"/>
    <w:rsid w:val="0034456C"/>
    <w:rsid w:val="00345066"/>
    <w:rsid w:val="00345633"/>
    <w:rsid w:val="00346BB3"/>
    <w:rsid w:val="003531ED"/>
    <w:rsid w:val="003550CF"/>
    <w:rsid w:val="0035516C"/>
    <w:rsid w:val="00355394"/>
    <w:rsid w:val="00355631"/>
    <w:rsid w:val="00355755"/>
    <w:rsid w:val="00356E95"/>
    <w:rsid w:val="00360B9A"/>
    <w:rsid w:val="0036680C"/>
    <w:rsid w:val="00375FB2"/>
    <w:rsid w:val="00382014"/>
    <w:rsid w:val="00382EB1"/>
    <w:rsid w:val="0038655F"/>
    <w:rsid w:val="003879C1"/>
    <w:rsid w:val="0039017F"/>
    <w:rsid w:val="003924A7"/>
    <w:rsid w:val="00394AEE"/>
    <w:rsid w:val="003A3D92"/>
    <w:rsid w:val="003A585A"/>
    <w:rsid w:val="003B5532"/>
    <w:rsid w:val="003B73A6"/>
    <w:rsid w:val="003C00E0"/>
    <w:rsid w:val="003C091B"/>
    <w:rsid w:val="003C2D98"/>
    <w:rsid w:val="003C60C4"/>
    <w:rsid w:val="003C73E4"/>
    <w:rsid w:val="003D3A96"/>
    <w:rsid w:val="003D3B9C"/>
    <w:rsid w:val="003E45D9"/>
    <w:rsid w:val="003E47F6"/>
    <w:rsid w:val="00403FBD"/>
    <w:rsid w:val="00404F03"/>
    <w:rsid w:val="00412051"/>
    <w:rsid w:val="00414076"/>
    <w:rsid w:val="0041557D"/>
    <w:rsid w:val="00416A4B"/>
    <w:rsid w:val="00420CB3"/>
    <w:rsid w:val="00423B94"/>
    <w:rsid w:val="00430E9D"/>
    <w:rsid w:val="00434912"/>
    <w:rsid w:val="00435E0D"/>
    <w:rsid w:val="004533C2"/>
    <w:rsid w:val="00461D5E"/>
    <w:rsid w:val="00463731"/>
    <w:rsid w:val="0046400A"/>
    <w:rsid w:val="00467B25"/>
    <w:rsid w:val="004717A0"/>
    <w:rsid w:val="00480CCF"/>
    <w:rsid w:val="00481108"/>
    <w:rsid w:val="00486196"/>
    <w:rsid w:val="00486315"/>
    <w:rsid w:val="0049042B"/>
    <w:rsid w:val="00494000"/>
    <w:rsid w:val="00495473"/>
    <w:rsid w:val="004A458E"/>
    <w:rsid w:val="004B1271"/>
    <w:rsid w:val="004B23E7"/>
    <w:rsid w:val="004B306F"/>
    <w:rsid w:val="004B4960"/>
    <w:rsid w:val="004B6F6B"/>
    <w:rsid w:val="004B728B"/>
    <w:rsid w:val="004C0AA4"/>
    <w:rsid w:val="004C0FAA"/>
    <w:rsid w:val="004C3186"/>
    <w:rsid w:val="004C5042"/>
    <w:rsid w:val="004C6BDD"/>
    <w:rsid w:val="004D64AA"/>
    <w:rsid w:val="004E4422"/>
    <w:rsid w:val="004F0356"/>
    <w:rsid w:val="004F5FA5"/>
    <w:rsid w:val="004F795A"/>
    <w:rsid w:val="00500387"/>
    <w:rsid w:val="00503998"/>
    <w:rsid w:val="00505B1D"/>
    <w:rsid w:val="0050623B"/>
    <w:rsid w:val="00514983"/>
    <w:rsid w:val="00516D1B"/>
    <w:rsid w:val="005170C4"/>
    <w:rsid w:val="0051779B"/>
    <w:rsid w:val="0052132F"/>
    <w:rsid w:val="00523181"/>
    <w:rsid w:val="005231EB"/>
    <w:rsid w:val="00524D13"/>
    <w:rsid w:val="005264A5"/>
    <w:rsid w:val="00526E53"/>
    <w:rsid w:val="0053315A"/>
    <w:rsid w:val="005339F6"/>
    <w:rsid w:val="00533E02"/>
    <w:rsid w:val="0053771E"/>
    <w:rsid w:val="00550B02"/>
    <w:rsid w:val="00563886"/>
    <w:rsid w:val="00563A7F"/>
    <w:rsid w:val="00564D3B"/>
    <w:rsid w:val="005654E4"/>
    <w:rsid w:val="00567882"/>
    <w:rsid w:val="00567FA6"/>
    <w:rsid w:val="005756E4"/>
    <w:rsid w:val="00576B18"/>
    <w:rsid w:val="00581383"/>
    <w:rsid w:val="0058505F"/>
    <w:rsid w:val="00586720"/>
    <w:rsid w:val="00587724"/>
    <w:rsid w:val="00591512"/>
    <w:rsid w:val="00592506"/>
    <w:rsid w:val="00592B9A"/>
    <w:rsid w:val="005969FE"/>
    <w:rsid w:val="005B2CCE"/>
    <w:rsid w:val="005B2D91"/>
    <w:rsid w:val="005B3B61"/>
    <w:rsid w:val="005B48B4"/>
    <w:rsid w:val="005C6661"/>
    <w:rsid w:val="005C6E3B"/>
    <w:rsid w:val="005C724A"/>
    <w:rsid w:val="005D01F0"/>
    <w:rsid w:val="005D22D0"/>
    <w:rsid w:val="005D474B"/>
    <w:rsid w:val="005E085C"/>
    <w:rsid w:val="005E147D"/>
    <w:rsid w:val="005E22C2"/>
    <w:rsid w:val="005E57BB"/>
    <w:rsid w:val="005F0017"/>
    <w:rsid w:val="005F0E98"/>
    <w:rsid w:val="005F50CF"/>
    <w:rsid w:val="005F6FC3"/>
    <w:rsid w:val="005F6FC6"/>
    <w:rsid w:val="006014F1"/>
    <w:rsid w:val="00602A7A"/>
    <w:rsid w:val="00612D52"/>
    <w:rsid w:val="0061357B"/>
    <w:rsid w:val="00614A7D"/>
    <w:rsid w:val="00634507"/>
    <w:rsid w:val="0063631C"/>
    <w:rsid w:val="0063757B"/>
    <w:rsid w:val="006377CE"/>
    <w:rsid w:val="00643F89"/>
    <w:rsid w:val="006460B2"/>
    <w:rsid w:val="00646B76"/>
    <w:rsid w:val="006521D5"/>
    <w:rsid w:val="006537D9"/>
    <w:rsid w:val="00653F83"/>
    <w:rsid w:val="00664A48"/>
    <w:rsid w:val="00665DEF"/>
    <w:rsid w:val="00675BB1"/>
    <w:rsid w:val="006775F1"/>
    <w:rsid w:val="006779D2"/>
    <w:rsid w:val="006802E5"/>
    <w:rsid w:val="00683D2B"/>
    <w:rsid w:val="006878D5"/>
    <w:rsid w:val="00690783"/>
    <w:rsid w:val="00692AA7"/>
    <w:rsid w:val="006956BC"/>
    <w:rsid w:val="00697FEC"/>
    <w:rsid w:val="006A175F"/>
    <w:rsid w:val="006A30FD"/>
    <w:rsid w:val="006A44F5"/>
    <w:rsid w:val="006A5398"/>
    <w:rsid w:val="006B4537"/>
    <w:rsid w:val="006B5F85"/>
    <w:rsid w:val="006B6929"/>
    <w:rsid w:val="006B709B"/>
    <w:rsid w:val="006C54AF"/>
    <w:rsid w:val="006C669F"/>
    <w:rsid w:val="006C66AD"/>
    <w:rsid w:val="006D0D17"/>
    <w:rsid w:val="006E0181"/>
    <w:rsid w:val="006E473A"/>
    <w:rsid w:val="006E4931"/>
    <w:rsid w:val="006F1032"/>
    <w:rsid w:val="006F3123"/>
    <w:rsid w:val="00700C0E"/>
    <w:rsid w:val="007050F8"/>
    <w:rsid w:val="00705DAD"/>
    <w:rsid w:val="0071026E"/>
    <w:rsid w:val="007247B9"/>
    <w:rsid w:val="00727D85"/>
    <w:rsid w:val="007327B6"/>
    <w:rsid w:val="007346C7"/>
    <w:rsid w:val="00736041"/>
    <w:rsid w:val="007408C7"/>
    <w:rsid w:val="007465DA"/>
    <w:rsid w:val="00747EBA"/>
    <w:rsid w:val="00752C7F"/>
    <w:rsid w:val="007630B8"/>
    <w:rsid w:val="00763A82"/>
    <w:rsid w:val="00770305"/>
    <w:rsid w:val="007748E1"/>
    <w:rsid w:val="00776043"/>
    <w:rsid w:val="00776598"/>
    <w:rsid w:val="00780C38"/>
    <w:rsid w:val="00782E78"/>
    <w:rsid w:val="00783B03"/>
    <w:rsid w:val="00785582"/>
    <w:rsid w:val="00786CC8"/>
    <w:rsid w:val="00792948"/>
    <w:rsid w:val="00796E84"/>
    <w:rsid w:val="007A3053"/>
    <w:rsid w:val="007A3ADE"/>
    <w:rsid w:val="007A51BA"/>
    <w:rsid w:val="007A5733"/>
    <w:rsid w:val="007A5774"/>
    <w:rsid w:val="007C2ADA"/>
    <w:rsid w:val="007D4C45"/>
    <w:rsid w:val="007E31B1"/>
    <w:rsid w:val="007E787D"/>
    <w:rsid w:val="00801E74"/>
    <w:rsid w:val="0080485E"/>
    <w:rsid w:val="00807F4C"/>
    <w:rsid w:val="00812020"/>
    <w:rsid w:val="008142B4"/>
    <w:rsid w:val="00825B00"/>
    <w:rsid w:val="00832324"/>
    <w:rsid w:val="00832799"/>
    <w:rsid w:val="00835337"/>
    <w:rsid w:val="008421D8"/>
    <w:rsid w:val="00846DCD"/>
    <w:rsid w:val="008471C9"/>
    <w:rsid w:val="00851D85"/>
    <w:rsid w:val="0085277F"/>
    <w:rsid w:val="0085439F"/>
    <w:rsid w:val="00855322"/>
    <w:rsid w:val="00860CCB"/>
    <w:rsid w:val="00861079"/>
    <w:rsid w:val="0086412E"/>
    <w:rsid w:val="008651E8"/>
    <w:rsid w:val="0087176F"/>
    <w:rsid w:val="00872431"/>
    <w:rsid w:val="008740A3"/>
    <w:rsid w:val="0087563F"/>
    <w:rsid w:val="0088098F"/>
    <w:rsid w:val="00880C20"/>
    <w:rsid w:val="00882BFB"/>
    <w:rsid w:val="00885EF6"/>
    <w:rsid w:val="0088683C"/>
    <w:rsid w:val="00887F52"/>
    <w:rsid w:val="00891996"/>
    <w:rsid w:val="0089297B"/>
    <w:rsid w:val="008943ED"/>
    <w:rsid w:val="00897CE9"/>
    <w:rsid w:val="008C06D1"/>
    <w:rsid w:val="008C36CA"/>
    <w:rsid w:val="008C65F5"/>
    <w:rsid w:val="008D1322"/>
    <w:rsid w:val="008D1825"/>
    <w:rsid w:val="008D6EA1"/>
    <w:rsid w:val="008E0281"/>
    <w:rsid w:val="008E3F8C"/>
    <w:rsid w:val="008F335D"/>
    <w:rsid w:val="0090165D"/>
    <w:rsid w:val="00902FD0"/>
    <w:rsid w:val="009053D3"/>
    <w:rsid w:val="0090691F"/>
    <w:rsid w:val="00911DA4"/>
    <w:rsid w:val="00917103"/>
    <w:rsid w:val="0093111F"/>
    <w:rsid w:val="00935689"/>
    <w:rsid w:val="00942589"/>
    <w:rsid w:val="00947DFA"/>
    <w:rsid w:val="00950EB5"/>
    <w:rsid w:val="0095303B"/>
    <w:rsid w:val="009663B6"/>
    <w:rsid w:val="00974A47"/>
    <w:rsid w:val="00980286"/>
    <w:rsid w:val="009847C1"/>
    <w:rsid w:val="00990DCF"/>
    <w:rsid w:val="009924B4"/>
    <w:rsid w:val="009A4CD6"/>
    <w:rsid w:val="009A4D65"/>
    <w:rsid w:val="009A537C"/>
    <w:rsid w:val="009B1E69"/>
    <w:rsid w:val="009B3025"/>
    <w:rsid w:val="009B4F3D"/>
    <w:rsid w:val="009C000F"/>
    <w:rsid w:val="009C0886"/>
    <w:rsid w:val="009C19EE"/>
    <w:rsid w:val="009C28D0"/>
    <w:rsid w:val="009C35F2"/>
    <w:rsid w:val="009C7782"/>
    <w:rsid w:val="009D1ED5"/>
    <w:rsid w:val="009D2C8E"/>
    <w:rsid w:val="009D4C13"/>
    <w:rsid w:val="009D7E34"/>
    <w:rsid w:val="009E21A7"/>
    <w:rsid w:val="009E3CC7"/>
    <w:rsid w:val="009E634F"/>
    <w:rsid w:val="009F2D74"/>
    <w:rsid w:val="009F3365"/>
    <w:rsid w:val="00A01744"/>
    <w:rsid w:val="00A03991"/>
    <w:rsid w:val="00A103ED"/>
    <w:rsid w:val="00A13C60"/>
    <w:rsid w:val="00A15134"/>
    <w:rsid w:val="00A15C46"/>
    <w:rsid w:val="00A17957"/>
    <w:rsid w:val="00A22E00"/>
    <w:rsid w:val="00A24660"/>
    <w:rsid w:val="00A341A3"/>
    <w:rsid w:val="00A35800"/>
    <w:rsid w:val="00A50DDC"/>
    <w:rsid w:val="00A52918"/>
    <w:rsid w:val="00A547B3"/>
    <w:rsid w:val="00A60E5D"/>
    <w:rsid w:val="00A6101F"/>
    <w:rsid w:val="00A64F13"/>
    <w:rsid w:val="00A66065"/>
    <w:rsid w:val="00A67D80"/>
    <w:rsid w:val="00A70E82"/>
    <w:rsid w:val="00A71A1C"/>
    <w:rsid w:val="00A80384"/>
    <w:rsid w:val="00A84CAD"/>
    <w:rsid w:val="00A84E04"/>
    <w:rsid w:val="00A86CF6"/>
    <w:rsid w:val="00A90E50"/>
    <w:rsid w:val="00A95FA5"/>
    <w:rsid w:val="00A96D92"/>
    <w:rsid w:val="00A97B22"/>
    <w:rsid w:val="00AA3537"/>
    <w:rsid w:val="00AA7770"/>
    <w:rsid w:val="00AB0D63"/>
    <w:rsid w:val="00AB199C"/>
    <w:rsid w:val="00AB226F"/>
    <w:rsid w:val="00AB33AC"/>
    <w:rsid w:val="00AB3733"/>
    <w:rsid w:val="00AB588C"/>
    <w:rsid w:val="00AB7897"/>
    <w:rsid w:val="00AC0545"/>
    <w:rsid w:val="00AC5054"/>
    <w:rsid w:val="00AC58B6"/>
    <w:rsid w:val="00AD0D8B"/>
    <w:rsid w:val="00AD13C1"/>
    <w:rsid w:val="00AE4BAC"/>
    <w:rsid w:val="00AF6FF7"/>
    <w:rsid w:val="00B00E30"/>
    <w:rsid w:val="00B03030"/>
    <w:rsid w:val="00B034FC"/>
    <w:rsid w:val="00B05310"/>
    <w:rsid w:val="00B10A0B"/>
    <w:rsid w:val="00B165A7"/>
    <w:rsid w:val="00B17F5E"/>
    <w:rsid w:val="00B21C43"/>
    <w:rsid w:val="00B30D85"/>
    <w:rsid w:val="00B35A4A"/>
    <w:rsid w:val="00B411FF"/>
    <w:rsid w:val="00B453CF"/>
    <w:rsid w:val="00B55FC7"/>
    <w:rsid w:val="00B63404"/>
    <w:rsid w:val="00B63E33"/>
    <w:rsid w:val="00B63FD7"/>
    <w:rsid w:val="00B701FF"/>
    <w:rsid w:val="00B7601C"/>
    <w:rsid w:val="00B816D9"/>
    <w:rsid w:val="00B81EC0"/>
    <w:rsid w:val="00B9120F"/>
    <w:rsid w:val="00B9216C"/>
    <w:rsid w:val="00B924A4"/>
    <w:rsid w:val="00B94327"/>
    <w:rsid w:val="00B95FAC"/>
    <w:rsid w:val="00BA3E3B"/>
    <w:rsid w:val="00BA5913"/>
    <w:rsid w:val="00BB06FA"/>
    <w:rsid w:val="00BB0D1A"/>
    <w:rsid w:val="00BB1D3B"/>
    <w:rsid w:val="00BC04DC"/>
    <w:rsid w:val="00BC2CE8"/>
    <w:rsid w:val="00BC35ED"/>
    <w:rsid w:val="00BD0F98"/>
    <w:rsid w:val="00BD417F"/>
    <w:rsid w:val="00BE205A"/>
    <w:rsid w:val="00BE3802"/>
    <w:rsid w:val="00BF238E"/>
    <w:rsid w:val="00BF2F4A"/>
    <w:rsid w:val="00BF544D"/>
    <w:rsid w:val="00BF7F00"/>
    <w:rsid w:val="00C0076F"/>
    <w:rsid w:val="00C02CED"/>
    <w:rsid w:val="00C0301C"/>
    <w:rsid w:val="00C050B6"/>
    <w:rsid w:val="00C05222"/>
    <w:rsid w:val="00C07A82"/>
    <w:rsid w:val="00C10C53"/>
    <w:rsid w:val="00C10F12"/>
    <w:rsid w:val="00C11264"/>
    <w:rsid w:val="00C133EE"/>
    <w:rsid w:val="00C24414"/>
    <w:rsid w:val="00C245EA"/>
    <w:rsid w:val="00C256F6"/>
    <w:rsid w:val="00C2677F"/>
    <w:rsid w:val="00C301E0"/>
    <w:rsid w:val="00C3097E"/>
    <w:rsid w:val="00C35ECC"/>
    <w:rsid w:val="00C361A8"/>
    <w:rsid w:val="00C41246"/>
    <w:rsid w:val="00C4174F"/>
    <w:rsid w:val="00C44937"/>
    <w:rsid w:val="00C4574B"/>
    <w:rsid w:val="00C45E5F"/>
    <w:rsid w:val="00C46291"/>
    <w:rsid w:val="00C54BCB"/>
    <w:rsid w:val="00C61D6F"/>
    <w:rsid w:val="00C63412"/>
    <w:rsid w:val="00C659F8"/>
    <w:rsid w:val="00C65CCA"/>
    <w:rsid w:val="00C714D0"/>
    <w:rsid w:val="00C827D9"/>
    <w:rsid w:val="00C90EF4"/>
    <w:rsid w:val="00CA015A"/>
    <w:rsid w:val="00CA0683"/>
    <w:rsid w:val="00CA212F"/>
    <w:rsid w:val="00CB2885"/>
    <w:rsid w:val="00CC1AA3"/>
    <w:rsid w:val="00CC26BA"/>
    <w:rsid w:val="00CC526F"/>
    <w:rsid w:val="00CD2457"/>
    <w:rsid w:val="00CD2C0D"/>
    <w:rsid w:val="00CD4486"/>
    <w:rsid w:val="00CE076E"/>
    <w:rsid w:val="00CE0F3F"/>
    <w:rsid w:val="00CE3CE9"/>
    <w:rsid w:val="00CE5C05"/>
    <w:rsid w:val="00CF4599"/>
    <w:rsid w:val="00CF53F2"/>
    <w:rsid w:val="00CF5E22"/>
    <w:rsid w:val="00D02091"/>
    <w:rsid w:val="00D03343"/>
    <w:rsid w:val="00D0458D"/>
    <w:rsid w:val="00D06A44"/>
    <w:rsid w:val="00D108B1"/>
    <w:rsid w:val="00D14B93"/>
    <w:rsid w:val="00D151EB"/>
    <w:rsid w:val="00D27217"/>
    <w:rsid w:val="00D30027"/>
    <w:rsid w:val="00D300E0"/>
    <w:rsid w:val="00D374CD"/>
    <w:rsid w:val="00D45CDE"/>
    <w:rsid w:val="00D5742F"/>
    <w:rsid w:val="00D650CE"/>
    <w:rsid w:val="00D71719"/>
    <w:rsid w:val="00D762AB"/>
    <w:rsid w:val="00D776DA"/>
    <w:rsid w:val="00D80940"/>
    <w:rsid w:val="00D8758B"/>
    <w:rsid w:val="00D92C3A"/>
    <w:rsid w:val="00D93F8B"/>
    <w:rsid w:val="00D942B3"/>
    <w:rsid w:val="00D94863"/>
    <w:rsid w:val="00DA7D09"/>
    <w:rsid w:val="00DB3E86"/>
    <w:rsid w:val="00DC0891"/>
    <w:rsid w:val="00DC2630"/>
    <w:rsid w:val="00DC49E9"/>
    <w:rsid w:val="00DC55E4"/>
    <w:rsid w:val="00DC7D71"/>
    <w:rsid w:val="00DD0721"/>
    <w:rsid w:val="00DD188C"/>
    <w:rsid w:val="00DD29A3"/>
    <w:rsid w:val="00DD48EE"/>
    <w:rsid w:val="00DE0B96"/>
    <w:rsid w:val="00DE10B9"/>
    <w:rsid w:val="00DE3139"/>
    <w:rsid w:val="00DE6016"/>
    <w:rsid w:val="00DE6DCF"/>
    <w:rsid w:val="00DF0B13"/>
    <w:rsid w:val="00DF2C68"/>
    <w:rsid w:val="00DF2EB8"/>
    <w:rsid w:val="00DF4A94"/>
    <w:rsid w:val="00DF6003"/>
    <w:rsid w:val="00E00095"/>
    <w:rsid w:val="00E066C3"/>
    <w:rsid w:val="00E10D8C"/>
    <w:rsid w:val="00E1353A"/>
    <w:rsid w:val="00E1564B"/>
    <w:rsid w:val="00E15B98"/>
    <w:rsid w:val="00E208A0"/>
    <w:rsid w:val="00E23121"/>
    <w:rsid w:val="00E2326F"/>
    <w:rsid w:val="00E24CDE"/>
    <w:rsid w:val="00E25B49"/>
    <w:rsid w:val="00E26D31"/>
    <w:rsid w:val="00E3546E"/>
    <w:rsid w:val="00E35C94"/>
    <w:rsid w:val="00E371EA"/>
    <w:rsid w:val="00E42854"/>
    <w:rsid w:val="00E47E1E"/>
    <w:rsid w:val="00E5625E"/>
    <w:rsid w:val="00E57F90"/>
    <w:rsid w:val="00E63292"/>
    <w:rsid w:val="00E64429"/>
    <w:rsid w:val="00E669E6"/>
    <w:rsid w:val="00E677DD"/>
    <w:rsid w:val="00E73680"/>
    <w:rsid w:val="00E7594B"/>
    <w:rsid w:val="00E772A0"/>
    <w:rsid w:val="00E861D0"/>
    <w:rsid w:val="00EA7D57"/>
    <w:rsid w:val="00EB02A1"/>
    <w:rsid w:val="00EB05CF"/>
    <w:rsid w:val="00EB112E"/>
    <w:rsid w:val="00EB2DB7"/>
    <w:rsid w:val="00EB4688"/>
    <w:rsid w:val="00EB6C07"/>
    <w:rsid w:val="00EB7351"/>
    <w:rsid w:val="00EB75E9"/>
    <w:rsid w:val="00EC028D"/>
    <w:rsid w:val="00EC47DF"/>
    <w:rsid w:val="00ED405D"/>
    <w:rsid w:val="00ED633B"/>
    <w:rsid w:val="00EE09E8"/>
    <w:rsid w:val="00EE2BBB"/>
    <w:rsid w:val="00EE32B8"/>
    <w:rsid w:val="00EE478C"/>
    <w:rsid w:val="00EE48EF"/>
    <w:rsid w:val="00EF0A49"/>
    <w:rsid w:val="00F013F8"/>
    <w:rsid w:val="00F0149D"/>
    <w:rsid w:val="00F07B1F"/>
    <w:rsid w:val="00F1132C"/>
    <w:rsid w:val="00F118EC"/>
    <w:rsid w:val="00F11D46"/>
    <w:rsid w:val="00F15DD5"/>
    <w:rsid w:val="00F17D4B"/>
    <w:rsid w:val="00F21930"/>
    <w:rsid w:val="00F23139"/>
    <w:rsid w:val="00F27E78"/>
    <w:rsid w:val="00F3273F"/>
    <w:rsid w:val="00F41F4A"/>
    <w:rsid w:val="00F420FD"/>
    <w:rsid w:val="00F44996"/>
    <w:rsid w:val="00F50954"/>
    <w:rsid w:val="00F56560"/>
    <w:rsid w:val="00F60752"/>
    <w:rsid w:val="00F62F1F"/>
    <w:rsid w:val="00F66CD5"/>
    <w:rsid w:val="00F67A9A"/>
    <w:rsid w:val="00F70F4E"/>
    <w:rsid w:val="00F73113"/>
    <w:rsid w:val="00F75145"/>
    <w:rsid w:val="00F75FC4"/>
    <w:rsid w:val="00F8010A"/>
    <w:rsid w:val="00F8386E"/>
    <w:rsid w:val="00F85981"/>
    <w:rsid w:val="00F87263"/>
    <w:rsid w:val="00F8770C"/>
    <w:rsid w:val="00F93725"/>
    <w:rsid w:val="00F9588D"/>
    <w:rsid w:val="00FA23EA"/>
    <w:rsid w:val="00FA4890"/>
    <w:rsid w:val="00FB21F6"/>
    <w:rsid w:val="00FB27BB"/>
    <w:rsid w:val="00FB623A"/>
    <w:rsid w:val="00FB72A4"/>
    <w:rsid w:val="00FB77FA"/>
    <w:rsid w:val="00FC3985"/>
    <w:rsid w:val="00FC3C70"/>
    <w:rsid w:val="00FC4A73"/>
    <w:rsid w:val="00FC559C"/>
    <w:rsid w:val="00FC7C86"/>
    <w:rsid w:val="00FC7F0D"/>
    <w:rsid w:val="00FD27A1"/>
    <w:rsid w:val="00FD2C61"/>
    <w:rsid w:val="00FD75B4"/>
    <w:rsid w:val="00FE1940"/>
    <w:rsid w:val="00FE645A"/>
    <w:rsid w:val="00FE7FB8"/>
    <w:rsid w:val="00FF61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aliases w:val="Table Title"/>
    <w:basedOn w:val="DefaultParagraphFont"/>
    <w:uiPriority w:val="99"/>
    <w:unhideWhenUsed/>
    <w:qFormat/>
    <w:rsid w:val="00E677DD"/>
    <w:rPr>
      <w:sz w:val="16"/>
      <w:szCs w:val="16"/>
    </w:rPr>
  </w:style>
  <w:style w:type="paragraph" w:styleId="CommentText">
    <w:name w:val="annotation text"/>
    <w:basedOn w:val="Normal"/>
    <w:link w:val="CommentTextChar"/>
    <w:uiPriority w:val="99"/>
    <w:unhideWhenUsed/>
    <w:rsid w:val="00E677DD"/>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aliases w:val="BulletPoints,Numbered para,Body Text Bullet Points,List Paragraph1,Bullet point,List Paragraph11,Recommendation,Section heading,Footnote,Bullet1,Section 5,Bullet 1,Bullet List,Table Legend,Styl moj,Akapit z listą11,L,Bullet Point"/>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styleId="UnresolvedMention">
    <w:name w:val="Unresolved Mention"/>
    <w:basedOn w:val="DefaultParagraphFont"/>
    <w:uiPriority w:val="99"/>
    <w:semiHidden/>
    <w:unhideWhenUsed/>
    <w:rsid w:val="003924A7"/>
    <w:rPr>
      <w:color w:val="605E5C"/>
      <w:shd w:val="clear" w:color="auto" w:fill="E1DFDD"/>
    </w:rPr>
  </w:style>
  <w:style w:type="paragraph" w:styleId="NormalWeb">
    <w:name w:val="Normal (Web)"/>
    <w:basedOn w:val="Normal"/>
    <w:uiPriority w:val="99"/>
    <w:semiHidden/>
    <w:unhideWhenUsed/>
    <w:rsid w:val="00861079"/>
    <w:pPr>
      <w:spacing w:before="100" w:beforeAutospacing="1" w:after="100" w:afterAutospacing="1"/>
    </w:pPr>
    <w:rPr>
      <w:rFonts w:ascii="Times New Roman" w:eastAsia="Times New Roman" w:hAnsi="Times New Roman" w:cs="Times New Roman"/>
    </w:rPr>
  </w:style>
  <w:style w:type="paragraph" w:styleId="HTMLPreformatted">
    <w:name w:val="HTML Preformatted"/>
    <w:basedOn w:val="Normal"/>
    <w:link w:val="HTMLPreformattedChar"/>
    <w:uiPriority w:val="99"/>
    <w:unhideWhenUsed/>
    <w:rsid w:val="0067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779D2"/>
    <w:rPr>
      <w:rFonts w:ascii="Courier New" w:eastAsia="Times New Roman" w:hAnsi="Courier New" w:cs="Courier New"/>
      <w:sz w:val="20"/>
      <w:szCs w:val="20"/>
    </w:rPr>
  </w:style>
  <w:style w:type="character" w:customStyle="1" w:styleId="difference">
    <w:name w:val="difference"/>
    <w:basedOn w:val="DefaultParagraphFont"/>
    <w:rsid w:val="006779D2"/>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Bullet1 Char,Section 5 Char,Bullet 1 Char,L Char"/>
    <w:basedOn w:val="DefaultParagraphFont"/>
    <w:link w:val="ListParagraph"/>
    <w:uiPriority w:val="72"/>
    <w:qFormat/>
    <w:rsid w:val="000F4600"/>
    <w:rPr>
      <w:sz w:val="24"/>
      <w:szCs w:val="24"/>
    </w:rPr>
  </w:style>
  <w:style w:type="paragraph" w:customStyle="1" w:styleId="3Bodytext">
    <w:name w:val="3. Body text"/>
    <w:basedOn w:val="ListParagraph"/>
    <w:link w:val="3BodytextChar"/>
    <w:qFormat/>
    <w:rsid w:val="000F4600"/>
    <w:pPr>
      <w:numPr>
        <w:ilvl w:val="1"/>
        <w:numId w:val="5"/>
      </w:numPr>
      <w:spacing w:after="120"/>
      <w:contextualSpacing w:val="0"/>
    </w:pPr>
    <w:rPr>
      <w:rFonts w:eastAsiaTheme="minorHAnsi"/>
    </w:rPr>
  </w:style>
  <w:style w:type="character" w:customStyle="1" w:styleId="3BodytextChar">
    <w:name w:val="3. Body text Char"/>
    <w:basedOn w:val="ListParagraphChar"/>
    <w:link w:val="3Bodytext"/>
    <w:rsid w:val="000F4600"/>
    <w:rPr>
      <w:rFonts w:eastAsiaTheme="minorHAnsi"/>
      <w:sz w:val="24"/>
      <w:szCs w:val="24"/>
    </w:rPr>
  </w:style>
  <w:style w:type="paragraph" w:customStyle="1" w:styleId="2-SectionHeading">
    <w:name w:val="2-Section Heading"/>
    <w:qFormat/>
    <w:rsid w:val="000F4600"/>
    <w:pPr>
      <w:keepNext/>
      <w:numPr>
        <w:numId w:val="5"/>
      </w:numPr>
      <w:spacing w:before="240" w:after="120" w:line="240" w:lineRule="auto"/>
      <w:outlineLvl w:val="0"/>
    </w:pPr>
    <w:rPr>
      <w:rFonts w:eastAsia="Times New Roman" w:cs="Arial"/>
      <w:b/>
      <w:snapToGrid w:val="0"/>
      <w:sz w:val="32"/>
      <w:szCs w:val="32"/>
    </w:rPr>
  </w:style>
  <w:style w:type="paragraph" w:customStyle="1" w:styleId="TableHeading0">
    <w:name w:val="Table Heading"/>
    <w:basedOn w:val="Normal"/>
    <w:link w:val="TableHeadingChar"/>
    <w:qFormat/>
    <w:rsid w:val="00345633"/>
    <w:pPr>
      <w:keepNext/>
      <w:spacing w:after="0"/>
      <w:jc w:val="both"/>
    </w:pPr>
    <w:rPr>
      <w:rFonts w:ascii="Arial Narrow" w:eastAsiaTheme="minorHAnsi" w:hAnsi="Arial Narrow"/>
      <w:b/>
      <w:sz w:val="20"/>
      <w:szCs w:val="22"/>
      <w:lang w:eastAsia="en-US"/>
    </w:rPr>
  </w:style>
  <w:style w:type="character" w:customStyle="1" w:styleId="TableHeadingChar">
    <w:name w:val="Table Heading Char"/>
    <w:link w:val="TableHeading0"/>
    <w:rsid w:val="00345633"/>
    <w:rPr>
      <w:rFonts w:ascii="Arial Narrow" w:eastAsiaTheme="minorHAnsi" w:hAnsi="Arial Narrow"/>
      <w:b/>
      <w:sz w:val="20"/>
      <w:lang w:eastAsia="en-US"/>
    </w:rPr>
  </w:style>
  <w:style w:type="character" w:customStyle="1" w:styleId="CaptionTableChar">
    <w:name w:val="Caption Table Char"/>
    <w:link w:val="CaptionTable"/>
    <w:locked/>
    <w:rsid w:val="002B6084"/>
    <w:rPr>
      <w:rFonts w:ascii="Calibri" w:eastAsia="Times New Roman" w:hAnsi="Calibri" w:cs="Times New Roman"/>
      <w:b/>
      <w:bCs/>
      <w:sz w:val="20"/>
      <w:szCs w:val="20"/>
    </w:rPr>
  </w:style>
  <w:style w:type="paragraph" w:customStyle="1" w:styleId="CaptionTable">
    <w:name w:val="Caption Table"/>
    <w:basedOn w:val="Normal"/>
    <w:next w:val="Normal"/>
    <w:link w:val="CaptionTableChar"/>
    <w:autoRedefine/>
    <w:rsid w:val="002B6084"/>
    <w:pPr>
      <w:keepNext/>
      <w:spacing w:before="120" w:after="80"/>
    </w:pPr>
    <w:rPr>
      <w:rFonts w:ascii="Calibri" w:eastAsia="Times New Roman" w:hAnsi="Calibri" w:cs="Times New Roman"/>
      <w:b/>
      <w:bCs/>
      <w:sz w:val="20"/>
      <w:szCs w:val="20"/>
    </w:rPr>
  </w:style>
  <w:style w:type="character" w:styleId="FollowedHyperlink">
    <w:name w:val="FollowedHyperlink"/>
    <w:basedOn w:val="DefaultParagraphFont"/>
    <w:uiPriority w:val="99"/>
    <w:semiHidden/>
    <w:unhideWhenUsed/>
    <w:rsid w:val="002F3EB1"/>
    <w:rPr>
      <w:color w:val="800080" w:themeColor="followedHyperlink"/>
      <w:u w:val="single"/>
    </w:rPr>
  </w:style>
  <w:style w:type="paragraph" w:customStyle="1" w:styleId="PBACHeading1">
    <w:name w:val="PBAC Heading 1"/>
    <w:qFormat/>
    <w:rsid w:val="00942589"/>
    <w:pPr>
      <w:spacing w:before="200" w:after="120" w:line="240" w:lineRule="auto"/>
      <w:ind w:left="720" w:hanging="720"/>
      <w:outlineLvl w:val="0"/>
    </w:pPr>
    <w:rPr>
      <w:rFonts w:eastAsia="Times New Roman" w:cs="Arial"/>
      <w:b/>
      <w:snapToGrid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646">
      <w:bodyDiv w:val="1"/>
      <w:marLeft w:val="0"/>
      <w:marRight w:val="0"/>
      <w:marTop w:val="0"/>
      <w:marBottom w:val="0"/>
      <w:divBdr>
        <w:top w:val="none" w:sz="0" w:space="0" w:color="auto"/>
        <w:left w:val="none" w:sz="0" w:space="0" w:color="auto"/>
        <w:bottom w:val="none" w:sz="0" w:space="0" w:color="auto"/>
        <w:right w:val="none" w:sz="0" w:space="0" w:color="auto"/>
      </w:divBdr>
    </w:div>
    <w:div w:id="108091229">
      <w:bodyDiv w:val="1"/>
      <w:marLeft w:val="0"/>
      <w:marRight w:val="0"/>
      <w:marTop w:val="0"/>
      <w:marBottom w:val="0"/>
      <w:divBdr>
        <w:top w:val="none" w:sz="0" w:space="0" w:color="auto"/>
        <w:left w:val="none" w:sz="0" w:space="0" w:color="auto"/>
        <w:bottom w:val="none" w:sz="0" w:space="0" w:color="auto"/>
        <w:right w:val="none" w:sz="0" w:space="0" w:color="auto"/>
      </w:divBdr>
    </w:div>
    <w:div w:id="260455555">
      <w:bodyDiv w:val="1"/>
      <w:marLeft w:val="0"/>
      <w:marRight w:val="0"/>
      <w:marTop w:val="0"/>
      <w:marBottom w:val="0"/>
      <w:divBdr>
        <w:top w:val="none" w:sz="0" w:space="0" w:color="auto"/>
        <w:left w:val="none" w:sz="0" w:space="0" w:color="auto"/>
        <w:bottom w:val="none" w:sz="0" w:space="0" w:color="auto"/>
        <w:right w:val="none" w:sz="0" w:space="0" w:color="auto"/>
      </w:divBdr>
    </w:div>
    <w:div w:id="325981476">
      <w:bodyDiv w:val="1"/>
      <w:marLeft w:val="0"/>
      <w:marRight w:val="0"/>
      <w:marTop w:val="0"/>
      <w:marBottom w:val="0"/>
      <w:divBdr>
        <w:top w:val="none" w:sz="0" w:space="0" w:color="auto"/>
        <w:left w:val="none" w:sz="0" w:space="0" w:color="auto"/>
        <w:bottom w:val="none" w:sz="0" w:space="0" w:color="auto"/>
        <w:right w:val="none" w:sz="0" w:space="0" w:color="auto"/>
      </w:divBdr>
    </w:div>
    <w:div w:id="327637289">
      <w:bodyDiv w:val="1"/>
      <w:marLeft w:val="0"/>
      <w:marRight w:val="0"/>
      <w:marTop w:val="0"/>
      <w:marBottom w:val="0"/>
      <w:divBdr>
        <w:top w:val="none" w:sz="0" w:space="0" w:color="auto"/>
        <w:left w:val="none" w:sz="0" w:space="0" w:color="auto"/>
        <w:bottom w:val="none" w:sz="0" w:space="0" w:color="auto"/>
        <w:right w:val="none" w:sz="0" w:space="0" w:color="auto"/>
      </w:divBdr>
    </w:div>
    <w:div w:id="360741984">
      <w:bodyDiv w:val="1"/>
      <w:marLeft w:val="0"/>
      <w:marRight w:val="0"/>
      <w:marTop w:val="0"/>
      <w:marBottom w:val="0"/>
      <w:divBdr>
        <w:top w:val="none" w:sz="0" w:space="0" w:color="auto"/>
        <w:left w:val="none" w:sz="0" w:space="0" w:color="auto"/>
        <w:bottom w:val="none" w:sz="0" w:space="0" w:color="auto"/>
        <w:right w:val="none" w:sz="0" w:space="0" w:color="auto"/>
      </w:divBdr>
    </w:div>
    <w:div w:id="371535537">
      <w:bodyDiv w:val="1"/>
      <w:marLeft w:val="0"/>
      <w:marRight w:val="0"/>
      <w:marTop w:val="0"/>
      <w:marBottom w:val="0"/>
      <w:divBdr>
        <w:top w:val="none" w:sz="0" w:space="0" w:color="auto"/>
        <w:left w:val="none" w:sz="0" w:space="0" w:color="auto"/>
        <w:bottom w:val="none" w:sz="0" w:space="0" w:color="auto"/>
        <w:right w:val="none" w:sz="0" w:space="0" w:color="auto"/>
      </w:divBdr>
    </w:div>
    <w:div w:id="382485826">
      <w:bodyDiv w:val="1"/>
      <w:marLeft w:val="0"/>
      <w:marRight w:val="0"/>
      <w:marTop w:val="0"/>
      <w:marBottom w:val="0"/>
      <w:divBdr>
        <w:top w:val="none" w:sz="0" w:space="0" w:color="auto"/>
        <w:left w:val="none" w:sz="0" w:space="0" w:color="auto"/>
        <w:bottom w:val="none" w:sz="0" w:space="0" w:color="auto"/>
        <w:right w:val="none" w:sz="0" w:space="0" w:color="auto"/>
      </w:divBdr>
    </w:div>
    <w:div w:id="388843579">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527373510">
      <w:bodyDiv w:val="1"/>
      <w:marLeft w:val="0"/>
      <w:marRight w:val="0"/>
      <w:marTop w:val="0"/>
      <w:marBottom w:val="0"/>
      <w:divBdr>
        <w:top w:val="none" w:sz="0" w:space="0" w:color="auto"/>
        <w:left w:val="none" w:sz="0" w:space="0" w:color="auto"/>
        <w:bottom w:val="none" w:sz="0" w:space="0" w:color="auto"/>
        <w:right w:val="none" w:sz="0" w:space="0" w:color="auto"/>
      </w:divBdr>
    </w:div>
    <w:div w:id="742919494">
      <w:bodyDiv w:val="1"/>
      <w:marLeft w:val="0"/>
      <w:marRight w:val="0"/>
      <w:marTop w:val="0"/>
      <w:marBottom w:val="0"/>
      <w:divBdr>
        <w:top w:val="none" w:sz="0" w:space="0" w:color="auto"/>
        <w:left w:val="none" w:sz="0" w:space="0" w:color="auto"/>
        <w:bottom w:val="none" w:sz="0" w:space="0" w:color="auto"/>
        <w:right w:val="none" w:sz="0" w:space="0" w:color="auto"/>
      </w:divBdr>
    </w:div>
    <w:div w:id="869956803">
      <w:bodyDiv w:val="1"/>
      <w:marLeft w:val="0"/>
      <w:marRight w:val="0"/>
      <w:marTop w:val="0"/>
      <w:marBottom w:val="0"/>
      <w:divBdr>
        <w:top w:val="none" w:sz="0" w:space="0" w:color="auto"/>
        <w:left w:val="none" w:sz="0" w:space="0" w:color="auto"/>
        <w:bottom w:val="none" w:sz="0" w:space="0" w:color="auto"/>
        <w:right w:val="none" w:sz="0" w:space="0" w:color="auto"/>
      </w:divBdr>
    </w:div>
    <w:div w:id="885948202">
      <w:bodyDiv w:val="1"/>
      <w:marLeft w:val="0"/>
      <w:marRight w:val="0"/>
      <w:marTop w:val="0"/>
      <w:marBottom w:val="0"/>
      <w:divBdr>
        <w:top w:val="none" w:sz="0" w:space="0" w:color="auto"/>
        <w:left w:val="none" w:sz="0" w:space="0" w:color="auto"/>
        <w:bottom w:val="none" w:sz="0" w:space="0" w:color="auto"/>
        <w:right w:val="none" w:sz="0" w:space="0" w:color="auto"/>
      </w:divBdr>
    </w:div>
    <w:div w:id="902640853">
      <w:bodyDiv w:val="1"/>
      <w:marLeft w:val="0"/>
      <w:marRight w:val="0"/>
      <w:marTop w:val="0"/>
      <w:marBottom w:val="0"/>
      <w:divBdr>
        <w:top w:val="none" w:sz="0" w:space="0" w:color="auto"/>
        <w:left w:val="none" w:sz="0" w:space="0" w:color="auto"/>
        <w:bottom w:val="none" w:sz="0" w:space="0" w:color="auto"/>
        <w:right w:val="none" w:sz="0" w:space="0" w:color="auto"/>
      </w:divBdr>
    </w:div>
    <w:div w:id="950892985">
      <w:bodyDiv w:val="1"/>
      <w:marLeft w:val="0"/>
      <w:marRight w:val="0"/>
      <w:marTop w:val="0"/>
      <w:marBottom w:val="0"/>
      <w:divBdr>
        <w:top w:val="none" w:sz="0" w:space="0" w:color="auto"/>
        <w:left w:val="none" w:sz="0" w:space="0" w:color="auto"/>
        <w:bottom w:val="none" w:sz="0" w:space="0" w:color="auto"/>
        <w:right w:val="none" w:sz="0" w:space="0" w:color="auto"/>
      </w:divBdr>
    </w:div>
    <w:div w:id="1055356632">
      <w:bodyDiv w:val="1"/>
      <w:marLeft w:val="0"/>
      <w:marRight w:val="0"/>
      <w:marTop w:val="0"/>
      <w:marBottom w:val="0"/>
      <w:divBdr>
        <w:top w:val="none" w:sz="0" w:space="0" w:color="auto"/>
        <w:left w:val="none" w:sz="0" w:space="0" w:color="auto"/>
        <w:bottom w:val="none" w:sz="0" w:space="0" w:color="auto"/>
        <w:right w:val="none" w:sz="0" w:space="0" w:color="auto"/>
      </w:divBdr>
    </w:div>
    <w:div w:id="1085541622">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250116952">
      <w:bodyDiv w:val="1"/>
      <w:marLeft w:val="0"/>
      <w:marRight w:val="0"/>
      <w:marTop w:val="0"/>
      <w:marBottom w:val="0"/>
      <w:divBdr>
        <w:top w:val="none" w:sz="0" w:space="0" w:color="auto"/>
        <w:left w:val="none" w:sz="0" w:space="0" w:color="auto"/>
        <w:bottom w:val="none" w:sz="0" w:space="0" w:color="auto"/>
        <w:right w:val="none" w:sz="0" w:space="0" w:color="auto"/>
      </w:divBdr>
    </w:div>
    <w:div w:id="1413430482">
      <w:bodyDiv w:val="1"/>
      <w:marLeft w:val="0"/>
      <w:marRight w:val="0"/>
      <w:marTop w:val="0"/>
      <w:marBottom w:val="0"/>
      <w:divBdr>
        <w:top w:val="none" w:sz="0" w:space="0" w:color="auto"/>
        <w:left w:val="none" w:sz="0" w:space="0" w:color="auto"/>
        <w:bottom w:val="none" w:sz="0" w:space="0" w:color="auto"/>
        <w:right w:val="none" w:sz="0" w:space="0" w:color="auto"/>
      </w:divBdr>
    </w:div>
    <w:div w:id="1467704549">
      <w:bodyDiv w:val="1"/>
      <w:marLeft w:val="0"/>
      <w:marRight w:val="0"/>
      <w:marTop w:val="0"/>
      <w:marBottom w:val="0"/>
      <w:divBdr>
        <w:top w:val="none" w:sz="0" w:space="0" w:color="auto"/>
        <w:left w:val="none" w:sz="0" w:space="0" w:color="auto"/>
        <w:bottom w:val="none" w:sz="0" w:space="0" w:color="auto"/>
        <w:right w:val="none" w:sz="0" w:space="0" w:color="auto"/>
      </w:divBdr>
    </w:div>
    <w:div w:id="1584560284">
      <w:bodyDiv w:val="1"/>
      <w:marLeft w:val="0"/>
      <w:marRight w:val="0"/>
      <w:marTop w:val="0"/>
      <w:marBottom w:val="0"/>
      <w:divBdr>
        <w:top w:val="none" w:sz="0" w:space="0" w:color="auto"/>
        <w:left w:val="none" w:sz="0" w:space="0" w:color="auto"/>
        <w:bottom w:val="none" w:sz="0" w:space="0" w:color="auto"/>
        <w:right w:val="none" w:sz="0" w:space="0" w:color="auto"/>
      </w:divBdr>
    </w:div>
    <w:div w:id="1649699314">
      <w:bodyDiv w:val="1"/>
      <w:marLeft w:val="0"/>
      <w:marRight w:val="0"/>
      <w:marTop w:val="0"/>
      <w:marBottom w:val="0"/>
      <w:divBdr>
        <w:top w:val="none" w:sz="0" w:space="0" w:color="auto"/>
        <w:left w:val="none" w:sz="0" w:space="0" w:color="auto"/>
        <w:bottom w:val="none" w:sz="0" w:space="0" w:color="auto"/>
        <w:right w:val="none" w:sz="0" w:space="0" w:color="auto"/>
      </w:divBdr>
    </w:div>
    <w:div w:id="1659916606">
      <w:bodyDiv w:val="1"/>
      <w:marLeft w:val="0"/>
      <w:marRight w:val="0"/>
      <w:marTop w:val="0"/>
      <w:marBottom w:val="0"/>
      <w:divBdr>
        <w:top w:val="none" w:sz="0" w:space="0" w:color="auto"/>
        <w:left w:val="none" w:sz="0" w:space="0" w:color="auto"/>
        <w:bottom w:val="none" w:sz="0" w:space="0" w:color="auto"/>
        <w:right w:val="none" w:sz="0" w:space="0" w:color="auto"/>
      </w:divBdr>
    </w:div>
    <w:div w:id="1705016226">
      <w:bodyDiv w:val="1"/>
      <w:marLeft w:val="0"/>
      <w:marRight w:val="0"/>
      <w:marTop w:val="0"/>
      <w:marBottom w:val="0"/>
      <w:divBdr>
        <w:top w:val="none" w:sz="0" w:space="0" w:color="auto"/>
        <w:left w:val="none" w:sz="0" w:space="0" w:color="auto"/>
        <w:bottom w:val="none" w:sz="0" w:space="0" w:color="auto"/>
        <w:right w:val="none" w:sz="0" w:space="0" w:color="auto"/>
      </w:divBdr>
    </w:div>
    <w:div w:id="1892571128">
      <w:bodyDiv w:val="1"/>
      <w:marLeft w:val="0"/>
      <w:marRight w:val="0"/>
      <w:marTop w:val="0"/>
      <w:marBottom w:val="0"/>
      <w:divBdr>
        <w:top w:val="none" w:sz="0" w:space="0" w:color="auto"/>
        <w:left w:val="none" w:sz="0" w:space="0" w:color="auto"/>
        <w:bottom w:val="none" w:sz="0" w:space="0" w:color="auto"/>
        <w:right w:val="none" w:sz="0" w:space="0" w:color="auto"/>
      </w:divBdr>
    </w:div>
    <w:div w:id="19197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ga.gov.au/hp/information-medicines-pi.htm" TargetMode="External"/><Relationship Id="rId13" Type="http://schemas.openxmlformats.org/officeDocument/2006/relationships/hyperlink" Target="file:///\\central.health\DFSGroupData\Sites\CO1\CO\PBD\PEB\EVAL\DUSC\DUSC%20Documents\Predicted%20vs%20actual%20usage\pbs.gov.au" TargetMode="External"/><Relationship Id="rId18" Type="http://schemas.openxmlformats.org/officeDocument/2006/relationships/chart" Target="charts/chart1.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image" Target="media/image2.sv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pbs.gov.au/pbs/industry/listing/elements/pbac-meetings/psd/2021-03/teduglutide-powder-for-injection-5-mg-with-diluent-revesti" TargetMode="External"/><Relationship Id="rId17" Type="http://schemas.openxmlformats.org/officeDocument/2006/relationships/hyperlink" Target="https://www.pbs.gov.au/pbs/industry/listing/elements/pbac-meetings/psd/2021-03/teduglutide-powder-for-injection-5-mg-with-diluent-revesti" TargetMode="External"/><Relationship Id="rId25" Type="http://schemas.openxmlformats.org/officeDocument/2006/relationships/image" Target="media/image6.sv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bs.gov.au/pbs/industry/listing/elements/pbac-meetings/psd/2019-03/teduglutide-psd-march-2019" TargetMode="External"/><Relationship Id="rId20" Type="http://schemas.openxmlformats.org/officeDocument/2006/relationships/image" Target="media/image1.png"/><Relationship Id="rId29" Type="http://schemas.openxmlformats.org/officeDocument/2006/relationships/image" Target="media/image8.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image" Target="media/image5.pn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bs.gov.au/pbs/industry/listing/elements/pbac-meetings/psd/2018-07/Teduglutide-psd-july-2018" TargetMode="External"/><Relationship Id="rId23" Type="http://schemas.openxmlformats.org/officeDocument/2006/relationships/image" Target="media/image4.svg"/><Relationship Id="rId28" Type="http://schemas.openxmlformats.org/officeDocument/2006/relationships/image" Target="media/image7.png"/><Relationship Id="rId36" Type="http://schemas.openxmlformats.org/officeDocument/2006/relationships/footer" Target="footer3.xml"/><Relationship Id="rId10" Type="http://schemas.openxmlformats.org/officeDocument/2006/relationships/hyperlink" Target="http://www.pbs.gov.au/pbs/home" TargetMode="External"/><Relationship Id="rId19" Type="http://schemas.openxmlformats.org/officeDocument/2006/relationships/chart" Target="charts/chart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a.gov.au/consumers/information-medicines-cmi.htm" TargetMode="External"/><Relationship Id="rId14" Type="http://schemas.openxmlformats.org/officeDocument/2006/relationships/hyperlink" Target="https://www.pbs.gov.au/pbs/industry/listing/elements/pbac-meetings/psd/2017-11/teduglutide-psd-november-2017" TargetMode="External"/><Relationship Id="rId22" Type="http://schemas.openxmlformats.org/officeDocument/2006/relationships/image" Target="media/image3.png"/><Relationship Id="rId27" Type="http://schemas.openxmlformats.org/officeDocument/2006/relationships/chart" Target="charts/chart4.xml"/><Relationship Id="rId30" Type="http://schemas.openxmlformats.org/officeDocument/2006/relationships/chart" Target="charts/chart5.xm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medicareaustralia.gov.au/provider/pbs/stats.jsp"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ntral.health\dfsuserenv\Users\User_04\HOMONI\Desktop\June%202022\Item%207%20Teduglutide\D1400%20teduglutide%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entral.health\dfsuserenv\Users\User_04\HOMONI\Desktop\Item%207%20Teduglutide\D1400%20teduglutid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[D1400 teduglutide.xlsx]Sheet3!PivotTable2</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Sheet3!$U$1</c:f>
              <c:strCache>
                <c:ptCount val="1"/>
                <c:pt idx="0">
                  <c:v>Total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Sheet3!$T$2:$T$11</c:f>
              <c:strCache>
                <c:ptCount val="9"/>
                <c:pt idx="0">
                  <c:v>2019Q4</c:v>
                </c:pt>
                <c:pt idx="1">
                  <c:v>2020Q1</c:v>
                </c:pt>
                <c:pt idx="2">
                  <c:v>2020Q2</c:v>
                </c:pt>
                <c:pt idx="3">
                  <c:v>2020Q3</c:v>
                </c:pt>
                <c:pt idx="4">
                  <c:v>2020Q4</c:v>
                </c:pt>
                <c:pt idx="5">
                  <c:v>2021Q1</c:v>
                </c:pt>
                <c:pt idx="6">
                  <c:v>2021Q2</c:v>
                </c:pt>
                <c:pt idx="7">
                  <c:v>2021Q3</c:v>
                </c:pt>
                <c:pt idx="8">
                  <c:v>2021Q4</c:v>
                </c:pt>
              </c:strCache>
            </c:strRef>
          </c:cat>
          <c:val>
            <c:numRef>
              <c:f>Sheet3!$U$2:$U$11</c:f>
              <c:numCache>
                <c:formatCode>General</c:formatCode>
                <c:ptCount val="9"/>
                <c:pt idx="0">
                  <c:v>39</c:v>
                </c:pt>
                <c:pt idx="1">
                  <c:v>60</c:v>
                </c:pt>
                <c:pt idx="2">
                  <c:v>55</c:v>
                </c:pt>
                <c:pt idx="3">
                  <c:v>61</c:v>
                </c:pt>
                <c:pt idx="4">
                  <c:v>69</c:v>
                </c:pt>
                <c:pt idx="5">
                  <c:v>55</c:v>
                </c:pt>
                <c:pt idx="6">
                  <c:v>63</c:v>
                </c:pt>
                <c:pt idx="7">
                  <c:v>90</c:v>
                </c:pt>
                <c:pt idx="8">
                  <c:v>90</c:v>
                </c:pt>
              </c:numCache>
            </c:numRef>
          </c:val>
          <c:smooth val="0"/>
          <c:extLst>
            <c:ext xmlns:c16="http://schemas.microsoft.com/office/drawing/2014/chart" uri="{C3380CC4-5D6E-409C-BE32-E72D297353CC}">
              <c16:uniqueId val="{00000000-7DF6-4BFE-B0D3-C9575F38E06F}"/>
            </c:ext>
          </c:extLst>
        </c:ser>
        <c:dLbls>
          <c:showLegendKey val="0"/>
          <c:showVal val="0"/>
          <c:showCatName val="0"/>
          <c:showSerName val="0"/>
          <c:showPercent val="0"/>
          <c:showBubbleSize val="0"/>
        </c:dLbls>
        <c:marker val="1"/>
        <c:smooth val="0"/>
        <c:axId val="359700488"/>
        <c:axId val="359694256"/>
      </c:lineChart>
      <c:catAx>
        <c:axId val="359700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694256"/>
        <c:crosses val="autoZero"/>
        <c:auto val="1"/>
        <c:lblAlgn val="ctr"/>
        <c:lblOffset val="100"/>
        <c:noMultiLvlLbl val="0"/>
      </c:catAx>
      <c:valAx>
        <c:axId val="359694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9700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[D1400 teduglutide.xlsx]patients!PivotTable6</c:name>
    <c:fmtId val="-1"/>
  </c:pivotSource>
  <c:chart>
    <c:autoTitleDeleted val="1"/>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1"/>
          <c:order val="0"/>
          <c:tx>
            <c:strRef>
              <c:f>patients!$T$20</c:f>
              <c:strCache>
                <c:ptCount val="1"/>
                <c:pt idx="0">
                  <c:v>Prevalent patients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patients!$R$21:$R$29</c:f>
              <c:strCache>
                <c:ptCount val="8"/>
                <c:pt idx="0">
                  <c:v>2019Q4</c:v>
                </c:pt>
                <c:pt idx="1">
                  <c:v>2020Q1</c:v>
                </c:pt>
                <c:pt idx="2">
                  <c:v>2020Q3</c:v>
                </c:pt>
                <c:pt idx="3">
                  <c:v>2020Q4</c:v>
                </c:pt>
                <c:pt idx="4">
                  <c:v>2021Q1</c:v>
                </c:pt>
                <c:pt idx="5">
                  <c:v>2021Q2</c:v>
                </c:pt>
                <c:pt idx="6">
                  <c:v>2021Q3</c:v>
                </c:pt>
                <c:pt idx="7">
                  <c:v>2021Q4</c:v>
                </c:pt>
              </c:strCache>
            </c:strRef>
          </c:cat>
          <c:val>
            <c:numRef>
              <c:f>patients!$T$21:$T$29</c:f>
              <c:numCache>
                <c:formatCode>General</c:formatCode>
                <c:ptCount val="8"/>
                <c:pt idx="0">
                  <c:v>17</c:v>
                </c:pt>
                <c:pt idx="1">
                  <c:v>20</c:v>
                </c:pt>
                <c:pt idx="2">
                  <c:v>22</c:v>
                </c:pt>
                <c:pt idx="3">
                  <c:v>24</c:v>
                </c:pt>
                <c:pt idx="4">
                  <c:v>21</c:v>
                </c:pt>
                <c:pt idx="5">
                  <c:v>25</c:v>
                </c:pt>
                <c:pt idx="6">
                  <c:v>30</c:v>
                </c:pt>
                <c:pt idx="7">
                  <c:v>33</c:v>
                </c:pt>
              </c:numCache>
            </c:numRef>
          </c:val>
          <c:smooth val="0"/>
          <c:extLst>
            <c:ext xmlns:c16="http://schemas.microsoft.com/office/drawing/2014/chart" uri="{C3380CC4-5D6E-409C-BE32-E72D297353CC}">
              <c16:uniqueId val="{00000001-4998-4504-A4CE-4C4EF4A322E5}"/>
            </c:ext>
          </c:extLst>
        </c:ser>
        <c:dLbls>
          <c:showLegendKey val="0"/>
          <c:showVal val="0"/>
          <c:showCatName val="0"/>
          <c:showSerName val="0"/>
          <c:showPercent val="0"/>
          <c:showBubbleSize val="0"/>
        </c:dLbls>
        <c:marker val="1"/>
        <c:smooth val="0"/>
        <c:axId val="422313088"/>
        <c:axId val="422315056"/>
      </c:lineChart>
      <c:catAx>
        <c:axId val="422313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315056"/>
        <c:crosses val="autoZero"/>
        <c:auto val="1"/>
        <c:lblAlgn val="ctr"/>
        <c:lblOffset val="100"/>
        <c:noMultiLvlLbl val="0"/>
      </c:catAx>
      <c:valAx>
        <c:axId val="422315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a:p>
                <a:pPr>
                  <a:defRPr/>
                </a:pP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3130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[D1400 teduglutide .xlsx]public v private!PivotTable4</c:name>
    <c:fmtId val="-1"/>
  </c:pivotSource>
  <c:chart>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8575" cap="rnd">
            <a:solidFill>
              <a:schemeClr val="accent1"/>
            </a:solidFill>
            <a:round/>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marker>
          <c:spPr>
            <a:solidFill>
              <a:schemeClr val="accent1"/>
            </a:solidFill>
            <a:ln w="9525">
              <a:solidFill>
                <a:schemeClr val="accent1"/>
              </a:solidFill>
            </a:ln>
            <a:effectLst/>
          </c:spPr>
        </c:marker>
      </c:pivotFmt>
      <c:pivotFmt>
        <c:idx val="19"/>
        <c:spPr>
          <a:solidFill>
            <a:schemeClr val="accent1"/>
          </a:solidFill>
          <a:ln w="25400">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areaChart>
        <c:grouping val="stacked"/>
        <c:varyColors val="0"/>
        <c:ser>
          <c:idx val="0"/>
          <c:order val="0"/>
          <c:tx>
            <c:strRef>
              <c:f>'public v private'!$V$1:$V$2</c:f>
              <c:strCache>
                <c:ptCount val="1"/>
                <c:pt idx="0">
                  <c:v>Private</c:v>
                </c:pt>
              </c:strCache>
            </c:strRef>
          </c:tx>
          <c:spPr>
            <a:solidFill>
              <a:schemeClr val="accent1"/>
            </a:solidFill>
            <a:ln>
              <a:noFill/>
            </a:ln>
            <a:effectLst/>
          </c:spPr>
          <c:cat>
            <c:strRef>
              <c:f>'public v private'!$U$3:$U$13</c:f>
              <c:strCache>
                <c:ptCount val="10"/>
                <c:pt idx="0">
                  <c:v>2019Q4</c:v>
                </c:pt>
                <c:pt idx="1">
                  <c:v>2020Q1</c:v>
                </c:pt>
                <c:pt idx="2">
                  <c:v>2020Q2</c:v>
                </c:pt>
                <c:pt idx="3">
                  <c:v>2020Q3</c:v>
                </c:pt>
                <c:pt idx="4">
                  <c:v>2020Q4</c:v>
                </c:pt>
                <c:pt idx="5">
                  <c:v>2021Q1</c:v>
                </c:pt>
                <c:pt idx="6">
                  <c:v>2021Q2</c:v>
                </c:pt>
                <c:pt idx="7">
                  <c:v>2021Q3</c:v>
                </c:pt>
                <c:pt idx="8">
                  <c:v>2021Q4</c:v>
                </c:pt>
                <c:pt idx="9">
                  <c:v>2022Q1</c:v>
                </c:pt>
              </c:strCache>
            </c:strRef>
          </c:cat>
          <c:val>
            <c:numRef>
              <c:f>'public v private'!$V$3:$V$13</c:f>
              <c:numCache>
                <c:formatCode>General</c:formatCode>
                <c:ptCount val="10"/>
                <c:pt idx="0">
                  <c:v>4</c:v>
                </c:pt>
                <c:pt idx="1">
                  <c:v>5</c:v>
                </c:pt>
                <c:pt idx="2">
                  <c:v>1</c:v>
                </c:pt>
                <c:pt idx="3">
                  <c:v>3</c:v>
                </c:pt>
                <c:pt idx="4">
                  <c:v>2</c:v>
                </c:pt>
                <c:pt idx="6">
                  <c:v>2</c:v>
                </c:pt>
                <c:pt idx="7">
                  <c:v>8</c:v>
                </c:pt>
                <c:pt idx="8">
                  <c:v>6</c:v>
                </c:pt>
                <c:pt idx="9">
                  <c:v>2</c:v>
                </c:pt>
              </c:numCache>
            </c:numRef>
          </c:val>
          <c:extLst>
            <c:ext xmlns:c16="http://schemas.microsoft.com/office/drawing/2014/chart" uri="{C3380CC4-5D6E-409C-BE32-E72D297353CC}">
              <c16:uniqueId val="{00000000-64DA-42B8-9B65-F28C9E09ACD8}"/>
            </c:ext>
          </c:extLst>
        </c:ser>
        <c:ser>
          <c:idx val="1"/>
          <c:order val="1"/>
          <c:tx>
            <c:strRef>
              <c:f>'public v private'!$W$1:$W$2</c:f>
              <c:strCache>
                <c:ptCount val="1"/>
                <c:pt idx="0">
                  <c:v>Public</c:v>
                </c:pt>
              </c:strCache>
            </c:strRef>
          </c:tx>
          <c:spPr>
            <a:solidFill>
              <a:schemeClr val="accent2"/>
            </a:solidFill>
            <a:ln>
              <a:noFill/>
            </a:ln>
            <a:effectLst/>
          </c:spPr>
          <c:cat>
            <c:strRef>
              <c:f>'public v private'!$U$3:$U$13</c:f>
              <c:strCache>
                <c:ptCount val="10"/>
                <c:pt idx="0">
                  <c:v>2019Q4</c:v>
                </c:pt>
                <c:pt idx="1">
                  <c:v>2020Q1</c:v>
                </c:pt>
                <c:pt idx="2">
                  <c:v>2020Q2</c:v>
                </c:pt>
                <c:pt idx="3">
                  <c:v>2020Q3</c:v>
                </c:pt>
                <c:pt idx="4">
                  <c:v>2020Q4</c:v>
                </c:pt>
                <c:pt idx="5">
                  <c:v>2021Q1</c:v>
                </c:pt>
                <c:pt idx="6">
                  <c:v>2021Q2</c:v>
                </c:pt>
                <c:pt idx="7">
                  <c:v>2021Q3</c:v>
                </c:pt>
                <c:pt idx="8">
                  <c:v>2021Q4</c:v>
                </c:pt>
                <c:pt idx="9">
                  <c:v>2022Q1</c:v>
                </c:pt>
              </c:strCache>
            </c:strRef>
          </c:cat>
          <c:val>
            <c:numRef>
              <c:f>'public v private'!$W$3:$W$13</c:f>
              <c:numCache>
                <c:formatCode>General</c:formatCode>
                <c:ptCount val="10"/>
                <c:pt idx="0">
                  <c:v>35</c:v>
                </c:pt>
                <c:pt idx="1">
                  <c:v>55</c:v>
                </c:pt>
                <c:pt idx="2">
                  <c:v>54</c:v>
                </c:pt>
                <c:pt idx="3">
                  <c:v>58</c:v>
                </c:pt>
                <c:pt idx="4">
                  <c:v>67</c:v>
                </c:pt>
                <c:pt idx="5">
                  <c:v>55</c:v>
                </c:pt>
                <c:pt idx="6">
                  <c:v>61</c:v>
                </c:pt>
                <c:pt idx="7">
                  <c:v>82</c:v>
                </c:pt>
                <c:pt idx="8">
                  <c:v>84</c:v>
                </c:pt>
                <c:pt idx="9">
                  <c:v>28</c:v>
                </c:pt>
              </c:numCache>
            </c:numRef>
          </c:val>
          <c:extLst>
            <c:ext xmlns:c16="http://schemas.microsoft.com/office/drawing/2014/chart" uri="{C3380CC4-5D6E-409C-BE32-E72D297353CC}">
              <c16:uniqueId val="{00000001-64DA-42B8-9B65-F28C9E09ACD8}"/>
            </c:ext>
          </c:extLst>
        </c:ser>
        <c:dLbls>
          <c:showLegendKey val="0"/>
          <c:showVal val="0"/>
          <c:showCatName val="0"/>
          <c:showSerName val="0"/>
          <c:showPercent val="0"/>
          <c:showBubbleSize val="0"/>
        </c:dLbls>
        <c:axId val="828060360"/>
        <c:axId val="828065608"/>
      </c:areaChart>
      <c:catAx>
        <c:axId val="828060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065608"/>
        <c:crosses val="autoZero"/>
        <c:auto val="1"/>
        <c:lblAlgn val="ctr"/>
        <c:lblOffset val="100"/>
        <c:noMultiLvlLbl val="0"/>
      </c:catAx>
      <c:valAx>
        <c:axId val="828065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806036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[D1400 teduglutide.xlsx]resupply time!PivotTable7</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'resupply time'!$R$1</c:f>
              <c:strCache>
                <c:ptCount val="1"/>
                <c:pt idx="0">
                  <c:v>Total</c:v>
                </c:pt>
              </c:strCache>
            </c:strRef>
          </c:tx>
          <c:spPr>
            <a:solidFill>
              <a:schemeClr val="accent1"/>
            </a:solidFill>
            <a:ln>
              <a:noFill/>
            </a:ln>
            <a:effectLst/>
          </c:spPr>
          <c:invertIfNegative val="0"/>
          <c:cat>
            <c:strRef>
              <c:f>'resupply time'!$Q$2:$Q$70</c:f>
              <c:strCache>
                <c:ptCount val="68"/>
                <c:pt idx="0">
                  <c:v>1</c:v>
                </c:pt>
                <c:pt idx="1">
                  <c:v>5</c:v>
                </c:pt>
                <c:pt idx="2">
                  <c:v>7</c:v>
                </c:pt>
                <c:pt idx="3">
                  <c:v>10</c:v>
                </c:pt>
                <c:pt idx="4">
                  <c:v>11</c:v>
                </c:pt>
                <c:pt idx="5">
                  <c:v>13</c:v>
                </c:pt>
                <c:pt idx="6">
                  <c:v>14</c:v>
                </c:pt>
                <c:pt idx="7">
                  <c:v>15</c:v>
                </c:pt>
                <c:pt idx="8">
                  <c:v>16</c:v>
                </c:pt>
                <c:pt idx="9">
                  <c:v>17</c:v>
                </c:pt>
                <c:pt idx="10">
                  <c:v>18</c:v>
                </c:pt>
                <c:pt idx="11">
                  <c:v>19</c:v>
                </c:pt>
                <c:pt idx="12">
                  <c:v>20</c:v>
                </c:pt>
                <c:pt idx="13">
                  <c:v>21</c:v>
                </c:pt>
                <c:pt idx="14">
                  <c:v>22</c:v>
                </c:pt>
                <c:pt idx="15">
                  <c:v>23</c:v>
                </c:pt>
                <c:pt idx="16">
                  <c:v>24</c:v>
                </c:pt>
                <c:pt idx="17">
                  <c:v>25</c:v>
                </c:pt>
                <c:pt idx="18">
                  <c:v>26</c:v>
                </c:pt>
                <c:pt idx="19">
                  <c:v>27</c:v>
                </c:pt>
                <c:pt idx="20">
                  <c:v>28</c:v>
                </c:pt>
                <c:pt idx="21">
                  <c:v>29</c:v>
                </c:pt>
                <c:pt idx="22">
                  <c:v>30</c:v>
                </c:pt>
                <c:pt idx="23">
                  <c:v>31</c:v>
                </c:pt>
                <c:pt idx="24">
                  <c:v>32</c:v>
                </c:pt>
                <c:pt idx="25">
                  <c:v>33</c:v>
                </c:pt>
                <c:pt idx="26">
                  <c:v>34</c:v>
                </c:pt>
                <c:pt idx="27">
                  <c:v>35</c:v>
                </c:pt>
                <c:pt idx="28">
                  <c:v>36</c:v>
                </c:pt>
                <c:pt idx="29">
                  <c:v>37</c:v>
                </c:pt>
                <c:pt idx="30">
                  <c:v>38</c:v>
                </c:pt>
                <c:pt idx="31">
                  <c:v>39</c:v>
                </c:pt>
                <c:pt idx="32">
                  <c:v>40</c:v>
                </c:pt>
                <c:pt idx="33">
                  <c:v>41</c:v>
                </c:pt>
                <c:pt idx="34">
                  <c:v>42</c:v>
                </c:pt>
                <c:pt idx="35">
                  <c:v>43</c:v>
                </c:pt>
                <c:pt idx="36">
                  <c:v>44</c:v>
                </c:pt>
                <c:pt idx="37">
                  <c:v>45</c:v>
                </c:pt>
                <c:pt idx="38">
                  <c:v>46</c:v>
                </c:pt>
                <c:pt idx="39">
                  <c:v>47</c:v>
                </c:pt>
                <c:pt idx="40">
                  <c:v>48</c:v>
                </c:pt>
                <c:pt idx="41">
                  <c:v>49</c:v>
                </c:pt>
                <c:pt idx="42">
                  <c:v>50</c:v>
                </c:pt>
                <c:pt idx="43">
                  <c:v>51</c:v>
                </c:pt>
                <c:pt idx="44">
                  <c:v>52</c:v>
                </c:pt>
                <c:pt idx="45">
                  <c:v>53</c:v>
                </c:pt>
                <c:pt idx="46">
                  <c:v>54</c:v>
                </c:pt>
                <c:pt idx="47">
                  <c:v>56</c:v>
                </c:pt>
                <c:pt idx="48">
                  <c:v>59</c:v>
                </c:pt>
                <c:pt idx="49">
                  <c:v>60</c:v>
                </c:pt>
                <c:pt idx="50">
                  <c:v>61</c:v>
                </c:pt>
                <c:pt idx="51">
                  <c:v>62</c:v>
                </c:pt>
                <c:pt idx="52">
                  <c:v>64</c:v>
                </c:pt>
                <c:pt idx="53">
                  <c:v>66</c:v>
                </c:pt>
                <c:pt idx="54">
                  <c:v>67</c:v>
                </c:pt>
                <c:pt idx="55">
                  <c:v>69</c:v>
                </c:pt>
                <c:pt idx="56">
                  <c:v>70</c:v>
                </c:pt>
                <c:pt idx="57">
                  <c:v>72</c:v>
                </c:pt>
                <c:pt idx="58">
                  <c:v>83</c:v>
                </c:pt>
                <c:pt idx="59">
                  <c:v>98</c:v>
                </c:pt>
                <c:pt idx="60">
                  <c:v>104</c:v>
                </c:pt>
                <c:pt idx="61">
                  <c:v>114</c:v>
                </c:pt>
                <c:pt idx="62">
                  <c:v>133</c:v>
                </c:pt>
                <c:pt idx="63">
                  <c:v>138</c:v>
                </c:pt>
                <c:pt idx="64">
                  <c:v>184</c:v>
                </c:pt>
                <c:pt idx="65">
                  <c:v>204</c:v>
                </c:pt>
                <c:pt idx="66">
                  <c:v>210</c:v>
                </c:pt>
                <c:pt idx="67">
                  <c:v>214</c:v>
                </c:pt>
              </c:strCache>
            </c:strRef>
          </c:cat>
          <c:val>
            <c:numRef>
              <c:f>'resupply time'!$R$2:$R$70</c:f>
              <c:numCache>
                <c:formatCode>General</c:formatCode>
                <c:ptCount val="68"/>
                <c:pt idx="0">
                  <c:v>1</c:v>
                </c:pt>
                <c:pt idx="1">
                  <c:v>2</c:v>
                </c:pt>
                <c:pt idx="2">
                  <c:v>1</c:v>
                </c:pt>
                <c:pt idx="3">
                  <c:v>2</c:v>
                </c:pt>
                <c:pt idx="4">
                  <c:v>1</c:v>
                </c:pt>
                <c:pt idx="5">
                  <c:v>1</c:v>
                </c:pt>
                <c:pt idx="6">
                  <c:v>6</c:v>
                </c:pt>
                <c:pt idx="7">
                  <c:v>3</c:v>
                </c:pt>
                <c:pt idx="8">
                  <c:v>1</c:v>
                </c:pt>
                <c:pt idx="9">
                  <c:v>3</c:v>
                </c:pt>
                <c:pt idx="10">
                  <c:v>3</c:v>
                </c:pt>
                <c:pt idx="11">
                  <c:v>5</c:v>
                </c:pt>
                <c:pt idx="12">
                  <c:v>6</c:v>
                </c:pt>
                <c:pt idx="13">
                  <c:v>37</c:v>
                </c:pt>
                <c:pt idx="14">
                  <c:v>14</c:v>
                </c:pt>
                <c:pt idx="15">
                  <c:v>24</c:v>
                </c:pt>
                <c:pt idx="16">
                  <c:v>13</c:v>
                </c:pt>
                <c:pt idx="17">
                  <c:v>14</c:v>
                </c:pt>
                <c:pt idx="18">
                  <c:v>24</c:v>
                </c:pt>
                <c:pt idx="19">
                  <c:v>44</c:v>
                </c:pt>
                <c:pt idx="20">
                  <c:v>66</c:v>
                </c:pt>
                <c:pt idx="21">
                  <c:v>35</c:v>
                </c:pt>
                <c:pt idx="22">
                  <c:v>25</c:v>
                </c:pt>
                <c:pt idx="23">
                  <c:v>17</c:v>
                </c:pt>
                <c:pt idx="24">
                  <c:v>23</c:v>
                </c:pt>
                <c:pt idx="25">
                  <c:v>25</c:v>
                </c:pt>
                <c:pt idx="26">
                  <c:v>21</c:v>
                </c:pt>
                <c:pt idx="27">
                  <c:v>22</c:v>
                </c:pt>
                <c:pt idx="28">
                  <c:v>12</c:v>
                </c:pt>
                <c:pt idx="29">
                  <c:v>2</c:v>
                </c:pt>
                <c:pt idx="30">
                  <c:v>3</c:v>
                </c:pt>
                <c:pt idx="31">
                  <c:v>2</c:v>
                </c:pt>
                <c:pt idx="32">
                  <c:v>7</c:v>
                </c:pt>
                <c:pt idx="33">
                  <c:v>3</c:v>
                </c:pt>
                <c:pt idx="34">
                  <c:v>13</c:v>
                </c:pt>
                <c:pt idx="35">
                  <c:v>8</c:v>
                </c:pt>
                <c:pt idx="36">
                  <c:v>5</c:v>
                </c:pt>
                <c:pt idx="37">
                  <c:v>2</c:v>
                </c:pt>
                <c:pt idx="38">
                  <c:v>1</c:v>
                </c:pt>
                <c:pt idx="39">
                  <c:v>4</c:v>
                </c:pt>
                <c:pt idx="40">
                  <c:v>5</c:v>
                </c:pt>
                <c:pt idx="41">
                  <c:v>5</c:v>
                </c:pt>
                <c:pt idx="42">
                  <c:v>3</c:v>
                </c:pt>
                <c:pt idx="43">
                  <c:v>3</c:v>
                </c:pt>
                <c:pt idx="44">
                  <c:v>3</c:v>
                </c:pt>
                <c:pt idx="45">
                  <c:v>1</c:v>
                </c:pt>
                <c:pt idx="46">
                  <c:v>1</c:v>
                </c:pt>
                <c:pt idx="47">
                  <c:v>5</c:v>
                </c:pt>
                <c:pt idx="48">
                  <c:v>2</c:v>
                </c:pt>
                <c:pt idx="49">
                  <c:v>2</c:v>
                </c:pt>
                <c:pt idx="50">
                  <c:v>1</c:v>
                </c:pt>
                <c:pt idx="51">
                  <c:v>1</c:v>
                </c:pt>
                <c:pt idx="52">
                  <c:v>2</c:v>
                </c:pt>
                <c:pt idx="53">
                  <c:v>1</c:v>
                </c:pt>
                <c:pt idx="54">
                  <c:v>1</c:v>
                </c:pt>
                <c:pt idx="55">
                  <c:v>2</c:v>
                </c:pt>
                <c:pt idx="56">
                  <c:v>1</c:v>
                </c:pt>
                <c:pt idx="57">
                  <c:v>2</c:v>
                </c:pt>
                <c:pt idx="58">
                  <c:v>3</c:v>
                </c:pt>
                <c:pt idx="59">
                  <c:v>1</c:v>
                </c:pt>
                <c:pt idx="60">
                  <c:v>2</c:v>
                </c:pt>
                <c:pt idx="61">
                  <c:v>1</c:v>
                </c:pt>
                <c:pt idx="62">
                  <c:v>1</c:v>
                </c:pt>
                <c:pt idx="63">
                  <c:v>1</c:v>
                </c:pt>
                <c:pt idx="64">
                  <c:v>1</c:v>
                </c:pt>
                <c:pt idx="65">
                  <c:v>1</c:v>
                </c:pt>
                <c:pt idx="66">
                  <c:v>6</c:v>
                </c:pt>
                <c:pt idx="67">
                  <c:v>1</c:v>
                </c:pt>
              </c:numCache>
            </c:numRef>
          </c:val>
          <c:extLst>
            <c:ext xmlns:c16="http://schemas.microsoft.com/office/drawing/2014/chart" uri="{C3380CC4-5D6E-409C-BE32-E72D297353CC}">
              <c16:uniqueId val="{00000000-FF6E-45CB-9108-D55CA6FBBAFD}"/>
            </c:ext>
          </c:extLst>
        </c:ser>
        <c:dLbls>
          <c:showLegendKey val="0"/>
          <c:showVal val="0"/>
          <c:showCatName val="0"/>
          <c:showSerName val="0"/>
          <c:showPercent val="0"/>
          <c:showBubbleSize val="0"/>
        </c:dLbls>
        <c:gapWidth val="219"/>
        <c:overlap val="-27"/>
        <c:axId val="939759456"/>
        <c:axId val="939762080"/>
      </c:barChart>
      <c:catAx>
        <c:axId val="939759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a:t>
                </a:r>
                <a:r>
                  <a:rPr lang="en-AU" baseline="0"/>
                  <a:t> of days to resupply</a:t>
                </a:r>
                <a:endParaRPr lang="en-A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9762080"/>
        <c:crosses val="autoZero"/>
        <c:auto val="1"/>
        <c:lblAlgn val="ctr"/>
        <c:lblOffset val="100"/>
        <c:noMultiLvlLbl val="0"/>
      </c:catAx>
      <c:valAx>
        <c:axId val="93976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prescriptions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97594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[D1400 teduglutide.xlsx]Sheet4!PivotTable4</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Sheet4!$B$33</c:f>
              <c:strCache>
                <c:ptCount val="1"/>
                <c:pt idx="0">
                  <c:v>Total</c:v>
                </c:pt>
              </c:strCache>
            </c:strRef>
          </c:tx>
          <c:spPr>
            <a:solidFill>
              <a:schemeClr val="accent1"/>
            </a:solidFill>
            <a:ln>
              <a:noFill/>
            </a:ln>
            <a:effectLst/>
          </c:spPr>
          <c:invertIfNegative val="0"/>
          <c:cat>
            <c:multiLvlStrRef>
              <c:f>Sheet4!$A$34:$A$43</c:f>
              <c:multiLvlStrCache>
                <c:ptCount val="6"/>
                <c:lvl>
                  <c:pt idx="0">
                    <c:v>Recommencement of treatment</c:v>
                  </c:pt>
                  <c:pt idx="1">
                    <c:v>Subsequent continuing treatment</c:v>
                  </c:pt>
                  <c:pt idx="2">
                    <c:v>First continuing treatment</c:v>
                  </c:pt>
                  <c:pt idx="3">
                    <c:v>Initial treatment - balance of supply</c:v>
                  </c:pt>
                  <c:pt idx="4">
                    <c:v>Initial treatment - Grandfathered patients</c:v>
                  </c:pt>
                  <c:pt idx="5">
                    <c:v>Initial treatment</c:v>
                  </c:pt>
                </c:lvl>
                <c:lvl>
                  <c:pt idx="0">
                    <c:v>Continuing</c:v>
                  </c:pt>
                  <c:pt idx="3">
                    <c:v>Balance of supply</c:v>
                  </c:pt>
                  <c:pt idx="5">
                    <c:v>Initial</c:v>
                  </c:pt>
                </c:lvl>
              </c:multiLvlStrCache>
            </c:multiLvlStrRef>
          </c:cat>
          <c:val>
            <c:numRef>
              <c:f>Sheet4!$B$34:$B$43</c:f>
              <c:numCache>
                <c:formatCode>General</c:formatCode>
                <c:ptCount val="6"/>
                <c:pt idx="0">
                  <c:v>5</c:v>
                </c:pt>
                <c:pt idx="1">
                  <c:v>21</c:v>
                </c:pt>
                <c:pt idx="2">
                  <c:v>23</c:v>
                </c:pt>
                <c:pt idx="3">
                  <c:v>5</c:v>
                </c:pt>
                <c:pt idx="4">
                  <c:v>13</c:v>
                </c:pt>
                <c:pt idx="5">
                  <c:v>25</c:v>
                </c:pt>
              </c:numCache>
            </c:numRef>
          </c:val>
          <c:extLst>
            <c:ext xmlns:c16="http://schemas.microsoft.com/office/drawing/2014/chart" uri="{C3380CC4-5D6E-409C-BE32-E72D297353CC}">
              <c16:uniqueId val="{00000000-4663-468D-A932-603A3E9F7BBD}"/>
            </c:ext>
          </c:extLst>
        </c:ser>
        <c:dLbls>
          <c:showLegendKey val="0"/>
          <c:showVal val="0"/>
          <c:showCatName val="0"/>
          <c:showSerName val="0"/>
          <c:showPercent val="0"/>
          <c:showBubbleSize val="0"/>
        </c:dLbls>
        <c:gapWidth val="182"/>
        <c:axId val="864441144"/>
        <c:axId val="864444424"/>
      </c:barChart>
      <c:catAx>
        <c:axId val="864441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444424"/>
        <c:crosses val="autoZero"/>
        <c:auto val="1"/>
        <c:lblAlgn val="ctr"/>
        <c:lblOffset val="100"/>
        <c:noMultiLvlLbl val="0"/>
      </c:catAx>
      <c:valAx>
        <c:axId val="8644444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Number of patients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4441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802EF-8CC8-4F6E-A172-4376F302C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6655</Words>
  <Characters>37936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2022-10-19T04:18:00Z</dcterms:created>
  <dcterms:modified xsi:type="dcterms:W3CDTF">2022-10-19T04:31:00Z</dcterms:modified>
</cp:coreProperties>
</file>