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258F" w14:textId="7CF97452" w:rsidR="005017D8" w:rsidRPr="00C43B1D" w:rsidRDefault="005017D8" w:rsidP="00C7336E">
      <w:pPr>
        <w:pStyle w:val="Title"/>
      </w:pPr>
      <w:r w:rsidRPr="00C43B1D">
        <w:t xml:space="preserve">Medicines for the treatment of </w:t>
      </w:r>
      <w:r w:rsidR="00512F14" w:rsidRPr="00C43B1D">
        <w:t>t</w:t>
      </w:r>
      <w:r w:rsidRPr="00C43B1D">
        <w:t xml:space="preserve">ype 2 </w:t>
      </w:r>
      <w:r w:rsidR="00512F14" w:rsidRPr="00C43B1D">
        <w:t>d</w:t>
      </w:r>
      <w:r w:rsidRPr="00C43B1D">
        <w:t>iabetes</w:t>
      </w:r>
    </w:p>
    <w:p w14:paraId="6BAE21A9" w14:textId="77777777" w:rsidR="00C43B1D" w:rsidRDefault="00C43B1D" w:rsidP="00C7336E">
      <w:pPr>
        <w:pStyle w:val="Title2"/>
      </w:pPr>
      <w:r>
        <w:t>D</w:t>
      </w:r>
      <w:r w:rsidRPr="0063631C">
        <w:t xml:space="preserve">rug utilisation sub-committee </w:t>
      </w:r>
      <w:r>
        <w:t>(DUSC)</w:t>
      </w:r>
    </w:p>
    <w:p w14:paraId="1DCC7C47" w14:textId="2DF0E2E4" w:rsidR="00C43B1D" w:rsidRPr="005D72CE" w:rsidRDefault="00C43B1D" w:rsidP="00C7336E">
      <w:pPr>
        <w:pStyle w:val="Meetingdate"/>
      </w:pPr>
      <w:r w:rsidRPr="005D72CE">
        <w:t>September 2022</w:t>
      </w:r>
    </w:p>
    <w:p w14:paraId="06DE3BB7" w14:textId="77777777" w:rsidR="00C43B1D" w:rsidRPr="00C43B1D" w:rsidRDefault="00C43B1D" w:rsidP="00C7336E">
      <w:pPr>
        <w:pStyle w:val="Heading2"/>
        <w:spacing w:line="240" w:lineRule="auto"/>
      </w:pPr>
      <w:r w:rsidRPr="00056A98">
        <w:t>Abstract</w:t>
      </w:r>
    </w:p>
    <w:p w14:paraId="16A580DF" w14:textId="77777777" w:rsidR="00C43B1D" w:rsidRPr="00056A98" w:rsidRDefault="00C43B1D" w:rsidP="00C7336E">
      <w:pPr>
        <w:pStyle w:val="Heading3"/>
      </w:pPr>
      <w:r w:rsidRPr="00056A98">
        <w:t>Purpose</w:t>
      </w:r>
    </w:p>
    <w:p w14:paraId="380085C0" w14:textId="43ADC119" w:rsidR="003B536A" w:rsidRDefault="005017D8" w:rsidP="00F830E4">
      <w:pPr>
        <w:spacing w:after="200" w:line="240" w:lineRule="auto"/>
      </w:pPr>
      <w:r>
        <w:t xml:space="preserve">To review the utilisation of medicines for the treatment of </w:t>
      </w:r>
      <w:r w:rsidR="00512F14">
        <w:t xml:space="preserve">type 2 </w:t>
      </w:r>
      <w:r>
        <w:t>diabetes</w:t>
      </w:r>
      <w:r w:rsidR="00512F14">
        <w:t xml:space="preserve"> mellitus (T2DM)</w:t>
      </w:r>
      <w:r w:rsidR="00056A98">
        <w:t xml:space="preserve">, with a focus on </w:t>
      </w:r>
      <w:r w:rsidR="00D919D8">
        <w:t xml:space="preserve">the </w:t>
      </w:r>
      <w:r w:rsidR="00056A98">
        <w:t xml:space="preserve">use of </w:t>
      </w:r>
      <w:r w:rsidR="00E2568F">
        <w:rPr>
          <w:rFonts w:cs="Arial"/>
        </w:rPr>
        <w:t>glucagon-like peptide</w:t>
      </w:r>
      <w:r w:rsidR="00E2568F">
        <w:rPr>
          <w:rFonts w:cs="Arial"/>
        </w:rPr>
        <w:noBreakHyphen/>
      </w:r>
      <w:proofErr w:type="gramStart"/>
      <w:r w:rsidR="00E2568F">
        <w:rPr>
          <w:rFonts w:cs="Arial"/>
        </w:rPr>
        <w:t>1</w:t>
      </w:r>
      <w:proofErr w:type="gramEnd"/>
      <w:r w:rsidR="00E2568F">
        <w:rPr>
          <w:rFonts w:cs="Arial"/>
        </w:rPr>
        <w:t xml:space="preserve"> receptor agonists</w:t>
      </w:r>
      <w:r w:rsidR="00E2568F">
        <w:t xml:space="preserve"> (</w:t>
      </w:r>
      <w:r w:rsidR="00056A98">
        <w:t>GLP</w:t>
      </w:r>
      <w:r w:rsidR="00056A98">
        <w:noBreakHyphen/>
        <w:t>1 RAs</w:t>
      </w:r>
      <w:r w:rsidR="00E2568F">
        <w:t>)</w:t>
      </w:r>
      <w:r w:rsidR="00056A98">
        <w:t xml:space="preserve">, </w:t>
      </w:r>
      <w:r w:rsidR="00E2568F">
        <w:rPr>
          <w:rFonts w:cs="Arial"/>
        </w:rPr>
        <w:t>sodium-glucose cotransporter 2 (</w:t>
      </w:r>
      <w:r w:rsidR="00056A98">
        <w:t>SGLT2</w:t>
      </w:r>
      <w:r w:rsidR="00E2568F">
        <w:t>)</w:t>
      </w:r>
      <w:r w:rsidR="00056A98">
        <w:t xml:space="preserve"> inhibitors and </w:t>
      </w:r>
      <w:r w:rsidR="00E2568F">
        <w:rPr>
          <w:rFonts w:cs="Arial"/>
        </w:rPr>
        <w:t>dipeptidyl peptidase-4 (</w:t>
      </w:r>
      <w:r w:rsidR="00056A98">
        <w:t>DPP4</w:t>
      </w:r>
      <w:r w:rsidR="00E2568F">
        <w:t>)</w:t>
      </w:r>
      <w:r w:rsidR="00056A98">
        <w:t xml:space="preserve"> inhibitors outside the Pharmaceutical Benefits Scheme (PBS) restrictions</w:t>
      </w:r>
      <w:r w:rsidR="00D44731">
        <w:t xml:space="preserve">. </w:t>
      </w:r>
    </w:p>
    <w:p w14:paraId="17769E00" w14:textId="1E3CED1B" w:rsidR="003B536A" w:rsidRDefault="003B536A" w:rsidP="00F830E4">
      <w:pPr>
        <w:pStyle w:val="3Bodytext"/>
        <w:numPr>
          <w:ilvl w:val="0"/>
          <w:numId w:val="0"/>
        </w:numPr>
        <w:spacing w:after="200"/>
        <w:jc w:val="left"/>
      </w:pPr>
      <w:r>
        <w:t xml:space="preserve">In July 2022, </w:t>
      </w:r>
      <w:r w:rsidR="002E229F">
        <w:t>the PBAC noted that the PBS restrictions for GLP-1 RAs required patients to be contraindicated or intolerant to the combination of metformin and a sulfonylurea</w:t>
      </w:r>
      <w:r w:rsidR="000539DE">
        <w:t xml:space="preserve"> (SU)</w:t>
      </w:r>
      <w:r w:rsidR="002E229F">
        <w:t xml:space="preserve"> to receive subsidised access to a GLP-1 RA in dual therapy with metformin or a</w:t>
      </w:r>
      <w:r w:rsidR="000539DE">
        <w:t xml:space="preserve"> SU</w:t>
      </w:r>
      <w:r w:rsidR="002E229F">
        <w:t xml:space="preserve">. The </w:t>
      </w:r>
      <w:r w:rsidRPr="0052398E">
        <w:t xml:space="preserve">PBAC </w:t>
      </w:r>
      <w:r w:rsidR="002E229F">
        <w:t xml:space="preserve">considered </w:t>
      </w:r>
      <w:r>
        <w:t xml:space="preserve">that clinicians may have a broader interpretation of contraindication to </w:t>
      </w:r>
      <w:r w:rsidR="000539DE">
        <w:t xml:space="preserve">SUs </w:t>
      </w:r>
      <w:r>
        <w:t>in clinical practice than in the clinical trials and estimates of use that supported the PBS listing</w:t>
      </w:r>
      <w:r w:rsidR="002E229F">
        <w:t xml:space="preserve"> of GLP</w:t>
      </w:r>
      <w:r w:rsidR="002E229F">
        <w:noBreakHyphen/>
        <w:t>1 RAs</w:t>
      </w:r>
      <w:r>
        <w:t>.</w:t>
      </w:r>
      <w:r w:rsidR="002E229F">
        <w:t xml:space="preserve"> The PBAC </w:t>
      </w:r>
      <w:r>
        <w:t xml:space="preserve">recommended an updated review of the utilisation of T2DM medicines, </w:t>
      </w:r>
      <w:r w:rsidR="002E229F">
        <w:t xml:space="preserve">which </w:t>
      </w:r>
      <w:r>
        <w:t xml:space="preserve">would </w:t>
      </w:r>
      <w:r w:rsidRPr="00C95E85">
        <w:rPr>
          <w:rFonts w:cstheme="minorHAnsi"/>
          <w:szCs w:val="24"/>
        </w:rPr>
        <w:t>includ</w:t>
      </w:r>
      <w:r>
        <w:rPr>
          <w:rFonts w:cstheme="minorHAnsi"/>
          <w:szCs w:val="24"/>
        </w:rPr>
        <w:t>e</w:t>
      </w:r>
      <w:r w:rsidRPr="00C95E85">
        <w:rPr>
          <w:rFonts w:cstheme="minorHAnsi"/>
          <w:szCs w:val="24"/>
        </w:rPr>
        <w:t xml:space="preserve"> an estimation of the extent of </w:t>
      </w:r>
      <w:r>
        <w:rPr>
          <w:rFonts w:cstheme="minorHAnsi"/>
          <w:szCs w:val="24"/>
        </w:rPr>
        <w:t xml:space="preserve">use of </w:t>
      </w:r>
      <w:r w:rsidRPr="00C95E85">
        <w:rPr>
          <w:rFonts w:cstheme="minorHAnsi"/>
          <w:szCs w:val="24"/>
        </w:rPr>
        <w:t>GLP-1 R</w:t>
      </w:r>
      <w:r>
        <w:rPr>
          <w:rFonts w:cstheme="minorHAnsi"/>
          <w:szCs w:val="24"/>
        </w:rPr>
        <w:t>As outside the PBS restrictions, such as</w:t>
      </w:r>
      <w:r w:rsidRPr="00C95E85">
        <w:rPr>
          <w:rFonts w:cstheme="minorHAnsi"/>
          <w:szCs w:val="24"/>
        </w:rPr>
        <w:t xml:space="preserve"> use in</w:t>
      </w:r>
      <w:r>
        <w:rPr>
          <w:rFonts w:cstheme="minorHAnsi"/>
          <w:szCs w:val="24"/>
        </w:rPr>
        <w:t xml:space="preserve"> monotherapy, and in</w:t>
      </w:r>
      <w:r w:rsidRPr="00C95E85">
        <w:rPr>
          <w:rFonts w:cstheme="minorHAnsi"/>
          <w:szCs w:val="24"/>
        </w:rPr>
        <w:t xml:space="preserve"> dual therapy in patients not contraindicated/intolerant to a combination of metformin and a</w:t>
      </w:r>
      <w:r w:rsidR="000539DE">
        <w:rPr>
          <w:rFonts w:cstheme="minorHAnsi"/>
          <w:szCs w:val="24"/>
        </w:rPr>
        <w:t xml:space="preserve"> SU</w:t>
      </w:r>
      <w:r w:rsidRPr="00C95E85">
        <w:rPr>
          <w:rFonts w:cstheme="minorHAnsi"/>
          <w:szCs w:val="24"/>
        </w:rPr>
        <w:t xml:space="preserve">. </w:t>
      </w:r>
    </w:p>
    <w:p w14:paraId="71514202" w14:textId="77777777" w:rsidR="00FC0E8B" w:rsidRDefault="00FC0E8B" w:rsidP="00C7336E">
      <w:pPr>
        <w:pStyle w:val="Heading3"/>
      </w:pPr>
      <w:r>
        <w:t>Date of listing on the Pharmaceutical Benefits Scheme (PBS)</w:t>
      </w:r>
    </w:p>
    <w:p w14:paraId="373E8B3C" w14:textId="551D6D93" w:rsidR="005017D8" w:rsidRDefault="000539DE" w:rsidP="00C7336E">
      <w:pPr>
        <w:spacing w:line="240" w:lineRule="auto"/>
      </w:pPr>
      <w:r>
        <w:t xml:space="preserve">The </w:t>
      </w:r>
      <w:r w:rsidR="008206BF">
        <w:t>DUSC</w:t>
      </w:r>
      <w:r w:rsidR="003E3F80">
        <w:t xml:space="preserve"> review</w:t>
      </w:r>
      <w:r w:rsidR="008206BF">
        <w:t>ed</w:t>
      </w:r>
      <w:r w:rsidR="003E3F80">
        <w:t xml:space="preserve"> </w:t>
      </w:r>
      <w:r w:rsidR="008206BF">
        <w:t xml:space="preserve">medicines for the treatment of </w:t>
      </w:r>
      <w:r w:rsidR="00512F14">
        <w:t xml:space="preserve">T2DM </w:t>
      </w:r>
      <w:r w:rsidR="008206BF">
        <w:t>in October 2012</w:t>
      </w:r>
      <w:r w:rsidR="00512F14">
        <w:t>/</w:t>
      </w:r>
      <w:r w:rsidR="008206BF">
        <w:t>February</w:t>
      </w:r>
      <w:r w:rsidR="00512F14">
        <w:t> </w:t>
      </w:r>
      <w:r w:rsidR="008206BF">
        <w:t xml:space="preserve">2013, and </w:t>
      </w:r>
      <w:r w:rsidR="00512F14">
        <w:t xml:space="preserve">for diabetes more broadly </w:t>
      </w:r>
      <w:r w:rsidR="008206BF">
        <w:t>in</w:t>
      </w:r>
      <w:r w:rsidR="003E3F80">
        <w:t xml:space="preserve"> February 2017. </w:t>
      </w:r>
    </w:p>
    <w:p w14:paraId="527A8153" w14:textId="56FFA2FE" w:rsidR="00D67FD4" w:rsidRPr="00056A98" w:rsidRDefault="008206BF" w:rsidP="00C7336E">
      <w:pPr>
        <w:spacing w:after="200" w:line="240" w:lineRule="auto"/>
        <w:rPr>
          <w:rFonts w:cs="Arial"/>
        </w:rPr>
      </w:pPr>
      <w:r>
        <w:rPr>
          <w:rFonts w:cs="Arial"/>
        </w:rPr>
        <w:t xml:space="preserve">Key changes to </w:t>
      </w:r>
      <w:r w:rsidR="00512F14">
        <w:rPr>
          <w:rFonts w:cs="Arial"/>
        </w:rPr>
        <w:t xml:space="preserve">T2DM </w:t>
      </w:r>
      <w:r>
        <w:rPr>
          <w:rFonts w:cs="Arial"/>
        </w:rPr>
        <w:t>medicines since 2017 include the listing of</w:t>
      </w:r>
      <w:r w:rsidR="00690B23">
        <w:rPr>
          <w:rFonts w:cs="Arial"/>
        </w:rPr>
        <w:t xml:space="preserve"> two GLP-1 RAs</w:t>
      </w:r>
      <w:r w:rsidR="000539DE">
        <w:rPr>
          <w:rFonts w:cs="Arial"/>
        </w:rPr>
        <w:t xml:space="preserve"> (</w:t>
      </w:r>
      <w:r>
        <w:rPr>
          <w:rFonts w:cs="Arial"/>
        </w:rPr>
        <w:t xml:space="preserve">dulaglutide in </w:t>
      </w:r>
      <w:r w:rsidR="00E52EA5">
        <w:rPr>
          <w:rFonts w:cs="Arial"/>
        </w:rPr>
        <w:t xml:space="preserve">June </w:t>
      </w:r>
      <w:r>
        <w:rPr>
          <w:rFonts w:cs="Arial"/>
        </w:rPr>
        <w:t>2018</w:t>
      </w:r>
      <w:r w:rsidR="00B11AAD">
        <w:rPr>
          <w:rFonts w:cs="Arial"/>
        </w:rPr>
        <w:t xml:space="preserve"> and semaglutide</w:t>
      </w:r>
      <w:r w:rsidR="00D67FD4">
        <w:rPr>
          <w:rFonts w:cs="Arial"/>
        </w:rPr>
        <w:t xml:space="preserve"> </w:t>
      </w:r>
      <w:r w:rsidR="00B11AAD">
        <w:rPr>
          <w:rFonts w:cs="Arial"/>
        </w:rPr>
        <w:t xml:space="preserve">in </w:t>
      </w:r>
      <w:r w:rsidR="00E52EA5">
        <w:rPr>
          <w:rFonts w:cs="Arial"/>
        </w:rPr>
        <w:t>July</w:t>
      </w:r>
      <w:r w:rsidR="00424723">
        <w:rPr>
          <w:rFonts w:cs="Arial"/>
        </w:rPr>
        <w:t> </w:t>
      </w:r>
      <w:r w:rsidR="00B11AAD">
        <w:rPr>
          <w:rFonts w:cs="Arial"/>
        </w:rPr>
        <w:t>2020</w:t>
      </w:r>
      <w:r w:rsidR="000539DE">
        <w:rPr>
          <w:rFonts w:cs="Arial"/>
        </w:rPr>
        <w:t>)</w:t>
      </w:r>
      <w:r>
        <w:rPr>
          <w:rFonts w:cs="Arial"/>
        </w:rPr>
        <w:t xml:space="preserve"> for use </w:t>
      </w:r>
      <w:r w:rsidR="00E2568F">
        <w:rPr>
          <w:rFonts w:cs="Arial"/>
        </w:rPr>
        <w:t>in</w:t>
      </w:r>
      <w:r>
        <w:rPr>
          <w:rFonts w:cs="Arial"/>
        </w:rPr>
        <w:t xml:space="preserve"> dual therapy with metformin or triple therapy with metformin and </w:t>
      </w:r>
      <w:r w:rsidR="00512F14">
        <w:rPr>
          <w:rFonts w:cs="Arial"/>
        </w:rPr>
        <w:t xml:space="preserve">a </w:t>
      </w:r>
      <w:r w:rsidR="00690B23">
        <w:rPr>
          <w:rFonts w:cs="Arial"/>
        </w:rPr>
        <w:t>sulfonylurea</w:t>
      </w:r>
      <w:r w:rsidR="00495BBD">
        <w:rPr>
          <w:rFonts w:cs="Arial"/>
        </w:rPr>
        <w:t xml:space="preserve"> (SU)</w:t>
      </w:r>
      <w:r>
        <w:rPr>
          <w:rFonts w:cs="Arial"/>
        </w:rPr>
        <w:t>, and extension</w:t>
      </w:r>
      <w:r w:rsidR="00E52EA5">
        <w:rPr>
          <w:rFonts w:cs="Arial"/>
        </w:rPr>
        <w:t>s</w:t>
      </w:r>
      <w:r>
        <w:rPr>
          <w:rFonts w:cs="Arial"/>
        </w:rPr>
        <w:t xml:space="preserve"> to th</w:t>
      </w:r>
      <w:r w:rsidR="00E52EA5">
        <w:rPr>
          <w:rFonts w:cs="Arial"/>
        </w:rPr>
        <w:t>ese</w:t>
      </w:r>
      <w:r>
        <w:rPr>
          <w:rFonts w:cs="Arial"/>
        </w:rPr>
        <w:t xml:space="preserve"> listing</w:t>
      </w:r>
      <w:r w:rsidR="00E52EA5">
        <w:rPr>
          <w:rFonts w:cs="Arial"/>
        </w:rPr>
        <w:t>s</w:t>
      </w:r>
      <w:r>
        <w:rPr>
          <w:rFonts w:cs="Arial"/>
        </w:rPr>
        <w:t xml:space="preserve"> </w:t>
      </w:r>
      <w:r w:rsidR="00B11AAD">
        <w:rPr>
          <w:rFonts w:cs="Arial"/>
        </w:rPr>
        <w:t>in 2021</w:t>
      </w:r>
      <w:r>
        <w:rPr>
          <w:rFonts w:cs="Arial"/>
        </w:rPr>
        <w:t xml:space="preserve"> </w:t>
      </w:r>
      <w:r w:rsidR="00E52EA5">
        <w:rPr>
          <w:rFonts w:cs="Arial"/>
        </w:rPr>
        <w:t xml:space="preserve">to allow </w:t>
      </w:r>
      <w:r>
        <w:rPr>
          <w:rFonts w:cs="Arial"/>
        </w:rPr>
        <w:t>concomitant use with insulin</w:t>
      </w:r>
      <w:r w:rsidR="00E52EA5">
        <w:rPr>
          <w:rFonts w:cs="Arial"/>
        </w:rPr>
        <w:t xml:space="preserve"> and metformin (except where metformin is contraindicated</w:t>
      </w:r>
      <w:r w:rsidR="002529EB">
        <w:rPr>
          <w:rFonts w:cs="Arial"/>
        </w:rPr>
        <w:t xml:space="preserve"> or </w:t>
      </w:r>
      <w:r w:rsidR="00E52EA5">
        <w:rPr>
          <w:rFonts w:cs="Arial"/>
        </w:rPr>
        <w:t>not tolerated)</w:t>
      </w:r>
      <w:r>
        <w:rPr>
          <w:rFonts w:cs="Arial"/>
        </w:rPr>
        <w:t xml:space="preserve">. </w:t>
      </w:r>
      <w:r w:rsidR="00E2568F">
        <w:rPr>
          <w:rFonts w:cs="Arial"/>
        </w:rPr>
        <w:t>The first f</w:t>
      </w:r>
      <w:r w:rsidR="00E52EA5">
        <w:rPr>
          <w:rFonts w:cs="Arial"/>
        </w:rPr>
        <w:t xml:space="preserve">ixed dose combinations </w:t>
      </w:r>
      <w:r w:rsidR="00E2568F">
        <w:rPr>
          <w:rFonts w:cs="Arial"/>
        </w:rPr>
        <w:t xml:space="preserve">(FDCs) </w:t>
      </w:r>
      <w:r w:rsidR="00E52EA5">
        <w:rPr>
          <w:rFonts w:cs="Arial"/>
        </w:rPr>
        <w:t xml:space="preserve">of </w:t>
      </w:r>
      <w:r w:rsidR="00A92A25">
        <w:rPr>
          <w:rFonts w:cs="Arial"/>
        </w:rPr>
        <w:t xml:space="preserve">SGLT2 inhibitors </w:t>
      </w:r>
      <w:r w:rsidR="00E52EA5">
        <w:rPr>
          <w:rFonts w:cs="Arial"/>
        </w:rPr>
        <w:t>with DPP4 inhibitors</w:t>
      </w:r>
      <w:r w:rsidR="00056A98">
        <w:rPr>
          <w:rFonts w:cs="Arial"/>
        </w:rPr>
        <w:t xml:space="preserve"> </w:t>
      </w:r>
      <w:proofErr w:type="gramStart"/>
      <w:r w:rsidR="00FC0E8B">
        <w:rPr>
          <w:rFonts w:cs="Arial"/>
        </w:rPr>
        <w:t xml:space="preserve">were </w:t>
      </w:r>
      <w:r w:rsidR="00E2568F">
        <w:rPr>
          <w:rFonts w:cs="Arial"/>
        </w:rPr>
        <w:t>l</w:t>
      </w:r>
      <w:r w:rsidR="00056A98">
        <w:rPr>
          <w:rFonts w:cs="Arial"/>
        </w:rPr>
        <w:t>isted</w:t>
      </w:r>
      <w:proofErr w:type="gramEnd"/>
      <w:r w:rsidR="00056A98">
        <w:rPr>
          <w:rFonts w:cs="Arial"/>
        </w:rPr>
        <w:t xml:space="preserve"> in </w:t>
      </w:r>
      <w:r w:rsidR="00E2568F">
        <w:rPr>
          <w:rFonts w:cs="Arial"/>
        </w:rPr>
        <w:t>April 2018</w:t>
      </w:r>
      <w:r w:rsidR="00FC0E8B">
        <w:rPr>
          <w:rFonts w:cs="Arial"/>
        </w:rPr>
        <w:t>,</w:t>
      </w:r>
      <w:r w:rsidR="00E2568F">
        <w:rPr>
          <w:rFonts w:cs="Arial"/>
        </w:rPr>
        <w:t xml:space="preserve"> for </w:t>
      </w:r>
      <w:r w:rsidR="00E52EA5">
        <w:rPr>
          <w:rFonts w:cs="Arial"/>
        </w:rPr>
        <w:t xml:space="preserve">use in triple therapy with metformin. </w:t>
      </w:r>
      <w:r w:rsidR="00E52EA5" w:rsidRPr="00424723">
        <w:rPr>
          <w:rFonts w:cs="Arial"/>
        </w:rPr>
        <w:t xml:space="preserve">Further details </w:t>
      </w:r>
      <w:proofErr w:type="gramStart"/>
      <w:r w:rsidR="00E52EA5" w:rsidRPr="00424723">
        <w:rPr>
          <w:rFonts w:cs="Arial"/>
        </w:rPr>
        <w:t>are provided</w:t>
      </w:r>
      <w:proofErr w:type="gramEnd"/>
      <w:r w:rsidR="00E52EA5" w:rsidRPr="00424723">
        <w:rPr>
          <w:rFonts w:cs="Arial"/>
        </w:rPr>
        <w:t xml:space="preserve"> in Table 1 of this report.</w:t>
      </w:r>
      <w:r w:rsidR="00056A98">
        <w:rPr>
          <w:rFonts w:cs="Arial"/>
        </w:rPr>
        <w:t xml:space="preserve"> </w:t>
      </w:r>
    </w:p>
    <w:p w14:paraId="38977CB9" w14:textId="5AF2D5DA" w:rsidR="003E3F80" w:rsidRPr="00424723" w:rsidRDefault="0010428C" w:rsidP="00C7336E">
      <w:pPr>
        <w:pStyle w:val="Heading3"/>
      </w:pPr>
      <w:r w:rsidRPr="00424723">
        <w:t xml:space="preserve">Data Source / </w:t>
      </w:r>
      <w:r w:rsidR="005D72CE">
        <w:t>M</w:t>
      </w:r>
      <w:r w:rsidRPr="00424723">
        <w:t xml:space="preserve">ethodology </w:t>
      </w:r>
    </w:p>
    <w:p w14:paraId="0A6860BA" w14:textId="308BFF85" w:rsidR="0010428C" w:rsidRDefault="00FC0E8B" w:rsidP="00C7336E">
      <w:pPr>
        <w:spacing w:line="240" w:lineRule="auto"/>
      </w:pPr>
      <w:r>
        <w:t xml:space="preserve">Data extracted from the PBS claims database maintained by the Department of Health and Aged Care, and processed by Services Australia, </w:t>
      </w:r>
      <w:proofErr w:type="gramStart"/>
      <w:r>
        <w:t>were used</w:t>
      </w:r>
      <w:proofErr w:type="gramEnd"/>
      <w:r>
        <w:t xml:space="preserve"> for the analyses. Prescription data </w:t>
      </w:r>
      <w:proofErr w:type="gramStart"/>
      <w:r>
        <w:t>were extracted</w:t>
      </w:r>
      <w:proofErr w:type="gramEnd"/>
      <w:r>
        <w:t xml:space="preserve"> from 1 January 2015 up to and including 30 June 2022</w:t>
      </w:r>
      <w:r w:rsidR="00C10617">
        <w:t xml:space="preserve"> based on the </w:t>
      </w:r>
      <w:r w:rsidR="00C10617">
        <w:lastRenderedPageBreak/>
        <w:t>date of supply</w:t>
      </w:r>
      <w:r>
        <w:t xml:space="preserve">. </w:t>
      </w:r>
      <w:r w:rsidR="002529EB">
        <w:t xml:space="preserve">Patients who </w:t>
      </w:r>
      <w:proofErr w:type="gramStart"/>
      <w:r w:rsidR="002529EB">
        <w:t>were only supplied</w:t>
      </w:r>
      <w:proofErr w:type="gramEnd"/>
      <w:r w:rsidR="002529EB">
        <w:t xml:space="preserve"> insulin in this period were excluded as likely to be patients with type 1 diabetes. </w:t>
      </w:r>
      <w:r>
        <w:t>Analyses included:</w:t>
      </w:r>
    </w:p>
    <w:p w14:paraId="567AC350" w14:textId="424C6AC1" w:rsidR="00FC0E8B" w:rsidRDefault="00FC0E8B">
      <w:pPr>
        <w:pStyle w:val="ListParagraph"/>
        <w:numPr>
          <w:ilvl w:val="0"/>
          <w:numId w:val="8"/>
        </w:numPr>
        <w:spacing w:line="240" w:lineRule="auto"/>
      </w:pPr>
      <w:r>
        <w:t>Use of metformin, SU or insulin prior to GLP-1 RA initiation.</w:t>
      </w:r>
    </w:p>
    <w:p w14:paraId="08A8525F" w14:textId="2A4A8B34" w:rsidR="00FC0E8B" w:rsidRDefault="00FC0E8B">
      <w:pPr>
        <w:pStyle w:val="ListParagraph"/>
        <w:numPr>
          <w:ilvl w:val="0"/>
          <w:numId w:val="8"/>
        </w:numPr>
        <w:spacing w:line="240" w:lineRule="auto"/>
      </w:pPr>
      <w:r>
        <w:t>Use of GLP-1 RAs in combination with another GLP-1 RA, an SGLT2 inhibitor or a DPP4 inhibitor.</w:t>
      </w:r>
    </w:p>
    <w:p w14:paraId="5B785861" w14:textId="555AE711" w:rsidR="00FC0E8B" w:rsidRDefault="00FC0E8B">
      <w:pPr>
        <w:pStyle w:val="ListParagraph"/>
        <w:numPr>
          <w:ilvl w:val="0"/>
          <w:numId w:val="8"/>
        </w:numPr>
        <w:spacing w:line="240" w:lineRule="auto"/>
      </w:pPr>
      <w:r>
        <w:t>Use of a GLP-1 RA, SGLT2 inhibitor or a DPP4 inhibitor without concomitant use of metformin, a SU or insulin.</w:t>
      </w:r>
    </w:p>
    <w:p w14:paraId="2D56A5A2" w14:textId="2FAC0837" w:rsidR="0010428C" w:rsidRPr="0010428C" w:rsidRDefault="0010428C" w:rsidP="00C7336E">
      <w:pPr>
        <w:pStyle w:val="Heading3"/>
      </w:pPr>
      <w:r w:rsidRPr="0010428C">
        <w:t>Key Findings</w:t>
      </w:r>
    </w:p>
    <w:p w14:paraId="6BB3373B" w14:textId="5025E456" w:rsidR="000E595F" w:rsidRPr="000E595F" w:rsidRDefault="000E595F">
      <w:pPr>
        <w:pStyle w:val="ListParagraph"/>
        <w:numPr>
          <w:ilvl w:val="0"/>
          <w:numId w:val="9"/>
        </w:numPr>
        <w:spacing w:line="240" w:lineRule="auto"/>
        <w:rPr>
          <w:b/>
          <w:bCs/>
        </w:rPr>
      </w:pPr>
      <w:r>
        <w:t>In 2021, the total number of people supplied a medicine for the treatment of T2DM through the PBS was around 1.42 million.</w:t>
      </w:r>
    </w:p>
    <w:p w14:paraId="52803D64" w14:textId="375434EE" w:rsidR="000E595F" w:rsidRDefault="000E595F">
      <w:pPr>
        <w:pStyle w:val="ListParagraph"/>
        <w:numPr>
          <w:ilvl w:val="0"/>
          <w:numId w:val="9"/>
        </w:numPr>
        <w:spacing w:line="240" w:lineRule="auto"/>
      </w:pPr>
      <w:r>
        <w:t xml:space="preserve">In mid-2022, biguanides (metformin) were the most commonly supplied class of medicines for the treatment of T2DM, followed by (in order of most commonly supplied), DPP4 inhibitor + metformin FDCs, </w:t>
      </w:r>
      <w:r w:rsidR="004E361C">
        <w:t xml:space="preserve">GLP-1 RAs, SU and </w:t>
      </w:r>
      <w:r>
        <w:t>SGLT2 inhibitors.</w:t>
      </w:r>
    </w:p>
    <w:p w14:paraId="31A07A57" w14:textId="7F539C1F" w:rsidR="00D83712" w:rsidRDefault="000E595F">
      <w:pPr>
        <w:pStyle w:val="ListParagraph"/>
        <w:numPr>
          <w:ilvl w:val="0"/>
          <w:numId w:val="9"/>
        </w:numPr>
        <w:spacing w:line="240" w:lineRule="auto"/>
      </w:pPr>
      <w:r>
        <w:t>Total expenditure</w:t>
      </w:r>
      <w:r w:rsidR="00C10617">
        <w:t xml:space="preserve"> based on the published list prices</w:t>
      </w:r>
      <w:r>
        <w:t xml:space="preserve"> on T2DM medicines has increased from around $516 million in 2017-2018 to around $756 million in 2021-22.</w:t>
      </w:r>
      <w:r w:rsidR="00D83712">
        <w:t xml:space="preserve"> </w:t>
      </w:r>
    </w:p>
    <w:p w14:paraId="599F9417" w14:textId="347F5126" w:rsidR="000E595F" w:rsidRPr="000E595F" w:rsidRDefault="00D83712">
      <w:pPr>
        <w:pStyle w:val="ListParagraph"/>
        <w:numPr>
          <w:ilvl w:val="0"/>
          <w:numId w:val="9"/>
        </w:numPr>
        <w:spacing w:line="240" w:lineRule="auto"/>
      </w:pPr>
      <w:r>
        <w:t>GLP</w:t>
      </w:r>
      <w:r>
        <w:noBreakHyphen/>
        <w:t xml:space="preserve">1 RAs are now the highest expenditure class of medicines on the PBS for the treatment of T2DM </w:t>
      </w:r>
      <w:r w:rsidR="00D919D8">
        <w:t>accounting for</w:t>
      </w:r>
      <w:r>
        <w:t xml:space="preserve"> 2</w:t>
      </w:r>
      <w:r w:rsidR="00EA5525">
        <w:t>6</w:t>
      </w:r>
      <w:r>
        <w:t>% of expenditure in 2021-22 ($194 million).</w:t>
      </w:r>
    </w:p>
    <w:p w14:paraId="78D7492C" w14:textId="481E9F07" w:rsidR="00A92A25" w:rsidRPr="00E12FAB" w:rsidRDefault="00A92A25">
      <w:pPr>
        <w:pStyle w:val="ListParagraph"/>
        <w:numPr>
          <w:ilvl w:val="0"/>
          <w:numId w:val="9"/>
        </w:numPr>
        <w:spacing w:line="240" w:lineRule="auto"/>
      </w:pPr>
      <w:r w:rsidRPr="00E12FAB">
        <w:t xml:space="preserve">There are </w:t>
      </w:r>
      <w:proofErr w:type="gramStart"/>
      <w:r w:rsidRPr="00E12FAB">
        <w:t>several</w:t>
      </w:r>
      <w:proofErr w:type="gramEnd"/>
      <w:r w:rsidRPr="00E12FAB">
        <w:t xml:space="preserve"> examples of apparent use outside the PBS restriction</w:t>
      </w:r>
      <w:r w:rsidR="00D83712" w:rsidRPr="00E12FAB">
        <w:t>s:</w:t>
      </w:r>
    </w:p>
    <w:p w14:paraId="59C7AFAD" w14:textId="1274C2BC" w:rsidR="00D83712" w:rsidRDefault="00D83712" w:rsidP="00B82BBF">
      <w:pPr>
        <w:pStyle w:val="ListParagraph"/>
        <w:numPr>
          <w:ilvl w:val="1"/>
          <w:numId w:val="9"/>
        </w:numPr>
        <w:spacing w:line="240" w:lineRule="auto"/>
        <w:ind w:left="1134" w:hanging="357"/>
      </w:pPr>
      <w:r>
        <w:t xml:space="preserve">From 2017 to mid-2022, 18% of people </w:t>
      </w:r>
      <w:r w:rsidR="00E12FAB">
        <w:t xml:space="preserve">initiating </w:t>
      </w:r>
      <w:r>
        <w:t>GLP-1 RA</w:t>
      </w:r>
      <w:r w:rsidR="00E12FAB">
        <w:t xml:space="preserve"> therapy</w:t>
      </w:r>
      <w:r>
        <w:t xml:space="preserve"> </w:t>
      </w:r>
      <w:proofErr w:type="gramStart"/>
      <w:r>
        <w:t>were not supplied</w:t>
      </w:r>
      <w:proofErr w:type="gramEnd"/>
      <w:r>
        <w:t xml:space="preserve"> metformin, a SU or insulin prior to</w:t>
      </w:r>
      <w:r w:rsidR="005104F8">
        <w:t xml:space="preserve"> or at</w:t>
      </w:r>
      <w:r>
        <w:t xml:space="preserve"> initiation, indicating clear use outside of the PBS restrictions</w:t>
      </w:r>
      <w:r w:rsidR="005104F8">
        <w:t>. A</w:t>
      </w:r>
      <w:r>
        <w:t xml:space="preserve"> further 57%</w:t>
      </w:r>
      <w:r w:rsidRPr="00D83712">
        <w:t xml:space="preserve"> </w:t>
      </w:r>
      <w:proofErr w:type="gramStart"/>
      <w:r>
        <w:t>were supplied</w:t>
      </w:r>
      <w:proofErr w:type="gramEnd"/>
      <w:r>
        <w:t xml:space="preserve"> only insulin, a SU, or metformin prior to</w:t>
      </w:r>
      <w:r w:rsidR="005104F8">
        <w:t xml:space="preserve"> or at</w:t>
      </w:r>
      <w:r>
        <w:t xml:space="preserve"> initiation of a GLP-1 RA, indicating possible use outside of the PBS restrictions.</w:t>
      </w:r>
    </w:p>
    <w:p w14:paraId="20AFAC08" w14:textId="6E8146D6" w:rsidR="005104F8" w:rsidRDefault="001B2EC2" w:rsidP="00B82BBF">
      <w:pPr>
        <w:pStyle w:val="ListParagraph"/>
        <w:numPr>
          <w:ilvl w:val="1"/>
          <w:numId w:val="9"/>
        </w:numPr>
        <w:spacing w:line="240" w:lineRule="auto"/>
        <w:ind w:left="1134" w:hanging="357"/>
      </w:pPr>
      <w:r>
        <w:t>According to analysis of the prevalent population i</w:t>
      </w:r>
      <w:r w:rsidR="00D83712">
        <w:t xml:space="preserve">n 2021, </w:t>
      </w:r>
      <w:r w:rsidR="00C70811">
        <w:t>almost 60% of people supplied a GLP-1 RA received this medicine in a regimen that is inconsistent with the PBS restrictions</w:t>
      </w:r>
      <w:r w:rsidR="005104F8">
        <w:t>:</w:t>
      </w:r>
    </w:p>
    <w:p w14:paraId="67429EDC" w14:textId="06A9EE9C" w:rsidR="005104F8" w:rsidRDefault="005104F8" w:rsidP="00B82BBF">
      <w:pPr>
        <w:pStyle w:val="ListParagraph"/>
        <w:numPr>
          <w:ilvl w:val="2"/>
          <w:numId w:val="9"/>
        </w:numPr>
        <w:spacing w:line="240" w:lineRule="auto"/>
        <w:ind w:left="1418" w:hanging="357"/>
      </w:pPr>
      <w:proofErr w:type="gramStart"/>
      <w:r>
        <w:t>42</w:t>
      </w:r>
      <w:r w:rsidR="00D83712">
        <w:t>%</w:t>
      </w:r>
      <w:proofErr w:type="gramEnd"/>
      <w:r w:rsidR="00D83712">
        <w:t xml:space="preserve"> </w:t>
      </w:r>
      <w:r>
        <w:t xml:space="preserve">were supplied </w:t>
      </w:r>
      <w:r w:rsidR="00C70811">
        <w:t xml:space="preserve">a GLP-1 RA </w:t>
      </w:r>
      <w:r w:rsidR="00D83712">
        <w:t>in combination with another GLP</w:t>
      </w:r>
      <w:r w:rsidR="00D83712">
        <w:noBreakHyphen/>
        <w:t>1 RA, a DPP4 inhibitor</w:t>
      </w:r>
      <w:r w:rsidR="00C70811">
        <w:t xml:space="preserve">, </w:t>
      </w:r>
      <w:r w:rsidR="00D83712">
        <w:t>an SGLT2 inhibitor</w:t>
      </w:r>
      <w:r w:rsidR="00C70811">
        <w:t xml:space="preserve"> or a combination of these medicines</w:t>
      </w:r>
      <w:r w:rsidR="006C295E">
        <w:t>.</w:t>
      </w:r>
    </w:p>
    <w:p w14:paraId="6FFDD350" w14:textId="4ACCC46D" w:rsidR="000E595F" w:rsidRDefault="005104F8" w:rsidP="00B82BBF">
      <w:pPr>
        <w:pStyle w:val="ListParagraph"/>
        <w:numPr>
          <w:ilvl w:val="2"/>
          <w:numId w:val="9"/>
        </w:numPr>
        <w:spacing w:line="240" w:lineRule="auto"/>
        <w:ind w:left="1418" w:hanging="357"/>
      </w:pPr>
      <w:proofErr w:type="gramStart"/>
      <w:r>
        <w:t>27</w:t>
      </w:r>
      <w:r w:rsidR="00E12FAB">
        <w:t>%</w:t>
      </w:r>
      <w:proofErr w:type="gramEnd"/>
      <w:r w:rsidR="00E12FAB">
        <w:t xml:space="preserve"> </w:t>
      </w:r>
      <w:r>
        <w:t xml:space="preserve">were </w:t>
      </w:r>
      <w:r w:rsidR="000E595F">
        <w:t xml:space="preserve">supplied </w:t>
      </w:r>
      <w:r w:rsidR="00C70811">
        <w:t xml:space="preserve">a GLP-1 RA </w:t>
      </w:r>
      <w:r w:rsidR="000E595F">
        <w:t>without concomitant use of metformin, SU or insulin</w:t>
      </w:r>
      <w:r w:rsidR="006C295E">
        <w:t>.</w:t>
      </w:r>
    </w:p>
    <w:p w14:paraId="586F1313" w14:textId="40EC8272" w:rsidR="006C295E" w:rsidRDefault="005104F8" w:rsidP="00B82BBF">
      <w:pPr>
        <w:pStyle w:val="ListParagraph"/>
        <w:numPr>
          <w:ilvl w:val="2"/>
          <w:numId w:val="9"/>
        </w:numPr>
        <w:spacing w:line="240" w:lineRule="auto"/>
        <w:ind w:left="1418" w:hanging="357"/>
      </w:pPr>
      <w:r>
        <w:t xml:space="preserve">9.5% </w:t>
      </w:r>
      <w:r w:rsidR="00C70811">
        <w:t xml:space="preserve">crossed both above categories and </w:t>
      </w:r>
      <w:proofErr w:type="gramStart"/>
      <w:r>
        <w:t>were supplied</w:t>
      </w:r>
      <w:proofErr w:type="gramEnd"/>
      <w:r>
        <w:t xml:space="preserve"> </w:t>
      </w:r>
      <w:r w:rsidR="00C70811">
        <w:t xml:space="preserve">a GLP-1 RA </w:t>
      </w:r>
      <w:r>
        <w:t xml:space="preserve">without concomitant use of metformin, SU or insulin </w:t>
      </w:r>
      <w:r w:rsidRPr="00C70811">
        <w:rPr>
          <w:u w:val="single"/>
        </w:rPr>
        <w:t>and</w:t>
      </w:r>
      <w:r>
        <w:t xml:space="preserve"> in combination with another GLP</w:t>
      </w:r>
      <w:r>
        <w:noBreakHyphen/>
        <w:t>1 RA, a DPP4 inhibitor</w:t>
      </w:r>
      <w:r w:rsidR="00C70811">
        <w:t xml:space="preserve">, </w:t>
      </w:r>
      <w:r>
        <w:t>an SGLT2 inhibitor</w:t>
      </w:r>
      <w:r w:rsidR="00C70811">
        <w:t>, or a combination of these medicines</w:t>
      </w:r>
      <w:r w:rsidR="006C295E">
        <w:t>.</w:t>
      </w:r>
    </w:p>
    <w:p w14:paraId="38D0D691" w14:textId="5CEFCA5B" w:rsidR="00EA5525" w:rsidRDefault="00EA5525">
      <w:pPr>
        <w:pStyle w:val="ListParagraph"/>
        <w:numPr>
          <w:ilvl w:val="0"/>
          <w:numId w:val="9"/>
        </w:numPr>
        <w:spacing w:line="240" w:lineRule="auto"/>
      </w:pPr>
      <w:r>
        <w:t>In 2021, around 15% of people supplied an SGLT2 inhibitor and 16% of people supplied a DPP4 inhibitor received th</w:t>
      </w:r>
      <w:r w:rsidR="00341007">
        <w:t>ese</w:t>
      </w:r>
      <w:r>
        <w:t xml:space="preserve"> medicine</w:t>
      </w:r>
      <w:r w:rsidR="00341007">
        <w:t>s</w:t>
      </w:r>
      <w:r>
        <w:t xml:space="preserve"> without concomitant use of metformin, SU or insulin, as required by the PBS restrictions. </w:t>
      </w:r>
    </w:p>
    <w:p w14:paraId="3EC45C1B" w14:textId="3A30C7D9" w:rsidR="00EA5525" w:rsidRDefault="00EA5525">
      <w:pPr>
        <w:pStyle w:val="ListParagraph"/>
        <w:numPr>
          <w:ilvl w:val="0"/>
          <w:numId w:val="9"/>
        </w:numPr>
        <w:spacing w:line="240" w:lineRule="auto"/>
      </w:pPr>
      <w:r>
        <w:t>In 2021, around 14% of people supplied an SGLT2 inhibitor and 7% of people supplied a DPP4 inhibitor received th</w:t>
      </w:r>
      <w:r w:rsidR="00341007">
        <w:t>ese</w:t>
      </w:r>
      <w:r>
        <w:t xml:space="preserve"> medicine</w:t>
      </w:r>
      <w:r w:rsidR="00341007">
        <w:t>s</w:t>
      </w:r>
      <w:r>
        <w:t xml:space="preserve"> in combination with a GLP</w:t>
      </w:r>
      <w:r>
        <w:noBreakHyphen/>
        <w:t xml:space="preserve">1 RA, </w:t>
      </w:r>
      <w:r w:rsidR="00341007">
        <w:t xml:space="preserve">use which is </w:t>
      </w:r>
      <w:r>
        <w:t>inconsistent with the PBS restrictions.</w:t>
      </w:r>
    </w:p>
    <w:p w14:paraId="79F88E79" w14:textId="77777777" w:rsidR="00E12FAB" w:rsidRDefault="00E12FAB" w:rsidP="00C7336E">
      <w:pPr>
        <w:spacing w:line="240" w:lineRule="auto"/>
      </w:pPr>
    </w:p>
    <w:p w14:paraId="23C6DABE" w14:textId="1EC266D2" w:rsidR="0010428C" w:rsidRDefault="0010428C" w:rsidP="00C7336E">
      <w:pPr>
        <w:spacing w:line="240" w:lineRule="auto"/>
      </w:pPr>
    </w:p>
    <w:p w14:paraId="0C0AD2AB" w14:textId="77777777" w:rsidR="0010428C" w:rsidRDefault="0010428C" w:rsidP="00C7336E">
      <w:pPr>
        <w:spacing w:line="240" w:lineRule="auto"/>
        <w:sectPr w:rsidR="0010428C">
          <w:footerReference w:type="default" r:id="rId8"/>
          <w:pgSz w:w="11906" w:h="16838"/>
          <w:pgMar w:top="1440" w:right="1440" w:bottom="1440" w:left="1440" w:header="708" w:footer="708" w:gutter="0"/>
          <w:cols w:space="708"/>
          <w:docGrid w:linePitch="360"/>
        </w:sectPr>
      </w:pPr>
    </w:p>
    <w:p w14:paraId="22EF4352" w14:textId="661E1184" w:rsidR="0010428C" w:rsidRDefault="0010428C" w:rsidP="00C7336E">
      <w:pPr>
        <w:pStyle w:val="Heading1"/>
      </w:pPr>
      <w:r>
        <w:lastRenderedPageBreak/>
        <w:t xml:space="preserve">Purpose of </w:t>
      </w:r>
      <w:r w:rsidRPr="00C7336E">
        <w:t>analysis</w:t>
      </w:r>
    </w:p>
    <w:p w14:paraId="1BBE9F06" w14:textId="7C5B2D66" w:rsidR="000539DE" w:rsidRDefault="000539DE" w:rsidP="000539DE">
      <w:pPr>
        <w:spacing w:after="200" w:line="240" w:lineRule="auto"/>
      </w:pPr>
      <w:r>
        <w:t>To review the utilisation of medicines for the treatment of T2DM, with a focus on the use of GLP</w:t>
      </w:r>
      <w:r>
        <w:noBreakHyphen/>
        <w:t xml:space="preserve">1 RAs, SGLT2 inhibitors and DPP4 inhibitors outside the PBS restrictions. </w:t>
      </w:r>
    </w:p>
    <w:p w14:paraId="7AE764AB" w14:textId="19C346FD" w:rsidR="000539DE" w:rsidRDefault="000539DE" w:rsidP="000539DE">
      <w:pPr>
        <w:pStyle w:val="3Bodytext"/>
        <w:numPr>
          <w:ilvl w:val="0"/>
          <w:numId w:val="0"/>
        </w:numPr>
        <w:spacing w:after="200"/>
        <w:jc w:val="left"/>
      </w:pPr>
      <w:r>
        <w:t xml:space="preserve">In July 2022, the PBAC noted that the PBS restrictions for GLP-1 RAs required patients to be contraindicated or intolerant to the combination of metformin and </w:t>
      </w:r>
      <w:r w:rsidR="008406E4">
        <w:t>a</w:t>
      </w:r>
      <w:r>
        <w:t xml:space="preserve"> SU to receive subsidised access to a GLP-1 RA in dual therapy with metformin or a SU. The </w:t>
      </w:r>
      <w:r w:rsidRPr="0052398E">
        <w:t xml:space="preserve">PBAC </w:t>
      </w:r>
      <w:r>
        <w:t>considered that clinicians may have a broader interpretation of contraindication to SUs in clinical practice than in the clinical trials and estimates of use that supported the PBS listing of GLP</w:t>
      </w:r>
      <w:r>
        <w:noBreakHyphen/>
        <w:t xml:space="preserve">1 RAs. The PBAC recommended an updated review of the utilisation of T2DM medicines, which would </w:t>
      </w:r>
      <w:r w:rsidRPr="00C95E85">
        <w:rPr>
          <w:rFonts w:cstheme="minorHAnsi"/>
          <w:szCs w:val="24"/>
        </w:rPr>
        <w:t>includ</w:t>
      </w:r>
      <w:r>
        <w:rPr>
          <w:rFonts w:cstheme="minorHAnsi"/>
          <w:szCs w:val="24"/>
        </w:rPr>
        <w:t>e</w:t>
      </w:r>
      <w:r w:rsidRPr="00C95E85">
        <w:rPr>
          <w:rFonts w:cstheme="minorHAnsi"/>
          <w:szCs w:val="24"/>
        </w:rPr>
        <w:t xml:space="preserve"> an estimation of the extent of </w:t>
      </w:r>
      <w:r>
        <w:rPr>
          <w:rFonts w:cstheme="minorHAnsi"/>
          <w:szCs w:val="24"/>
        </w:rPr>
        <w:t xml:space="preserve">use of </w:t>
      </w:r>
      <w:r w:rsidRPr="00C95E85">
        <w:rPr>
          <w:rFonts w:cstheme="minorHAnsi"/>
          <w:szCs w:val="24"/>
        </w:rPr>
        <w:t>GLP-1 R</w:t>
      </w:r>
      <w:r>
        <w:rPr>
          <w:rFonts w:cstheme="minorHAnsi"/>
          <w:szCs w:val="24"/>
        </w:rPr>
        <w:t>As outside the PBS restrictions, such as</w:t>
      </w:r>
      <w:r w:rsidRPr="00C95E85">
        <w:rPr>
          <w:rFonts w:cstheme="minorHAnsi"/>
          <w:szCs w:val="24"/>
        </w:rPr>
        <w:t xml:space="preserve"> use in</w:t>
      </w:r>
      <w:r>
        <w:rPr>
          <w:rFonts w:cstheme="minorHAnsi"/>
          <w:szCs w:val="24"/>
        </w:rPr>
        <w:t xml:space="preserve"> monotherapy, and in</w:t>
      </w:r>
      <w:r w:rsidRPr="00C95E85">
        <w:rPr>
          <w:rFonts w:cstheme="minorHAnsi"/>
          <w:szCs w:val="24"/>
        </w:rPr>
        <w:t xml:space="preserve"> dual therapy in patients not contraindicated/intolerant to a combination of metformin and a</w:t>
      </w:r>
      <w:r>
        <w:rPr>
          <w:rFonts w:cstheme="minorHAnsi"/>
          <w:szCs w:val="24"/>
        </w:rPr>
        <w:t xml:space="preserve"> SU</w:t>
      </w:r>
      <w:r w:rsidRPr="00C95E85">
        <w:rPr>
          <w:rFonts w:cstheme="minorHAnsi"/>
          <w:szCs w:val="24"/>
        </w:rPr>
        <w:t xml:space="preserve">. </w:t>
      </w:r>
    </w:p>
    <w:p w14:paraId="57D9EC56" w14:textId="0BEBEA2B" w:rsidR="00E62CA3" w:rsidRPr="00F92F86" w:rsidRDefault="0010428C" w:rsidP="00C7336E">
      <w:pPr>
        <w:pStyle w:val="Heading1"/>
      </w:pPr>
      <w:r w:rsidRPr="002D5437">
        <w:t>Background</w:t>
      </w:r>
    </w:p>
    <w:p w14:paraId="5D3BFA98" w14:textId="77777777" w:rsidR="00E62CA3" w:rsidRPr="00C7336E" w:rsidRDefault="00E62CA3" w:rsidP="00C7336E">
      <w:pPr>
        <w:pStyle w:val="Heading2"/>
        <w:spacing w:line="240" w:lineRule="auto"/>
      </w:pPr>
      <w:r w:rsidRPr="00C7336E">
        <w:t>Clinical situation</w:t>
      </w:r>
    </w:p>
    <w:p w14:paraId="0C72CA5F" w14:textId="12F70227" w:rsidR="00E62CA3" w:rsidRPr="005E1A32" w:rsidRDefault="00E62CA3" w:rsidP="00C7336E">
      <w:pPr>
        <w:spacing w:line="240" w:lineRule="auto"/>
        <w:rPr>
          <w:rFonts w:asciiTheme="minorHAnsi" w:hAnsiTheme="minorHAnsi" w:cstheme="minorHAnsi"/>
          <w:szCs w:val="22"/>
        </w:rPr>
      </w:pPr>
      <w:r w:rsidRPr="005E1A32">
        <w:rPr>
          <w:rFonts w:asciiTheme="minorHAnsi" w:hAnsiTheme="minorHAnsi" w:cstheme="minorHAnsi"/>
          <w:szCs w:val="22"/>
        </w:rPr>
        <w:t>Diabetes mellitus is a chronic condition in which insulin deficiency results in high blood glucose levels (hyperglycaemia). In the long term, high blood glucose levels can result in complications affecting the kidneys, eyes, heart, and nerves in the feet and other parts of the body.</w:t>
      </w:r>
      <w:r w:rsidR="00AD5093">
        <w:rPr>
          <w:rFonts w:asciiTheme="minorHAnsi" w:hAnsiTheme="minorHAnsi" w:cstheme="minorHAnsi"/>
          <w:szCs w:val="22"/>
        </w:rPr>
        <w:t xml:space="preserve"> T</w:t>
      </w:r>
      <w:r w:rsidR="00AD5093" w:rsidRPr="00AD5093">
        <w:rPr>
          <w:rFonts w:asciiTheme="minorHAnsi" w:hAnsiTheme="minorHAnsi" w:cstheme="minorHAnsi"/>
          <w:szCs w:val="22"/>
        </w:rPr>
        <w:t>here are three types of diabetes mellitus: type 1, type 2</w:t>
      </w:r>
      <w:r w:rsidR="00357388">
        <w:rPr>
          <w:rFonts w:asciiTheme="minorHAnsi" w:hAnsiTheme="minorHAnsi" w:cstheme="minorHAnsi"/>
          <w:szCs w:val="22"/>
        </w:rPr>
        <w:t>,</w:t>
      </w:r>
      <w:r w:rsidR="00AD5093" w:rsidRPr="00AD5093">
        <w:rPr>
          <w:rFonts w:asciiTheme="minorHAnsi" w:hAnsiTheme="minorHAnsi" w:cstheme="minorHAnsi"/>
          <w:szCs w:val="22"/>
        </w:rPr>
        <w:t xml:space="preserve"> and gestational diabetes</w:t>
      </w:r>
      <w:r w:rsidR="00AD5093">
        <w:rPr>
          <w:rFonts w:asciiTheme="minorHAnsi" w:hAnsiTheme="minorHAnsi" w:cstheme="minorHAnsi"/>
          <w:szCs w:val="22"/>
        </w:rPr>
        <w:t>.</w:t>
      </w:r>
    </w:p>
    <w:p w14:paraId="2ACA4913" w14:textId="5C776D4A" w:rsidR="00E62CA3" w:rsidRDefault="00E62CA3" w:rsidP="00C7336E">
      <w:pPr>
        <w:spacing w:line="240" w:lineRule="auto"/>
        <w:rPr>
          <w:rFonts w:asciiTheme="minorHAnsi" w:hAnsiTheme="minorHAnsi" w:cstheme="minorHAnsi"/>
          <w:szCs w:val="22"/>
        </w:rPr>
      </w:pPr>
      <w:r w:rsidRPr="005E1A32">
        <w:rPr>
          <w:rFonts w:asciiTheme="minorHAnsi" w:hAnsiTheme="minorHAnsi" w:cstheme="minorHAnsi"/>
          <w:szCs w:val="22"/>
        </w:rPr>
        <w:t xml:space="preserve">T2DM represents approximately 85-90% of </w:t>
      </w:r>
      <w:r>
        <w:rPr>
          <w:rFonts w:asciiTheme="minorHAnsi" w:hAnsiTheme="minorHAnsi" w:cstheme="minorHAnsi"/>
          <w:szCs w:val="22"/>
        </w:rPr>
        <w:t xml:space="preserve">cases of </w:t>
      </w:r>
      <w:r w:rsidRPr="005E1A32">
        <w:rPr>
          <w:rFonts w:asciiTheme="minorHAnsi" w:hAnsiTheme="minorHAnsi" w:cstheme="minorHAnsi"/>
          <w:szCs w:val="22"/>
        </w:rPr>
        <w:t>diabetes</w:t>
      </w:r>
      <w:r>
        <w:rPr>
          <w:rFonts w:asciiTheme="minorHAnsi" w:hAnsiTheme="minorHAnsi" w:cstheme="minorHAnsi"/>
          <w:szCs w:val="22"/>
        </w:rPr>
        <w:t>. It</w:t>
      </w:r>
      <w:r w:rsidRPr="005E1A32">
        <w:rPr>
          <w:rFonts w:asciiTheme="minorHAnsi" w:hAnsiTheme="minorHAnsi" w:cstheme="minorHAnsi"/>
          <w:szCs w:val="22"/>
        </w:rPr>
        <w:t xml:space="preserve"> is a progressive condition of relative insulin deficiency caused by a loss of pancreatic beta-cell insulin secretion, and insulin resistance whereby the body becomes resistant to the effects of insulin</w:t>
      </w:r>
      <w:r>
        <w:rPr>
          <w:rFonts w:asciiTheme="minorHAnsi" w:hAnsiTheme="minorHAnsi" w:cstheme="minorHAnsi"/>
          <w:szCs w:val="22"/>
        </w:rPr>
        <w:t>.</w:t>
      </w:r>
      <w:r w:rsidRPr="005E1A32">
        <w:rPr>
          <w:rFonts w:asciiTheme="minorHAnsi" w:hAnsiTheme="minorHAnsi" w:cstheme="minorHAnsi"/>
          <w:szCs w:val="22"/>
        </w:rPr>
        <w:t xml:space="preserve"> T2DM is associated with modifiable risk factors and disease progression can </w:t>
      </w:r>
      <w:proofErr w:type="gramStart"/>
      <w:r w:rsidRPr="005E1A32">
        <w:rPr>
          <w:rFonts w:asciiTheme="minorHAnsi" w:hAnsiTheme="minorHAnsi" w:cstheme="minorHAnsi"/>
          <w:szCs w:val="22"/>
        </w:rPr>
        <w:t>be prevented</w:t>
      </w:r>
      <w:proofErr w:type="gramEnd"/>
      <w:r w:rsidRPr="005E1A32">
        <w:rPr>
          <w:rFonts w:asciiTheme="minorHAnsi" w:hAnsiTheme="minorHAnsi" w:cstheme="minorHAnsi"/>
          <w:szCs w:val="22"/>
        </w:rPr>
        <w:t xml:space="preserve"> or delayed with lifestyle modification and adequate glycaemic control. </w:t>
      </w:r>
    </w:p>
    <w:p w14:paraId="6CA89136" w14:textId="02702269" w:rsidR="00E62CA3" w:rsidRDefault="00E62CA3" w:rsidP="00C7336E">
      <w:pPr>
        <w:pStyle w:val="Heading2"/>
      </w:pPr>
      <w:r>
        <w:t>Pharmacology</w:t>
      </w:r>
    </w:p>
    <w:p w14:paraId="2232C9CC" w14:textId="77777777" w:rsidR="00590734" w:rsidRDefault="00590734" w:rsidP="00C7336E">
      <w:pPr>
        <w:pStyle w:val="Heading3"/>
      </w:pPr>
      <w:r>
        <w:t>GLP-1 RAs</w:t>
      </w:r>
    </w:p>
    <w:p w14:paraId="3C1AE154" w14:textId="43E97429" w:rsidR="00590734" w:rsidRDefault="00590734" w:rsidP="00C7336E">
      <w:pPr>
        <w:spacing w:line="240" w:lineRule="auto"/>
        <w:rPr>
          <w:rFonts w:asciiTheme="minorHAnsi" w:hAnsiTheme="minorHAnsi" w:cstheme="minorHAnsi"/>
          <w:szCs w:val="22"/>
        </w:rPr>
      </w:pPr>
      <w:r>
        <w:rPr>
          <w:rFonts w:asciiTheme="minorHAnsi" w:hAnsiTheme="minorHAnsi" w:cstheme="minorHAnsi"/>
          <w:szCs w:val="22"/>
        </w:rPr>
        <w:t xml:space="preserve">GLP-1 RAs (PBS listed: dulaglutide, exenatide, semaglutide) bind to and activate the GLP-1 receptor. GLP-1 RAs stimulate receptors in the pancreas to increase insulin secretion and lower glucagon secretion in a glucose-dependent manner, lowering blood glucose. They also bind to receptors in the brain to reduce appetite which results in reductions in body weight. </w:t>
      </w:r>
      <w:proofErr w:type="gramStart"/>
      <w:r>
        <w:rPr>
          <w:rFonts w:asciiTheme="minorHAnsi" w:hAnsiTheme="minorHAnsi" w:cstheme="minorHAnsi"/>
          <w:szCs w:val="22"/>
        </w:rPr>
        <w:t>Some</w:t>
      </w:r>
      <w:proofErr w:type="gramEnd"/>
      <w:r>
        <w:rPr>
          <w:rFonts w:asciiTheme="minorHAnsi" w:hAnsiTheme="minorHAnsi" w:cstheme="minorHAnsi"/>
          <w:szCs w:val="22"/>
        </w:rPr>
        <w:t xml:space="preserve"> are used for weight management in adults with obesity, or overweight patients with a weight-related comorbidity. GLP-1 receptors are also present in the heart, vasculature, immune system</w:t>
      </w:r>
      <w:r w:rsidR="00357388">
        <w:rPr>
          <w:rFonts w:asciiTheme="minorHAnsi" w:hAnsiTheme="minorHAnsi" w:cstheme="minorHAnsi"/>
          <w:szCs w:val="22"/>
        </w:rPr>
        <w:t>,</w:t>
      </w:r>
      <w:r>
        <w:rPr>
          <w:rFonts w:asciiTheme="minorHAnsi" w:hAnsiTheme="minorHAnsi" w:cstheme="minorHAnsi"/>
          <w:szCs w:val="22"/>
        </w:rPr>
        <w:t xml:space="preserve"> and kidney and these may mediate the cardiovascular (</w:t>
      </w:r>
      <w:proofErr w:type="gramStart"/>
      <w:r>
        <w:rPr>
          <w:rFonts w:asciiTheme="minorHAnsi" w:hAnsiTheme="minorHAnsi" w:cstheme="minorHAnsi"/>
          <w:szCs w:val="22"/>
        </w:rPr>
        <w:t>CV</w:t>
      </w:r>
      <w:proofErr w:type="gramEnd"/>
      <w:r>
        <w:rPr>
          <w:rFonts w:asciiTheme="minorHAnsi" w:hAnsiTheme="minorHAnsi" w:cstheme="minorHAnsi"/>
          <w:szCs w:val="22"/>
        </w:rPr>
        <w:t xml:space="preserve">) and </w:t>
      </w:r>
      <w:r>
        <w:rPr>
          <w:rFonts w:asciiTheme="minorHAnsi" w:hAnsiTheme="minorHAnsi" w:cstheme="minorHAnsi"/>
          <w:szCs w:val="22"/>
        </w:rPr>
        <w:lastRenderedPageBreak/>
        <w:t>microvascular effects of GLP-1 RAs.</w:t>
      </w:r>
      <w:r w:rsidR="00FE0CDC">
        <w:rPr>
          <w:rFonts w:asciiTheme="minorHAnsi" w:hAnsiTheme="minorHAnsi" w:cstheme="minorHAnsi"/>
          <w:szCs w:val="22"/>
        </w:rPr>
        <w:t xml:space="preserve"> </w:t>
      </w:r>
      <w:proofErr w:type="gramStart"/>
      <w:r w:rsidR="00FE0CDC">
        <w:rPr>
          <w:rFonts w:asciiTheme="minorHAnsi" w:hAnsiTheme="minorHAnsi" w:cstheme="minorHAnsi"/>
          <w:szCs w:val="22"/>
        </w:rPr>
        <w:t>CV</w:t>
      </w:r>
      <w:proofErr w:type="gramEnd"/>
      <w:r w:rsidR="00FE0CDC">
        <w:rPr>
          <w:rFonts w:asciiTheme="minorHAnsi" w:hAnsiTheme="minorHAnsi" w:cstheme="minorHAnsi"/>
          <w:szCs w:val="22"/>
        </w:rPr>
        <w:t xml:space="preserve"> outcome trials have demonstrated CV benefits of GLP-1 RAs, which are independent of reductions in glycaemia.</w:t>
      </w:r>
      <w:r w:rsidR="00E854BB">
        <w:rPr>
          <w:rStyle w:val="FootnoteReference"/>
          <w:rFonts w:asciiTheme="minorHAnsi" w:hAnsiTheme="minorHAnsi" w:cstheme="minorHAnsi"/>
          <w:szCs w:val="22"/>
        </w:rPr>
        <w:footnoteReference w:id="1"/>
      </w:r>
      <w:r w:rsidR="00FE0CDC" w:rsidRPr="00FE0CDC">
        <w:rPr>
          <w:rFonts w:asciiTheme="minorHAnsi" w:hAnsiTheme="minorHAnsi" w:cstheme="minorHAnsi"/>
          <w:szCs w:val="22"/>
          <w:vertAlign w:val="superscript"/>
        </w:rPr>
        <w:t>,</w:t>
      </w:r>
      <w:r w:rsidR="00FE0CDC">
        <w:rPr>
          <w:rStyle w:val="FootnoteReference"/>
          <w:rFonts w:asciiTheme="minorHAnsi" w:hAnsiTheme="minorHAnsi" w:cstheme="minorHAnsi"/>
          <w:szCs w:val="22"/>
        </w:rPr>
        <w:footnoteReference w:id="2"/>
      </w:r>
      <w:r>
        <w:rPr>
          <w:rFonts w:asciiTheme="minorHAnsi" w:hAnsiTheme="minorHAnsi" w:cstheme="minorHAnsi"/>
          <w:szCs w:val="22"/>
        </w:rPr>
        <w:t xml:space="preserve"> </w:t>
      </w:r>
    </w:p>
    <w:p w14:paraId="6E431E11" w14:textId="6EFA7D8B" w:rsidR="00590734" w:rsidRDefault="00590734" w:rsidP="00C7336E">
      <w:pPr>
        <w:spacing w:line="240" w:lineRule="auto"/>
        <w:rPr>
          <w:rFonts w:asciiTheme="minorHAnsi" w:hAnsiTheme="minorHAnsi" w:cstheme="minorHAnsi"/>
          <w:szCs w:val="22"/>
        </w:rPr>
      </w:pPr>
      <w:r>
        <w:rPr>
          <w:rFonts w:asciiTheme="minorHAnsi" w:hAnsiTheme="minorHAnsi" w:cstheme="minorHAnsi"/>
          <w:szCs w:val="22"/>
        </w:rPr>
        <w:t>Adverse reactions associated with the use of GLP-1 RAs include gastrointestinal effects, acute pancreatitis, hypoglycaemia (when used with insulin or SU) and increased heart rate.</w:t>
      </w:r>
      <w:r w:rsidR="00E854BB">
        <w:rPr>
          <w:rFonts w:asciiTheme="minorHAnsi" w:hAnsiTheme="minorHAnsi" w:cstheme="minorHAnsi"/>
          <w:szCs w:val="22"/>
        </w:rPr>
        <w:t xml:space="preserve"> </w:t>
      </w:r>
      <w:r>
        <w:rPr>
          <w:rFonts w:asciiTheme="minorHAnsi" w:hAnsiTheme="minorHAnsi" w:cstheme="minorHAnsi"/>
          <w:szCs w:val="22"/>
        </w:rPr>
        <w:t xml:space="preserve">The GLP-1 RAs listed on the PBS </w:t>
      </w:r>
      <w:proofErr w:type="gramStart"/>
      <w:r>
        <w:rPr>
          <w:rFonts w:asciiTheme="minorHAnsi" w:hAnsiTheme="minorHAnsi" w:cstheme="minorHAnsi"/>
          <w:szCs w:val="22"/>
        </w:rPr>
        <w:t>are administered</w:t>
      </w:r>
      <w:proofErr w:type="gramEnd"/>
      <w:r>
        <w:rPr>
          <w:rFonts w:asciiTheme="minorHAnsi" w:hAnsiTheme="minorHAnsi" w:cstheme="minorHAnsi"/>
          <w:szCs w:val="22"/>
        </w:rPr>
        <w:t xml:space="preserve"> by daily or weekly subcutaneous injections.</w:t>
      </w:r>
    </w:p>
    <w:p w14:paraId="1AA8B229" w14:textId="0037DB04" w:rsidR="00590734" w:rsidRPr="00F92F86" w:rsidRDefault="00590734" w:rsidP="00C7336E">
      <w:pPr>
        <w:pStyle w:val="Heading3"/>
      </w:pPr>
      <w:r w:rsidRPr="00F92F86">
        <w:t>SGLT2 inhibitors</w:t>
      </w:r>
    </w:p>
    <w:p w14:paraId="19C8A42C" w14:textId="7391504B" w:rsidR="00590734" w:rsidRDefault="00590734" w:rsidP="00C7336E">
      <w:pPr>
        <w:spacing w:line="240" w:lineRule="auto"/>
        <w:rPr>
          <w:rFonts w:asciiTheme="minorHAnsi" w:hAnsiTheme="minorHAnsi" w:cstheme="minorHAnsi"/>
          <w:szCs w:val="22"/>
        </w:rPr>
      </w:pPr>
      <w:r>
        <w:rPr>
          <w:rFonts w:asciiTheme="minorHAnsi" w:hAnsiTheme="minorHAnsi" w:cstheme="minorHAnsi"/>
          <w:szCs w:val="22"/>
        </w:rPr>
        <w:t>SGLT2</w:t>
      </w:r>
      <w:r w:rsidRPr="006D0B95">
        <w:rPr>
          <w:rFonts w:asciiTheme="minorHAnsi" w:hAnsiTheme="minorHAnsi" w:cstheme="minorHAnsi"/>
          <w:szCs w:val="22"/>
        </w:rPr>
        <w:t xml:space="preserve"> inhibitors (</w:t>
      </w:r>
      <w:r>
        <w:rPr>
          <w:rFonts w:asciiTheme="minorHAnsi" w:hAnsiTheme="minorHAnsi" w:cstheme="minorHAnsi"/>
          <w:szCs w:val="22"/>
        </w:rPr>
        <w:t xml:space="preserve">PBS listed: </w:t>
      </w:r>
      <w:r w:rsidRPr="006D0B95">
        <w:rPr>
          <w:rFonts w:asciiTheme="minorHAnsi" w:hAnsiTheme="minorHAnsi" w:cstheme="minorHAnsi"/>
          <w:szCs w:val="22"/>
        </w:rPr>
        <w:t>dapagliflozin, empagliflozin, ertugliflozin) inhibit reabsorption of glucose from the proximal convoluted tubule in the kidney</w:t>
      </w:r>
      <w:r>
        <w:rPr>
          <w:rFonts w:asciiTheme="minorHAnsi" w:hAnsiTheme="minorHAnsi" w:cstheme="minorHAnsi"/>
          <w:szCs w:val="22"/>
        </w:rPr>
        <w:t xml:space="preserve">, increasing </w:t>
      </w:r>
      <w:r w:rsidRPr="006D0B95">
        <w:rPr>
          <w:rFonts w:asciiTheme="minorHAnsi" w:hAnsiTheme="minorHAnsi" w:cstheme="minorHAnsi"/>
          <w:szCs w:val="22"/>
        </w:rPr>
        <w:t>glucose excretion in the urine</w:t>
      </w:r>
      <w:r>
        <w:rPr>
          <w:rFonts w:asciiTheme="minorHAnsi" w:hAnsiTheme="minorHAnsi" w:cstheme="minorHAnsi"/>
          <w:szCs w:val="22"/>
        </w:rPr>
        <w:t xml:space="preserve">. </w:t>
      </w:r>
      <w:r w:rsidRPr="006D0B95">
        <w:rPr>
          <w:rFonts w:asciiTheme="minorHAnsi" w:hAnsiTheme="minorHAnsi" w:cstheme="minorHAnsi"/>
          <w:szCs w:val="22"/>
        </w:rPr>
        <w:t>SGLT2 inhibitors are weak diuretics</w:t>
      </w:r>
      <w:r>
        <w:rPr>
          <w:rFonts w:asciiTheme="minorHAnsi" w:hAnsiTheme="minorHAnsi" w:cstheme="minorHAnsi"/>
          <w:szCs w:val="22"/>
        </w:rPr>
        <w:t xml:space="preserve"> which</w:t>
      </w:r>
      <w:r w:rsidRPr="006D0B95">
        <w:rPr>
          <w:rFonts w:asciiTheme="minorHAnsi" w:hAnsiTheme="minorHAnsi" w:cstheme="minorHAnsi"/>
          <w:szCs w:val="22"/>
        </w:rPr>
        <w:t xml:space="preserve"> contribut</w:t>
      </w:r>
      <w:r>
        <w:rPr>
          <w:rFonts w:asciiTheme="minorHAnsi" w:hAnsiTheme="minorHAnsi" w:cstheme="minorHAnsi"/>
          <w:szCs w:val="22"/>
        </w:rPr>
        <w:t>e</w:t>
      </w:r>
      <w:r w:rsidRPr="006D0B95">
        <w:rPr>
          <w:rFonts w:asciiTheme="minorHAnsi" w:hAnsiTheme="minorHAnsi" w:cstheme="minorHAnsi"/>
          <w:szCs w:val="22"/>
        </w:rPr>
        <w:t xml:space="preserve"> to blood pressure reduction</w:t>
      </w:r>
      <w:r>
        <w:rPr>
          <w:rFonts w:asciiTheme="minorHAnsi" w:hAnsiTheme="minorHAnsi" w:cstheme="minorHAnsi"/>
          <w:szCs w:val="22"/>
        </w:rPr>
        <w:t>,</w:t>
      </w:r>
      <w:r w:rsidRPr="006D0B95">
        <w:rPr>
          <w:rFonts w:asciiTheme="minorHAnsi" w:hAnsiTheme="minorHAnsi" w:cstheme="minorHAnsi"/>
          <w:szCs w:val="22"/>
        </w:rPr>
        <w:t xml:space="preserve"> and owing to their effect on glucose excretion, cause modest weight loss.</w:t>
      </w:r>
      <w:r w:rsidRPr="006D0B95">
        <w:rPr>
          <w:rFonts w:asciiTheme="minorHAnsi" w:hAnsiTheme="minorHAnsi" w:cstheme="minorHAnsi"/>
        </w:rPr>
        <w:t xml:space="preserve"> </w:t>
      </w:r>
      <w:r w:rsidRPr="00C936B7">
        <w:rPr>
          <w:rFonts w:asciiTheme="minorHAnsi" w:hAnsiTheme="minorHAnsi" w:cstheme="minorHAnsi"/>
          <w:szCs w:val="22"/>
        </w:rPr>
        <w:t xml:space="preserve">As </w:t>
      </w:r>
      <w:r>
        <w:rPr>
          <w:rFonts w:asciiTheme="minorHAnsi" w:hAnsiTheme="minorHAnsi" w:cstheme="minorHAnsi"/>
          <w:szCs w:val="22"/>
        </w:rPr>
        <w:t>their</w:t>
      </w:r>
      <w:r w:rsidRPr="00C936B7">
        <w:rPr>
          <w:rFonts w:asciiTheme="minorHAnsi" w:hAnsiTheme="minorHAnsi" w:cstheme="minorHAnsi"/>
          <w:szCs w:val="22"/>
        </w:rPr>
        <w:t xml:space="preserve"> glycaemic efficacy is dependent on renal function</w:t>
      </w:r>
      <w:r>
        <w:rPr>
          <w:rFonts w:asciiTheme="minorHAnsi" w:hAnsiTheme="minorHAnsi" w:cstheme="minorHAnsi"/>
          <w:szCs w:val="22"/>
        </w:rPr>
        <w:t>,</w:t>
      </w:r>
      <w:r w:rsidRPr="00C936B7">
        <w:rPr>
          <w:rFonts w:asciiTheme="minorHAnsi" w:hAnsiTheme="minorHAnsi" w:cstheme="minorHAnsi"/>
        </w:rPr>
        <w:t xml:space="preserve"> </w:t>
      </w:r>
      <w:r>
        <w:rPr>
          <w:rFonts w:asciiTheme="minorHAnsi" w:hAnsiTheme="minorHAnsi" w:cstheme="minorHAnsi"/>
          <w:szCs w:val="22"/>
        </w:rPr>
        <w:t>t</w:t>
      </w:r>
      <w:r w:rsidRPr="006D0B95">
        <w:rPr>
          <w:rFonts w:asciiTheme="minorHAnsi" w:hAnsiTheme="minorHAnsi" w:cstheme="minorHAnsi"/>
          <w:szCs w:val="22"/>
        </w:rPr>
        <w:t>hey are not effective for glycaemic control in patients with impaired kidney function</w:t>
      </w:r>
      <w:r>
        <w:rPr>
          <w:rFonts w:asciiTheme="minorHAnsi" w:hAnsiTheme="minorHAnsi" w:cstheme="minorHAnsi"/>
          <w:szCs w:val="22"/>
        </w:rPr>
        <w:t xml:space="preserve">. </w:t>
      </w:r>
      <w:r w:rsidR="00A75C6E">
        <w:rPr>
          <w:rFonts w:asciiTheme="minorHAnsi" w:hAnsiTheme="minorHAnsi" w:cstheme="minorHAnsi"/>
          <w:szCs w:val="22"/>
        </w:rPr>
        <w:t xml:space="preserve">However, SGLT2 inhibitors have </w:t>
      </w:r>
      <w:proofErr w:type="gramStart"/>
      <w:r w:rsidR="00A75C6E">
        <w:rPr>
          <w:rFonts w:asciiTheme="minorHAnsi" w:hAnsiTheme="minorHAnsi" w:cstheme="minorHAnsi"/>
          <w:szCs w:val="22"/>
        </w:rPr>
        <w:t>CV</w:t>
      </w:r>
      <w:proofErr w:type="gramEnd"/>
      <w:r w:rsidR="00A75C6E">
        <w:rPr>
          <w:rFonts w:asciiTheme="minorHAnsi" w:hAnsiTheme="minorHAnsi" w:cstheme="minorHAnsi"/>
          <w:szCs w:val="22"/>
        </w:rPr>
        <w:t xml:space="preserve"> and renal benefits that are independent of their effects on blood glucose.</w:t>
      </w:r>
      <w:r w:rsidR="00A75C6E" w:rsidRPr="006161B4">
        <w:rPr>
          <w:rStyle w:val="FootnoteReference"/>
          <w:rFonts w:asciiTheme="minorHAnsi" w:hAnsiTheme="minorHAnsi" w:cstheme="minorHAnsi"/>
          <w:szCs w:val="22"/>
        </w:rPr>
        <w:footnoteReference w:id="3"/>
      </w:r>
      <w:r w:rsidR="006161B4" w:rsidRPr="006161B4">
        <w:rPr>
          <w:rFonts w:asciiTheme="minorHAnsi" w:hAnsiTheme="minorHAnsi" w:cstheme="minorHAnsi"/>
          <w:szCs w:val="22"/>
          <w:vertAlign w:val="superscript"/>
        </w:rPr>
        <w:t>,</w:t>
      </w:r>
      <w:r w:rsidR="006161B4">
        <w:rPr>
          <w:rStyle w:val="FootnoteReference"/>
          <w:rFonts w:asciiTheme="minorHAnsi" w:hAnsiTheme="minorHAnsi" w:cstheme="minorHAnsi"/>
          <w:szCs w:val="22"/>
        </w:rPr>
        <w:footnoteReference w:id="4"/>
      </w:r>
      <w:r w:rsidR="00A75C6E">
        <w:rPr>
          <w:rFonts w:asciiTheme="minorHAnsi" w:hAnsiTheme="minorHAnsi" w:cstheme="minorHAnsi"/>
          <w:szCs w:val="22"/>
        </w:rPr>
        <w:t xml:space="preserve"> </w:t>
      </w:r>
      <w:r w:rsidR="00801BE0">
        <w:rPr>
          <w:rFonts w:asciiTheme="minorHAnsi" w:hAnsiTheme="minorHAnsi" w:cstheme="minorHAnsi"/>
          <w:szCs w:val="22"/>
        </w:rPr>
        <w:t>SGLT2 inhibitors are administered as oral tablets.</w:t>
      </w:r>
    </w:p>
    <w:p w14:paraId="18D7619E" w14:textId="531E3E24" w:rsidR="00590734" w:rsidRDefault="00801BE0" w:rsidP="00C7336E">
      <w:pPr>
        <w:pStyle w:val="Heading3"/>
      </w:pPr>
      <w:r w:rsidRPr="00801BE0">
        <w:t>DPP4 inhibitors</w:t>
      </w:r>
    </w:p>
    <w:p w14:paraId="22E4BC5C" w14:textId="48D2E8BF" w:rsidR="00590734" w:rsidRPr="00590734" w:rsidRDefault="00831065" w:rsidP="00C7336E">
      <w:pPr>
        <w:spacing w:line="240" w:lineRule="auto"/>
      </w:pPr>
      <w:r>
        <w:t>DPP4 inhibitors</w:t>
      </w:r>
      <w:r w:rsidR="000467E3">
        <w:t xml:space="preserve"> (PBS listed: sitagliptin, lin</w:t>
      </w:r>
      <w:r w:rsidR="00484162">
        <w:t>a</w:t>
      </w:r>
      <w:r w:rsidR="000467E3">
        <w:t>gliptin, alogliptin, saxagliptin, vildagliptin)</w:t>
      </w:r>
      <w:r>
        <w:t xml:space="preserve"> </w:t>
      </w:r>
      <w:r w:rsidR="00BA0FC9">
        <w:t xml:space="preserve">inhibit the enzyme DPP4, which </w:t>
      </w:r>
      <w:proofErr w:type="gramStart"/>
      <w:r w:rsidR="00BA0FC9">
        <w:t>is involved in</w:t>
      </w:r>
      <w:proofErr w:type="gramEnd"/>
      <w:r w:rsidR="00BA0FC9">
        <w:t xml:space="preserve"> the inactivation of </w:t>
      </w:r>
      <w:r w:rsidR="00A75C6B">
        <w:t xml:space="preserve">the </w:t>
      </w:r>
      <w:r w:rsidR="00BA0FC9">
        <w:t>hormones GLP-1 and glucose-dependent insulinotrophic polypeptide (GIP). These hormones increase insulin secretion following a meal and reduce the production of glucagon by the liver, helping to regulate blood glucose levels.</w:t>
      </w:r>
      <w:r w:rsidR="001128A2">
        <w:t xml:space="preserve"> DPP4 inhibitors are weight neutral and are not associated with hypoglycaemia</w:t>
      </w:r>
      <w:r w:rsidR="00BA0FC9">
        <w:t>. Adverse effects</w:t>
      </w:r>
      <w:r w:rsidR="00A75C6B">
        <w:t xml:space="preserve"> associated with DPP4 inhibitors</w:t>
      </w:r>
      <w:r w:rsidR="00BA0FC9">
        <w:t xml:space="preserve"> include </w:t>
      </w:r>
      <w:r w:rsidR="009239CE">
        <w:t xml:space="preserve">hypertension, upper respiratory tract infections, </w:t>
      </w:r>
      <w:r w:rsidR="00BA0FC9">
        <w:t>and increased risk of pancreatitis.</w:t>
      </w:r>
      <w:r w:rsidR="009239CE">
        <w:rPr>
          <w:rStyle w:val="FootnoteReference"/>
        </w:rPr>
        <w:footnoteReference w:id="5"/>
      </w:r>
      <w:r w:rsidR="009239CE" w:rsidRPr="000467E3">
        <w:rPr>
          <w:vertAlign w:val="superscript"/>
        </w:rPr>
        <w:t>,</w:t>
      </w:r>
      <w:r w:rsidR="009239CE">
        <w:rPr>
          <w:rStyle w:val="FootnoteReference"/>
        </w:rPr>
        <w:footnoteReference w:id="6"/>
      </w:r>
      <w:r w:rsidR="00BA0FC9">
        <w:t xml:space="preserve"> </w:t>
      </w:r>
      <w:r w:rsidR="00BA0FC9">
        <w:rPr>
          <w:rFonts w:asciiTheme="minorHAnsi" w:hAnsiTheme="minorHAnsi" w:cstheme="minorHAnsi"/>
          <w:szCs w:val="22"/>
        </w:rPr>
        <w:t xml:space="preserve">DPP4 inhibitors </w:t>
      </w:r>
      <w:proofErr w:type="gramStart"/>
      <w:r w:rsidR="00BA0FC9">
        <w:rPr>
          <w:rFonts w:asciiTheme="minorHAnsi" w:hAnsiTheme="minorHAnsi" w:cstheme="minorHAnsi"/>
          <w:szCs w:val="22"/>
        </w:rPr>
        <w:t>are administered</w:t>
      </w:r>
      <w:proofErr w:type="gramEnd"/>
      <w:r w:rsidR="00BA0FC9">
        <w:rPr>
          <w:rFonts w:asciiTheme="minorHAnsi" w:hAnsiTheme="minorHAnsi" w:cstheme="minorHAnsi"/>
          <w:szCs w:val="22"/>
        </w:rPr>
        <w:t xml:space="preserve"> as oral tablets.</w:t>
      </w:r>
    </w:p>
    <w:p w14:paraId="0D1ECCE7" w14:textId="3D567D49" w:rsidR="00590734" w:rsidRDefault="00590734" w:rsidP="00C7336E">
      <w:pPr>
        <w:pStyle w:val="Heading2"/>
        <w:spacing w:line="240" w:lineRule="auto"/>
      </w:pPr>
      <w:r w:rsidRPr="00A52918">
        <w:t xml:space="preserve">Therapeutic Goods Administration </w:t>
      </w:r>
      <w:r>
        <w:t>(</w:t>
      </w:r>
      <w:r w:rsidRPr="005E22C2">
        <w:t>TGA</w:t>
      </w:r>
      <w:r>
        <w:t>)</w:t>
      </w:r>
      <w:r w:rsidRPr="005E22C2">
        <w:t xml:space="preserve"> approved </w:t>
      </w:r>
      <w:r>
        <w:t>i</w:t>
      </w:r>
      <w:r w:rsidRPr="005E22C2">
        <w:t>ndications</w:t>
      </w:r>
    </w:p>
    <w:p w14:paraId="765A43A0" w14:textId="6328810C" w:rsidR="000F4A60" w:rsidRDefault="000F4A60" w:rsidP="00C7336E">
      <w:pPr>
        <w:spacing w:line="240" w:lineRule="auto"/>
      </w:pPr>
      <w:r>
        <w:t xml:space="preserve">Table 1 provides a summary of the TGA approved indications for PBS-listed </w:t>
      </w:r>
      <w:r w:rsidRPr="00AE3705">
        <w:t xml:space="preserve">GLP-1 RAs, SGLT2 inhibitors and </w:t>
      </w:r>
      <w:r>
        <w:t xml:space="preserve">DPP4 inhibitors. For further information on TGA indications for other medicines included in this analysis please refer to the </w:t>
      </w:r>
      <w:hyperlink r:id="rId9" w:history="1">
        <w:r w:rsidRPr="000F4A60">
          <w:rPr>
            <w:rStyle w:val="Hyperlink"/>
          </w:rPr>
          <w:t>Australian Register of Therapeutic Goods</w:t>
        </w:r>
      </w:hyperlink>
      <w:r>
        <w:t>.</w:t>
      </w:r>
    </w:p>
    <w:p w14:paraId="3A113E26" w14:textId="2D98F933" w:rsidR="00AE3705" w:rsidRDefault="00AE3705" w:rsidP="00B403D7">
      <w:pPr>
        <w:pStyle w:val="Tableheading"/>
      </w:pPr>
      <w:r w:rsidRPr="00046C3A">
        <w:lastRenderedPageBreak/>
        <w:t xml:space="preserve">Table 1: TGA approved indications for </w:t>
      </w:r>
      <w:r w:rsidR="00C24EB0" w:rsidRPr="00046C3A">
        <w:t xml:space="preserve">PBS-listed </w:t>
      </w:r>
      <w:r w:rsidRPr="00046C3A">
        <w:t>GLP-1 RAs, SGLT2 inhibitors and DPP4 inhibitors</w:t>
      </w:r>
      <w:r w:rsidR="00A75C6B">
        <w:t xml:space="preserve"> (at August 2022)</w:t>
      </w:r>
    </w:p>
    <w:p w14:paraId="308879E3" w14:textId="0905DE0B" w:rsidR="000611F3" w:rsidRPr="000611F3" w:rsidRDefault="000611F3" w:rsidP="000611F3">
      <w:pPr>
        <w:pStyle w:val="Tableheading"/>
        <w:numPr>
          <w:ilvl w:val="0"/>
          <w:numId w:val="31"/>
        </w:numPr>
      </w:pPr>
      <w:r w:rsidRPr="000611F3">
        <w:t>SGLT2 inhibitors</w:t>
      </w:r>
    </w:p>
    <w:tbl>
      <w:tblPr>
        <w:tblStyle w:val="TableGrid"/>
        <w:tblW w:w="0" w:type="auto"/>
        <w:tblLook w:val="04A0" w:firstRow="1" w:lastRow="0" w:firstColumn="1" w:lastColumn="0" w:noHBand="0" w:noVBand="1"/>
      </w:tblPr>
      <w:tblGrid>
        <w:gridCol w:w="1413"/>
        <w:gridCol w:w="7603"/>
      </w:tblGrid>
      <w:tr w:rsidR="00AE3705" w:rsidRPr="0027149C" w14:paraId="2D79EE6F" w14:textId="77777777" w:rsidTr="00B522FB">
        <w:trPr>
          <w:tblHeader/>
        </w:trPr>
        <w:tc>
          <w:tcPr>
            <w:tcW w:w="1413" w:type="dxa"/>
            <w:shd w:val="clear" w:color="auto" w:fill="BFBFBF" w:themeFill="background1" w:themeFillShade="BF"/>
          </w:tcPr>
          <w:p w14:paraId="612164EC" w14:textId="77777777" w:rsidR="00AE3705" w:rsidRPr="00973208" w:rsidRDefault="00AE3705" w:rsidP="00B403D7">
            <w:pPr>
              <w:pStyle w:val="TableText"/>
              <w:rPr>
                <w:b/>
                <w:bCs/>
              </w:rPr>
            </w:pPr>
            <w:bookmarkStart w:id="0" w:name="_Hlk157422177"/>
            <w:r w:rsidRPr="00973208">
              <w:rPr>
                <w:b/>
                <w:bCs/>
              </w:rPr>
              <w:t>Medicine</w:t>
            </w:r>
          </w:p>
        </w:tc>
        <w:tc>
          <w:tcPr>
            <w:tcW w:w="7603" w:type="dxa"/>
            <w:shd w:val="clear" w:color="auto" w:fill="BFBFBF" w:themeFill="background1" w:themeFillShade="BF"/>
          </w:tcPr>
          <w:p w14:paraId="5929A3B3" w14:textId="1ECBABF4" w:rsidR="00AE3705" w:rsidRPr="00973208" w:rsidRDefault="00AE3705" w:rsidP="00B403D7">
            <w:pPr>
              <w:pStyle w:val="TableText"/>
              <w:rPr>
                <w:b/>
                <w:bCs/>
              </w:rPr>
            </w:pPr>
            <w:r w:rsidRPr="00973208">
              <w:rPr>
                <w:b/>
                <w:bCs/>
              </w:rPr>
              <w:t>TGA approved indication/s</w:t>
            </w:r>
          </w:p>
        </w:tc>
      </w:tr>
      <w:bookmarkEnd w:id="0"/>
      <w:tr w:rsidR="00AE3705" w:rsidRPr="0027149C" w14:paraId="4FB22BF0" w14:textId="77777777" w:rsidTr="00A16ADF">
        <w:tc>
          <w:tcPr>
            <w:tcW w:w="1413" w:type="dxa"/>
          </w:tcPr>
          <w:p w14:paraId="1ED6936E" w14:textId="77777777" w:rsidR="00AE3705" w:rsidRPr="0027149C" w:rsidRDefault="00AE3705" w:rsidP="00C7336E">
            <w:pPr>
              <w:pStyle w:val="TableText"/>
            </w:pPr>
            <w:r w:rsidRPr="0027149C">
              <w:t>Dapagliflozin</w:t>
            </w:r>
          </w:p>
        </w:tc>
        <w:tc>
          <w:tcPr>
            <w:tcW w:w="7603" w:type="dxa"/>
          </w:tcPr>
          <w:p w14:paraId="28E29996" w14:textId="77777777" w:rsidR="00AE3705" w:rsidRPr="0027149C" w:rsidRDefault="00AE3705" w:rsidP="00C7336E">
            <w:pPr>
              <w:pStyle w:val="TableText"/>
            </w:pPr>
            <w:r w:rsidRPr="0027149C">
              <w:t>Glycaemic control in adults with T2DM:</w:t>
            </w:r>
          </w:p>
          <w:p w14:paraId="182AD2EE" w14:textId="77777777" w:rsidR="00AE3705" w:rsidRPr="0027149C" w:rsidRDefault="00AE3705">
            <w:pPr>
              <w:pStyle w:val="TableText"/>
              <w:numPr>
                <w:ilvl w:val="0"/>
                <w:numId w:val="10"/>
              </w:numPr>
            </w:pPr>
            <w:r w:rsidRPr="0027149C">
              <w:t xml:space="preserve">as monotherapy (with diet and exercise) where metformin </w:t>
            </w:r>
            <w:proofErr w:type="gramStart"/>
            <w:r w:rsidRPr="0027149C">
              <w:t>is otherwise indicated</w:t>
            </w:r>
            <w:proofErr w:type="gramEnd"/>
            <w:r w:rsidRPr="0027149C">
              <w:t xml:space="preserve"> but was not tolerated; </w:t>
            </w:r>
          </w:p>
          <w:p w14:paraId="3DEABA38" w14:textId="77777777" w:rsidR="00AE3705" w:rsidRPr="0027149C" w:rsidRDefault="00AE3705">
            <w:pPr>
              <w:pStyle w:val="TableText"/>
              <w:numPr>
                <w:ilvl w:val="0"/>
                <w:numId w:val="10"/>
              </w:numPr>
            </w:pPr>
            <w:r w:rsidRPr="0027149C">
              <w:t>as initial combination therapy with metformin (with diet and exercise) where metformin monotherapy is unlikely to provide adequate glycaemic control (e.g. high initial HbA1c levels);</w:t>
            </w:r>
          </w:p>
          <w:p w14:paraId="483B85A2" w14:textId="3E083C3D" w:rsidR="00AE3705" w:rsidRPr="00F92F86" w:rsidRDefault="00AE3705">
            <w:pPr>
              <w:pStyle w:val="TableText"/>
              <w:numPr>
                <w:ilvl w:val="0"/>
                <w:numId w:val="10"/>
              </w:numPr>
            </w:pPr>
            <w:r w:rsidRPr="0027149C">
              <w:t>in combination with other anti-hyperglycaemic agents to improve glycaemic control, when these together with diet and exercise, do not provide adequate glycaemic control.</w:t>
            </w:r>
          </w:p>
          <w:p w14:paraId="2E8274D7" w14:textId="77777777" w:rsidR="00AE3705" w:rsidRPr="0027149C" w:rsidRDefault="00AE3705" w:rsidP="00C7336E">
            <w:pPr>
              <w:pStyle w:val="TableText"/>
            </w:pPr>
            <w:r w:rsidRPr="0027149C">
              <w:t>Prevention of hospitalisation for heart failure (HF):</w:t>
            </w:r>
          </w:p>
          <w:p w14:paraId="07CBDD42" w14:textId="6B1B6D04" w:rsidR="00AE3705" w:rsidRPr="00F92F86" w:rsidRDefault="00AE3705">
            <w:pPr>
              <w:pStyle w:val="TableText"/>
              <w:numPr>
                <w:ilvl w:val="0"/>
                <w:numId w:val="11"/>
              </w:numPr>
            </w:pPr>
            <w:r w:rsidRPr="0027149C">
              <w:t>indicated in adults with T2DM and established cardiovascular disease (CVD) or risk factors for CVD to reduce the risk of hospitalization for HF.</w:t>
            </w:r>
          </w:p>
          <w:p w14:paraId="32F3E493" w14:textId="77777777" w:rsidR="00AE3705" w:rsidRPr="0027149C" w:rsidRDefault="00AE3705" w:rsidP="00C7336E">
            <w:pPr>
              <w:pStyle w:val="TableText"/>
            </w:pPr>
            <w:r w:rsidRPr="0027149C">
              <w:t>Heart failure (HF):</w:t>
            </w:r>
          </w:p>
          <w:p w14:paraId="1E542121" w14:textId="77777777" w:rsidR="00AE3705" w:rsidRDefault="00AE3705">
            <w:pPr>
              <w:pStyle w:val="TableText"/>
              <w:numPr>
                <w:ilvl w:val="0"/>
                <w:numId w:val="11"/>
              </w:numPr>
            </w:pPr>
            <w:r w:rsidRPr="0027149C">
              <w:t>indicated in adults for the treatment of symptomatic HF with reduced ejection fraction, as an adjunct to standard of care therapy.</w:t>
            </w:r>
          </w:p>
          <w:p w14:paraId="6B65F921" w14:textId="7C090460" w:rsidR="00024E74" w:rsidRDefault="00024E74" w:rsidP="00024E74">
            <w:pPr>
              <w:pStyle w:val="TableText"/>
            </w:pPr>
            <w:r>
              <w:t>Chronic kidney disease:</w:t>
            </w:r>
          </w:p>
          <w:p w14:paraId="5194ACB3" w14:textId="68FFC610" w:rsidR="00024E74" w:rsidRPr="00024E74" w:rsidRDefault="00024E74">
            <w:pPr>
              <w:pStyle w:val="TableText"/>
              <w:numPr>
                <w:ilvl w:val="0"/>
                <w:numId w:val="11"/>
              </w:numPr>
            </w:pPr>
            <w:r>
              <w:t xml:space="preserve">indicated in adults to reduce the risk of progressive decline in kidney function in adults with proteinuric chronic kidney disease (CKD Stage 2,3 or 4 and urine ACR greater than or equal to 30mg/g). </w:t>
            </w:r>
          </w:p>
        </w:tc>
      </w:tr>
      <w:tr w:rsidR="00AE3705" w:rsidRPr="0027149C" w14:paraId="6102FBF2" w14:textId="77777777" w:rsidTr="00A16ADF">
        <w:tc>
          <w:tcPr>
            <w:tcW w:w="1413" w:type="dxa"/>
          </w:tcPr>
          <w:p w14:paraId="014C7906" w14:textId="77777777" w:rsidR="00AE3705" w:rsidRPr="0027149C" w:rsidRDefault="00AE3705" w:rsidP="00C7336E">
            <w:pPr>
              <w:pStyle w:val="TableText"/>
            </w:pPr>
            <w:r w:rsidRPr="0027149C">
              <w:t>Empagliflozin</w:t>
            </w:r>
          </w:p>
        </w:tc>
        <w:tc>
          <w:tcPr>
            <w:tcW w:w="7603" w:type="dxa"/>
          </w:tcPr>
          <w:p w14:paraId="6DCB7EB1" w14:textId="77777777" w:rsidR="00AE3705" w:rsidRPr="0027149C" w:rsidRDefault="00AE3705" w:rsidP="00C7336E">
            <w:pPr>
              <w:pStyle w:val="TableText"/>
            </w:pPr>
            <w:r w:rsidRPr="0027149C">
              <w:t>Glycaemic control in adults with T2DM:</w:t>
            </w:r>
          </w:p>
          <w:p w14:paraId="32C85040" w14:textId="77777777" w:rsidR="00AE3705" w:rsidRPr="0027149C" w:rsidRDefault="00AE3705">
            <w:pPr>
              <w:pStyle w:val="TableText"/>
              <w:numPr>
                <w:ilvl w:val="0"/>
                <w:numId w:val="11"/>
              </w:numPr>
            </w:pPr>
            <w:r w:rsidRPr="0027149C">
              <w:t xml:space="preserve">as monotherapy (with diet and exercise where metformin </w:t>
            </w:r>
            <w:proofErr w:type="gramStart"/>
            <w:r w:rsidRPr="0027149C">
              <w:t>is not tolerated</w:t>
            </w:r>
            <w:proofErr w:type="gramEnd"/>
            <w:r w:rsidRPr="0027149C">
              <w:t>;</w:t>
            </w:r>
          </w:p>
          <w:p w14:paraId="3A5115A6" w14:textId="390A90BB" w:rsidR="00AE3705" w:rsidRPr="00F92F86" w:rsidRDefault="00AE3705">
            <w:pPr>
              <w:pStyle w:val="TableText"/>
              <w:numPr>
                <w:ilvl w:val="0"/>
                <w:numId w:val="11"/>
              </w:numPr>
            </w:pPr>
            <w:r w:rsidRPr="0027149C">
              <w:t>as add-on combination therapy with other glucose–lowering agents including insulin, when these together with diet and exercise, do not provide adequate glycaemic control.</w:t>
            </w:r>
          </w:p>
          <w:p w14:paraId="53B8494F" w14:textId="778C6592" w:rsidR="00AE3705" w:rsidRPr="0027149C" w:rsidRDefault="00AE3705" w:rsidP="00C7336E">
            <w:pPr>
              <w:pStyle w:val="TableText"/>
            </w:pPr>
            <w:r w:rsidRPr="0027149C">
              <w:t>Prevention of cardiovascular death</w:t>
            </w:r>
            <w:r w:rsidR="000143AB">
              <w:t>:</w:t>
            </w:r>
          </w:p>
          <w:p w14:paraId="338E6B64" w14:textId="77777777" w:rsidR="00AE3705" w:rsidRDefault="00AE3705">
            <w:pPr>
              <w:pStyle w:val="TableText"/>
              <w:numPr>
                <w:ilvl w:val="0"/>
                <w:numId w:val="12"/>
              </w:numPr>
            </w:pPr>
            <w:r w:rsidRPr="0027149C">
              <w:t xml:space="preserve">indicated in patients with T2DM and established CVD to reduce the risk of </w:t>
            </w:r>
            <w:proofErr w:type="gramStart"/>
            <w:r w:rsidRPr="0027149C">
              <w:t>CV</w:t>
            </w:r>
            <w:proofErr w:type="gramEnd"/>
            <w:r w:rsidRPr="0027149C">
              <w:t xml:space="preserve"> death. JARDIANCE should </w:t>
            </w:r>
            <w:proofErr w:type="gramStart"/>
            <w:r w:rsidRPr="0027149C">
              <w:t>be used</w:t>
            </w:r>
            <w:proofErr w:type="gramEnd"/>
            <w:r w:rsidRPr="0027149C">
              <w:t xml:space="preserve"> in conjunction with current standard of care to reduce CV risk.</w:t>
            </w:r>
          </w:p>
          <w:p w14:paraId="6FF9F81C" w14:textId="77777777" w:rsidR="00024E74" w:rsidRDefault="00024E74" w:rsidP="00024E74">
            <w:pPr>
              <w:pStyle w:val="TableText"/>
            </w:pPr>
            <w:r>
              <w:t>Heart failure:</w:t>
            </w:r>
          </w:p>
          <w:p w14:paraId="5FE14AE4" w14:textId="366AC660" w:rsidR="00024E74" w:rsidRPr="0027149C" w:rsidRDefault="00024E74">
            <w:pPr>
              <w:pStyle w:val="TableText"/>
              <w:numPr>
                <w:ilvl w:val="0"/>
                <w:numId w:val="12"/>
              </w:numPr>
            </w:pPr>
            <w:r>
              <w:t xml:space="preserve">indicated in adults for the treatment of symptomatic heart failure with reduced ejection fraction, as adjunct to standard of care therapy. </w:t>
            </w:r>
          </w:p>
        </w:tc>
      </w:tr>
      <w:tr w:rsidR="00AE3705" w:rsidRPr="0027149C" w14:paraId="531D4EBE" w14:textId="77777777" w:rsidTr="00A16ADF">
        <w:tc>
          <w:tcPr>
            <w:tcW w:w="1413" w:type="dxa"/>
          </w:tcPr>
          <w:p w14:paraId="4A885B10" w14:textId="77777777" w:rsidR="00AE3705" w:rsidRPr="0027149C" w:rsidRDefault="00AE3705" w:rsidP="00C7336E">
            <w:pPr>
              <w:pStyle w:val="TableText"/>
            </w:pPr>
            <w:r w:rsidRPr="0027149C">
              <w:t>Ertugliflozin</w:t>
            </w:r>
          </w:p>
        </w:tc>
        <w:tc>
          <w:tcPr>
            <w:tcW w:w="7603" w:type="dxa"/>
          </w:tcPr>
          <w:p w14:paraId="6C1A6115" w14:textId="77777777" w:rsidR="00AE3705" w:rsidRPr="0027149C" w:rsidRDefault="00AE3705" w:rsidP="00C7336E">
            <w:pPr>
              <w:pStyle w:val="TableText"/>
            </w:pPr>
            <w:r w:rsidRPr="0027149C">
              <w:t>Glycaemic control in adults with T2DM:</w:t>
            </w:r>
          </w:p>
          <w:p w14:paraId="4B0B4E86" w14:textId="77777777" w:rsidR="00AE3705" w:rsidRPr="0027149C" w:rsidRDefault="00AE3705">
            <w:pPr>
              <w:pStyle w:val="TableText"/>
              <w:numPr>
                <w:ilvl w:val="0"/>
                <w:numId w:val="12"/>
              </w:numPr>
            </w:pPr>
            <w:r w:rsidRPr="0027149C">
              <w:t>monotherapy (with diet and exercise) when metformin not tolerated;</w:t>
            </w:r>
          </w:p>
          <w:p w14:paraId="0BD05A1A" w14:textId="77777777" w:rsidR="00AE3705" w:rsidRPr="0027149C" w:rsidRDefault="00AE3705">
            <w:pPr>
              <w:pStyle w:val="TableText"/>
              <w:numPr>
                <w:ilvl w:val="0"/>
                <w:numId w:val="12"/>
              </w:numPr>
            </w:pPr>
            <w:r w:rsidRPr="0027149C">
              <w:t>in combination with other anti-hyperglycaemic agents</w:t>
            </w:r>
          </w:p>
        </w:tc>
      </w:tr>
      <w:tr w:rsidR="00AE3705" w:rsidRPr="0027149C" w14:paraId="6B9599D7" w14:textId="77777777" w:rsidTr="00A16ADF">
        <w:tc>
          <w:tcPr>
            <w:tcW w:w="1413" w:type="dxa"/>
          </w:tcPr>
          <w:p w14:paraId="2662AAD0" w14:textId="562BBFE3" w:rsidR="00AE3705" w:rsidRPr="0027149C" w:rsidRDefault="00AE3705" w:rsidP="00C7336E">
            <w:pPr>
              <w:pStyle w:val="TableText"/>
            </w:pPr>
            <w:r w:rsidRPr="0027149C">
              <w:t xml:space="preserve">Dapagliflozin + metformin </w:t>
            </w:r>
          </w:p>
        </w:tc>
        <w:tc>
          <w:tcPr>
            <w:tcW w:w="7603" w:type="dxa"/>
          </w:tcPr>
          <w:p w14:paraId="1746F5B8" w14:textId="202D165D" w:rsidR="00AE3705" w:rsidRPr="0027149C" w:rsidRDefault="00AE3705" w:rsidP="00C7336E">
            <w:pPr>
              <w:pStyle w:val="TableText"/>
            </w:pPr>
            <w:r w:rsidRPr="0027149C">
              <w:t>Glycaemic control in adults with T2DM as an adjunct to diet and exercise when treatment with both dapagliflozin and metformin is appropriate.</w:t>
            </w:r>
          </w:p>
          <w:p w14:paraId="184D612C" w14:textId="77777777" w:rsidR="00AE3705" w:rsidRPr="0027149C" w:rsidRDefault="00AE3705" w:rsidP="00C7336E">
            <w:pPr>
              <w:pStyle w:val="TableText"/>
            </w:pPr>
            <w:r w:rsidRPr="0027149C">
              <w:t>Prevention of hospitalisation for heart failure (HF) in adults with T2DM and established CVD or risk factors for CVD.</w:t>
            </w:r>
          </w:p>
        </w:tc>
      </w:tr>
      <w:tr w:rsidR="00AE3705" w:rsidRPr="0027149C" w14:paraId="207B34F3" w14:textId="77777777" w:rsidTr="00A16ADF">
        <w:tc>
          <w:tcPr>
            <w:tcW w:w="1413" w:type="dxa"/>
          </w:tcPr>
          <w:p w14:paraId="653BCA89" w14:textId="676D4EF0" w:rsidR="00AE3705" w:rsidRPr="0027149C" w:rsidRDefault="00AE3705" w:rsidP="00C7336E">
            <w:pPr>
              <w:pStyle w:val="TableText"/>
            </w:pPr>
            <w:r w:rsidRPr="0027149C">
              <w:t xml:space="preserve">Empagliflozin + metformin </w:t>
            </w:r>
          </w:p>
        </w:tc>
        <w:tc>
          <w:tcPr>
            <w:tcW w:w="7603" w:type="dxa"/>
          </w:tcPr>
          <w:p w14:paraId="412584B0" w14:textId="349F2F6F" w:rsidR="00AE3705" w:rsidRPr="0027149C" w:rsidRDefault="00AE3705" w:rsidP="00C7336E">
            <w:pPr>
              <w:pStyle w:val="TableText"/>
            </w:pPr>
            <w:r w:rsidRPr="0027149C">
              <w:t>Glycaemic control in adults with T2DM as an adjunct to diet and exercise when treatment with both empagliflozin and metformin is appropriate.</w:t>
            </w:r>
          </w:p>
          <w:p w14:paraId="5760326C" w14:textId="77777777" w:rsidR="00AE3705" w:rsidRPr="0027149C" w:rsidRDefault="00AE3705" w:rsidP="00C7336E">
            <w:pPr>
              <w:pStyle w:val="TableText"/>
            </w:pPr>
            <w:r w:rsidRPr="0027149C">
              <w:lastRenderedPageBreak/>
              <w:t xml:space="preserve">Empagliflozin </w:t>
            </w:r>
            <w:proofErr w:type="gramStart"/>
            <w:r w:rsidRPr="0027149C">
              <w:t>is indicated</w:t>
            </w:r>
            <w:proofErr w:type="gramEnd"/>
            <w:r w:rsidRPr="0027149C">
              <w:t xml:space="preserve"> in adults with T2DM and established CVD to reduce the risk of cardiovascular death and should be used in conjunction with the current standard of care to reduce CV risk.</w:t>
            </w:r>
          </w:p>
        </w:tc>
      </w:tr>
      <w:tr w:rsidR="00AE3705" w:rsidRPr="0027149C" w14:paraId="100AAE70" w14:textId="77777777" w:rsidTr="00A16ADF">
        <w:tc>
          <w:tcPr>
            <w:tcW w:w="1413" w:type="dxa"/>
          </w:tcPr>
          <w:p w14:paraId="31AB0E58" w14:textId="677A4778" w:rsidR="00AE3705" w:rsidRPr="0027149C" w:rsidRDefault="00AE3705" w:rsidP="00C7336E">
            <w:pPr>
              <w:pStyle w:val="TableText"/>
            </w:pPr>
            <w:r w:rsidRPr="0027149C">
              <w:lastRenderedPageBreak/>
              <w:t xml:space="preserve">Ertugliflozin </w:t>
            </w:r>
            <w:r>
              <w:t xml:space="preserve">+ metformin </w:t>
            </w:r>
          </w:p>
        </w:tc>
        <w:tc>
          <w:tcPr>
            <w:tcW w:w="7603" w:type="dxa"/>
          </w:tcPr>
          <w:p w14:paraId="0798E80B" w14:textId="45A7373D" w:rsidR="00AE3705" w:rsidRPr="0027149C" w:rsidRDefault="00AE3705" w:rsidP="00C7336E">
            <w:pPr>
              <w:pStyle w:val="TableText"/>
            </w:pPr>
            <w:r w:rsidRPr="0027149C">
              <w:t>Glycaemic control in adults with T2DM as an adjunct to diet and exercise when treatment with both ertugliflozin and metformin is appropriate.</w:t>
            </w:r>
          </w:p>
        </w:tc>
      </w:tr>
    </w:tbl>
    <w:p w14:paraId="16D3F7CA" w14:textId="7A9B580B" w:rsidR="000611F3" w:rsidRDefault="000611F3" w:rsidP="000611F3">
      <w:pPr>
        <w:pStyle w:val="Tableheading"/>
        <w:numPr>
          <w:ilvl w:val="0"/>
          <w:numId w:val="31"/>
        </w:numPr>
      </w:pPr>
      <w:r>
        <w:t>GLP-1 RAs</w:t>
      </w:r>
    </w:p>
    <w:tbl>
      <w:tblPr>
        <w:tblStyle w:val="TableGrid"/>
        <w:tblW w:w="0" w:type="auto"/>
        <w:tblLook w:val="04A0" w:firstRow="1" w:lastRow="0" w:firstColumn="1" w:lastColumn="0" w:noHBand="0" w:noVBand="1"/>
      </w:tblPr>
      <w:tblGrid>
        <w:gridCol w:w="1413"/>
        <w:gridCol w:w="7603"/>
      </w:tblGrid>
      <w:tr w:rsidR="000611F3" w:rsidRPr="00811D27" w14:paraId="378B2195" w14:textId="77777777" w:rsidTr="00B522FB">
        <w:trPr>
          <w:tblHeader/>
        </w:trPr>
        <w:tc>
          <w:tcPr>
            <w:tcW w:w="1413" w:type="dxa"/>
            <w:shd w:val="clear" w:color="auto" w:fill="BFBFBF" w:themeFill="background1" w:themeFillShade="BF"/>
          </w:tcPr>
          <w:p w14:paraId="6BE1BA4D" w14:textId="6DFF329C" w:rsidR="000611F3" w:rsidRDefault="000611F3" w:rsidP="000611F3">
            <w:pPr>
              <w:pStyle w:val="TableText"/>
            </w:pPr>
            <w:r w:rsidRPr="00973208">
              <w:rPr>
                <w:b/>
                <w:bCs/>
              </w:rPr>
              <w:t>Medicine</w:t>
            </w:r>
          </w:p>
        </w:tc>
        <w:tc>
          <w:tcPr>
            <w:tcW w:w="7603" w:type="dxa"/>
            <w:shd w:val="clear" w:color="auto" w:fill="BFBFBF" w:themeFill="background1" w:themeFillShade="BF"/>
          </w:tcPr>
          <w:p w14:paraId="4DB518F4" w14:textId="72458FD1" w:rsidR="000611F3" w:rsidRPr="00811D27" w:rsidRDefault="000611F3" w:rsidP="000611F3">
            <w:pPr>
              <w:pStyle w:val="TableText"/>
            </w:pPr>
            <w:r w:rsidRPr="00973208">
              <w:rPr>
                <w:b/>
                <w:bCs/>
              </w:rPr>
              <w:t>TGA approved indication/s</w:t>
            </w:r>
          </w:p>
        </w:tc>
      </w:tr>
      <w:tr w:rsidR="000611F3" w:rsidRPr="00811D27" w14:paraId="749A9D1E" w14:textId="77777777" w:rsidTr="0009279C">
        <w:tc>
          <w:tcPr>
            <w:tcW w:w="1413" w:type="dxa"/>
          </w:tcPr>
          <w:p w14:paraId="22372209" w14:textId="77777777" w:rsidR="000611F3" w:rsidRDefault="000611F3" w:rsidP="000611F3">
            <w:pPr>
              <w:pStyle w:val="TableText"/>
            </w:pPr>
            <w:r>
              <w:t>Exenatide BD</w:t>
            </w:r>
          </w:p>
        </w:tc>
        <w:tc>
          <w:tcPr>
            <w:tcW w:w="7603" w:type="dxa"/>
          </w:tcPr>
          <w:p w14:paraId="382167DF" w14:textId="77777777" w:rsidR="000611F3" w:rsidRPr="00811D27" w:rsidRDefault="000611F3" w:rsidP="000611F3">
            <w:pPr>
              <w:pStyle w:val="TableText"/>
            </w:pPr>
            <w:r w:rsidRPr="00811D27">
              <w:t>Adjunctive therapy to improve glycaemic control in patients with T2DM who are taking metformin, SU, metformin + SU, or metformin + basal insulin, but are not achieving adequate glycaemic control.</w:t>
            </w:r>
          </w:p>
        </w:tc>
      </w:tr>
      <w:tr w:rsidR="000611F3" w:rsidRPr="00811D27" w14:paraId="66BCA82A" w14:textId="77777777" w:rsidTr="0009279C">
        <w:tc>
          <w:tcPr>
            <w:tcW w:w="1413" w:type="dxa"/>
          </w:tcPr>
          <w:p w14:paraId="6A8A7032" w14:textId="77777777" w:rsidR="000611F3" w:rsidRDefault="000611F3" w:rsidP="000611F3">
            <w:pPr>
              <w:pStyle w:val="TableText"/>
            </w:pPr>
            <w:r>
              <w:t>Exenatide QW</w:t>
            </w:r>
          </w:p>
        </w:tc>
        <w:tc>
          <w:tcPr>
            <w:tcW w:w="7603" w:type="dxa"/>
          </w:tcPr>
          <w:p w14:paraId="5BFF285F" w14:textId="77777777" w:rsidR="000611F3" w:rsidRPr="00811D27" w:rsidRDefault="000611F3" w:rsidP="000611F3">
            <w:pPr>
              <w:pStyle w:val="TableText"/>
            </w:pPr>
            <w:r w:rsidRPr="00811D27">
              <w:t>Treatment of T2DM to improve glycaemic control in combination with other glucose-lowering medicinal products when the therapy in use, together with diet and exercise, does not provide adequate glycaemic control.</w:t>
            </w:r>
          </w:p>
        </w:tc>
      </w:tr>
      <w:tr w:rsidR="000611F3" w:rsidRPr="00811D27" w14:paraId="6D47F344" w14:textId="77777777" w:rsidTr="0009279C">
        <w:tc>
          <w:tcPr>
            <w:tcW w:w="1413" w:type="dxa"/>
          </w:tcPr>
          <w:p w14:paraId="6E8C436C" w14:textId="77777777" w:rsidR="000611F3" w:rsidRDefault="000611F3" w:rsidP="000611F3">
            <w:pPr>
              <w:pStyle w:val="TableText"/>
            </w:pPr>
            <w:r>
              <w:t>Dulaglutide</w:t>
            </w:r>
          </w:p>
        </w:tc>
        <w:tc>
          <w:tcPr>
            <w:tcW w:w="7603" w:type="dxa"/>
          </w:tcPr>
          <w:p w14:paraId="16038338" w14:textId="77777777" w:rsidR="000611F3" w:rsidRPr="00811D27" w:rsidRDefault="000611F3" w:rsidP="000611F3">
            <w:pPr>
              <w:pStyle w:val="TableText"/>
            </w:pPr>
            <w:r w:rsidRPr="00811D27">
              <w:t>Adjunct to diet and exercise to improve glycaemic control in adults with T2DM as:</w:t>
            </w:r>
          </w:p>
          <w:p w14:paraId="1FCDADEC" w14:textId="77777777" w:rsidR="000611F3" w:rsidRPr="00811D27" w:rsidRDefault="000611F3" w:rsidP="000611F3">
            <w:pPr>
              <w:pStyle w:val="TableText"/>
              <w:numPr>
                <w:ilvl w:val="0"/>
                <w:numId w:val="14"/>
              </w:numPr>
            </w:pPr>
            <w:r w:rsidRPr="00811D27">
              <w:t>monotherapy</w:t>
            </w:r>
          </w:p>
          <w:p w14:paraId="30960184" w14:textId="77777777" w:rsidR="000611F3" w:rsidRPr="00F92F86" w:rsidRDefault="000611F3" w:rsidP="000611F3">
            <w:pPr>
              <w:pStyle w:val="TableText"/>
              <w:numPr>
                <w:ilvl w:val="0"/>
                <w:numId w:val="14"/>
              </w:numPr>
            </w:pPr>
            <w:r w:rsidRPr="00811D27">
              <w:t xml:space="preserve">combination with other glucose-lowering medicinal products including insulin, when these, together with diet and exercise, do not provide adequate glycaemic control. </w:t>
            </w:r>
          </w:p>
          <w:p w14:paraId="05C4E313" w14:textId="77777777" w:rsidR="000611F3" w:rsidRPr="00811D27" w:rsidRDefault="000611F3" w:rsidP="000611F3">
            <w:pPr>
              <w:pStyle w:val="TableText"/>
            </w:pPr>
            <w:r w:rsidRPr="00811D27">
              <w:t xml:space="preserve">Adjunct to standard of care therapy to reduce the risk of major adverse </w:t>
            </w:r>
            <w:proofErr w:type="gramStart"/>
            <w:r w:rsidRPr="00811D27">
              <w:t>CV</w:t>
            </w:r>
            <w:proofErr w:type="gramEnd"/>
            <w:r w:rsidRPr="00811D27">
              <w:t xml:space="preserve"> events in adults with T2DM who have established CVD or multiple CV risk factors.</w:t>
            </w:r>
          </w:p>
        </w:tc>
      </w:tr>
      <w:tr w:rsidR="000611F3" w:rsidRPr="00490B5D" w14:paraId="7C20DB03" w14:textId="77777777" w:rsidTr="0009279C">
        <w:tc>
          <w:tcPr>
            <w:tcW w:w="1413" w:type="dxa"/>
          </w:tcPr>
          <w:p w14:paraId="7C4C6DB6" w14:textId="77777777" w:rsidR="000611F3" w:rsidRDefault="000611F3" w:rsidP="000611F3">
            <w:pPr>
              <w:pStyle w:val="TableText"/>
            </w:pPr>
            <w:r>
              <w:t>Semaglutide</w:t>
            </w:r>
          </w:p>
        </w:tc>
        <w:tc>
          <w:tcPr>
            <w:tcW w:w="7603" w:type="dxa"/>
          </w:tcPr>
          <w:p w14:paraId="1B19E29E" w14:textId="77777777" w:rsidR="000611F3" w:rsidRDefault="000611F3" w:rsidP="000611F3">
            <w:pPr>
              <w:pStyle w:val="TableText"/>
            </w:pPr>
            <w:r w:rsidRPr="00811D27">
              <w:t>Treatment of adults with insufficiently controlled T2DM as an adjunct to diet and exercise:</w:t>
            </w:r>
          </w:p>
          <w:p w14:paraId="4B1798D8" w14:textId="77777777" w:rsidR="000611F3" w:rsidRPr="00811D27" w:rsidRDefault="000611F3" w:rsidP="000611F3">
            <w:pPr>
              <w:pStyle w:val="TableText"/>
              <w:numPr>
                <w:ilvl w:val="0"/>
                <w:numId w:val="13"/>
              </w:numPr>
              <w:rPr>
                <w:rFonts w:ascii="Times New Roman" w:hAnsi="Times New Roman"/>
              </w:rPr>
            </w:pPr>
            <w:r w:rsidRPr="00811D27">
              <w:t xml:space="preserve">as monotherapy when metformin </w:t>
            </w:r>
            <w:proofErr w:type="gramStart"/>
            <w:r w:rsidRPr="00811D27">
              <w:t>is not tolerated</w:t>
            </w:r>
            <w:proofErr w:type="gramEnd"/>
            <w:r w:rsidRPr="00811D27">
              <w:t xml:space="preserve"> or contraindicated.</w:t>
            </w:r>
          </w:p>
          <w:p w14:paraId="634F8151" w14:textId="77777777" w:rsidR="000611F3" w:rsidRPr="00490B5D" w:rsidRDefault="000611F3" w:rsidP="000611F3">
            <w:pPr>
              <w:pStyle w:val="TableText"/>
              <w:numPr>
                <w:ilvl w:val="0"/>
                <w:numId w:val="13"/>
              </w:numPr>
              <w:rPr>
                <w:rFonts w:ascii="Times New Roman" w:hAnsi="Times New Roman"/>
              </w:rPr>
            </w:pPr>
            <w:r w:rsidRPr="00811D27">
              <w:t>in addition to other medicinal products for T2DM.</w:t>
            </w:r>
          </w:p>
        </w:tc>
      </w:tr>
    </w:tbl>
    <w:p w14:paraId="4FA20F51" w14:textId="1D7CBF03" w:rsidR="000611F3" w:rsidRDefault="000611F3" w:rsidP="000611F3">
      <w:pPr>
        <w:pStyle w:val="Tableheading"/>
        <w:numPr>
          <w:ilvl w:val="0"/>
          <w:numId w:val="31"/>
        </w:numPr>
      </w:pPr>
      <w:r>
        <w:t>DPP4 inhibitors</w:t>
      </w:r>
    </w:p>
    <w:tbl>
      <w:tblPr>
        <w:tblStyle w:val="TableGrid"/>
        <w:tblW w:w="0" w:type="auto"/>
        <w:tblLook w:val="04A0" w:firstRow="1" w:lastRow="0" w:firstColumn="1" w:lastColumn="0" w:noHBand="0" w:noVBand="1"/>
      </w:tblPr>
      <w:tblGrid>
        <w:gridCol w:w="1413"/>
        <w:gridCol w:w="7603"/>
      </w:tblGrid>
      <w:tr w:rsidR="000611F3" w:rsidRPr="00811D27" w14:paraId="34FE29CB" w14:textId="77777777" w:rsidTr="00B522FB">
        <w:trPr>
          <w:tblHeader/>
        </w:trPr>
        <w:tc>
          <w:tcPr>
            <w:tcW w:w="1413" w:type="dxa"/>
            <w:shd w:val="clear" w:color="auto" w:fill="BFBFBF" w:themeFill="background1" w:themeFillShade="BF"/>
          </w:tcPr>
          <w:p w14:paraId="173265A1" w14:textId="77777777" w:rsidR="000611F3" w:rsidRDefault="000611F3" w:rsidP="0009279C">
            <w:pPr>
              <w:pStyle w:val="TableText"/>
            </w:pPr>
            <w:r w:rsidRPr="00973208">
              <w:rPr>
                <w:b/>
                <w:bCs/>
              </w:rPr>
              <w:t>Medicine</w:t>
            </w:r>
          </w:p>
        </w:tc>
        <w:tc>
          <w:tcPr>
            <w:tcW w:w="7603" w:type="dxa"/>
            <w:shd w:val="clear" w:color="auto" w:fill="BFBFBF" w:themeFill="background1" w:themeFillShade="BF"/>
          </w:tcPr>
          <w:p w14:paraId="037184BE" w14:textId="77777777" w:rsidR="000611F3" w:rsidRPr="00811D27" w:rsidRDefault="000611F3" w:rsidP="0009279C">
            <w:pPr>
              <w:pStyle w:val="TableText"/>
            </w:pPr>
            <w:r w:rsidRPr="00973208">
              <w:rPr>
                <w:b/>
                <w:bCs/>
              </w:rPr>
              <w:t>TGA approved indication/s</w:t>
            </w:r>
          </w:p>
        </w:tc>
      </w:tr>
      <w:tr w:rsidR="000611F3" w:rsidRPr="00811D27" w14:paraId="539947E6" w14:textId="77777777" w:rsidTr="0009279C">
        <w:tc>
          <w:tcPr>
            <w:tcW w:w="1413" w:type="dxa"/>
          </w:tcPr>
          <w:p w14:paraId="28C8A8F4" w14:textId="3D8CF003" w:rsidR="000611F3" w:rsidRDefault="000611F3" w:rsidP="000611F3">
            <w:pPr>
              <w:pStyle w:val="TableText"/>
            </w:pPr>
            <w:r>
              <w:t>Linagliptin</w:t>
            </w:r>
          </w:p>
        </w:tc>
        <w:tc>
          <w:tcPr>
            <w:tcW w:w="7603" w:type="dxa"/>
          </w:tcPr>
          <w:p w14:paraId="62E0817F" w14:textId="77777777" w:rsidR="000611F3" w:rsidRDefault="000611F3" w:rsidP="000611F3">
            <w:pPr>
              <w:pStyle w:val="TableText"/>
            </w:pPr>
            <w:r>
              <w:t>Treatment of T2DM in adult patients to improve glycaemic control in conjunction with diet and exercise as:</w:t>
            </w:r>
          </w:p>
          <w:p w14:paraId="59D4E03E" w14:textId="77777777" w:rsidR="000611F3" w:rsidRDefault="000611F3" w:rsidP="000611F3">
            <w:pPr>
              <w:pStyle w:val="TableText"/>
              <w:numPr>
                <w:ilvl w:val="0"/>
                <w:numId w:val="15"/>
              </w:numPr>
            </w:pPr>
            <w:r>
              <w:t xml:space="preserve">monotherapy when metformin and sulfonylureas </w:t>
            </w:r>
            <w:proofErr w:type="gramStart"/>
            <w:r>
              <w:t>are not tolerated</w:t>
            </w:r>
            <w:proofErr w:type="gramEnd"/>
            <w:r>
              <w:t>, or are contraindicated, or,</w:t>
            </w:r>
          </w:p>
          <w:p w14:paraId="56AB9512" w14:textId="77777777" w:rsidR="000611F3" w:rsidRDefault="000611F3" w:rsidP="000611F3">
            <w:pPr>
              <w:pStyle w:val="TableText"/>
              <w:numPr>
                <w:ilvl w:val="0"/>
                <w:numId w:val="15"/>
              </w:numPr>
            </w:pPr>
            <w:r>
              <w:t>as an add on to metformin, sulfonylureas or metformin plus sulfonylureas, or to insulin (with or without metformin) or,</w:t>
            </w:r>
          </w:p>
          <w:p w14:paraId="350673E7" w14:textId="0F82B89F" w:rsidR="000611F3" w:rsidRPr="00811D27" w:rsidRDefault="000611F3" w:rsidP="000611F3">
            <w:pPr>
              <w:pStyle w:val="TableText"/>
            </w:pPr>
            <w:r>
              <w:t xml:space="preserve">as an add on to metformin plus SGLT2 inhibitors </w:t>
            </w:r>
          </w:p>
        </w:tc>
      </w:tr>
      <w:tr w:rsidR="000611F3" w:rsidRPr="00811D27" w14:paraId="33755C09" w14:textId="77777777" w:rsidTr="0009279C">
        <w:tc>
          <w:tcPr>
            <w:tcW w:w="1413" w:type="dxa"/>
          </w:tcPr>
          <w:p w14:paraId="3A681A5F" w14:textId="24F16083" w:rsidR="000611F3" w:rsidRDefault="000611F3" w:rsidP="000611F3">
            <w:pPr>
              <w:pStyle w:val="TableText"/>
            </w:pPr>
            <w:r>
              <w:t>Saxagliptin</w:t>
            </w:r>
          </w:p>
        </w:tc>
        <w:tc>
          <w:tcPr>
            <w:tcW w:w="7603" w:type="dxa"/>
          </w:tcPr>
          <w:p w14:paraId="5B1056A2" w14:textId="77777777" w:rsidR="000611F3" w:rsidRDefault="000611F3" w:rsidP="000611F3">
            <w:pPr>
              <w:pStyle w:val="TableText"/>
            </w:pPr>
            <w:r>
              <w:t>Treatment of T2DM in adult patients to improve glycaemic control in combination with other glucose lowering medicines, when these together with diet and exercise, do not provide adequate glycaemic control:</w:t>
            </w:r>
          </w:p>
          <w:p w14:paraId="36E96931" w14:textId="1CD864E9" w:rsidR="000611F3" w:rsidRPr="00811D27" w:rsidRDefault="000611F3" w:rsidP="000611F3">
            <w:pPr>
              <w:pStyle w:val="TableText"/>
            </w:pPr>
            <w:r w:rsidRPr="00370B07">
              <w:t>for use as initial combination therapy with metformin, when dual saxagliptin and metformin therapy is appropriate (i.e. high initial HbA1c levels and poor prospects for response to monotherapy).</w:t>
            </w:r>
          </w:p>
        </w:tc>
      </w:tr>
      <w:tr w:rsidR="000611F3" w:rsidRPr="00490B5D" w14:paraId="10D86C1A" w14:textId="77777777" w:rsidTr="0009279C">
        <w:tc>
          <w:tcPr>
            <w:tcW w:w="1413" w:type="dxa"/>
          </w:tcPr>
          <w:p w14:paraId="385899F0" w14:textId="34A4133D" w:rsidR="000611F3" w:rsidRDefault="000611F3" w:rsidP="000611F3">
            <w:pPr>
              <w:pStyle w:val="TableText"/>
            </w:pPr>
            <w:r>
              <w:t>Alogliptin</w:t>
            </w:r>
          </w:p>
        </w:tc>
        <w:tc>
          <w:tcPr>
            <w:tcW w:w="7603" w:type="dxa"/>
          </w:tcPr>
          <w:p w14:paraId="1582E7C6" w14:textId="77777777" w:rsidR="000611F3" w:rsidRPr="00370B07" w:rsidRDefault="000611F3" w:rsidP="000611F3">
            <w:pPr>
              <w:pStyle w:val="TableText"/>
            </w:pPr>
            <w:r w:rsidRPr="00370B07">
              <w:t>Treatment of T2DM in adult patients to improve glycaemic control in, when diet and exercise do not provide adequate glycaemic control:</w:t>
            </w:r>
          </w:p>
          <w:p w14:paraId="5A025DE3" w14:textId="77777777" w:rsidR="000611F3" w:rsidRPr="00370B07" w:rsidRDefault="000611F3" w:rsidP="000611F3">
            <w:pPr>
              <w:pStyle w:val="TableText"/>
              <w:numPr>
                <w:ilvl w:val="0"/>
                <w:numId w:val="16"/>
              </w:numPr>
            </w:pPr>
            <w:r w:rsidRPr="00370B07">
              <w:t>as add on to metformin, a sulfonylurea, a thiazolidinedione, insulin (with or without metformin), or,</w:t>
            </w:r>
          </w:p>
          <w:p w14:paraId="3CB89928" w14:textId="27D8A7D5" w:rsidR="000611F3" w:rsidRPr="00490B5D" w:rsidRDefault="000611F3" w:rsidP="000611F3">
            <w:pPr>
              <w:pStyle w:val="TableText"/>
              <w:numPr>
                <w:ilvl w:val="0"/>
                <w:numId w:val="13"/>
              </w:numPr>
              <w:rPr>
                <w:rFonts w:ascii="Times New Roman" w:hAnsi="Times New Roman"/>
              </w:rPr>
            </w:pPr>
            <w:r w:rsidRPr="00370B07">
              <w:lastRenderedPageBreak/>
              <w:t>in combination with metformin and a thiazolidinedione when dual therapy does not provide adequate glycaemic control.</w:t>
            </w:r>
          </w:p>
        </w:tc>
      </w:tr>
      <w:tr w:rsidR="000611F3" w:rsidRPr="00490B5D" w14:paraId="5B9ED46E" w14:textId="77777777" w:rsidTr="0009279C">
        <w:tc>
          <w:tcPr>
            <w:tcW w:w="1413" w:type="dxa"/>
          </w:tcPr>
          <w:p w14:paraId="047DA18C" w14:textId="774869D5" w:rsidR="000611F3" w:rsidRDefault="000611F3" w:rsidP="000611F3">
            <w:pPr>
              <w:pStyle w:val="TableText"/>
            </w:pPr>
            <w:r>
              <w:lastRenderedPageBreak/>
              <w:t>Sitagliptin</w:t>
            </w:r>
          </w:p>
        </w:tc>
        <w:tc>
          <w:tcPr>
            <w:tcW w:w="7603" w:type="dxa"/>
          </w:tcPr>
          <w:p w14:paraId="30110378" w14:textId="77777777" w:rsidR="000611F3" w:rsidRPr="00370B07" w:rsidRDefault="000611F3" w:rsidP="000611F3">
            <w:pPr>
              <w:pStyle w:val="TableText"/>
            </w:pPr>
            <w:r w:rsidRPr="00370B07">
              <w:t>Indicated as an adjunct to diet and exercise to improve glycaemic control in adults with T2DM as:</w:t>
            </w:r>
          </w:p>
          <w:p w14:paraId="17BEEC70" w14:textId="77777777" w:rsidR="000611F3" w:rsidRPr="00370B07" w:rsidRDefault="000611F3" w:rsidP="000611F3">
            <w:pPr>
              <w:pStyle w:val="TableText"/>
              <w:numPr>
                <w:ilvl w:val="0"/>
                <w:numId w:val="17"/>
              </w:numPr>
            </w:pPr>
            <w:r w:rsidRPr="00370B07">
              <w:t xml:space="preserve">monotherapy when metformin </w:t>
            </w:r>
            <w:proofErr w:type="gramStart"/>
            <w:r w:rsidRPr="00370B07">
              <w:t>is considered</w:t>
            </w:r>
            <w:proofErr w:type="gramEnd"/>
            <w:r w:rsidRPr="00370B07">
              <w:t xml:space="preserve"> inappropriate due to intolerance; or,</w:t>
            </w:r>
          </w:p>
          <w:p w14:paraId="62AB2B09" w14:textId="12813000" w:rsidR="000611F3" w:rsidRPr="00370B07" w:rsidRDefault="000611F3" w:rsidP="000611F3">
            <w:pPr>
              <w:pStyle w:val="TableText"/>
            </w:pPr>
            <w:r w:rsidRPr="00370B07">
              <w:t>in combination with other anti-hyperglycaemic agents, including insulin</w:t>
            </w:r>
          </w:p>
        </w:tc>
      </w:tr>
      <w:tr w:rsidR="000611F3" w:rsidRPr="00490B5D" w14:paraId="68F68B3C" w14:textId="77777777" w:rsidTr="0009279C">
        <w:tc>
          <w:tcPr>
            <w:tcW w:w="1413" w:type="dxa"/>
          </w:tcPr>
          <w:p w14:paraId="01B3FE53" w14:textId="554868C4" w:rsidR="000611F3" w:rsidRDefault="000611F3" w:rsidP="000611F3">
            <w:pPr>
              <w:pStyle w:val="TableText"/>
            </w:pPr>
            <w:r>
              <w:t>Vildagliptin</w:t>
            </w:r>
          </w:p>
        </w:tc>
        <w:tc>
          <w:tcPr>
            <w:tcW w:w="7603" w:type="dxa"/>
          </w:tcPr>
          <w:p w14:paraId="55E81D97" w14:textId="77777777" w:rsidR="000611F3" w:rsidRPr="00370B07" w:rsidRDefault="000611F3" w:rsidP="000611F3">
            <w:pPr>
              <w:pStyle w:val="TableText"/>
            </w:pPr>
            <w:r w:rsidRPr="00370B07">
              <w:t>Treatment of T2DM in adults, as an adjunct to diet and exercise to improve glycaemic control:</w:t>
            </w:r>
          </w:p>
          <w:p w14:paraId="44C40365" w14:textId="77777777" w:rsidR="000611F3" w:rsidRPr="00370B07" w:rsidRDefault="000611F3" w:rsidP="000611F3">
            <w:pPr>
              <w:pStyle w:val="TableText"/>
              <w:numPr>
                <w:ilvl w:val="0"/>
                <w:numId w:val="18"/>
              </w:numPr>
            </w:pPr>
            <w:r w:rsidRPr="00370B07">
              <w:t xml:space="preserve">As monotherapy when metformin is inappropriate due to contraindications or intolerance. </w:t>
            </w:r>
          </w:p>
          <w:p w14:paraId="2EC315DB" w14:textId="77777777" w:rsidR="000611F3" w:rsidRPr="00370B07" w:rsidRDefault="000611F3" w:rsidP="000611F3">
            <w:pPr>
              <w:pStyle w:val="TableText"/>
              <w:numPr>
                <w:ilvl w:val="0"/>
                <w:numId w:val="18"/>
              </w:numPr>
            </w:pPr>
            <w:r w:rsidRPr="00370B07">
              <w:t xml:space="preserve">In dual combination with one of metformin, a sulfonylurea or pioglitazone when a single agent does not result in adequate glycaemic control. </w:t>
            </w:r>
          </w:p>
          <w:p w14:paraId="0D2A3613" w14:textId="77777777" w:rsidR="000611F3" w:rsidRPr="00370B07" w:rsidRDefault="000611F3" w:rsidP="000611F3">
            <w:pPr>
              <w:pStyle w:val="TableText"/>
              <w:numPr>
                <w:ilvl w:val="0"/>
                <w:numId w:val="18"/>
              </w:numPr>
            </w:pPr>
            <w:r w:rsidRPr="00370B07">
              <w:t xml:space="preserve">In triple combination with a sulfonylurea and metformin when dual therapy with these agents does not provide adequate glycaemic control. </w:t>
            </w:r>
          </w:p>
          <w:p w14:paraId="71306744" w14:textId="27691D44" w:rsidR="000611F3" w:rsidRPr="00370B07" w:rsidRDefault="000611F3" w:rsidP="000611F3">
            <w:pPr>
              <w:pStyle w:val="TableText"/>
            </w:pPr>
            <w:r w:rsidRPr="00370B07">
              <w:t>In combination with insulin (with or without metformin) when a stable dose of insulin does not result in adequate glycaemic control.</w:t>
            </w:r>
          </w:p>
        </w:tc>
      </w:tr>
      <w:tr w:rsidR="000611F3" w:rsidRPr="00490B5D" w14:paraId="05DDB02F" w14:textId="77777777" w:rsidTr="0009279C">
        <w:tc>
          <w:tcPr>
            <w:tcW w:w="1413" w:type="dxa"/>
          </w:tcPr>
          <w:p w14:paraId="7D1F0402" w14:textId="24BCA0B1" w:rsidR="000611F3" w:rsidRDefault="000611F3" w:rsidP="000611F3">
            <w:pPr>
              <w:pStyle w:val="TableText"/>
            </w:pPr>
            <w:r>
              <w:t>Linagliptin + metformin</w:t>
            </w:r>
          </w:p>
        </w:tc>
        <w:tc>
          <w:tcPr>
            <w:tcW w:w="7603" w:type="dxa"/>
          </w:tcPr>
          <w:p w14:paraId="736D60D1" w14:textId="77777777" w:rsidR="000611F3" w:rsidRPr="001E79A7" w:rsidRDefault="000611F3" w:rsidP="000611F3">
            <w:pPr>
              <w:pStyle w:val="TableText"/>
            </w:pPr>
            <w:r>
              <w:t>I</w:t>
            </w:r>
            <w:r w:rsidRPr="001E79A7">
              <w:t>ndicated as an adjunct to diet and exercise to improve glycaemic control in adults with T2DM:</w:t>
            </w:r>
          </w:p>
          <w:p w14:paraId="46282CCF" w14:textId="77777777" w:rsidR="000611F3" w:rsidRPr="001E79A7" w:rsidRDefault="000611F3" w:rsidP="000611F3">
            <w:pPr>
              <w:pStyle w:val="TableText"/>
              <w:numPr>
                <w:ilvl w:val="0"/>
                <w:numId w:val="20"/>
              </w:numPr>
            </w:pPr>
            <w:r w:rsidRPr="001E79A7">
              <w:t xml:space="preserve">when treatment with both linagliptin and metformin is appropriate, </w:t>
            </w:r>
          </w:p>
          <w:p w14:paraId="0E4BD6D8" w14:textId="77777777" w:rsidR="000611F3" w:rsidRPr="001E79A7" w:rsidRDefault="000611F3" w:rsidP="000611F3">
            <w:pPr>
              <w:pStyle w:val="TableText"/>
              <w:numPr>
                <w:ilvl w:val="0"/>
                <w:numId w:val="20"/>
              </w:numPr>
            </w:pPr>
            <w:r w:rsidRPr="001E79A7">
              <w:t xml:space="preserve">in patients inadequately controlled on metformin alone, or those already </w:t>
            </w:r>
            <w:proofErr w:type="gramStart"/>
            <w:r w:rsidRPr="001E79A7">
              <w:t>being treated</w:t>
            </w:r>
            <w:proofErr w:type="gramEnd"/>
            <w:r w:rsidRPr="001E79A7">
              <w:t xml:space="preserve"> and well controlled with the free combination of linagliptin and metformin. </w:t>
            </w:r>
          </w:p>
          <w:p w14:paraId="0E7DE78D" w14:textId="77777777" w:rsidR="000611F3" w:rsidRPr="001E79A7" w:rsidRDefault="000611F3" w:rsidP="000611F3">
            <w:pPr>
              <w:pStyle w:val="TableText"/>
              <w:numPr>
                <w:ilvl w:val="0"/>
                <w:numId w:val="20"/>
              </w:numPr>
            </w:pPr>
            <w:r w:rsidRPr="001E79A7">
              <w:t xml:space="preserve">in triple combination therapy with a sulfonylurea in patients inadequately controlled on their maximal tolerated dose of metformin and a sulfonylurea. </w:t>
            </w:r>
          </w:p>
          <w:p w14:paraId="29E9B551" w14:textId="0F28BFDA" w:rsidR="000611F3" w:rsidRPr="00370B07" w:rsidRDefault="000611F3" w:rsidP="000611F3">
            <w:pPr>
              <w:pStyle w:val="TableText"/>
            </w:pPr>
            <w:r w:rsidRPr="001E79A7">
              <w:t>in triple combination therapy with an SGLT2 inhibitor in patients inadequately controlled on their maximum tolerated dose of metformin and an SGLT2 inhibitor. as add-on to insulin when insulin and metformin alone do not provide adequate glycaemic control.</w:t>
            </w:r>
          </w:p>
        </w:tc>
      </w:tr>
      <w:tr w:rsidR="000611F3" w:rsidRPr="00490B5D" w14:paraId="22536789" w14:textId="77777777" w:rsidTr="0009279C">
        <w:tc>
          <w:tcPr>
            <w:tcW w:w="1413" w:type="dxa"/>
          </w:tcPr>
          <w:p w14:paraId="62DE7280" w14:textId="74B7B108" w:rsidR="000611F3" w:rsidRDefault="000611F3" w:rsidP="000611F3">
            <w:pPr>
              <w:pStyle w:val="TableText"/>
            </w:pPr>
            <w:r>
              <w:t>Saxagliptin + metformin</w:t>
            </w:r>
          </w:p>
        </w:tc>
        <w:tc>
          <w:tcPr>
            <w:tcW w:w="7603" w:type="dxa"/>
          </w:tcPr>
          <w:p w14:paraId="0ADB8393" w14:textId="460F7DF0" w:rsidR="000611F3" w:rsidRDefault="000611F3" w:rsidP="000611F3">
            <w:pPr>
              <w:pStyle w:val="TableText"/>
            </w:pPr>
            <w:r>
              <w:t>Indicated as an adjunct to diet and exercise to improve glycaemic control in adults with T2DM when treatment with both saxagliptin and metformin is appropriate.</w:t>
            </w:r>
          </w:p>
        </w:tc>
      </w:tr>
      <w:tr w:rsidR="000611F3" w:rsidRPr="00490B5D" w14:paraId="24811940" w14:textId="77777777" w:rsidTr="0009279C">
        <w:tc>
          <w:tcPr>
            <w:tcW w:w="1413" w:type="dxa"/>
          </w:tcPr>
          <w:p w14:paraId="348C5A0D" w14:textId="07B27635" w:rsidR="000611F3" w:rsidRDefault="000611F3" w:rsidP="000611F3">
            <w:pPr>
              <w:pStyle w:val="TableText"/>
            </w:pPr>
            <w:r>
              <w:t>Alogliptin with metformin</w:t>
            </w:r>
          </w:p>
        </w:tc>
        <w:tc>
          <w:tcPr>
            <w:tcW w:w="7603" w:type="dxa"/>
          </w:tcPr>
          <w:p w14:paraId="646D8D71" w14:textId="77777777" w:rsidR="000611F3" w:rsidRPr="001E79A7" w:rsidRDefault="000611F3" w:rsidP="000611F3">
            <w:pPr>
              <w:pStyle w:val="TableText"/>
            </w:pPr>
            <w:r w:rsidRPr="001E79A7">
              <w:t>Indicated to improve glycaemic control in adult patients with T2DM when diet and exercise do not provide adequate glycaemic control and:</w:t>
            </w:r>
          </w:p>
          <w:p w14:paraId="59D81F1C" w14:textId="77777777" w:rsidR="000611F3" w:rsidRPr="001E79A7" w:rsidRDefault="000611F3" w:rsidP="000611F3">
            <w:pPr>
              <w:pStyle w:val="TableText"/>
              <w:numPr>
                <w:ilvl w:val="0"/>
                <w:numId w:val="21"/>
              </w:numPr>
            </w:pPr>
            <w:r w:rsidRPr="001E79A7">
              <w:t>treatment with both alogliptin and metformin is appropriate when treatment with metformin alone does not provide adequate control; or</w:t>
            </w:r>
          </w:p>
          <w:p w14:paraId="532E6710" w14:textId="77777777" w:rsidR="000611F3" w:rsidRPr="001E79A7" w:rsidRDefault="000611F3" w:rsidP="000611F3">
            <w:pPr>
              <w:pStyle w:val="TableText"/>
              <w:numPr>
                <w:ilvl w:val="0"/>
                <w:numId w:val="21"/>
              </w:numPr>
            </w:pPr>
            <w:r w:rsidRPr="001E79A7">
              <w:t>in combination with a thiazolidinedione or with insulin when dual therapy does not provide adequate control.</w:t>
            </w:r>
          </w:p>
          <w:p w14:paraId="07676457" w14:textId="3634AE40" w:rsidR="000611F3" w:rsidRDefault="000611F3" w:rsidP="000611F3">
            <w:pPr>
              <w:pStyle w:val="TableText"/>
            </w:pPr>
            <w:r w:rsidRPr="001E79A7">
              <w:t xml:space="preserve">can also </w:t>
            </w:r>
            <w:proofErr w:type="gramStart"/>
            <w:r w:rsidRPr="001E79A7">
              <w:t>be used</w:t>
            </w:r>
            <w:proofErr w:type="gramEnd"/>
            <w:r w:rsidRPr="001E79A7">
              <w:t xml:space="preserve"> to replace separate tablets of alogliptin and metformin in patients already being treated with this combination.</w:t>
            </w:r>
          </w:p>
        </w:tc>
      </w:tr>
      <w:tr w:rsidR="000611F3" w:rsidRPr="00490B5D" w14:paraId="311F211F" w14:textId="77777777" w:rsidTr="0009279C">
        <w:tc>
          <w:tcPr>
            <w:tcW w:w="1413" w:type="dxa"/>
          </w:tcPr>
          <w:p w14:paraId="247B1299" w14:textId="124669F9" w:rsidR="000611F3" w:rsidRDefault="000611F3" w:rsidP="000611F3">
            <w:pPr>
              <w:pStyle w:val="TableText"/>
            </w:pPr>
            <w:r>
              <w:t>Sitagliptin + metformin</w:t>
            </w:r>
          </w:p>
        </w:tc>
        <w:tc>
          <w:tcPr>
            <w:tcW w:w="7603" w:type="dxa"/>
          </w:tcPr>
          <w:p w14:paraId="208533C0" w14:textId="325C226A" w:rsidR="000611F3" w:rsidRPr="001E79A7" w:rsidRDefault="000611F3" w:rsidP="000611F3">
            <w:pPr>
              <w:pStyle w:val="TableText"/>
            </w:pPr>
            <w:r>
              <w:t>Indicated as an adjunct to diet and exercise to improve glycaemic control in adults with T2DM when treatment with both sitagliptin and metformin is appropriate.</w:t>
            </w:r>
          </w:p>
        </w:tc>
      </w:tr>
      <w:tr w:rsidR="000611F3" w:rsidRPr="00490B5D" w14:paraId="116EA169" w14:textId="77777777" w:rsidTr="0009279C">
        <w:tc>
          <w:tcPr>
            <w:tcW w:w="1413" w:type="dxa"/>
          </w:tcPr>
          <w:p w14:paraId="24027EA1" w14:textId="5C32EA25" w:rsidR="000611F3" w:rsidRDefault="000611F3" w:rsidP="000611F3">
            <w:pPr>
              <w:pStyle w:val="TableText"/>
            </w:pPr>
            <w:r>
              <w:t>Vildagliptin + metformin</w:t>
            </w:r>
          </w:p>
        </w:tc>
        <w:tc>
          <w:tcPr>
            <w:tcW w:w="7603" w:type="dxa"/>
          </w:tcPr>
          <w:p w14:paraId="284D85B4" w14:textId="77777777" w:rsidR="000611F3" w:rsidRPr="00BC5F2C" w:rsidRDefault="000611F3" w:rsidP="000611F3">
            <w:pPr>
              <w:pStyle w:val="TableText"/>
            </w:pPr>
            <w:r>
              <w:t>I</w:t>
            </w:r>
            <w:r w:rsidRPr="00BC5F2C">
              <w:t xml:space="preserve">ndicated as an adjunct to diet and exercise to improve glycaemic control in adult patients with T2DM not adequately controlled on metformin hydrochloride alone or who </w:t>
            </w:r>
            <w:proofErr w:type="gramStart"/>
            <w:r w:rsidRPr="00BC5F2C">
              <w:t>are already treated</w:t>
            </w:r>
            <w:proofErr w:type="gramEnd"/>
            <w:r w:rsidRPr="00BC5F2C">
              <w:t xml:space="preserve"> with the combination of vildagliptin and metformin hydrochloride, as separate tablets. Treatment should not </w:t>
            </w:r>
            <w:proofErr w:type="gramStart"/>
            <w:r w:rsidRPr="00BC5F2C">
              <w:t>be initiated</w:t>
            </w:r>
            <w:proofErr w:type="gramEnd"/>
            <w:r w:rsidRPr="00BC5F2C">
              <w:t xml:space="preserve"> with this fixed-dose combination</w:t>
            </w:r>
            <w:r>
              <w:t>:</w:t>
            </w:r>
          </w:p>
          <w:p w14:paraId="410F1252" w14:textId="77777777" w:rsidR="000611F3" w:rsidRPr="00BC5F2C" w:rsidRDefault="000611F3" w:rsidP="000611F3">
            <w:pPr>
              <w:pStyle w:val="TableText"/>
              <w:numPr>
                <w:ilvl w:val="0"/>
                <w:numId w:val="22"/>
              </w:numPr>
            </w:pPr>
            <w:r>
              <w:t>I</w:t>
            </w:r>
            <w:r w:rsidRPr="00BC5F2C">
              <w:t>ndicated in triple combination therapy with a sulfonylurea in patients inadequately controlled with metformin and a sulfonylurea.</w:t>
            </w:r>
          </w:p>
          <w:p w14:paraId="0EC0B1B8" w14:textId="7A3EBC03" w:rsidR="000611F3" w:rsidRDefault="000611F3" w:rsidP="000611F3">
            <w:pPr>
              <w:pStyle w:val="TableText"/>
            </w:pPr>
            <w:r>
              <w:lastRenderedPageBreak/>
              <w:t>I</w:t>
            </w:r>
            <w:r w:rsidRPr="00BC5F2C">
              <w:t>ndicated as add-on to insulin in patients when stable dose of insulin and metformin alone do not provide adequate glycaemic control.</w:t>
            </w:r>
          </w:p>
        </w:tc>
      </w:tr>
    </w:tbl>
    <w:p w14:paraId="33E7D8DE" w14:textId="0A51D4CA" w:rsidR="000611F3" w:rsidRDefault="000611F3" w:rsidP="000611F3">
      <w:pPr>
        <w:pStyle w:val="Tableheading"/>
        <w:numPr>
          <w:ilvl w:val="0"/>
          <w:numId w:val="31"/>
        </w:numPr>
      </w:pPr>
      <w:r>
        <w:lastRenderedPageBreak/>
        <w:t>SGLT2 inhibitors + DPP4 inhibitors</w:t>
      </w:r>
    </w:p>
    <w:tbl>
      <w:tblPr>
        <w:tblStyle w:val="TableGrid"/>
        <w:tblW w:w="0" w:type="auto"/>
        <w:tblLook w:val="04A0" w:firstRow="1" w:lastRow="0" w:firstColumn="1" w:lastColumn="0" w:noHBand="0" w:noVBand="1"/>
      </w:tblPr>
      <w:tblGrid>
        <w:gridCol w:w="1413"/>
        <w:gridCol w:w="7603"/>
      </w:tblGrid>
      <w:tr w:rsidR="000611F3" w:rsidRPr="00811D27" w14:paraId="5B358F7F" w14:textId="77777777" w:rsidTr="00B522FB">
        <w:trPr>
          <w:tblHeader/>
        </w:trPr>
        <w:tc>
          <w:tcPr>
            <w:tcW w:w="1413" w:type="dxa"/>
            <w:shd w:val="clear" w:color="auto" w:fill="BFBFBF" w:themeFill="background1" w:themeFillShade="BF"/>
          </w:tcPr>
          <w:p w14:paraId="60778E9E" w14:textId="77777777" w:rsidR="000611F3" w:rsidRDefault="000611F3" w:rsidP="0009279C">
            <w:pPr>
              <w:pStyle w:val="TableText"/>
            </w:pPr>
            <w:r w:rsidRPr="00973208">
              <w:rPr>
                <w:b/>
                <w:bCs/>
              </w:rPr>
              <w:t>Medicine</w:t>
            </w:r>
          </w:p>
        </w:tc>
        <w:tc>
          <w:tcPr>
            <w:tcW w:w="7603" w:type="dxa"/>
            <w:shd w:val="clear" w:color="auto" w:fill="BFBFBF" w:themeFill="background1" w:themeFillShade="BF"/>
          </w:tcPr>
          <w:p w14:paraId="65A738A9" w14:textId="77777777" w:rsidR="000611F3" w:rsidRPr="00811D27" w:rsidRDefault="000611F3" w:rsidP="0009279C">
            <w:pPr>
              <w:pStyle w:val="TableText"/>
            </w:pPr>
            <w:r w:rsidRPr="00973208">
              <w:rPr>
                <w:b/>
                <w:bCs/>
              </w:rPr>
              <w:t>TGA approved indication/s</w:t>
            </w:r>
          </w:p>
        </w:tc>
      </w:tr>
      <w:tr w:rsidR="000611F3" w:rsidRPr="00811D27" w14:paraId="7694A043" w14:textId="77777777" w:rsidTr="00B522FB">
        <w:tc>
          <w:tcPr>
            <w:tcW w:w="1413" w:type="dxa"/>
          </w:tcPr>
          <w:p w14:paraId="11347A3D" w14:textId="3928E3E9" w:rsidR="000611F3" w:rsidRDefault="000611F3" w:rsidP="000611F3">
            <w:pPr>
              <w:pStyle w:val="TableText"/>
            </w:pPr>
            <w:r>
              <w:t>Saxagliptin + dapagliflozin</w:t>
            </w:r>
          </w:p>
        </w:tc>
        <w:tc>
          <w:tcPr>
            <w:tcW w:w="7603" w:type="dxa"/>
          </w:tcPr>
          <w:p w14:paraId="25422BBC" w14:textId="70BC3E7A" w:rsidR="000611F3" w:rsidRPr="00811D27" w:rsidRDefault="000611F3" w:rsidP="000611F3">
            <w:pPr>
              <w:pStyle w:val="TableText"/>
            </w:pPr>
            <w:r>
              <w:t>Indicated as an adjunct to diet and exercise, in combination with metformin, to improve glycaemic control in adults with T2DM when treatment with both saxagliptin and dapagliflozin is appropriate.</w:t>
            </w:r>
          </w:p>
        </w:tc>
      </w:tr>
      <w:tr w:rsidR="000611F3" w:rsidRPr="00811D27" w14:paraId="7C0EA624" w14:textId="77777777" w:rsidTr="00B522FB">
        <w:tc>
          <w:tcPr>
            <w:tcW w:w="1413" w:type="dxa"/>
          </w:tcPr>
          <w:p w14:paraId="3ED529CB" w14:textId="00B5D08D" w:rsidR="000611F3" w:rsidRDefault="000611F3" w:rsidP="000611F3">
            <w:pPr>
              <w:pStyle w:val="TableText"/>
            </w:pPr>
            <w:r>
              <w:t>Empagliflozin + linagliptin</w:t>
            </w:r>
          </w:p>
        </w:tc>
        <w:tc>
          <w:tcPr>
            <w:tcW w:w="7603" w:type="dxa"/>
          </w:tcPr>
          <w:p w14:paraId="105DDDB2" w14:textId="5A0E5902" w:rsidR="000611F3" w:rsidRPr="00811D27" w:rsidRDefault="000611F3" w:rsidP="000611F3">
            <w:pPr>
              <w:pStyle w:val="TableText"/>
            </w:pPr>
            <w:r>
              <w:t>Indicated as an adjunct to diet and exercise to improve glycaemic control in adults with T2DM when treatment with both empagliflozin and linagliptin is appropriate.</w:t>
            </w:r>
          </w:p>
        </w:tc>
      </w:tr>
      <w:tr w:rsidR="000611F3" w:rsidRPr="00490B5D" w14:paraId="4C3B277B" w14:textId="77777777" w:rsidTr="00B522FB">
        <w:tc>
          <w:tcPr>
            <w:tcW w:w="1413" w:type="dxa"/>
          </w:tcPr>
          <w:p w14:paraId="5908A0EC" w14:textId="73798CDF" w:rsidR="000611F3" w:rsidRDefault="000611F3" w:rsidP="000611F3">
            <w:pPr>
              <w:pStyle w:val="TableText"/>
            </w:pPr>
            <w:r>
              <w:t>Ertugliflozin + sitagliptin</w:t>
            </w:r>
          </w:p>
        </w:tc>
        <w:tc>
          <w:tcPr>
            <w:tcW w:w="7603" w:type="dxa"/>
          </w:tcPr>
          <w:p w14:paraId="191E48F1" w14:textId="77777777" w:rsidR="000611F3" w:rsidRDefault="000611F3" w:rsidP="000611F3">
            <w:pPr>
              <w:pStyle w:val="TableText"/>
            </w:pPr>
            <w:r>
              <w:t>Indicated as an adjunct to diet and exercise to improve glycaemic control in adults with T2DM as:</w:t>
            </w:r>
          </w:p>
          <w:p w14:paraId="39E0F7D4" w14:textId="77777777" w:rsidR="000611F3" w:rsidRPr="003A7AD9" w:rsidRDefault="000611F3" w:rsidP="000611F3">
            <w:pPr>
              <w:pStyle w:val="TableText"/>
              <w:numPr>
                <w:ilvl w:val="0"/>
                <w:numId w:val="19"/>
              </w:numPr>
            </w:pPr>
            <w:r w:rsidRPr="003A7AD9">
              <w:t xml:space="preserve">monotherapy when metformin </w:t>
            </w:r>
            <w:proofErr w:type="gramStart"/>
            <w:r w:rsidRPr="003A7AD9">
              <w:t>is considered</w:t>
            </w:r>
            <w:proofErr w:type="gramEnd"/>
            <w:r w:rsidRPr="003A7AD9">
              <w:t xml:space="preserve"> inappropriate due to intolerance; or </w:t>
            </w:r>
          </w:p>
          <w:p w14:paraId="38450E1C" w14:textId="0690554A" w:rsidR="000611F3" w:rsidRPr="00490B5D" w:rsidRDefault="000611F3" w:rsidP="000611F3">
            <w:pPr>
              <w:pStyle w:val="TableText"/>
              <w:numPr>
                <w:ilvl w:val="0"/>
                <w:numId w:val="13"/>
              </w:numPr>
              <w:rPr>
                <w:rFonts w:ascii="Times New Roman" w:hAnsi="Times New Roman"/>
              </w:rPr>
            </w:pPr>
            <w:r w:rsidRPr="003A7AD9">
              <w:t>in combination with other anti-hyperglycaemic agents</w:t>
            </w:r>
          </w:p>
        </w:tc>
      </w:tr>
    </w:tbl>
    <w:p w14:paraId="0F04432A" w14:textId="77777777" w:rsidR="000611F3" w:rsidRDefault="000611F3" w:rsidP="00F34414"/>
    <w:p w14:paraId="5EEB817C" w14:textId="5769C054" w:rsidR="00AE3705" w:rsidRDefault="00AE3705" w:rsidP="00B403D7">
      <w:pPr>
        <w:pStyle w:val="Heading2"/>
        <w:spacing w:line="240" w:lineRule="auto"/>
      </w:pPr>
      <w:r>
        <w:t>Dosage and administration</w:t>
      </w:r>
    </w:p>
    <w:p w14:paraId="4FFC9F29" w14:textId="488EA6B0" w:rsidR="00590734" w:rsidRPr="002F61CA" w:rsidRDefault="00AE3705" w:rsidP="00C7336E">
      <w:pPr>
        <w:spacing w:line="240" w:lineRule="auto"/>
      </w:pPr>
      <w:r>
        <w:t>The list of medicines included in this report is available in Appendix A, Table A.1. For information on dosage and administration of these medicines, please refer to the</w:t>
      </w:r>
      <w:r w:rsidR="00590734" w:rsidRPr="002F61CA">
        <w:t xml:space="preserve"> current Product Information (PI) and Consumer Medicine Information (CMI)</w:t>
      </w:r>
      <w:r>
        <w:t>,</w:t>
      </w:r>
      <w:r w:rsidR="00590734" w:rsidRPr="002F61CA">
        <w:t xml:space="preserve"> available from</w:t>
      </w:r>
      <w:r w:rsidR="00CA74EF">
        <w:t xml:space="preserve"> the</w:t>
      </w:r>
      <w:r w:rsidR="00590734" w:rsidRPr="002F61CA">
        <w:t xml:space="preserve"> </w:t>
      </w:r>
      <w:hyperlink r:id="rId10" w:history="1">
        <w:r w:rsidR="00590734">
          <w:rPr>
            <w:rStyle w:val="Hyperlink"/>
          </w:rPr>
          <w:t>TGA (Product Information)</w:t>
        </w:r>
      </w:hyperlink>
      <w:r w:rsidR="00590734">
        <w:t xml:space="preserve"> and</w:t>
      </w:r>
      <w:r w:rsidR="00CA74EF">
        <w:t xml:space="preserve"> the</w:t>
      </w:r>
      <w:r w:rsidR="00590734">
        <w:t xml:space="preserve"> </w:t>
      </w:r>
      <w:hyperlink r:id="rId11" w:history="1">
        <w:r w:rsidR="00590734">
          <w:rPr>
            <w:rStyle w:val="Hyperlink"/>
          </w:rPr>
          <w:t>TGA (Consumer Medicines Information)</w:t>
        </w:r>
      </w:hyperlink>
      <w:r w:rsidR="00590734">
        <w:t>.</w:t>
      </w:r>
    </w:p>
    <w:p w14:paraId="1ED14AEB" w14:textId="1B83C65B" w:rsidR="00E5032E" w:rsidRDefault="00E5032E" w:rsidP="008E40F9">
      <w:pPr>
        <w:pStyle w:val="Heading2"/>
        <w:spacing w:line="240" w:lineRule="auto"/>
      </w:pPr>
      <w:r>
        <w:t>PBS listing details</w:t>
      </w:r>
      <w:r w:rsidR="00CA74EF">
        <w:t xml:space="preserve"> (at August 2022)</w:t>
      </w:r>
    </w:p>
    <w:p w14:paraId="75799BD7" w14:textId="0DEED796" w:rsidR="00E62CA3" w:rsidDel="00EE2BBB" w:rsidRDefault="00590734" w:rsidP="008E40F9">
      <w:pPr>
        <w:pStyle w:val="Heading3"/>
      </w:pPr>
      <w:r>
        <w:t xml:space="preserve">PBS </w:t>
      </w:r>
      <w:r w:rsidR="00E62CA3" w:rsidDel="00EE2BBB">
        <w:t>Restriction</w:t>
      </w:r>
      <w:r w:rsidR="00E62CA3">
        <w:t>s (Abridged)</w:t>
      </w:r>
    </w:p>
    <w:p w14:paraId="479FC650" w14:textId="3932732D" w:rsidR="00E62CA3" w:rsidRDefault="00E62CA3" w:rsidP="008E40F9">
      <w:pPr>
        <w:keepNext/>
        <w:keepLines/>
        <w:spacing w:line="240" w:lineRule="auto"/>
      </w:pPr>
      <w:r w:rsidRPr="00940732">
        <w:t xml:space="preserve">Metformin, </w:t>
      </w:r>
      <w:r>
        <w:t>sulfonylurea</w:t>
      </w:r>
      <w:r w:rsidRPr="00940732">
        <w:t>s, acarbose and most insulins</w:t>
      </w:r>
      <w:r>
        <w:t xml:space="preserve"> </w:t>
      </w:r>
      <w:r w:rsidRPr="00940732">
        <w:t>have unrestricted PBS listings.</w:t>
      </w:r>
      <w:r>
        <w:t xml:space="preserve"> </w:t>
      </w:r>
      <w:r w:rsidRPr="00940732">
        <w:t>Insulin detemir has a restricted benefit listing for type 1 diab</w:t>
      </w:r>
      <w:r>
        <w:t>e</w:t>
      </w:r>
      <w:r w:rsidRPr="00940732">
        <w:t>tes</w:t>
      </w:r>
      <w:r>
        <w:t xml:space="preserve"> and </w:t>
      </w:r>
      <w:proofErr w:type="gramStart"/>
      <w:r>
        <w:t>was excluded</w:t>
      </w:r>
      <w:proofErr w:type="gramEnd"/>
      <w:r>
        <w:t xml:space="preserve"> from this analysis. </w:t>
      </w:r>
    </w:p>
    <w:p w14:paraId="0F73FFBD" w14:textId="77777777" w:rsidR="00A75C6B" w:rsidRDefault="00E62CA3" w:rsidP="008E40F9">
      <w:pPr>
        <w:keepNext/>
        <w:keepLines/>
        <w:spacing w:line="240" w:lineRule="auto"/>
      </w:pPr>
      <w:r>
        <w:t>DPP4 inhibitors</w:t>
      </w:r>
      <w:r w:rsidRPr="00940732">
        <w:t xml:space="preserve">, </w:t>
      </w:r>
      <w:r>
        <w:t>SGLT2 inhibitors</w:t>
      </w:r>
      <w:r w:rsidRPr="00940732">
        <w:t xml:space="preserve">, GLP-1 </w:t>
      </w:r>
      <w:r>
        <w:t>RA</w:t>
      </w:r>
      <w:r w:rsidRPr="00940732">
        <w:t xml:space="preserve">s and pioglitazone have Authority </w:t>
      </w:r>
      <w:r>
        <w:t>R</w:t>
      </w:r>
      <w:r w:rsidRPr="00940732">
        <w:t>equired (</w:t>
      </w:r>
      <w:r>
        <w:t>STREAMLINED</w:t>
      </w:r>
      <w:r w:rsidRPr="00940732">
        <w:t>) listings for patients meeting certain criteria and for use in combination with specified medicines.</w:t>
      </w:r>
      <w:r>
        <w:t xml:space="preserve"> Table </w:t>
      </w:r>
      <w:r w:rsidR="000F4A60">
        <w:t>2</w:t>
      </w:r>
      <w:r>
        <w:t xml:space="preserve"> provides an overview of the current PBS restrictions for the Authority Required diabetes medicines. </w:t>
      </w:r>
      <w:r w:rsidRPr="007D1A02">
        <w:t>None of the</w:t>
      </w:r>
      <w:r>
        <w:t xml:space="preserve">se </w:t>
      </w:r>
      <w:r w:rsidRPr="007D1A02">
        <w:t>classes of medicines are currently PBS subsidised for use as monotherapy.</w:t>
      </w:r>
      <w:r>
        <w:t xml:space="preserve"> </w:t>
      </w:r>
    </w:p>
    <w:p w14:paraId="5787C99F" w14:textId="7A00E592" w:rsidR="00E62CA3" w:rsidRDefault="00E62CA3" w:rsidP="00C7336E">
      <w:pPr>
        <w:spacing w:line="240" w:lineRule="auto"/>
      </w:pPr>
      <w:r>
        <w:t xml:space="preserve">Initiation on any of these medicines requires patients to have, or have had, a HbA1c measurement greater than 7% despite treatment with specified medicines; OR if HbA1c measurement is clinically inappropriate, blood glucose levels above 10 mmol per L in more than 20% of tests over a 2-week period despite treatment with specified medicines. </w:t>
      </w:r>
    </w:p>
    <w:p w14:paraId="0F4EBB72" w14:textId="36374187" w:rsidR="00E62CA3" w:rsidRPr="007F140D" w:rsidRDefault="00E62CA3" w:rsidP="00C7336E">
      <w:pPr>
        <w:spacing w:line="240" w:lineRule="auto"/>
        <w:rPr>
          <w:rFonts w:ascii="Times New Roman" w:hAnsi="Times New Roman"/>
        </w:rPr>
      </w:pPr>
      <w:r>
        <w:t>GLP-1 RAs are not PBS-subsidised for use in combination with a DPP4 inhibitor, pioglitazone, or an SGLT2 inhibitor.</w:t>
      </w:r>
      <w:r>
        <w:rPr>
          <w:rFonts w:ascii="Times New Roman" w:hAnsi="Times New Roman"/>
        </w:rPr>
        <w:t xml:space="preserve"> </w:t>
      </w:r>
      <w:r>
        <w:t xml:space="preserve">The PBS restrictions for GLP-1 RAs differ from SGLT2 and DPP4 inhibitors in that dual therapy with metformin or a SU requires contraindication/intolerance to a combination of metformin and a SU. The PBS restrictions for SGLT2 and DPP4 inhibitors </w:t>
      </w:r>
      <w:r>
        <w:lastRenderedPageBreak/>
        <w:t xml:space="preserve">also previously required contraindication/intolerance to a combination of metformin and a SU. However, in 2013, as a result of the 2012/13 DUSC </w:t>
      </w:r>
      <w:r w:rsidRPr="007F140D">
        <w:t>‘Analysis of drugs for type 2 diabetes’</w:t>
      </w:r>
      <w:r>
        <w:t xml:space="preserve">, the PBAC recommended that the restrictions for DPP4 inhibitors </w:t>
      </w:r>
      <w:proofErr w:type="gramStart"/>
      <w:r>
        <w:t>be amended</w:t>
      </w:r>
      <w:proofErr w:type="gramEnd"/>
      <w:r>
        <w:t xml:space="preserve"> to remove th</w:t>
      </w:r>
      <w:r w:rsidR="00A75C6B">
        <w:t>is</w:t>
      </w:r>
      <w:r>
        <w:t xml:space="preserve"> requirement contingent on a price reduction to account for the likely amount of non-cost-effective use. The PBAC recommended that approximately 40% of use should be cost-minimised to the price of the average daily dose of a SU. In 2014, the PBAC recommended alignment of the restrictions and prices for SGLT2 inhibitors with DPP4 inhibitors.</w:t>
      </w:r>
    </w:p>
    <w:p w14:paraId="0BD548E4" w14:textId="37C11CD9" w:rsidR="00E62CA3" w:rsidRPr="00F92F86" w:rsidRDefault="00E62CA3" w:rsidP="00E5032E">
      <w:pPr>
        <w:pStyle w:val="Tableheading"/>
        <w:keepNext/>
        <w:keepLines/>
      </w:pPr>
      <w:r w:rsidRPr="00F92F86">
        <w:t xml:space="preserve">Table </w:t>
      </w:r>
      <w:r w:rsidR="000F4A60" w:rsidRPr="00F92F86">
        <w:t>2</w:t>
      </w:r>
      <w:r w:rsidRPr="00F92F86">
        <w:t xml:space="preserve">: </w:t>
      </w:r>
      <w:r w:rsidR="00AE3705" w:rsidRPr="00F92F86">
        <w:t>A</w:t>
      </w:r>
      <w:r w:rsidRPr="00F92F86">
        <w:t xml:space="preserve">bridged PBS restrictions for Authority </w:t>
      </w:r>
      <w:r w:rsidR="00CA74EF">
        <w:t>R</w:t>
      </w:r>
      <w:r w:rsidRPr="00F92F86">
        <w:t>equired (</w:t>
      </w:r>
      <w:r w:rsidR="00FB7202" w:rsidRPr="00F92F86">
        <w:t>S</w:t>
      </w:r>
      <w:r w:rsidRPr="00F92F86">
        <w:t xml:space="preserve">treamlined) </w:t>
      </w:r>
      <w:r w:rsidR="00AE3705" w:rsidRPr="00F92F86">
        <w:t xml:space="preserve">T2DM </w:t>
      </w:r>
      <w:r w:rsidRPr="00F92F86">
        <w:t xml:space="preserve">medicines </w:t>
      </w:r>
      <w:r w:rsidR="000143AB">
        <w:t xml:space="preserve">for T2DM indications </w:t>
      </w:r>
      <w:r w:rsidRPr="00F92F86">
        <w:t>(at 1 August 2022)</w:t>
      </w:r>
    </w:p>
    <w:tbl>
      <w:tblPr>
        <w:tblStyle w:val="TableGrid"/>
        <w:tblW w:w="9493" w:type="dxa"/>
        <w:tblLook w:val="04A0" w:firstRow="1" w:lastRow="0" w:firstColumn="1" w:lastColumn="0" w:noHBand="0" w:noVBand="1"/>
      </w:tblPr>
      <w:tblGrid>
        <w:gridCol w:w="2404"/>
        <w:gridCol w:w="1467"/>
        <w:gridCol w:w="1369"/>
        <w:gridCol w:w="1418"/>
        <w:gridCol w:w="1417"/>
        <w:gridCol w:w="1418"/>
      </w:tblGrid>
      <w:tr w:rsidR="007F6C22" w14:paraId="6D96F36B" w14:textId="77777777" w:rsidTr="007F6C22">
        <w:trPr>
          <w:trHeight w:val="340"/>
          <w:tblHeader/>
        </w:trPr>
        <w:tc>
          <w:tcPr>
            <w:tcW w:w="2404" w:type="dxa"/>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tcPr>
          <w:p w14:paraId="3ECB02C7" w14:textId="271020A1" w:rsidR="00B522FB" w:rsidRDefault="00B522FB" w:rsidP="00B522FB">
            <w:pPr>
              <w:keepNext/>
              <w:keepLines/>
              <w:rPr>
                <w:rFonts w:cstheme="minorHAnsi"/>
                <w:b/>
                <w:sz w:val="20"/>
              </w:rPr>
            </w:pPr>
            <w:r>
              <w:rPr>
                <w:rFonts w:cstheme="minorHAnsi"/>
                <w:b/>
                <w:sz w:val="20"/>
              </w:rPr>
              <w:t>Class</w:t>
            </w:r>
          </w:p>
        </w:tc>
        <w:tc>
          <w:tcPr>
            <w:tcW w:w="1467" w:type="dxa"/>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105A008A" w14:textId="7C96591F" w:rsidR="00B522FB" w:rsidRDefault="00B522FB" w:rsidP="00E5032E">
            <w:pPr>
              <w:keepNext/>
              <w:keepLines/>
              <w:rPr>
                <w:rFonts w:asciiTheme="minorHAnsi" w:hAnsiTheme="minorHAnsi" w:cstheme="minorHAnsi"/>
                <w:b/>
                <w:sz w:val="20"/>
                <w:szCs w:val="20"/>
              </w:rPr>
            </w:pPr>
            <w:r>
              <w:rPr>
                <w:rFonts w:cstheme="minorHAnsi"/>
                <w:b/>
                <w:sz w:val="20"/>
              </w:rPr>
              <w:t>Drug</w:t>
            </w:r>
          </w:p>
        </w:tc>
        <w:tc>
          <w:tcPr>
            <w:tcW w:w="1369" w:type="dxa"/>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67D359F7" w14:textId="22E08E14" w:rsidR="00B522FB" w:rsidRDefault="00B522FB" w:rsidP="00E5032E">
            <w:pPr>
              <w:keepNext/>
              <w:keepLines/>
              <w:jc w:val="center"/>
              <w:rPr>
                <w:rFonts w:cstheme="minorHAnsi"/>
                <w:b/>
                <w:sz w:val="20"/>
              </w:rPr>
            </w:pPr>
            <w:r>
              <w:rPr>
                <w:rFonts w:cstheme="minorHAnsi"/>
                <w:b/>
                <w:sz w:val="20"/>
              </w:rPr>
              <w:t>Dual therapy with met/SU</w:t>
            </w:r>
          </w:p>
        </w:tc>
        <w:tc>
          <w:tcPr>
            <w:tcW w:w="1418" w:type="dxa"/>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322F3C89" w14:textId="77777777" w:rsidR="00B522FB" w:rsidRDefault="00B522FB" w:rsidP="00E5032E">
            <w:pPr>
              <w:keepNext/>
              <w:keepLines/>
              <w:jc w:val="center"/>
              <w:rPr>
                <w:rFonts w:cstheme="minorHAnsi"/>
                <w:b/>
                <w:sz w:val="20"/>
              </w:rPr>
            </w:pPr>
            <w:r>
              <w:rPr>
                <w:rFonts w:cstheme="minorHAnsi"/>
                <w:b/>
                <w:sz w:val="20"/>
              </w:rPr>
              <w:t>Triple therapy with met + SU</w:t>
            </w:r>
          </w:p>
        </w:tc>
        <w:tc>
          <w:tcPr>
            <w:tcW w:w="1417" w:type="dxa"/>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59322B82" w14:textId="77777777" w:rsidR="00B522FB" w:rsidRDefault="00B522FB" w:rsidP="00E5032E">
            <w:pPr>
              <w:keepNext/>
              <w:keepLines/>
              <w:jc w:val="center"/>
              <w:rPr>
                <w:rFonts w:cstheme="minorHAnsi"/>
                <w:b/>
                <w:sz w:val="20"/>
                <w:vertAlign w:val="superscript"/>
              </w:rPr>
            </w:pPr>
            <w:r>
              <w:rPr>
                <w:rFonts w:cstheme="minorHAnsi"/>
                <w:b/>
                <w:sz w:val="20"/>
              </w:rPr>
              <w:t>With insulin</w:t>
            </w:r>
            <w:r>
              <w:rPr>
                <w:rFonts w:cstheme="minorHAnsi"/>
                <w:b/>
                <w:sz w:val="20"/>
                <w:vertAlign w:val="superscript"/>
              </w:rPr>
              <w:t xml:space="preserve"> </w:t>
            </w:r>
            <w:r>
              <w:rPr>
                <w:rFonts w:cstheme="minorHAnsi"/>
                <w:b/>
                <w:sz w:val="20"/>
              </w:rPr>
              <w:t>(+/- met)</w:t>
            </w:r>
          </w:p>
        </w:tc>
        <w:tc>
          <w:tcPr>
            <w:tcW w:w="1418" w:type="dxa"/>
            <w:tcBorders>
              <w:top w:val="single" w:sz="4" w:space="0" w:color="auto"/>
              <w:left w:val="single" w:sz="4" w:space="0" w:color="auto"/>
              <w:bottom w:val="double" w:sz="4" w:space="0" w:color="auto"/>
              <w:right w:val="single" w:sz="4" w:space="0" w:color="auto"/>
            </w:tcBorders>
            <w:shd w:val="clear" w:color="auto" w:fill="A6A6A6" w:themeFill="background1" w:themeFillShade="A6"/>
            <w:hideMark/>
          </w:tcPr>
          <w:p w14:paraId="74BC0EF6" w14:textId="29659097" w:rsidR="00B522FB" w:rsidRDefault="00B522FB" w:rsidP="00E5032E">
            <w:pPr>
              <w:keepNext/>
              <w:keepLines/>
              <w:jc w:val="center"/>
              <w:rPr>
                <w:rFonts w:cstheme="minorHAnsi"/>
                <w:b/>
                <w:sz w:val="20"/>
              </w:rPr>
            </w:pPr>
            <w:r>
              <w:rPr>
                <w:rFonts w:cstheme="minorHAnsi"/>
                <w:b/>
                <w:sz w:val="20"/>
              </w:rPr>
              <w:t>Triple therapy with met +</w:t>
            </w:r>
          </w:p>
        </w:tc>
      </w:tr>
      <w:tr w:rsidR="00B522FB" w14:paraId="28A9C4BA" w14:textId="77777777" w:rsidTr="007F6C22">
        <w:trPr>
          <w:trHeight w:val="340"/>
        </w:trPr>
        <w:tc>
          <w:tcPr>
            <w:tcW w:w="2404" w:type="dxa"/>
            <w:tcBorders>
              <w:top w:val="double" w:sz="4" w:space="0" w:color="auto"/>
              <w:left w:val="single" w:sz="4" w:space="0" w:color="auto"/>
              <w:bottom w:val="single" w:sz="4" w:space="0" w:color="auto"/>
              <w:right w:val="single" w:sz="4" w:space="0" w:color="auto"/>
            </w:tcBorders>
          </w:tcPr>
          <w:p w14:paraId="05CCC571" w14:textId="376E3E07" w:rsidR="00B522FB" w:rsidRPr="00B522FB" w:rsidRDefault="00B522FB" w:rsidP="00E5032E">
            <w:pPr>
              <w:pStyle w:val="TableText"/>
              <w:keepNext/>
              <w:keepLines/>
            </w:pPr>
            <w:r w:rsidRPr="00B522FB">
              <w:t>DPP4 inhibitors (Gliptins)</w:t>
            </w:r>
          </w:p>
        </w:tc>
        <w:tc>
          <w:tcPr>
            <w:tcW w:w="1467" w:type="dxa"/>
            <w:tcBorders>
              <w:top w:val="double" w:sz="4" w:space="0" w:color="auto"/>
              <w:left w:val="single" w:sz="4" w:space="0" w:color="auto"/>
              <w:bottom w:val="single" w:sz="4" w:space="0" w:color="auto"/>
              <w:right w:val="single" w:sz="4" w:space="0" w:color="auto"/>
            </w:tcBorders>
            <w:vAlign w:val="center"/>
            <w:hideMark/>
          </w:tcPr>
          <w:p w14:paraId="6970B6CE" w14:textId="56408F78" w:rsidR="00B522FB" w:rsidRDefault="00B522FB" w:rsidP="00E5032E">
            <w:pPr>
              <w:pStyle w:val="TableText"/>
              <w:keepNext/>
              <w:keepLines/>
            </w:pPr>
            <w:r>
              <w:t>Alogliptin</w:t>
            </w:r>
            <w:r>
              <w:rPr>
                <w:vertAlign w:val="superscript"/>
              </w:rPr>
              <w:t>2</w:t>
            </w:r>
          </w:p>
        </w:tc>
        <w:tc>
          <w:tcPr>
            <w:tcW w:w="1369" w:type="dxa"/>
            <w:tcBorders>
              <w:top w:val="double" w:sz="4" w:space="0" w:color="auto"/>
              <w:left w:val="single" w:sz="4" w:space="0" w:color="auto"/>
              <w:bottom w:val="single" w:sz="4" w:space="0" w:color="auto"/>
              <w:right w:val="single" w:sz="4" w:space="0" w:color="auto"/>
            </w:tcBorders>
            <w:vAlign w:val="center"/>
            <w:hideMark/>
          </w:tcPr>
          <w:p w14:paraId="2421F240"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8" w:type="dxa"/>
            <w:tcBorders>
              <w:top w:val="double" w:sz="4" w:space="0" w:color="auto"/>
              <w:left w:val="single" w:sz="4" w:space="0" w:color="auto"/>
              <w:bottom w:val="single" w:sz="4" w:space="0" w:color="auto"/>
              <w:right w:val="single" w:sz="4" w:space="0" w:color="auto"/>
            </w:tcBorders>
            <w:vAlign w:val="center"/>
            <w:hideMark/>
          </w:tcPr>
          <w:p w14:paraId="45574CED" w14:textId="08ED0738" w:rsidR="00B522FB" w:rsidRDefault="00B522FB" w:rsidP="00E5032E">
            <w:pPr>
              <w:keepNext/>
              <w:keepLines/>
              <w:jc w:val="center"/>
              <w:rPr>
                <w:rFonts w:cstheme="minorHAnsi"/>
                <w:sz w:val="20"/>
              </w:rPr>
            </w:pPr>
            <w:r>
              <w:rPr>
                <w:rFonts w:cstheme="minorHAnsi"/>
                <w:sz w:val="20"/>
              </w:rPr>
              <w:t>X</w:t>
            </w:r>
          </w:p>
        </w:tc>
        <w:tc>
          <w:tcPr>
            <w:tcW w:w="1417" w:type="dxa"/>
            <w:tcBorders>
              <w:top w:val="double" w:sz="4" w:space="0" w:color="auto"/>
              <w:left w:val="single" w:sz="4" w:space="0" w:color="auto"/>
              <w:bottom w:val="single" w:sz="4" w:space="0" w:color="auto"/>
              <w:right w:val="single" w:sz="4" w:space="0" w:color="auto"/>
            </w:tcBorders>
            <w:vAlign w:val="center"/>
            <w:hideMark/>
          </w:tcPr>
          <w:p w14:paraId="412F0B78" w14:textId="77777777" w:rsidR="00B522FB" w:rsidRDefault="00B522FB" w:rsidP="00E5032E">
            <w:pPr>
              <w:keepNext/>
              <w:keepLines/>
              <w:jc w:val="center"/>
              <w:rPr>
                <w:rFonts w:cstheme="minorHAnsi"/>
                <w:sz w:val="20"/>
              </w:rPr>
            </w:pPr>
            <w:r>
              <w:rPr>
                <w:rFonts w:cstheme="minorHAnsi"/>
                <w:sz w:val="20"/>
              </w:rPr>
              <w:t>X</w:t>
            </w:r>
          </w:p>
        </w:tc>
        <w:tc>
          <w:tcPr>
            <w:tcW w:w="1418" w:type="dxa"/>
            <w:tcBorders>
              <w:top w:val="double" w:sz="4" w:space="0" w:color="auto"/>
              <w:left w:val="single" w:sz="4" w:space="0" w:color="auto"/>
              <w:bottom w:val="single" w:sz="4" w:space="0" w:color="auto"/>
              <w:right w:val="single" w:sz="4" w:space="0" w:color="auto"/>
            </w:tcBorders>
            <w:vAlign w:val="center"/>
            <w:hideMark/>
          </w:tcPr>
          <w:p w14:paraId="44D7DF99" w14:textId="77777777" w:rsidR="00B522FB" w:rsidRDefault="00B522FB" w:rsidP="00E5032E">
            <w:pPr>
              <w:keepNext/>
              <w:keepLines/>
              <w:jc w:val="center"/>
              <w:rPr>
                <w:rFonts w:cstheme="minorHAnsi"/>
                <w:sz w:val="20"/>
              </w:rPr>
            </w:pPr>
            <w:r>
              <w:rPr>
                <w:rFonts w:cstheme="minorHAnsi"/>
                <w:sz w:val="20"/>
              </w:rPr>
              <w:t>X</w:t>
            </w:r>
          </w:p>
        </w:tc>
      </w:tr>
      <w:tr w:rsidR="00B522FB" w14:paraId="4C44F95A" w14:textId="77777777" w:rsidTr="007F6C22">
        <w:trPr>
          <w:trHeight w:val="340"/>
        </w:trPr>
        <w:tc>
          <w:tcPr>
            <w:tcW w:w="2404" w:type="dxa"/>
            <w:tcBorders>
              <w:top w:val="single" w:sz="4" w:space="0" w:color="auto"/>
              <w:left w:val="single" w:sz="4" w:space="0" w:color="auto"/>
              <w:bottom w:val="single" w:sz="4" w:space="0" w:color="auto"/>
              <w:right w:val="single" w:sz="4" w:space="0" w:color="auto"/>
            </w:tcBorders>
          </w:tcPr>
          <w:p w14:paraId="0E685367" w14:textId="1B4E530F" w:rsidR="00B522FB" w:rsidRPr="00B522FB" w:rsidRDefault="00B522FB" w:rsidP="00E5032E">
            <w:pPr>
              <w:pStyle w:val="TableText"/>
              <w:keepNext/>
              <w:keepLines/>
            </w:pPr>
            <w:r w:rsidRPr="00B522FB">
              <w:t>DPP4 inhibitors (Gliptins)</w:t>
            </w:r>
          </w:p>
        </w:tc>
        <w:tc>
          <w:tcPr>
            <w:tcW w:w="1467" w:type="dxa"/>
            <w:tcBorders>
              <w:top w:val="single" w:sz="4" w:space="0" w:color="auto"/>
              <w:left w:val="single" w:sz="4" w:space="0" w:color="auto"/>
              <w:bottom w:val="single" w:sz="4" w:space="0" w:color="auto"/>
              <w:right w:val="single" w:sz="4" w:space="0" w:color="auto"/>
            </w:tcBorders>
            <w:vAlign w:val="center"/>
            <w:hideMark/>
          </w:tcPr>
          <w:p w14:paraId="13ECECBD" w14:textId="1BBF212C" w:rsidR="00B522FB" w:rsidRDefault="00B522FB" w:rsidP="00E5032E">
            <w:pPr>
              <w:pStyle w:val="TableText"/>
              <w:keepNext/>
              <w:keepLines/>
            </w:pPr>
            <w:r>
              <w:t>Linagliptin</w:t>
            </w:r>
            <w:r>
              <w:rPr>
                <w:vertAlign w:val="superscript"/>
              </w:rPr>
              <w:t>2,</w:t>
            </w:r>
            <w:proofErr w:type="gramStart"/>
            <w:r>
              <w:rPr>
                <w:vertAlign w:val="superscript"/>
              </w:rPr>
              <w:t>5</w:t>
            </w:r>
            <w:proofErr w:type="gramEnd"/>
          </w:p>
        </w:tc>
        <w:tc>
          <w:tcPr>
            <w:tcW w:w="1369" w:type="dxa"/>
            <w:tcBorders>
              <w:top w:val="single" w:sz="4" w:space="0" w:color="auto"/>
              <w:left w:val="single" w:sz="4" w:space="0" w:color="auto"/>
              <w:bottom w:val="single" w:sz="4" w:space="0" w:color="auto"/>
              <w:right w:val="single" w:sz="4" w:space="0" w:color="auto"/>
            </w:tcBorders>
            <w:vAlign w:val="center"/>
            <w:hideMark/>
          </w:tcPr>
          <w:p w14:paraId="0342C7FC"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14:paraId="33FEC04D"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hideMark/>
          </w:tcPr>
          <w:p w14:paraId="4F2414D4"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r>
              <w:rPr>
                <w:rFonts w:asciiTheme="minorHAnsi" w:hAnsiTheme="minorHAnsi" w:cstheme="minorHAnsi"/>
                <w:bCs/>
                <w:sz w:val="20"/>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3FE51A" w14:textId="77777777" w:rsidR="00B522FB" w:rsidRDefault="00B522FB" w:rsidP="00E5032E">
            <w:pPr>
              <w:keepNext/>
              <w:keepLines/>
              <w:jc w:val="center"/>
              <w:rPr>
                <w:rFonts w:cstheme="minorHAnsi"/>
                <w:sz w:val="20"/>
              </w:rPr>
            </w:pPr>
            <w:r>
              <w:rPr>
                <w:rFonts w:cstheme="minorHAnsi"/>
                <w:sz w:val="20"/>
              </w:rPr>
              <w:t>SGLT2i</w:t>
            </w:r>
          </w:p>
        </w:tc>
      </w:tr>
      <w:tr w:rsidR="00B522FB" w14:paraId="3ECC0BF4" w14:textId="77777777" w:rsidTr="007F6C22">
        <w:trPr>
          <w:trHeight w:val="340"/>
        </w:trPr>
        <w:tc>
          <w:tcPr>
            <w:tcW w:w="2404" w:type="dxa"/>
            <w:tcBorders>
              <w:top w:val="single" w:sz="4" w:space="0" w:color="auto"/>
              <w:left w:val="single" w:sz="4" w:space="0" w:color="auto"/>
              <w:bottom w:val="single" w:sz="4" w:space="0" w:color="auto"/>
              <w:right w:val="single" w:sz="4" w:space="0" w:color="auto"/>
            </w:tcBorders>
          </w:tcPr>
          <w:p w14:paraId="6566F38F" w14:textId="26D528FD" w:rsidR="00B522FB" w:rsidRPr="00B522FB" w:rsidRDefault="00B522FB" w:rsidP="00E5032E">
            <w:pPr>
              <w:pStyle w:val="TableText"/>
              <w:keepNext/>
              <w:keepLines/>
            </w:pPr>
            <w:r w:rsidRPr="00B522FB">
              <w:t>DPP4 inhibitors (Gliptins)</w:t>
            </w:r>
          </w:p>
        </w:tc>
        <w:tc>
          <w:tcPr>
            <w:tcW w:w="1467" w:type="dxa"/>
            <w:tcBorders>
              <w:top w:val="single" w:sz="4" w:space="0" w:color="auto"/>
              <w:left w:val="single" w:sz="4" w:space="0" w:color="auto"/>
              <w:bottom w:val="single" w:sz="4" w:space="0" w:color="auto"/>
              <w:right w:val="single" w:sz="4" w:space="0" w:color="auto"/>
            </w:tcBorders>
            <w:vAlign w:val="center"/>
            <w:hideMark/>
          </w:tcPr>
          <w:p w14:paraId="0D1EC28C" w14:textId="535455A8" w:rsidR="00B522FB" w:rsidRDefault="00B522FB" w:rsidP="00E5032E">
            <w:pPr>
              <w:pStyle w:val="TableText"/>
              <w:keepNext/>
              <w:keepLines/>
            </w:pPr>
            <w:r>
              <w:t>Saxagliptin</w:t>
            </w:r>
            <w:r>
              <w:rPr>
                <w:vertAlign w:val="superscript"/>
              </w:rPr>
              <w:t>2,</w:t>
            </w:r>
            <w:proofErr w:type="gramStart"/>
            <w:r>
              <w:rPr>
                <w:vertAlign w:val="superscript"/>
              </w:rPr>
              <w:t>5</w:t>
            </w:r>
            <w:proofErr w:type="gramEnd"/>
          </w:p>
        </w:tc>
        <w:tc>
          <w:tcPr>
            <w:tcW w:w="1369" w:type="dxa"/>
            <w:tcBorders>
              <w:top w:val="single" w:sz="4" w:space="0" w:color="auto"/>
              <w:left w:val="single" w:sz="4" w:space="0" w:color="auto"/>
              <w:bottom w:val="single" w:sz="4" w:space="0" w:color="auto"/>
              <w:right w:val="single" w:sz="4" w:space="0" w:color="auto"/>
            </w:tcBorders>
            <w:vAlign w:val="center"/>
            <w:hideMark/>
          </w:tcPr>
          <w:p w14:paraId="701A27F5"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14:paraId="367BDD90"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FA505" w14:textId="77777777" w:rsidR="00B522FB" w:rsidRDefault="00B522FB" w:rsidP="00E5032E">
            <w:pPr>
              <w:keepNext/>
              <w:keepLines/>
              <w:jc w:val="center"/>
              <w:rPr>
                <w:rFonts w:cstheme="minorHAnsi"/>
                <w:sz w:val="20"/>
              </w:rPr>
            </w:pPr>
            <w:r>
              <w:rPr>
                <w:rFonts w:cstheme="minorHAnsi"/>
                <w:sz w:val="20"/>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A8423" w14:textId="77777777" w:rsidR="00B522FB" w:rsidRDefault="00B522FB" w:rsidP="00E5032E">
            <w:pPr>
              <w:keepNext/>
              <w:keepLines/>
              <w:jc w:val="center"/>
              <w:rPr>
                <w:rFonts w:cstheme="minorHAnsi"/>
                <w:sz w:val="20"/>
              </w:rPr>
            </w:pPr>
            <w:r>
              <w:rPr>
                <w:rFonts w:cstheme="minorHAnsi"/>
                <w:sz w:val="20"/>
              </w:rPr>
              <w:t>SGLT2i</w:t>
            </w:r>
          </w:p>
        </w:tc>
      </w:tr>
      <w:tr w:rsidR="00B522FB" w14:paraId="6D13A106" w14:textId="77777777" w:rsidTr="007F6C22">
        <w:trPr>
          <w:trHeight w:val="340"/>
        </w:trPr>
        <w:tc>
          <w:tcPr>
            <w:tcW w:w="2404" w:type="dxa"/>
            <w:tcBorders>
              <w:top w:val="single" w:sz="4" w:space="0" w:color="auto"/>
              <w:left w:val="single" w:sz="4" w:space="0" w:color="auto"/>
              <w:bottom w:val="single" w:sz="4" w:space="0" w:color="auto"/>
              <w:right w:val="single" w:sz="4" w:space="0" w:color="auto"/>
            </w:tcBorders>
          </w:tcPr>
          <w:p w14:paraId="7A19C4E7" w14:textId="5A9230C6" w:rsidR="00B522FB" w:rsidRPr="00B522FB" w:rsidRDefault="00B522FB" w:rsidP="00E5032E">
            <w:pPr>
              <w:pStyle w:val="TableText"/>
              <w:keepNext/>
              <w:keepLines/>
            </w:pPr>
            <w:r w:rsidRPr="00B522FB">
              <w:t>DPP4 inhibitors (Gliptins)</w:t>
            </w:r>
          </w:p>
        </w:tc>
        <w:tc>
          <w:tcPr>
            <w:tcW w:w="1467" w:type="dxa"/>
            <w:tcBorders>
              <w:top w:val="single" w:sz="4" w:space="0" w:color="auto"/>
              <w:left w:val="single" w:sz="4" w:space="0" w:color="auto"/>
              <w:bottom w:val="single" w:sz="4" w:space="0" w:color="auto"/>
              <w:right w:val="single" w:sz="4" w:space="0" w:color="auto"/>
            </w:tcBorders>
            <w:vAlign w:val="center"/>
            <w:hideMark/>
          </w:tcPr>
          <w:p w14:paraId="34F3764B" w14:textId="399A9382" w:rsidR="00B522FB" w:rsidRDefault="00B522FB" w:rsidP="00E5032E">
            <w:pPr>
              <w:pStyle w:val="TableText"/>
              <w:keepNext/>
              <w:keepLines/>
            </w:pPr>
            <w:r>
              <w:t>Sitagliptin</w:t>
            </w:r>
            <w:r>
              <w:rPr>
                <w:vertAlign w:val="superscript"/>
              </w:rPr>
              <w:t>2,</w:t>
            </w:r>
            <w:proofErr w:type="gramStart"/>
            <w:r>
              <w:rPr>
                <w:vertAlign w:val="superscript"/>
              </w:rPr>
              <w:t>5</w:t>
            </w:r>
            <w:proofErr w:type="gramEnd"/>
          </w:p>
        </w:tc>
        <w:tc>
          <w:tcPr>
            <w:tcW w:w="1369" w:type="dxa"/>
            <w:tcBorders>
              <w:top w:val="single" w:sz="4" w:space="0" w:color="auto"/>
              <w:left w:val="single" w:sz="4" w:space="0" w:color="auto"/>
              <w:bottom w:val="single" w:sz="4" w:space="0" w:color="auto"/>
              <w:right w:val="single" w:sz="4" w:space="0" w:color="auto"/>
            </w:tcBorders>
            <w:vAlign w:val="center"/>
            <w:hideMark/>
          </w:tcPr>
          <w:p w14:paraId="7B0DEF3D"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14:paraId="609FE8C0"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hideMark/>
          </w:tcPr>
          <w:p w14:paraId="71B0F5AC"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r>
              <w:rPr>
                <w:rFonts w:asciiTheme="minorHAnsi" w:hAnsiTheme="minorHAnsi" w:cstheme="minorHAnsi"/>
                <w:bCs/>
                <w:sz w:val="20"/>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CDC537" w14:textId="77777777" w:rsidR="00B522FB" w:rsidRDefault="00B522FB" w:rsidP="00E5032E">
            <w:pPr>
              <w:keepNext/>
              <w:keepLines/>
              <w:jc w:val="center"/>
              <w:rPr>
                <w:rFonts w:cstheme="minorHAnsi"/>
                <w:sz w:val="20"/>
              </w:rPr>
            </w:pPr>
            <w:r>
              <w:rPr>
                <w:rFonts w:cstheme="minorHAnsi"/>
                <w:sz w:val="20"/>
              </w:rPr>
              <w:t>SGLT2i</w:t>
            </w:r>
          </w:p>
        </w:tc>
      </w:tr>
      <w:tr w:rsidR="00B522FB" w14:paraId="65D9A35F" w14:textId="77777777" w:rsidTr="007F6C22">
        <w:trPr>
          <w:trHeight w:val="340"/>
        </w:trPr>
        <w:tc>
          <w:tcPr>
            <w:tcW w:w="2404" w:type="dxa"/>
            <w:tcBorders>
              <w:top w:val="single" w:sz="4" w:space="0" w:color="auto"/>
              <w:left w:val="single" w:sz="4" w:space="0" w:color="auto"/>
              <w:bottom w:val="double" w:sz="4" w:space="0" w:color="auto"/>
              <w:right w:val="single" w:sz="4" w:space="0" w:color="auto"/>
            </w:tcBorders>
          </w:tcPr>
          <w:p w14:paraId="2E059252" w14:textId="356604FB" w:rsidR="00B522FB" w:rsidRPr="00B522FB" w:rsidRDefault="00B522FB" w:rsidP="00E5032E">
            <w:pPr>
              <w:pStyle w:val="TableText"/>
              <w:keepNext/>
              <w:keepLines/>
            </w:pPr>
            <w:r w:rsidRPr="00B522FB">
              <w:t>DPP4 inhibitors (Gliptins)</w:t>
            </w:r>
          </w:p>
        </w:tc>
        <w:tc>
          <w:tcPr>
            <w:tcW w:w="1467" w:type="dxa"/>
            <w:tcBorders>
              <w:top w:val="single" w:sz="4" w:space="0" w:color="auto"/>
              <w:left w:val="single" w:sz="4" w:space="0" w:color="auto"/>
              <w:bottom w:val="double" w:sz="4" w:space="0" w:color="auto"/>
              <w:right w:val="single" w:sz="4" w:space="0" w:color="auto"/>
            </w:tcBorders>
            <w:vAlign w:val="center"/>
            <w:hideMark/>
          </w:tcPr>
          <w:p w14:paraId="25155F6A" w14:textId="49A3DA96" w:rsidR="00B522FB" w:rsidRDefault="00B522FB" w:rsidP="00E5032E">
            <w:pPr>
              <w:pStyle w:val="TableText"/>
              <w:keepNext/>
              <w:keepLines/>
            </w:pPr>
            <w:r>
              <w:t>Vildagliptin</w:t>
            </w:r>
            <w:r>
              <w:rPr>
                <w:vertAlign w:val="superscript"/>
              </w:rPr>
              <w:t>2</w:t>
            </w:r>
          </w:p>
        </w:tc>
        <w:tc>
          <w:tcPr>
            <w:tcW w:w="1369" w:type="dxa"/>
            <w:tcBorders>
              <w:top w:val="single" w:sz="4" w:space="0" w:color="auto"/>
              <w:left w:val="single" w:sz="4" w:space="0" w:color="auto"/>
              <w:bottom w:val="double" w:sz="4" w:space="0" w:color="auto"/>
              <w:right w:val="single" w:sz="4" w:space="0" w:color="auto"/>
            </w:tcBorders>
            <w:vAlign w:val="center"/>
            <w:hideMark/>
          </w:tcPr>
          <w:p w14:paraId="3FFA1F47"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8" w:type="dxa"/>
            <w:tcBorders>
              <w:top w:val="single" w:sz="4" w:space="0" w:color="auto"/>
              <w:left w:val="single" w:sz="4" w:space="0" w:color="auto"/>
              <w:bottom w:val="double" w:sz="4" w:space="0" w:color="auto"/>
              <w:right w:val="single" w:sz="4" w:space="0" w:color="auto"/>
            </w:tcBorders>
            <w:vAlign w:val="center"/>
            <w:hideMark/>
          </w:tcPr>
          <w:p w14:paraId="798EC25A"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7" w:type="dxa"/>
            <w:tcBorders>
              <w:top w:val="single" w:sz="4" w:space="0" w:color="auto"/>
              <w:left w:val="single" w:sz="4" w:space="0" w:color="auto"/>
              <w:bottom w:val="double" w:sz="4" w:space="0" w:color="auto"/>
              <w:right w:val="single" w:sz="4" w:space="0" w:color="auto"/>
            </w:tcBorders>
            <w:vAlign w:val="center"/>
            <w:hideMark/>
          </w:tcPr>
          <w:p w14:paraId="74C2F58C"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r>
              <w:rPr>
                <w:rFonts w:asciiTheme="minorHAnsi" w:hAnsiTheme="minorHAnsi" w:cstheme="minorHAnsi"/>
                <w:bCs/>
                <w:sz w:val="20"/>
                <w:vertAlign w:val="superscript"/>
              </w:rPr>
              <w:t>3</w:t>
            </w:r>
          </w:p>
        </w:tc>
        <w:tc>
          <w:tcPr>
            <w:tcW w:w="1418" w:type="dxa"/>
            <w:tcBorders>
              <w:top w:val="single" w:sz="4" w:space="0" w:color="auto"/>
              <w:left w:val="single" w:sz="4" w:space="0" w:color="auto"/>
              <w:bottom w:val="double" w:sz="4" w:space="0" w:color="auto"/>
              <w:right w:val="single" w:sz="4" w:space="0" w:color="auto"/>
            </w:tcBorders>
            <w:vAlign w:val="center"/>
            <w:hideMark/>
          </w:tcPr>
          <w:p w14:paraId="7652E9A0" w14:textId="77777777" w:rsidR="00B522FB" w:rsidRDefault="00B522FB" w:rsidP="00E5032E">
            <w:pPr>
              <w:keepNext/>
              <w:keepLines/>
              <w:jc w:val="center"/>
              <w:rPr>
                <w:rFonts w:cstheme="minorHAnsi"/>
                <w:sz w:val="20"/>
              </w:rPr>
            </w:pPr>
            <w:r>
              <w:rPr>
                <w:rFonts w:cstheme="minorHAnsi"/>
                <w:sz w:val="20"/>
              </w:rPr>
              <w:t>X</w:t>
            </w:r>
          </w:p>
        </w:tc>
      </w:tr>
      <w:tr w:rsidR="00B522FB" w14:paraId="1932FE43" w14:textId="77777777" w:rsidTr="007F6C22">
        <w:trPr>
          <w:trHeight w:val="340"/>
        </w:trPr>
        <w:tc>
          <w:tcPr>
            <w:tcW w:w="2404" w:type="dxa"/>
            <w:tcBorders>
              <w:top w:val="double" w:sz="4" w:space="0" w:color="auto"/>
              <w:left w:val="single" w:sz="4" w:space="0" w:color="auto"/>
              <w:bottom w:val="single" w:sz="4" w:space="0" w:color="auto"/>
              <w:right w:val="single" w:sz="4" w:space="0" w:color="auto"/>
            </w:tcBorders>
          </w:tcPr>
          <w:p w14:paraId="7D89C821" w14:textId="091C21AC" w:rsidR="00B522FB" w:rsidRPr="00B522FB" w:rsidRDefault="00B522FB" w:rsidP="00E5032E">
            <w:pPr>
              <w:pStyle w:val="TableText"/>
              <w:keepNext/>
              <w:keepLines/>
            </w:pPr>
            <w:r w:rsidRPr="00B522FB">
              <w:t>SGLT2 inhibitors (Flozins)</w:t>
            </w:r>
          </w:p>
        </w:tc>
        <w:tc>
          <w:tcPr>
            <w:tcW w:w="1467" w:type="dxa"/>
            <w:tcBorders>
              <w:top w:val="double" w:sz="4" w:space="0" w:color="auto"/>
              <w:left w:val="single" w:sz="4" w:space="0" w:color="auto"/>
              <w:bottom w:val="single" w:sz="4" w:space="0" w:color="auto"/>
              <w:right w:val="single" w:sz="4" w:space="0" w:color="auto"/>
            </w:tcBorders>
            <w:vAlign w:val="center"/>
            <w:hideMark/>
          </w:tcPr>
          <w:p w14:paraId="3A824D15" w14:textId="50FC63B4" w:rsidR="00B522FB" w:rsidRDefault="00B522FB" w:rsidP="00E5032E">
            <w:pPr>
              <w:pStyle w:val="TableText"/>
              <w:keepNext/>
              <w:keepLines/>
            </w:pPr>
            <w:r>
              <w:t>Dapagliflozin</w:t>
            </w:r>
            <w:r>
              <w:rPr>
                <w:vertAlign w:val="superscript"/>
              </w:rPr>
              <w:t>2</w:t>
            </w:r>
          </w:p>
        </w:tc>
        <w:tc>
          <w:tcPr>
            <w:tcW w:w="1369" w:type="dxa"/>
            <w:tcBorders>
              <w:top w:val="double" w:sz="4" w:space="0" w:color="auto"/>
              <w:left w:val="single" w:sz="4" w:space="0" w:color="auto"/>
              <w:bottom w:val="single" w:sz="4" w:space="0" w:color="auto"/>
              <w:right w:val="single" w:sz="4" w:space="0" w:color="auto"/>
            </w:tcBorders>
            <w:vAlign w:val="center"/>
            <w:hideMark/>
          </w:tcPr>
          <w:p w14:paraId="33D3EC68"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8" w:type="dxa"/>
            <w:tcBorders>
              <w:top w:val="double" w:sz="4" w:space="0" w:color="auto"/>
              <w:left w:val="single" w:sz="4" w:space="0" w:color="auto"/>
              <w:bottom w:val="single" w:sz="4" w:space="0" w:color="auto"/>
              <w:right w:val="single" w:sz="4" w:space="0" w:color="auto"/>
            </w:tcBorders>
            <w:vAlign w:val="center"/>
            <w:hideMark/>
          </w:tcPr>
          <w:p w14:paraId="64211A16"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7" w:type="dxa"/>
            <w:tcBorders>
              <w:top w:val="double" w:sz="4" w:space="0" w:color="auto"/>
              <w:left w:val="single" w:sz="4" w:space="0" w:color="auto"/>
              <w:bottom w:val="single" w:sz="4" w:space="0" w:color="auto"/>
              <w:right w:val="single" w:sz="4" w:space="0" w:color="auto"/>
            </w:tcBorders>
            <w:vAlign w:val="center"/>
            <w:hideMark/>
          </w:tcPr>
          <w:p w14:paraId="64F2A2B2"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r>
              <w:rPr>
                <w:rFonts w:asciiTheme="minorHAnsi" w:hAnsiTheme="minorHAnsi" w:cstheme="minorHAnsi"/>
                <w:bCs/>
                <w:sz w:val="20"/>
                <w:vertAlign w:val="superscript"/>
              </w:rPr>
              <w:t>3</w:t>
            </w:r>
          </w:p>
        </w:tc>
        <w:tc>
          <w:tcPr>
            <w:tcW w:w="1418" w:type="dxa"/>
            <w:tcBorders>
              <w:top w:val="double" w:sz="4" w:space="0" w:color="auto"/>
              <w:left w:val="single" w:sz="4" w:space="0" w:color="auto"/>
              <w:bottom w:val="single" w:sz="4" w:space="0" w:color="auto"/>
              <w:right w:val="single" w:sz="4" w:space="0" w:color="auto"/>
            </w:tcBorders>
            <w:vAlign w:val="center"/>
            <w:hideMark/>
          </w:tcPr>
          <w:p w14:paraId="4B58654C" w14:textId="77777777" w:rsidR="00B522FB" w:rsidRDefault="00B522FB" w:rsidP="00E5032E">
            <w:pPr>
              <w:keepNext/>
              <w:keepLines/>
              <w:jc w:val="center"/>
              <w:rPr>
                <w:rFonts w:cstheme="minorHAnsi"/>
                <w:sz w:val="20"/>
              </w:rPr>
            </w:pPr>
            <w:r>
              <w:rPr>
                <w:rFonts w:cstheme="minorHAnsi"/>
                <w:sz w:val="20"/>
              </w:rPr>
              <w:t>DPP4i</w:t>
            </w:r>
          </w:p>
        </w:tc>
      </w:tr>
      <w:tr w:rsidR="00B522FB" w14:paraId="7B632223" w14:textId="77777777" w:rsidTr="007F6C22">
        <w:trPr>
          <w:trHeight w:val="340"/>
        </w:trPr>
        <w:tc>
          <w:tcPr>
            <w:tcW w:w="2404" w:type="dxa"/>
            <w:tcBorders>
              <w:top w:val="single" w:sz="4" w:space="0" w:color="auto"/>
              <w:left w:val="single" w:sz="4" w:space="0" w:color="auto"/>
              <w:bottom w:val="single" w:sz="4" w:space="0" w:color="auto"/>
              <w:right w:val="single" w:sz="4" w:space="0" w:color="auto"/>
            </w:tcBorders>
          </w:tcPr>
          <w:p w14:paraId="1AA34F69" w14:textId="174470AB" w:rsidR="00B522FB" w:rsidRPr="00B522FB" w:rsidRDefault="00B522FB" w:rsidP="00E5032E">
            <w:pPr>
              <w:pStyle w:val="TableText"/>
              <w:keepNext/>
              <w:keepLines/>
            </w:pPr>
            <w:r w:rsidRPr="00B522FB">
              <w:t>SGLT2 inhibitors (Flozins)</w:t>
            </w:r>
          </w:p>
        </w:tc>
        <w:tc>
          <w:tcPr>
            <w:tcW w:w="1467" w:type="dxa"/>
            <w:tcBorders>
              <w:top w:val="single" w:sz="4" w:space="0" w:color="auto"/>
              <w:left w:val="single" w:sz="4" w:space="0" w:color="auto"/>
              <w:bottom w:val="single" w:sz="4" w:space="0" w:color="auto"/>
              <w:right w:val="single" w:sz="4" w:space="0" w:color="auto"/>
            </w:tcBorders>
            <w:vAlign w:val="center"/>
            <w:hideMark/>
          </w:tcPr>
          <w:p w14:paraId="54510829" w14:textId="29CF8EBA" w:rsidR="00B522FB" w:rsidRDefault="00B522FB" w:rsidP="00E5032E">
            <w:pPr>
              <w:pStyle w:val="TableText"/>
              <w:keepNext/>
              <w:keepLines/>
            </w:pPr>
            <w:r>
              <w:t>Empagliflozin</w:t>
            </w:r>
            <w:r>
              <w:rPr>
                <w:vertAlign w:val="superscript"/>
              </w:rPr>
              <w:t>2,</w:t>
            </w:r>
            <w:proofErr w:type="gramStart"/>
            <w:r>
              <w:rPr>
                <w:vertAlign w:val="superscript"/>
              </w:rPr>
              <w:t>4</w:t>
            </w:r>
            <w:proofErr w:type="gramEnd"/>
          </w:p>
        </w:tc>
        <w:tc>
          <w:tcPr>
            <w:tcW w:w="1369" w:type="dxa"/>
            <w:tcBorders>
              <w:top w:val="single" w:sz="4" w:space="0" w:color="auto"/>
              <w:left w:val="single" w:sz="4" w:space="0" w:color="auto"/>
              <w:bottom w:val="single" w:sz="4" w:space="0" w:color="auto"/>
              <w:right w:val="single" w:sz="4" w:space="0" w:color="auto"/>
            </w:tcBorders>
            <w:vAlign w:val="center"/>
            <w:hideMark/>
          </w:tcPr>
          <w:p w14:paraId="43B2F319"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14:paraId="4324D6A1"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hideMark/>
          </w:tcPr>
          <w:p w14:paraId="774AC271"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r>
              <w:rPr>
                <w:rFonts w:asciiTheme="minorHAnsi" w:hAnsiTheme="minorHAnsi" w:cstheme="minorHAnsi"/>
                <w:bCs/>
                <w:sz w:val="20"/>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124EBB" w14:textId="77777777" w:rsidR="00B522FB" w:rsidRDefault="00B522FB" w:rsidP="00E5032E">
            <w:pPr>
              <w:keepNext/>
              <w:keepLines/>
              <w:jc w:val="center"/>
              <w:rPr>
                <w:rFonts w:cstheme="minorHAnsi"/>
                <w:sz w:val="20"/>
              </w:rPr>
            </w:pPr>
            <w:r>
              <w:rPr>
                <w:rFonts w:cstheme="minorHAnsi"/>
                <w:sz w:val="20"/>
              </w:rPr>
              <w:t>DPP4i</w:t>
            </w:r>
          </w:p>
        </w:tc>
      </w:tr>
      <w:tr w:rsidR="00B522FB" w14:paraId="14D85FFD" w14:textId="77777777" w:rsidTr="007F6C22">
        <w:trPr>
          <w:trHeight w:val="340"/>
        </w:trPr>
        <w:tc>
          <w:tcPr>
            <w:tcW w:w="2404" w:type="dxa"/>
            <w:tcBorders>
              <w:top w:val="single" w:sz="4" w:space="0" w:color="auto"/>
              <w:left w:val="single" w:sz="4" w:space="0" w:color="auto"/>
              <w:bottom w:val="double" w:sz="4" w:space="0" w:color="auto"/>
              <w:right w:val="single" w:sz="4" w:space="0" w:color="auto"/>
            </w:tcBorders>
          </w:tcPr>
          <w:p w14:paraId="1E056B51" w14:textId="37A317E7" w:rsidR="00B522FB" w:rsidRPr="00B522FB" w:rsidRDefault="00B522FB" w:rsidP="00E5032E">
            <w:pPr>
              <w:pStyle w:val="TableText"/>
              <w:keepNext/>
              <w:keepLines/>
            </w:pPr>
            <w:r w:rsidRPr="00B522FB">
              <w:t>SGLT2 inhibitors (Flozins)</w:t>
            </w:r>
          </w:p>
        </w:tc>
        <w:tc>
          <w:tcPr>
            <w:tcW w:w="1467" w:type="dxa"/>
            <w:tcBorders>
              <w:top w:val="single" w:sz="4" w:space="0" w:color="auto"/>
              <w:left w:val="single" w:sz="4" w:space="0" w:color="auto"/>
              <w:bottom w:val="double" w:sz="4" w:space="0" w:color="auto"/>
              <w:right w:val="single" w:sz="4" w:space="0" w:color="auto"/>
            </w:tcBorders>
            <w:vAlign w:val="center"/>
            <w:hideMark/>
          </w:tcPr>
          <w:p w14:paraId="2521A07D" w14:textId="062A40D2" w:rsidR="00B522FB" w:rsidRDefault="00B522FB" w:rsidP="00E5032E">
            <w:pPr>
              <w:pStyle w:val="TableText"/>
              <w:keepNext/>
              <w:keepLines/>
            </w:pPr>
            <w:r>
              <w:t>Ertugliflozin</w:t>
            </w:r>
            <w:r>
              <w:rPr>
                <w:vertAlign w:val="superscript"/>
              </w:rPr>
              <w:t>2,</w:t>
            </w:r>
            <w:proofErr w:type="gramStart"/>
            <w:r>
              <w:rPr>
                <w:vertAlign w:val="superscript"/>
              </w:rPr>
              <w:t>4</w:t>
            </w:r>
            <w:proofErr w:type="gramEnd"/>
          </w:p>
        </w:tc>
        <w:tc>
          <w:tcPr>
            <w:tcW w:w="1369" w:type="dxa"/>
            <w:tcBorders>
              <w:top w:val="single" w:sz="4" w:space="0" w:color="auto"/>
              <w:left w:val="single" w:sz="4" w:space="0" w:color="auto"/>
              <w:bottom w:val="double" w:sz="4" w:space="0" w:color="auto"/>
              <w:right w:val="single" w:sz="4" w:space="0" w:color="auto"/>
            </w:tcBorders>
            <w:vAlign w:val="center"/>
            <w:hideMark/>
          </w:tcPr>
          <w:p w14:paraId="161693FC" w14:textId="77777777" w:rsidR="00B522FB" w:rsidRDefault="00B522FB" w:rsidP="00E5032E">
            <w:pPr>
              <w:keepNext/>
              <w:keepLines/>
              <w:jc w:val="center"/>
              <w:rPr>
                <w:rFonts w:cstheme="minorHAnsi"/>
                <w:sz w:val="20"/>
              </w:rPr>
            </w:pPr>
            <w:r>
              <w:rPr>
                <w:rFonts w:asciiTheme="minorHAnsi" w:hAnsiTheme="minorHAnsi" w:cstheme="minorHAnsi"/>
                <w:sz w:val="20"/>
              </w:rPr>
              <w:sym w:font="Wingdings 2" w:char="F050"/>
            </w:r>
          </w:p>
        </w:tc>
        <w:tc>
          <w:tcPr>
            <w:tcW w:w="1418" w:type="dxa"/>
            <w:tcBorders>
              <w:top w:val="single" w:sz="4" w:space="0" w:color="auto"/>
              <w:left w:val="single" w:sz="4" w:space="0" w:color="auto"/>
              <w:bottom w:val="double" w:sz="4" w:space="0" w:color="auto"/>
              <w:right w:val="single" w:sz="4" w:space="0" w:color="auto"/>
            </w:tcBorders>
            <w:vAlign w:val="center"/>
            <w:hideMark/>
          </w:tcPr>
          <w:p w14:paraId="7B37E357" w14:textId="77777777" w:rsidR="00B522FB" w:rsidRDefault="00B522FB" w:rsidP="00E5032E">
            <w:pPr>
              <w:keepNext/>
              <w:keepLines/>
              <w:jc w:val="center"/>
              <w:rPr>
                <w:rFonts w:cstheme="minorHAnsi"/>
                <w:sz w:val="20"/>
              </w:rPr>
            </w:pPr>
            <w:r>
              <w:rPr>
                <w:rFonts w:cstheme="minorHAnsi"/>
                <w:sz w:val="20"/>
              </w:rPr>
              <w:t>X</w:t>
            </w:r>
          </w:p>
        </w:tc>
        <w:tc>
          <w:tcPr>
            <w:tcW w:w="1417" w:type="dxa"/>
            <w:tcBorders>
              <w:top w:val="single" w:sz="4" w:space="0" w:color="auto"/>
              <w:left w:val="single" w:sz="4" w:space="0" w:color="auto"/>
              <w:bottom w:val="double" w:sz="4" w:space="0" w:color="auto"/>
              <w:right w:val="single" w:sz="4" w:space="0" w:color="auto"/>
            </w:tcBorders>
            <w:vAlign w:val="center"/>
            <w:hideMark/>
          </w:tcPr>
          <w:p w14:paraId="2A1974AC" w14:textId="77777777" w:rsidR="00B522FB" w:rsidRDefault="00B522FB" w:rsidP="00E5032E">
            <w:pPr>
              <w:keepNext/>
              <w:keepLines/>
              <w:jc w:val="center"/>
              <w:rPr>
                <w:rFonts w:cstheme="minorHAnsi"/>
                <w:sz w:val="20"/>
              </w:rPr>
            </w:pPr>
            <w:r>
              <w:rPr>
                <w:rFonts w:cstheme="minorHAnsi"/>
                <w:sz w:val="20"/>
              </w:rPr>
              <w:t>X</w:t>
            </w:r>
          </w:p>
        </w:tc>
        <w:tc>
          <w:tcPr>
            <w:tcW w:w="1418" w:type="dxa"/>
            <w:tcBorders>
              <w:top w:val="single" w:sz="4" w:space="0" w:color="auto"/>
              <w:left w:val="single" w:sz="4" w:space="0" w:color="auto"/>
              <w:bottom w:val="double" w:sz="4" w:space="0" w:color="auto"/>
              <w:right w:val="single" w:sz="4" w:space="0" w:color="auto"/>
            </w:tcBorders>
            <w:vAlign w:val="center"/>
            <w:hideMark/>
          </w:tcPr>
          <w:p w14:paraId="2D9DABE6" w14:textId="77777777" w:rsidR="00B522FB" w:rsidRDefault="00B522FB" w:rsidP="00E5032E">
            <w:pPr>
              <w:keepNext/>
              <w:keepLines/>
              <w:jc w:val="center"/>
              <w:rPr>
                <w:rFonts w:cstheme="minorHAnsi"/>
                <w:sz w:val="20"/>
              </w:rPr>
            </w:pPr>
            <w:r>
              <w:rPr>
                <w:rFonts w:cstheme="minorHAnsi"/>
                <w:sz w:val="20"/>
              </w:rPr>
              <w:t>DPP4i</w:t>
            </w:r>
          </w:p>
        </w:tc>
      </w:tr>
      <w:tr w:rsidR="00B522FB" w14:paraId="2643ED97" w14:textId="77777777" w:rsidTr="007F6C22">
        <w:trPr>
          <w:trHeight w:val="340"/>
        </w:trPr>
        <w:tc>
          <w:tcPr>
            <w:tcW w:w="2404" w:type="dxa"/>
            <w:tcBorders>
              <w:top w:val="double" w:sz="4" w:space="0" w:color="auto"/>
              <w:left w:val="single" w:sz="4" w:space="0" w:color="auto"/>
              <w:bottom w:val="double" w:sz="4" w:space="0" w:color="auto"/>
              <w:right w:val="single" w:sz="4" w:space="0" w:color="auto"/>
            </w:tcBorders>
            <w:vAlign w:val="center"/>
          </w:tcPr>
          <w:p w14:paraId="63D8197F" w14:textId="03DA635F" w:rsidR="00B522FB" w:rsidRPr="00B522FB" w:rsidRDefault="00B522FB" w:rsidP="00B522FB">
            <w:pPr>
              <w:pStyle w:val="TableText"/>
              <w:keepNext/>
              <w:keepLines/>
            </w:pPr>
            <w:r w:rsidRPr="00B522FB">
              <w:t>Thiazolidinediones (TZD)</w:t>
            </w:r>
          </w:p>
        </w:tc>
        <w:tc>
          <w:tcPr>
            <w:tcW w:w="1467" w:type="dxa"/>
            <w:tcBorders>
              <w:top w:val="double" w:sz="4" w:space="0" w:color="auto"/>
              <w:left w:val="single" w:sz="4" w:space="0" w:color="auto"/>
              <w:bottom w:val="double" w:sz="4" w:space="0" w:color="auto"/>
              <w:right w:val="single" w:sz="4" w:space="0" w:color="auto"/>
            </w:tcBorders>
            <w:vAlign w:val="center"/>
            <w:hideMark/>
          </w:tcPr>
          <w:p w14:paraId="632CB92A" w14:textId="173B9537" w:rsidR="00B522FB" w:rsidRDefault="00B522FB" w:rsidP="00B522FB">
            <w:pPr>
              <w:pStyle w:val="TableText"/>
              <w:keepNext/>
              <w:keepLines/>
            </w:pPr>
            <w:r>
              <w:t>Pioglitazone</w:t>
            </w:r>
          </w:p>
        </w:tc>
        <w:tc>
          <w:tcPr>
            <w:tcW w:w="1369" w:type="dxa"/>
            <w:tcBorders>
              <w:top w:val="double" w:sz="4" w:space="0" w:color="auto"/>
              <w:left w:val="single" w:sz="4" w:space="0" w:color="auto"/>
              <w:bottom w:val="double" w:sz="4" w:space="0" w:color="auto"/>
              <w:right w:val="single" w:sz="4" w:space="0" w:color="auto"/>
            </w:tcBorders>
            <w:vAlign w:val="center"/>
            <w:hideMark/>
          </w:tcPr>
          <w:p w14:paraId="45C8766B" w14:textId="77777777" w:rsidR="00B522FB" w:rsidRDefault="00B522FB" w:rsidP="00B522FB">
            <w:pPr>
              <w:keepNext/>
              <w:keepLines/>
              <w:jc w:val="center"/>
              <w:rPr>
                <w:rFonts w:cstheme="minorHAnsi"/>
                <w:sz w:val="20"/>
              </w:rPr>
            </w:pPr>
            <w:r>
              <w:rPr>
                <w:rFonts w:asciiTheme="minorHAnsi" w:hAnsiTheme="minorHAnsi" w:cstheme="minorHAnsi"/>
                <w:sz w:val="20"/>
              </w:rPr>
              <w:sym w:font="Wingdings 2" w:char="F050"/>
            </w:r>
            <w:r>
              <w:rPr>
                <w:rFonts w:asciiTheme="minorHAnsi" w:hAnsiTheme="minorHAnsi" w:cstheme="minorHAnsi"/>
                <w:sz w:val="20"/>
                <w:vertAlign w:val="superscript"/>
              </w:rPr>
              <w:t>1</w:t>
            </w:r>
          </w:p>
        </w:tc>
        <w:tc>
          <w:tcPr>
            <w:tcW w:w="1418" w:type="dxa"/>
            <w:tcBorders>
              <w:top w:val="double" w:sz="4" w:space="0" w:color="auto"/>
              <w:left w:val="single" w:sz="4" w:space="0" w:color="auto"/>
              <w:bottom w:val="double" w:sz="4" w:space="0" w:color="auto"/>
              <w:right w:val="single" w:sz="4" w:space="0" w:color="auto"/>
            </w:tcBorders>
            <w:vAlign w:val="center"/>
            <w:hideMark/>
          </w:tcPr>
          <w:p w14:paraId="3673D1DF" w14:textId="77777777" w:rsidR="00B522FB" w:rsidRDefault="00B522FB" w:rsidP="00B522FB">
            <w:pPr>
              <w:keepNext/>
              <w:keepLines/>
              <w:jc w:val="center"/>
              <w:rPr>
                <w:rFonts w:cstheme="minorHAnsi"/>
                <w:sz w:val="20"/>
              </w:rPr>
            </w:pPr>
            <w:r>
              <w:rPr>
                <w:rFonts w:asciiTheme="minorHAnsi" w:hAnsiTheme="minorHAnsi" w:cstheme="minorHAnsi"/>
                <w:sz w:val="20"/>
              </w:rPr>
              <w:sym w:font="Wingdings 2" w:char="F050"/>
            </w:r>
          </w:p>
        </w:tc>
        <w:tc>
          <w:tcPr>
            <w:tcW w:w="1417" w:type="dxa"/>
            <w:tcBorders>
              <w:top w:val="double" w:sz="4" w:space="0" w:color="auto"/>
              <w:left w:val="single" w:sz="4" w:space="0" w:color="auto"/>
              <w:bottom w:val="double" w:sz="4" w:space="0" w:color="auto"/>
              <w:right w:val="single" w:sz="4" w:space="0" w:color="auto"/>
            </w:tcBorders>
            <w:vAlign w:val="center"/>
            <w:hideMark/>
          </w:tcPr>
          <w:p w14:paraId="14471A2D" w14:textId="77777777" w:rsidR="00B522FB" w:rsidRDefault="00B522FB" w:rsidP="00B522FB">
            <w:pPr>
              <w:keepNext/>
              <w:keepLines/>
              <w:jc w:val="center"/>
              <w:rPr>
                <w:rFonts w:cstheme="minorHAnsi"/>
                <w:sz w:val="20"/>
              </w:rPr>
            </w:pPr>
            <w:r>
              <w:rPr>
                <w:rFonts w:asciiTheme="minorHAnsi" w:hAnsiTheme="minorHAnsi" w:cstheme="minorHAnsi"/>
                <w:sz w:val="20"/>
              </w:rPr>
              <w:sym w:font="Wingdings 2" w:char="F050"/>
            </w:r>
            <w:r>
              <w:rPr>
                <w:rFonts w:asciiTheme="minorHAnsi" w:hAnsiTheme="minorHAnsi" w:cstheme="minorHAnsi"/>
                <w:bCs/>
                <w:sz w:val="20"/>
                <w:vertAlign w:val="superscript"/>
              </w:rPr>
              <w:t>3</w:t>
            </w:r>
          </w:p>
        </w:tc>
        <w:tc>
          <w:tcPr>
            <w:tcW w:w="1418" w:type="dxa"/>
            <w:tcBorders>
              <w:top w:val="double" w:sz="4" w:space="0" w:color="auto"/>
              <w:left w:val="single" w:sz="4" w:space="0" w:color="auto"/>
              <w:bottom w:val="double" w:sz="4" w:space="0" w:color="auto"/>
              <w:right w:val="single" w:sz="4" w:space="0" w:color="auto"/>
            </w:tcBorders>
            <w:vAlign w:val="center"/>
            <w:hideMark/>
          </w:tcPr>
          <w:p w14:paraId="06C3F2BD" w14:textId="77777777" w:rsidR="00B522FB" w:rsidRDefault="00B522FB" w:rsidP="00B522FB">
            <w:pPr>
              <w:keepNext/>
              <w:keepLines/>
              <w:jc w:val="center"/>
              <w:rPr>
                <w:rFonts w:cstheme="minorHAnsi"/>
                <w:sz w:val="20"/>
              </w:rPr>
            </w:pPr>
            <w:r>
              <w:rPr>
                <w:rFonts w:cstheme="minorHAnsi"/>
                <w:sz w:val="20"/>
              </w:rPr>
              <w:t>X</w:t>
            </w:r>
          </w:p>
        </w:tc>
      </w:tr>
      <w:tr w:rsidR="00B522FB" w14:paraId="4E36CD4F" w14:textId="77777777" w:rsidTr="007F6C22">
        <w:trPr>
          <w:trHeight w:val="340"/>
        </w:trPr>
        <w:tc>
          <w:tcPr>
            <w:tcW w:w="2404" w:type="dxa"/>
            <w:tcBorders>
              <w:top w:val="double" w:sz="4" w:space="0" w:color="auto"/>
              <w:left w:val="single" w:sz="4" w:space="0" w:color="auto"/>
              <w:bottom w:val="single" w:sz="4" w:space="0" w:color="auto"/>
              <w:right w:val="single" w:sz="4" w:space="0" w:color="auto"/>
            </w:tcBorders>
          </w:tcPr>
          <w:p w14:paraId="035A67C7" w14:textId="1490CC3A" w:rsidR="00B522FB" w:rsidRPr="00B522FB" w:rsidRDefault="00B522FB" w:rsidP="00B522FB">
            <w:pPr>
              <w:pStyle w:val="TableText"/>
              <w:keepNext/>
              <w:keepLines/>
            </w:pPr>
            <w:r w:rsidRPr="00B522FB">
              <w:t>GLP-1 RAs</w:t>
            </w:r>
          </w:p>
        </w:tc>
        <w:tc>
          <w:tcPr>
            <w:tcW w:w="1467" w:type="dxa"/>
            <w:tcBorders>
              <w:top w:val="double" w:sz="4" w:space="0" w:color="auto"/>
              <w:left w:val="single" w:sz="4" w:space="0" w:color="auto"/>
              <w:bottom w:val="single" w:sz="4" w:space="0" w:color="auto"/>
              <w:right w:val="single" w:sz="4" w:space="0" w:color="auto"/>
            </w:tcBorders>
            <w:vAlign w:val="center"/>
            <w:hideMark/>
          </w:tcPr>
          <w:p w14:paraId="49D29D64" w14:textId="00457306" w:rsidR="00B522FB" w:rsidRDefault="00B522FB" w:rsidP="00B522FB">
            <w:pPr>
              <w:pStyle w:val="TableText"/>
              <w:keepNext/>
              <w:keepLines/>
            </w:pPr>
            <w:r>
              <w:t>Exenatide</w:t>
            </w:r>
          </w:p>
        </w:tc>
        <w:tc>
          <w:tcPr>
            <w:tcW w:w="1369" w:type="dxa"/>
            <w:tcBorders>
              <w:top w:val="double" w:sz="4" w:space="0" w:color="auto"/>
              <w:left w:val="single" w:sz="4" w:space="0" w:color="auto"/>
              <w:bottom w:val="single" w:sz="4" w:space="0" w:color="auto"/>
              <w:right w:val="single" w:sz="4" w:space="0" w:color="auto"/>
            </w:tcBorders>
            <w:vAlign w:val="center"/>
            <w:hideMark/>
          </w:tcPr>
          <w:p w14:paraId="2FECD5BA" w14:textId="77777777" w:rsidR="00B522FB" w:rsidRDefault="00B522FB" w:rsidP="00B522FB">
            <w:pPr>
              <w:keepNext/>
              <w:keepLines/>
              <w:jc w:val="center"/>
              <w:rPr>
                <w:rFonts w:cstheme="minorHAnsi"/>
                <w:sz w:val="20"/>
              </w:rPr>
            </w:pPr>
            <w:r>
              <w:rPr>
                <w:rFonts w:asciiTheme="minorHAnsi" w:hAnsiTheme="minorHAnsi" w:cstheme="minorHAnsi"/>
                <w:sz w:val="20"/>
              </w:rPr>
              <w:sym w:font="Wingdings 2" w:char="F050"/>
            </w:r>
            <w:r>
              <w:rPr>
                <w:rFonts w:asciiTheme="minorHAnsi" w:hAnsiTheme="minorHAnsi" w:cstheme="minorHAnsi"/>
                <w:sz w:val="20"/>
                <w:vertAlign w:val="superscript"/>
              </w:rPr>
              <w:t>1</w:t>
            </w:r>
          </w:p>
        </w:tc>
        <w:tc>
          <w:tcPr>
            <w:tcW w:w="1418" w:type="dxa"/>
            <w:tcBorders>
              <w:top w:val="double" w:sz="4" w:space="0" w:color="auto"/>
              <w:left w:val="single" w:sz="4" w:space="0" w:color="auto"/>
              <w:bottom w:val="single" w:sz="4" w:space="0" w:color="auto"/>
              <w:right w:val="single" w:sz="4" w:space="0" w:color="auto"/>
            </w:tcBorders>
            <w:vAlign w:val="center"/>
            <w:hideMark/>
          </w:tcPr>
          <w:p w14:paraId="2BD01697" w14:textId="77777777" w:rsidR="00B522FB" w:rsidRDefault="00B522FB" w:rsidP="00B522FB">
            <w:pPr>
              <w:keepNext/>
              <w:keepLines/>
              <w:jc w:val="center"/>
              <w:rPr>
                <w:rFonts w:cstheme="minorHAnsi"/>
                <w:sz w:val="20"/>
              </w:rPr>
            </w:pPr>
            <w:r>
              <w:rPr>
                <w:rFonts w:asciiTheme="minorHAnsi" w:hAnsiTheme="minorHAnsi" w:cstheme="minorHAnsi"/>
                <w:sz w:val="20"/>
              </w:rPr>
              <w:sym w:font="Wingdings 2" w:char="F050"/>
            </w:r>
          </w:p>
        </w:tc>
        <w:tc>
          <w:tcPr>
            <w:tcW w:w="1417" w:type="dxa"/>
            <w:tcBorders>
              <w:top w:val="double" w:sz="4" w:space="0" w:color="auto"/>
              <w:left w:val="single" w:sz="4" w:space="0" w:color="auto"/>
              <w:bottom w:val="single" w:sz="4" w:space="0" w:color="auto"/>
              <w:right w:val="single" w:sz="4" w:space="0" w:color="auto"/>
            </w:tcBorders>
            <w:vAlign w:val="center"/>
            <w:hideMark/>
          </w:tcPr>
          <w:p w14:paraId="68FF6669" w14:textId="77777777" w:rsidR="00B522FB" w:rsidRDefault="00B522FB" w:rsidP="00B522FB">
            <w:pPr>
              <w:keepNext/>
              <w:keepLines/>
              <w:jc w:val="center"/>
              <w:rPr>
                <w:rFonts w:cstheme="minorHAnsi"/>
                <w:sz w:val="20"/>
              </w:rPr>
            </w:pPr>
            <w:r>
              <w:rPr>
                <w:rFonts w:asciiTheme="minorHAnsi" w:hAnsiTheme="minorHAnsi" w:cstheme="minorHAnsi"/>
                <w:sz w:val="20"/>
              </w:rPr>
              <w:sym w:font="Wingdings 2" w:char="F050"/>
            </w:r>
            <w:r w:rsidRPr="0065367D">
              <w:rPr>
                <w:rFonts w:asciiTheme="minorHAnsi" w:hAnsiTheme="minorHAnsi" w:cstheme="minorHAnsi"/>
                <w:sz w:val="20"/>
                <w:vertAlign w:val="superscript"/>
              </w:rPr>
              <w:t>7</w:t>
            </w:r>
          </w:p>
        </w:tc>
        <w:tc>
          <w:tcPr>
            <w:tcW w:w="1418" w:type="dxa"/>
            <w:tcBorders>
              <w:top w:val="double" w:sz="4" w:space="0" w:color="auto"/>
              <w:left w:val="single" w:sz="4" w:space="0" w:color="auto"/>
              <w:bottom w:val="single" w:sz="4" w:space="0" w:color="auto"/>
              <w:right w:val="single" w:sz="4" w:space="0" w:color="auto"/>
            </w:tcBorders>
            <w:vAlign w:val="center"/>
            <w:hideMark/>
          </w:tcPr>
          <w:p w14:paraId="2908B5E5" w14:textId="77777777" w:rsidR="00B522FB" w:rsidRDefault="00B522FB" w:rsidP="00B522FB">
            <w:pPr>
              <w:keepNext/>
              <w:keepLines/>
              <w:jc w:val="center"/>
              <w:rPr>
                <w:rFonts w:cstheme="minorHAnsi"/>
                <w:sz w:val="20"/>
              </w:rPr>
            </w:pPr>
            <w:r>
              <w:rPr>
                <w:rFonts w:cstheme="minorHAnsi"/>
                <w:sz w:val="20"/>
              </w:rPr>
              <w:t>X</w:t>
            </w:r>
          </w:p>
        </w:tc>
      </w:tr>
      <w:tr w:rsidR="007F6C22" w14:paraId="2C6FA97B" w14:textId="77777777" w:rsidTr="007F6C22">
        <w:trPr>
          <w:trHeight w:val="340"/>
        </w:trPr>
        <w:tc>
          <w:tcPr>
            <w:tcW w:w="2404" w:type="dxa"/>
            <w:tcBorders>
              <w:top w:val="single" w:sz="4" w:space="0" w:color="auto"/>
              <w:left w:val="single" w:sz="4" w:space="0" w:color="auto"/>
              <w:bottom w:val="single" w:sz="4" w:space="0" w:color="auto"/>
              <w:right w:val="single" w:sz="4" w:space="0" w:color="auto"/>
            </w:tcBorders>
          </w:tcPr>
          <w:p w14:paraId="029FD2C5" w14:textId="51F780EE" w:rsidR="007F6C22" w:rsidRPr="00B522FB" w:rsidRDefault="007F6C22" w:rsidP="007F6C22">
            <w:pPr>
              <w:pStyle w:val="TableText"/>
              <w:keepNext/>
              <w:keepLines/>
            </w:pPr>
            <w:r w:rsidRPr="00D01316">
              <w:t>GLP-1 RAs</w:t>
            </w:r>
          </w:p>
        </w:tc>
        <w:tc>
          <w:tcPr>
            <w:tcW w:w="1467" w:type="dxa"/>
            <w:tcBorders>
              <w:top w:val="single" w:sz="4" w:space="0" w:color="auto"/>
              <w:left w:val="single" w:sz="4" w:space="0" w:color="auto"/>
              <w:bottom w:val="single" w:sz="4" w:space="0" w:color="auto"/>
              <w:right w:val="single" w:sz="4" w:space="0" w:color="auto"/>
            </w:tcBorders>
            <w:vAlign w:val="center"/>
            <w:hideMark/>
          </w:tcPr>
          <w:p w14:paraId="276F359B" w14:textId="3E4BF26B" w:rsidR="007F6C22" w:rsidRDefault="007F6C22" w:rsidP="007F6C22">
            <w:pPr>
              <w:pStyle w:val="TableText"/>
              <w:keepNext/>
              <w:keepLines/>
            </w:pPr>
            <w:r>
              <w:t>Dulaglutide</w:t>
            </w:r>
            <w:r w:rsidRPr="00CA74EF">
              <w:rPr>
                <w:vertAlign w:val="superscript"/>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14:paraId="70682FFB" w14:textId="77777777" w:rsidR="007F6C22" w:rsidRDefault="007F6C22" w:rsidP="007F6C22">
            <w:pPr>
              <w:keepNext/>
              <w:keepLines/>
              <w:jc w:val="center"/>
              <w:rPr>
                <w:rFonts w:cstheme="minorHAnsi"/>
                <w:sz w:val="20"/>
              </w:rPr>
            </w:pPr>
            <w:r>
              <w:rPr>
                <w:rFonts w:asciiTheme="minorHAnsi" w:hAnsiTheme="minorHAnsi" w:cstheme="minorHAnsi"/>
                <w:sz w:val="20"/>
              </w:rPr>
              <w:sym w:font="Wingdings 2" w:char="F050"/>
            </w:r>
            <w:r>
              <w:rPr>
                <w:rFonts w:asciiTheme="minorHAnsi" w:hAnsiTheme="minorHAnsi" w:cstheme="minorHAnsi"/>
                <w:sz w:val="20"/>
                <w:vertAlign w:val="superscript"/>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05A49F" w14:textId="77777777" w:rsidR="007F6C22" w:rsidRDefault="007F6C22" w:rsidP="007F6C22">
            <w:pPr>
              <w:keepNext/>
              <w:keepLines/>
              <w:jc w:val="center"/>
              <w:rPr>
                <w:rFonts w:cstheme="minorHAnsi"/>
                <w:sz w:val="20"/>
              </w:rPr>
            </w:pPr>
            <w:r>
              <w:rPr>
                <w:rFonts w:asciiTheme="minorHAnsi" w:hAnsiTheme="minorHAnsi" w:cstheme="minorHAnsi"/>
                <w:sz w:val="20"/>
              </w:rPr>
              <w:sym w:font="Wingdings 2" w:char="F050"/>
            </w:r>
          </w:p>
        </w:tc>
        <w:tc>
          <w:tcPr>
            <w:tcW w:w="1417" w:type="dxa"/>
            <w:tcBorders>
              <w:top w:val="single" w:sz="4" w:space="0" w:color="auto"/>
              <w:left w:val="single" w:sz="4" w:space="0" w:color="auto"/>
              <w:bottom w:val="single" w:sz="4" w:space="0" w:color="auto"/>
              <w:right w:val="single" w:sz="4" w:space="0" w:color="auto"/>
            </w:tcBorders>
            <w:vAlign w:val="center"/>
            <w:hideMark/>
          </w:tcPr>
          <w:p w14:paraId="3B894C17" w14:textId="77777777" w:rsidR="007F6C22" w:rsidRDefault="007F6C22" w:rsidP="007F6C22">
            <w:pPr>
              <w:keepNext/>
              <w:keepLines/>
              <w:jc w:val="center"/>
              <w:rPr>
                <w:rFonts w:cstheme="minorHAnsi"/>
                <w:sz w:val="20"/>
              </w:rPr>
            </w:pPr>
            <w:r>
              <w:rPr>
                <w:rFonts w:asciiTheme="minorHAnsi" w:hAnsiTheme="minorHAnsi" w:cstheme="minorHAnsi"/>
                <w:sz w:val="20"/>
              </w:rPr>
              <w:sym w:font="Wingdings 2" w:char="F050"/>
            </w:r>
            <w:r w:rsidRPr="0065367D">
              <w:rPr>
                <w:rFonts w:asciiTheme="minorHAnsi" w:hAnsiTheme="minorHAnsi" w:cstheme="minorHAnsi"/>
                <w:sz w:val="20"/>
                <w:vertAlign w:val="superscript"/>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38F084" w14:textId="77777777" w:rsidR="007F6C22" w:rsidRDefault="007F6C22" w:rsidP="007F6C22">
            <w:pPr>
              <w:keepNext/>
              <w:keepLines/>
              <w:jc w:val="center"/>
              <w:rPr>
                <w:rFonts w:cstheme="minorHAnsi"/>
                <w:sz w:val="20"/>
              </w:rPr>
            </w:pPr>
            <w:r>
              <w:rPr>
                <w:rFonts w:cstheme="minorHAnsi"/>
                <w:sz w:val="20"/>
              </w:rPr>
              <w:t>X</w:t>
            </w:r>
          </w:p>
        </w:tc>
      </w:tr>
      <w:tr w:rsidR="007F6C22" w14:paraId="760EA1F8" w14:textId="77777777" w:rsidTr="007F6C22">
        <w:trPr>
          <w:trHeight w:val="340"/>
        </w:trPr>
        <w:tc>
          <w:tcPr>
            <w:tcW w:w="2404" w:type="dxa"/>
            <w:tcBorders>
              <w:top w:val="single" w:sz="4" w:space="0" w:color="auto"/>
              <w:left w:val="single" w:sz="4" w:space="0" w:color="auto"/>
              <w:bottom w:val="double" w:sz="4" w:space="0" w:color="auto"/>
              <w:right w:val="single" w:sz="4" w:space="0" w:color="auto"/>
            </w:tcBorders>
          </w:tcPr>
          <w:p w14:paraId="78D43501" w14:textId="1F1A04FA" w:rsidR="007F6C22" w:rsidRDefault="007F6C22" w:rsidP="007F6C22">
            <w:pPr>
              <w:pStyle w:val="TableText"/>
              <w:keepNext/>
              <w:keepLines/>
            </w:pPr>
            <w:r w:rsidRPr="00D01316">
              <w:t>GLP-1 RAs</w:t>
            </w:r>
          </w:p>
        </w:tc>
        <w:tc>
          <w:tcPr>
            <w:tcW w:w="1467" w:type="dxa"/>
            <w:tcBorders>
              <w:top w:val="single" w:sz="4" w:space="0" w:color="auto"/>
              <w:left w:val="single" w:sz="4" w:space="0" w:color="auto"/>
              <w:bottom w:val="double" w:sz="4" w:space="0" w:color="auto"/>
              <w:right w:val="single" w:sz="4" w:space="0" w:color="auto"/>
            </w:tcBorders>
            <w:vAlign w:val="center"/>
            <w:hideMark/>
          </w:tcPr>
          <w:p w14:paraId="52C5AFFF" w14:textId="48657F5F" w:rsidR="007F6C22" w:rsidRDefault="007F6C22" w:rsidP="007F6C22">
            <w:pPr>
              <w:pStyle w:val="TableText"/>
              <w:keepNext/>
              <w:keepLines/>
            </w:pPr>
            <w:r>
              <w:t>Semaglutide</w:t>
            </w:r>
            <w:r w:rsidRPr="00CA74EF">
              <w:rPr>
                <w:vertAlign w:val="superscript"/>
              </w:rPr>
              <w:t>8</w:t>
            </w:r>
          </w:p>
        </w:tc>
        <w:tc>
          <w:tcPr>
            <w:tcW w:w="1369" w:type="dxa"/>
            <w:tcBorders>
              <w:top w:val="single" w:sz="4" w:space="0" w:color="auto"/>
              <w:left w:val="single" w:sz="4" w:space="0" w:color="auto"/>
              <w:bottom w:val="double" w:sz="4" w:space="0" w:color="auto"/>
              <w:right w:val="single" w:sz="4" w:space="0" w:color="auto"/>
            </w:tcBorders>
            <w:vAlign w:val="center"/>
            <w:hideMark/>
          </w:tcPr>
          <w:p w14:paraId="04FD9B16" w14:textId="77777777" w:rsidR="007F6C22" w:rsidRDefault="007F6C22" w:rsidP="007F6C22">
            <w:pPr>
              <w:keepNext/>
              <w:keepLines/>
              <w:jc w:val="center"/>
              <w:rPr>
                <w:rFonts w:cstheme="minorHAnsi"/>
                <w:sz w:val="20"/>
              </w:rPr>
            </w:pPr>
            <w:r>
              <w:rPr>
                <w:rFonts w:asciiTheme="minorHAnsi" w:hAnsiTheme="minorHAnsi" w:cstheme="minorHAnsi"/>
                <w:sz w:val="20"/>
              </w:rPr>
              <w:sym w:font="Wingdings 2" w:char="F050"/>
            </w:r>
            <w:r>
              <w:rPr>
                <w:rFonts w:asciiTheme="minorHAnsi" w:hAnsiTheme="minorHAnsi" w:cstheme="minorHAnsi"/>
                <w:sz w:val="20"/>
                <w:vertAlign w:val="superscript"/>
              </w:rPr>
              <w:t>1</w:t>
            </w:r>
          </w:p>
        </w:tc>
        <w:tc>
          <w:tcPr>
            <w:tcW w:w="1418" w:type="dxa"/>
            <w:tcBorders>
              <w:top w:val="single" w:sz="4" w:space="0" w:color="auto"/>
              <w:left w:val="single" w:sz="4" w:space="0" w:color="auto"/>
              <w:bottom w:val="double" w:sz="4" w:space="0" w:color="auto"/>
              <w:right w:val="single" w:sz="4" w:space="0" w:color="auto"/>
            </w:tcBorders>
            <w:vAlign w:val="center"/>
            <w:hideMark/>
          </w:tcPr>
          <w:p w14:paraId="10335F7B" w14:textId="77777777" w:rsidR="007F6C22" w:rsidRDefault="007F6C22" w:rsidP="007F6C22">
            <w:pPr>
              <w:keepNext/>
              <w:keepLines/>
              <w:jc w:val="center"/>
              <w:rPr>
                <w:rFonts w:cstheme="minorHAnsi"/>
                <w:sz w:val="20"/>
              </w:rPr>
            </w:pPr>
            <w:r>
              <w:rPr>
                <w:rFonts w:asciiTheme="minorHAnsi" w:hAnsiTheme="minorHAnsi" w:cstheme="minorHAnsi"/>
                <w:sz w:val="20"/>
              </w:rPr>
              <w:sym w:font="Wingdings 2" w:char="F050"/>
            </w:r>
          </w:p>
        </w:tc>
        <w:tc>
          <w:tcPr>
            <w:tcW w:w="1417" w:type="dxa"/>
            <w:tcBorders>
              <w:top w:val="single" w:sz="4" w:space="0" w:color="auto"/>
              <w:left w:val="single" w:sz="4" w:space="0" w:color="auto"/>
              <w:bottom w:val="double" w:sz="4" w:space="0" w:color="auto"/>
              <w:right w:val="single" w:sz="4" w:space="0" w:color="auto"/>
            </w:tcBorders>
            <w:vAlign w:val="center"/>
            <w:hideMark/>
          </w:tcPr>
          <w:p w14:paraId="1DE2A5E9" w14:textId="77777777" w:rsidR="007F6C22" w:rsidRDefault="007F6C22" w:rsidP="007F6C22">
            <w:pPr>
              <w:keepNext/>
              <w:keepLines/>
              <w:jc w:val="center"/>
              <w:rPr>
                <w:rFonts w:cstheme="minorHAnsi"/>
                <w:sz w:val="20"/>
              </w:rPr>
            </w:pPr>
            <w:r>
              <w:rPr>
                <w:rFonts w:asciiTheme="minorHAnsi" w:hAnsiTheme="minorHAnsi" w:cstheme="minorHAnsi"/>
                <w:sz w:val="20"/>
              </w:rPr>
              <w:sym w:font="Wingdings 2" w:char="F050"/>
            </w:r>
            <w:r w:rsidRPr="0065367D">
              <w:rPr>
                <w:rFonts w:asciiTheme="minorHAnsi" w:hAnsiTheme="minorHAnsi" w:cstheme="minorHAnsi"/>
                <w:sz w:val="20"/>
                <w:vertAlign w:val="superscript"/>
              </w:rPr>
              <w:t>7</w:t>
            </w:r>
          </w:p>
        </w:tc>
        <w:tc>
          <w:tcPr>
            <w:tcW w:w="1418" w:type="dxa"/>
            <w:tcBorders>
              <w:top w:val="single" w:sz="4" w:space="0" w:color="auto"/>
              <w:left w:val="single" w:sz="4" w:space="0" w:color="auto"/>
              <w:bottom w:val="double" w:sz="4" w:space="0" w:color="auto"/>
              <w:right w:val="single" w:sz="4" w:space="0" w:color="auto"/>
            </w:tcBorders>
            <w:vAlign w:val="center"/>
            <w:hideMark/>
          </w:tcPr>
          <w:p w14:paraId="1B03A647" w14:textId="77777777" w:rsidR="007F6C22" w:rsidRDefault="007F6C22" w:rsidP="007F6C22">
            <w:pPr>
              <w:keepNext/>
              <w:keepLines/>
              <w:jc w:val="center"/>
              <w:rPr>
                <w:rFonts w:cstheme="minorHAnsi"/>
                <w:sz w:val="20"/>
              </w:rPr>
            </w:pPr>
            <w:r>
              <w:rPr>
                <w:rFonts w:cstheme="minorHAnsi"/>
                <w:sz w:val="20"/>
              </w:rPr>
              <w:t>X</w:t>
            </w:r>
          </w:p>
        </w:tc>
      </w:tr>
    </w:tbl>
    <w:p w14:paraId="59E5A885" w14:textId="77777777" w:rsidR="00CA74EF" w:rsidRPr="00CA74EF" w:rsidRDefault="00CA74EF" w:rsidP="00E5032E">
      <w:pPr>
        <w:keepNext/>
        <w:keepLines/>
        <w:spacing w:after="0" w:line="240" w:lineRule="auto"/>
        <w:rPr>
          <w:sz w:val="20"/>
          <w:szCs w:val="20"/>
        </w:rPr>
      </w:pPr>
      <w:r w:rsidRPr="00CA74EF">
        <w:rPr>
          <w:sz w:val="20"/>
          <w:szCs w:val="20"/>
        </w:rPr>
        <w:t xml:space="preserve">Source: the </w:t>
      </w:r>
      <w:hyperlink r:id="rId12" w:history="1">
        <w:r w:rsidRPr="00CA74EF">
          <w:rPr>
            <w:rStyle w:val="Hyperlink"/>
            <w:sz w:val="20"/>
            <w:szCs w:val="20"/>
          </w:rPr>
          <w:t>PBS website</w:t>
        </w:r>
      </w:hyperlink>
      <w:proofErr w:type="gramStart"/>
      <w:r w:rsidRPr="00CA74EF">
        <w:rPr>
          <w:sz w:val="20"/>
          <w:szCs w:val="20"/>
        </w:rPr>
        <w:t xml:space="preserve">.  </w:t>
      </w:r>
      <w:proofErr w:type="gramEnd"/>
    </w:p>
    <w:p w14:paraId="2A689F6E" w14:textId="4146F304" w:rsidR="00E62CA3" w:rsidRPr="00F92F86" w:rsidRDefault="00E62CA3" w:rsidP="00E5032E">
      <w:pPr>
        <w:keepNext/>
        <w:keepLines/>
        <w:spacing w:after="0" w:line="240" w:lineRule="auto"/>
        <w:rPr>
          <w:rFonts w:asciiTheme="minorHAnsi" w:eastAsia="Times New Roman" w:hAnsiTheme="minorHAnsi" w:cstheme="minorHAnsi"/>
          <w:sz w:val="20"/>
          <w:szCs w:val="20"/>
        </w:rPr>
      </w:pPr>
      <w:r w:rsidRPr="00F92F86">
        <w:rPr>
          <w:rFonts w:asciiTheme="minorHAnsi" w:hAnsiTheme="minorHAnsi" w:cstheme="minorHAnsi"/>
          <w:sz w:val="20"/>
          <w:szCs w:val="20"/>
        </w:rPr>
        <w:t xml:space="preserve">Abbreviations: DPP4i: dipeptidyl-peptidase-4 inhibitor; Met: metformin; SGLT2i: sodium-glucose cotransporter </w:t>
      </w:r>
      <w:proofErr w:type="gramStart"/>
      <w:r w:rsidRPr="00F92F86">
        <w:rPr>
          <w:rFonts w:asciiTheme="minorHAnsi" w:hAnsiTheme="minorHAnsi" w:cstheme="minorHAnsi"/>
          <w:sz w:val="20"/>
          <w:szCs w:val="20"/>
        </w:rPr>
        <w:t>2</w:t>
      </w:r>
      <w:proofErr w:type="gramEnd"/>
      <w:r w:rsidRPr="00F92F86">
        <w:rPr>
          <w:rFonts w:asciiTheme="minorHAnsi" w:hAnsiTheme="minorHAnsi" w:cstheme="minorHAnsi"/>
          <w:sz w:val="20"/>
          <w:szCs w:val="20"/>
        </w:rPr>
        <w:t xml:space="preserve"> inhibitor; SU: sulfonylurea.</w:t>
      </w:r>
    </w:p>
    <w:p w14:paraId="0AB90E04" w14:textId="77777777" w:rsidR="00E62CA3" w:rsidRPr="00F92F86" w:rsidRDefault="00E62CA3" w:rsidP="00E5032E">
      <w:pPr>
        <w:keepNext/>
        <w:keepLines/>
        <w:spacing w:after="0" w:line="240" w:lineRule="auto"/>
        <w:rPr>
          <w:rFonts w:asciiTheme="minorHAnsi" w:hAnsiTheme="minorHAnsi" w:cstheme="minorHAnsi"/>
          <w:sz w:val="20"/>
          <w:szCs w:val="20"/>
        </w:rPr>
      </w:pPr>
      <w:r w:rsidRPr="00F92F86">
        <w:rPr>
          <w:rFonts w:asciiTheme="minorHAnsi" w:hAnsiTheme="minorHAnsi" w:cstheme="minorHAnsi"/>
          <w:sz w:val="20"/>
          <w:szCs w:val="20"/>
        </w:rPr>
        <w:t>Notes:</w:t>
      </w:r>
    </w:p>
    <w:p w14:paraId="785B54C4" w14:textId="77777777" w:rsidR="00E62CA3" w:rsidRPr="00F92F86" w:rsidRDefault="00E62CA3" w:rsidP="00E5032E">
      <w:pPr>
        <w:pStyle w:val="ListParagraph"/>
        <w:keepNext/>
        <w:keepLines/>
        <w:numPr>
          <w:ilvl w:val="0"/>
          <w:numId w:val="1"/>
        </w:numPr>
        <w:snapToGrid w:val="0"/>
        <w:spacing w:after="0" w:line="240" w:lineRule="auto"/>
        <w:rPr>
          <w:rFonts w:asciiTheme="minorHAnsi" w:hAnsiTheme="minorHAnsi" w:cstheme="minorHAnsi"/>
          <w:sz w:val="20"/>
          <w:szCs w:val="20"/>
        </w:rPr>
      </w:pPr>
      <w:r w:rsidRPr="00F92F86">
        <w:rPr>
          <w:rFonts w:asciiTheme="minorHAnsi" w:hAnsiTheme="minorHAnsi" w:cstheme="minorHAnsi"/>
          <w:sz w:val="20"/>
          <w:szCs w:val="20"/>
        </w:rPr>
        <w:t>Only if the patient is contraindicated or intolerant to metformin and a sulfonylurea.</w:t>
      </w:r>
    </w:p>
    <w:p w14:paraId="62CFCE93" w14:textId="77777777" w:rsidR="00E62CA3" w:rsidRPr="00F92F86" w:rsidRDefault="00E62CA3" w:rsidP="00E5032E">
      <w:pPr>
        <w:pStyle w:val="ListParagraph"/>
        <w:keepNext/>
        <w:keepLines/>
        <w:numPr>
          <w:ilvl w:val="0"/>
          <w:numId w:val="1"/>
        </w:numPr>
        <w:snapToGrid w:val="0"/>
        <w:spacing w:after="0" w:line="240" w:lineRule="auto"/>
        <w:rPr>
          <w:rFonts w:asciiTheme="minorHAnsi" w:hAnsiTheme="minorHAnsi" w:cstheme="minorHAnsi"/>
          <w:sz w:val="20"/>
          <w:szCs w:val="20"/>
        </w:rPr>
      </w:pPr>
      <w:r w:rsidRPr="00F92F86">
        <w:rPr>
          <w:rFonts w:asciiTheme="minorHAnsi" w:hAnsiTheme="minorHAnsi" w:cstheme="minorHAnsi"/>
          <w:sz w:val="20"/>
          <w:szCs w:val="20"/>
        </w:rPr>
        <w:t>Fixed dose combination products with metformin are also available for these medicines and listed for the same indications. FDCs are not subsidised for initial therapy.</w:t>
      </w:r>
    </w:p>
    <w:p w14:paraId="5934C27B" w14:textId="77777777" w:rsidR="00E62CA3" w:rsidRPr="00F92F86" w:rsidRDefault="00E62CA3" w:rsidP="00E5032E">
      <w:pPr>
        <w:pStyle w:val="ListParagraph"/>
        <w:keepNext/>
        <w:keepLines/>
        <w:numPr>
          <w:ilvl w:val="0"/>
          <w:numId w:val="1"/>
        </w:numPr>
        <w:snapToGrid w:val="0"/>
        <w:spacing w:after="0" w:line="240" w:lineRule="auto"/>
        <w:rPr>
          <w:rFonts w:asciiTheme="minorHAnsi" w:hAnsiTheme="minorHAnsi" w:cstheme="minorHAnsi"/>
          <w:sz w:val="20"/>
          <w:szCs w:val="20"/>
        </w:rPr>
      </w:pPr>
      <w:r w:rsidRPr="00F92F86">
        <w:rPr>
          <w:rFonts w:asciiTheme="minorHAnsi" w:hAnsiTheme="minorHAnsi" w:cstheme="minorHAnsi"/>
          <w:color w:val="000000"/>
          <w:sz w:val="20"/>
          <w:szCs w:val="20"/>
        </w:rPr>
        <w:t>Despite treatment with insulin and oral antidiabetic agents, or insulin alone where metformin is contraindicated.</w:t>
      </w:r>
    </w:p>
    <w:p w14:paraId="5815C3CC" w14:textId="77777777" w:rsidR="00E62CA3" w:rsidRPr="00F92F86" w:rsidRDefault="00E62CA3" w:rsidP="00E5032E">
      <w:pPr>
        <w:pStyle w:val="ListParagraph"/>
        <w:keepNext/>
        <w:keepLines/>
        <w:numPr>
          <w:ilvl w:val="0"/>
          <w:numId w:val="1"/>
        </w:numPr>
        <w:snapToGrid w:val="0"/>
        <w:spacing w:after="0" w:line="240" w:lineRule="auto"/>
        <w:rPr>
          <w:rFonts w:asciiTheme="minorHAnsi" w:hAnsiTheme="minorHAnsi" w:cstheme="minorHAnsi"/>
          <w:sz w:val="20"/>
          <w:szCs w:val="20"/>
        </w:rPr>
      </w:pPr>
      <w:r w:rsidRPr="00F92F86">
        <w:rPr>
          <w:rFonts w:asciiTheme="minorHAnsi" w:hAnsiTheme="minorHAnsi" w:cstheme="minorHAnsi"/>
          <w:color w:val="000000"/>
          <w:sz w:val="20"/>
          <w:szCs w:val="20"/>
        </w:rPr>
        <w:t>FDC with DPP4 inhibitor available.</w:t>
      </w:r>
    </w:p>
    <w:p w14:paraId="56053E27" w14:textId="77777777" w:rsidR="00E62CA3" w:rsidRPr="00F92F86" w:rsidRDefault="00E62CA3" w:rsidP="00E5032E">
      <w:pPr>
        <w:pStyle w:val="ListParagraph"/>
        <w:keepNext/>
        <w:keepLines/>
        <w:numPr>
          <w:ilvl w:val="0"/>
          <w:numId w:val="1"/>
        </w:numPr>
        <w:snapToGrid w:val="0"/>
        <w:spacing w:after="0" w:line="240" w:lineRule="auto"/>
        <w:rPr>
          <w:rFonts w:asciiTheme="minorHAnsi" w:hAnsiTheme="minorHAnsi" w:cstheme="minorHAnsi"/>
          <w:sz w:val="20"/>
          <w:szCs w:val="20"/>
        </w:rPr>
      </w:pPr>
      <w:r w:rsidRPr="00F92F86">
        <w:rPr>
          <w:rFonts w:asciiTheme="minorHAnsi" w:hAnsiTheme="minorHAnsi" w:cstheme="minorHAnsi"/>
          <w:color w:val="000000"/>
          <w:sz w:val="20"/>
          <w:szCs w:val="20"/>
        </w:rPr>
        <w:t>FDC with SGLT2 inhibitor available.</w:t>
      </w:r>
    </w:p>
    <w:p w14:paraId="222E3E3A" w14:textId="77777777" w:rsidR="00E62CA3" w:rsidRPr="00F92F86" w:rsidRDefault="00E62CA3" w:rsidP="00E5032E">
      <w:pPr>
        <w:pStyle w:val="ListParagraph"/>
        <w:keepNext/>
        <w:keepLines/>
        <w:numPr>
          <w:ilvl w:val="0"/>
          <w:numId w:val="1"/>
        </w:numPr>
        <w:snapToGrid w:val="0"/>
        <w:spacing w:after="0" w:line="240" w:lineRule="auto"/>
        <w:rPr>
          <w:rFonts w:asciiTheme="minorHAnsi" w:hAnsiTheme="minorHAnsi" w:cstheme="minorHAnsi"/>
          <w:sz w:val="20"/>
          <w:szCs w:val="20"/>
        </w:rPr>
      </w:pPr>
      <w:r w:rsidRPr="00F92F86">
        <w:rPr>
          <w:rFonts w:asciiTheme="minorHAnsi" w:hAnsiTheme="minorHAnsi" w:cstheme="minorHAnsi"/>
          <w:color w:val="000000"/>
          <w:sz w:val="20"/>
          <w:szCs w:val="20"/>
        </w:rPr>
        <w:t>Restricted to use in combination with metformin, not sulfonylurea.</w:t>
      </w:r>
    </w:p>
    <w:p w14:paraId="63160BAA" w14:textId="2E886EBA" w:rsidR="00E62CA3" w:rsidRPr="00CA74EF" w:rsidRDefault="00E62CA3" w:rsidP="00E5032E">
      <w:pPr>
        <w:pStyle w:val="ListParagraph"/>
        <w:keepNext/>
        <w:keepLines/>
        <w:numPr>
          <w:ilvl w:val="0"/>
          <w:numId w:val="1"/>
        </w:numPr>
        <w:snapToGrid w:val="0"/>
        <w:spacing w:after="0" w:line="240" w:lineRule="auto"/>
        <w:rPr>
          <w:rFonts w:asciiTheme="minorHAnsi" w:hAnsiTheme="minorHAnsi" w:cstheme="minorHAnsi"/>
          <w:sz w:val="20"/>
          <w:szCs w:val="20"/>
        </w:rPr>
      </w:pPr>
      <w:r w:rsidRPr="00F92F86">
        <w:rPr>
          <w:rFonts w:asciiTheme="minorHAnsi" w:hAnsiTheme="minorHAnsi" w:cstheme="minorHAnsi"/>
          <w:color w:val="000000"/>
          <w:sz w:val="20"/>
          <w:szCs w:val="20"/>
        </w:rPr>
        <w:t>Treatment must be in combination with metformin unless contraindicated or not tolerated.</w:t>
      </w:r>
    </w:p>
    <w:p w14:paraId="430CB1A8" w14:textId="1DBBC53A" w:rsidR="00CA74EF" w:rsidRPr="00F92F86" w:rsidRDefault="00CA74EF" w:rsidP="00E5032E">
      <w:pPr>
        <w:pStyle w:val="ListParagraph"/>
        <w:keepNext/>
        <w:keepLines/>
        <w:numPr>
          <w:ilvl w:val="0"/>
          <w:numId w:val="1"/>
        </w:numPr>
        <w:snapToGrid w:val="0"/>
        <w:spacing w:after="0" w:line="240" w:lineRule="auto"/>
        <w:rPr>
          <w:rFonts w:asciiTheme="minorHAnsi" w:hAnsiTheme="minorHAnsi" w:cstheme="minorHAnsi"/>
          <w:sz w:val="20"/>
          <w:szCs w:val="20"/>
        </w:rPr>
      </w:pPr>
      <w:r>
        <w:rPr>
          <w:rFonts w:asciiTheme="minorHAnsi" w:hAnsiTheme="minorHAnsi" w:cstheme="minorHAnsi"/>
          <w:color w:val="000000"/>
          <w:sz w:val="20"/>
          <w:szCs w:val="20"/>
        </w:rPr>
        <w:t>Special Pricing Arrangements apply.</w:t>
      </w:r>
    </w:p>
    <w:p w14:paraId="555C6B22" w14:textId="5FCA555E" w:rsidR="00E62CA3" w:rsidDel="00EE2BBB" w:rsidRDefault="00E62CA3" w:rsidP="00C7336E">
      <w:pPr>
        <w:spacing w:line="240" w:lineRule="auto"/>
        <w:rPr>
          <w:highlight w:val="yellow"/>
        </w:rPr>
      </w:pPr>
    </w:p>
    <w:p w14:paraId="5586E412" w14:textId="77777777" w:rsidR="00E62CA3" w:rsidRPr="006775F1" w:rsidDel="00EE2BBB" w:rsidRDefault="00E62CA3" w:rsidP="00C7336E">
      <w:pPr>
        <w:spacing w:line="240" w:lineRule="auto"/>
      </w:pPr>
      <w:r w:rsidRPr="006775F1" w:rsidDel="00EE2BBB">
        <w:t xml:space="preserve">For </w:t>
      </w:r>
      <w:r w:rsidDel="00EE2BBB">
        <w:t xml:space="preserve">details of the current PBS listing refer to the </w:t>
      </w:r>
      <w:hyperlink r:id="rId13" w:history="1">
        <w:r w:rsidRPr="00645D51" w:rsidDel="00EE2BBB">
          <w:rPr>
            <w:rStyle w:val="Hyperlink"/>
          </w:rPr>
          <w:t>PBS website</w:t>
        </w:r>
      </w:hyperlink>
      <w:r w:rsidDel="00EE2BBB">
        <w:rPr>
          <w:rStyle w:val="Hyperlink"/>
        </w:rPr>
        <w:t>.</w:t>
      </w:r>
    </w:p>
    <w:p w14:paraId="5AB6DCBD" w14:textId="44E58572" w:rsidR="00E62CA3" w:rsidRPr="00675BB1" w:rsidDel="00EE2BBB" w:rsidRDefault="00E62CA3" w:rsidP="00E5032E">
      <w:pPr>
        <w:pStyle w:val="Heading3"/>
      </w:pPr>
      <w:r w:rsidRPr="00675BB1" w:rsidDel="00EE2BBB">
        <w:lastRenderedPageBreak/>
        <w:t>Changes to</w:t>
      </w:r>
      <w:r w:rsidR="00590734">
        <w:t xml:space="preserve"> </w:t>
      </w:r>
      <w:r w:rsidRPr="00675BB1" w:rsidDel="00EE2BBB">
        <w:t>listing</w:t>
      </w:r>
      <w:r w:rsidR="00590734">
        <w:t>s</w:t>
      </w:r>
    </w:p>
    <w:p w14:paraId="343F162D" w14:textId="6C9E7CD1" w:rsidR="00E62CA3" w:rsidRDefault="00E62CA3" w:rsidP="00C7336E">
      <w:pPr>
        <w:spacing w:line="240" w:lineRule="auto"/>
      </w:pPr>
      <w:r>
        <w:t xml:space="preserve">PBAC recommendations and PBS listings for diabetes medicines since the DUSC review in 2017 are summarised by medicine class in Table </w:t>
      </w:r>
      <w:r w:rsidR="000F4A60">
        <w:t>3</w:t>
      </w:r>
      <w:r>
        <w:t xml:space="preserve">. </w:t>
      </w:r>
    </w:p>
    <w:p w14:paraId="73429C2E" w14:textId="77777777" w:rsidR="00E62CA3" w:rsidRDefault="00E62CA3" w:rsidP="00C7336E">
      <w:pPr>
        <w:spacing w:line="240" w:lineRule="auto"/>
        <w:rPr>
          <w:rFonts w:cs="Arial"/>
        </w:rPr>
      </w:pPr>
      <w:r>
        <w:rPr>
          <w:rFonts w:cs="Arial"/>
        </w:rPr>
        <w:t xml:space="preserve">Major changes to T2DM medicines since </w:t>
      </w:r>
      <w:r>
        <w:t xml:space="preserve">the DUSC review in 2017 </w:t>
      </w:r>
      <w:r>
        <w:rPr>
          <w:rFonts w:cs="Arial"/>
        </w:rPr>
        <w:t>include:</w:t>
      </w:r>
    </w:p>
    <w:p w14:paraId="5D6E76C3" w14:textId="5DD8E899" w:rsidR="00E62CA3" w:rsidRDefault="00E62CA3">
      <w:pPr>
        <w:pStyle w:val="ListParagraph"/>
        <w:numPr>
          <w:ilvl w:val="0"/>
          <w:numId w:val="4"/>
        </w:numPr>
        <w:spacing w:line="240" w:lineRule="auto"/>
        <w:rPr>
          <w:rFonts w:cs="Arial"/>
        </w:rPr>
      </w:pPr>
      <w:r>
        <w:rPr>
          <w:rFonts w:cs="Arial"/>
        </w:rPr>
        <w:t>T</w:t>
      </w:r>
      <w:r w:rsidRPr="008F1D96">
        <w:rPr>
          <w:rFonts w:cs="Arial"/>
        </w:rPr>
        <w:t>he listing of two GLP-1 RAs</w:t>
      </w:r>
      <w:r>
        <w:rPr>
          <w:rFonts w:cs="Arial"/>
        </w:rPr>
        <w:t>,</w:t>
      </w:r>
      <w:r w:rsidRPr="008F1D96">
        <w:rPr>
          <w:rFonts w:cs="Arial"/>
        </w:rPr>
        <w:t xml:space="preserve"> dulaglutide in June 2018 and semaglutide in July 2020</w:t>
      </w:r>
      <w:r>
        <w:rPr>
          <w:rFonts w:cs="Arial"/>
        </w:rPr>
        <w:t>,</w:t>
      </w:r>
      <w:r w:rsidRPr="008F1D96">
        <w:rPr>
          <w:rFonts w:cs="Arial"/>
        </w:rPr>
        <w:t xml:space="preserve"> for use as dual therapy with metformin</w:t>
      </w:r>
      <w:r>
        <w:rPr>
          <w:rFonts w:cs="Arial"/>
        </w:rPr>
        <w:t xml:space="preserve"> (or a SU for semaglutide)</w:t>
      </w:r>
      <w:r w:rsidRPr="008F1D96">
        <w:rPr>
          <w:rFonts w:cs="Arial"/>
        </w:rPr>
        <w:t xml:space="preserve"> or triple therapy with metformin and a SU, and extensions to these listings in 2021 to allow concomitant use with insulin and metformin (</w:t>
      </w:r>
      <w:r w:rsidR="00A75C6B">
        <w:rPr>
          <w:rFonts w:cs="Arial"/>
        </w:rPr>
        <w:t xml:space="preserve">or insulin alone where </w:t>
      </w:r>
      <w:r w:rsidRPr="008F1D96">
        <w:rPr>
          <w:rFonts w:cs="Arial"/>
        </w:rPr>
        <w:t>metformin is contraindicated or not tolerated).</w:t>
      </w:r>
    </w:p>
    <w:p w14:paraId="71CEFFF6" w14:textId="77777777" w:rsidR="00E62CA3" w:rsidRDefault="00E62CA3">
      <w:pPr>
        <w:pStyle w:val="ListParagraph"/>
        <w:numPr>
          <w:ilvl w:val="0"/>
          <w:numId w:val="4"/>
        </w:numPr>
        <w:spacing w:line="240" w:lineRule="auto"/>
        <w:rPr>
          <w:rFonts w:cs="Arial"/>
        </w:rPr>
      </w:pPr>
      <w:r>
        <w:rPr>
          <w:rFonts w:cs="Arial"/>
        </w:rPr>
        <w:t xml:space="preserve">FDCs of </w:t>
      </w:r>
      <w:r w:rsidRPr="008F1D96">
        <w:rPr>
          <w:rFonts w:cs="Arial"/>
        </w:rPr>
        <w:t xml:space="preserve">SGLT2 inhibitors with DPP4 inhibitors </w:t>
      </w:r>
      <w:proofErr w:type="gramStart"/>
      <w:r>
        <w:rPr>
          <w:rFonts w:cs="Arial"/>
        </w:rPr>
        <w:t>were listed</w:t>
      </w:r>
      <w:proofErr w:type="gramEnd"/>
      <w:r>
        <w:rPr>
          <w:rFonts w:cs="Arial"/>
        </w:rPr>
        <w:t xml:space="preserve"> and </w:t>
      </w:r>
      <w:r w:rsidRPr="008F1D96">
        <w:rPr>
          <w:rFonts w:cs="Arial"/>
        </w:rPr>
        <w:t>the listings</w:t>
      </w:r>
      <w:r>
        <w:rPr>
          <w:rFonts w:cs="Arial"/>
        </w:rPr>
        <w:t xml:space="preserve"> for these medicines were</w:t>
      </w:r>
      <w:r w:rsidRPr="008F1D96">
        <w:rPr>
          <w:rFonts w:cs="Arial"/>
        </w:rPr>
        <w:t xml:space="preserve"> extended to allow use in triple therapy with metformin.</w:t>
      </w:r>
    </w:p>
    <w:p w14:paraId="2D3E7A80" w14:textId="4F2AA6D7" w:rsidR="00E62CA3" w:rsidRPr="009360FC" w:rsidRDefault="00E62CA3">
      <w:pPr>
        <w:pStyle w:val="ListParagraph"/>
        <w:numPr>
          <w:ilvl w:val="0"/>
          <w:numId w:val="4"/>
        </w:numPr>
        <w:spacing w:line="240" w:lineRule="auto"/>
        <w:rPr>
          <w:rFonts w:cs="Arial"/>
        </w:rPr>
      </w:pPr>
      <w:r>
        <w:rPr>
          <w:rFonts w:cs="Arial"/>
        </w:rPr>
        <w:t>The listing of an additional SGLT2 inhibitor, ertugliflozin</w:t>
      </w:r>
      <w:r w:rsidR="00A75C6B" w:rsidRPr="00A75C6B">
        <w:rPr>
          <w:rFonts w:cs="Arial"/>
        </w:rPr>
        <w:t xml:space="preserve"> </w:t>
      </w:r>
      <w:r w:rsidR="00A75C6B">
        <w:rPr>
          <w:rFonts w:cs="Arial"/>
        </w:rPr>
        <w:t>in December 2018,</w:t>
      </w:r>
      <w:r>
        <w:rPr>
          <w:rFonts w:cs="Arial"/>
        </w:rPr>
        <w:t xml:space="preserve"> including in FDCs with metformin and </w:t>
      </w:r>
      <w:r w:rsidR="00484162">
        <w:rPr>
          <w:rFonts w:cs="Arial"/>
        </w:rPr>
        <w:t>sitagliptin</w:t>
      </w:r>
      <w:r>
        <w:rPr>
          <w:rFonts w:cs="Arial"/>
        </w:rPr>
        <w:t>.</w:t>
      </w:r>
    </w:p>
    <w:p w14:paraId="50EE5D56" w14:textId="4C4BA0B4" w:rsidR="00E62CA3" w:rsidRDefault="00E62CA3">
      <w:pPr>
        <w:pStyle w:val="ListParagraph"/>
        <w:numPr>
          <w:ilvl w:val="0"/>
          <w:numId w:val="4"/>
        </w:numPr>
        <w:spacing w:line="240" w:lineRule="auto"/>
        <w:rPr>
          <w:rFonts w:cs="Arial"/>
        </w:rPr>
      </w:pPr>
      <w:r>
        <w:rPr>
          <w:rFonts w:cs="Arial"/>
        </w:rPr>
        <w:t xml:space="preserve">Extension of the listing for vildagliptin to include use with insulin and metformin, </w:t>
      </w:r>
      <w:r w:rsidR="00A75C6B">
        <w:rPr>
          <w:rFonts w:cs="Arial"/>
        </w:rPr>
        <w:t xml:space="preserve">or insulin alone where </w:t>
      </w:r>
      <w:r>
        <w:rPr>
          <w:rFonts w:cs="Arial"/>
        </w:rPr>
        <w:t>metformin is contraindicated.</w:t>
      </w:r>
    </w:p>
    <w:p w14:paraId="637F881A" w14:textId="77777777" w:rsidR="00E62CA3" w:rsidRDefault="00E62CA3">
      <w:pPr>
        <w:pStyle w:val="ListParagraph"/>
        <w:numPr>
          <w:ilvl w:val="0"/>
          <w:numId w:val="4"/>
        </w:numPr>
        <w:spacing w:line="240" w:lineRule="auto"/>
        <w:rPr>
          <w:rFonts w:cs="Arial"/>
        </w:rPr>
      </w:pPr>
      <w:r w:rsidRPr="008F1D96">
        <w:rPr>
          <w:rFonts w:cs="Arial"/>
        </w:rPr>
        <w:t xml:space="preserve">Rosiglitazone </w:t>
      </w:r>
      <w:proofErr w:type="gramStart"/>
      <w:r>
        <w:rPr>
          <w:rFonts w:cs="Arial"/>
        </w:rPr>
        <w:t>was delisted</w:t>
      </w:r>
      <w:proofErr w:type="gramEnd"/>
      <w:r>
        <w:rPr>
          <w:rFonts w:cs="Arial"/>
        </w:rPr>
        <w:t xml:space="preserve"> in July 2019.</w:t>
      </w:r>
    </w:p>
    <w:p w14:paraId="2E9541CF" w14:textId="77777777" w:rsidR="00E62CA3" w:rsidRDefault="00E62CA3">
      <w:pPr>
        <w:pStyle w:val="ListParagraph"/>
        <w:numPr>
          <w:ilvl w:val="0"/>
          <w:numId w:val="4"/>
        </w:numPr>
        <w:spacing w:line="240" w:lineRule="auto"/>
        <w:rPr>
          <w:rFonts w:cs="Arial"/>
        </w:rPr>
      </w:pPr>
      <w:r>
        <w:rPr>
          <w:rFonts w:cs="Arial"/>
        </w:rPr>
        <w:t xml:space="preserve">Exenatide once-weekly formulation </w:t>
      </w:r>
      <w:proofErr w:type="gramStart"/>
      <w:r>
        <w:rPr>
          <w:rFonts w:cs="Arial"/>
        </w:rPr>
        <w:t>was delisted</w:t>
      </w:r>
      <w:proofErr w:type="gramEnd"/>
      <w:r>
        <w:rPr>
          <w:rFonts w:cs="Arial"/>
        </w:rPr>
        <w:t xml:space="preserve"> in February 2022.</w:t>
      </w:r>
    </w:p>
    <w:p w14:paraId="2F0A7F69" w14:textId="45F418D8" w:rsidR="00E62CA3" w:rsidRDefault="00E62CA3" w:rsidP="00C7336E">
      <w:pPr>
        <w:spacing w:line="240" w:lineRule="auto"/>
      </w:pPr>
      <w:r>
        <w:t xml:space="preserve">The basis for the listing of diabetes medicines during this period was cost-minimisation with alternative therapies. </w:t>
      </w:r>
    </w:p>
    <w:p w14:paraId="6FCF8B4C" w14:textId="77777777" w:rsidR="00542325" w:rsidRDefault="00542325" w:rsidP="00542325">
      <w:pPr>
        <w:rPr>
          <w:rFonts w:asciiTheme="minorHAnsi" w:hAnsiTheme="minorHAnsi"/>
        </w:rPr>
      </w:pPr>
      <w:r>
        <w:t xml:space="preserve">For details of the current PBS listing refer to the </w:t>
      </w:r>
      <w:hyperlink r:id="rId14" w:history="1">
        <w:r>
          <w:rPr>
            <w:rStyle w:val="Hyperlink"/>
          </w:rPr>
          <w:t>PBS website</w:t>
        </w:r>
      </w:hyperlink>
      <w:r>
        <w:rPr>
          <w:rStyle w:val="Hyperlink"/>
        </w:rPr>
        <w:t>.</w:t>
      </w:r>
    </w:p>
    <w:p w14:paraId="7137C69D" w14:textId="73BDB5AF" w:rsidR="004774E9" w:rsidRDefault="004774E9" w:rsidP="00C7336E">
      <w:pPr>
        <w:spacing w:line="240" w:lineRule="auto"/>
      </w:pPr>
      <w:r>
        <w:t xml:space="preserve">Dapagliflozin was PBS listed for the treatment of chronic heart failure (CHF) on 1 January 2022 and chronic kidney disease (CKD) on 1 September 2022. Empagliflozin was PBS listed for the treatment of CKD on 1 April 2022. </w:t>
      </w:r>
    </w:p>
    <w:p w14:paraId="40C6B77C" w14:textId="6B3C71B3" w:rsidR="00E62CA3" w:rsidRPr="00F32FBE" w:rsidRDefault="00E62CA3" w:rsidP="00E5032E">
      <w:pPr>
        <w:pStyle w:val="Tableheading"/>
      </w:pPr>
      <w:r w:rsidRPr="00F32FBE">
        <w:t>Table</w:t>
      </w:r>
      <w:r>
        <w:t> </w:t>
      </w:r>
      <w:r w:rsidR="000F4A60">
        <w:t>3</w:t>
      </w:r>
      <w:r w:rsidR="00B403D7">
        <w:t>:</w:t>
      </w:r>
      <w:r w:rsidRPr="00F32FBE">
        <w:t xml:space="preserve"> </w:t>
      </w:r>
      <w:r>
        <w:t xml:space="preserve">Recent </w:t>
      </w:r>
      <w:r w:rsidR="00010AFB">
        <w:t xml:space="preserve">major </w:t>
      </w:r>
      <w:r w:rsidRPr="00F32FBE">
        <w:t>PBS listing</w:t>
      </w:r>
      <w:r>
        <w:t>s</w:t>
      </w:r>
      <w:r w:rsidR="004774E9">
        <w:t xml:space="preserve"> </w:t>
      </w:r>
      <w:r w:rsidR="00010AFB">
        <w:t xml:space="preserve">changes </w:t>
      </w:r>
      <w:r w:rsidR="004774E9">
        <w:t>for T2DM</w:t>
      </w:r>
      <w:r w:rsidRPr="00F32FBE">
        <w:t xml:space="preserve"> </w:t>
      </w:r>
      <w:r w:rsidR="00010AFB">
        <w:t xml:space="preserve">medicines </w:t>
      </w:r>
      <w:r w:rsidRPr="00F32FBE">
        <w:t xml:space="preserve">and </w:t>
      </w:r>
      <w:r w:rsidRPr="00E5032E">
        <w:t>PBAC</w:t>
      </w:r>
      <w:r>
        <w:t xml:space="preserve"> </w:t>
      </w:r>
      <w:r w:rsidR="00010AFB">
        <w:t>consideration.</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7712"/>
      </w:tblGrid>
      <w:tr w:rsidR="00010AFB" w:rsidRPr="00511BE5" w14:paraId="54790C2C" w14:textId="77777777" w:rsidTr="00EC3653">
        <w:trPr>
          <w:cantSplit/>
          <w:trHeight w:val="409"/>
          <w:tblHeader/>
        </w:trPr>
        <w:tc>
          <w:tcPr>
            <w:tcW w:w="813" w:type="pct"/>
            <w:tcBorders>
              <w:bottom w:val="single" w:sz="4" w:space="0" w:color="auto"/>
            </w:tcBorders>
            <w:shd w:val="clear" w:color="auto" w:fill="D9D9D9" w:themeFill="background1" w:themeFillShade="D9"/>
            <w:vAlign w:val="center"/>
          </w:tcPr>
          <w:p w14:paraId="4739C76D" w14:textId="77777777" w:rsidR="00010AFB" w:rsidRDefault="00010AFB" w:rsidP="00B403D7">
            <w:pPr>
              <w:pStyle w:val="Tableheading"/>
              <w:keepNext/>
              <w:keepLines/>
              <w:spacing w:before="60" w:afterLines="60" w:after="144"/>
              <w:rPr>
                <w:sz w:val="20"/>
                <w:szCs w:val="20"/>
              </w:rPr>
            </w:pPr>
            <w:r>
              <w:rPr>
                <w:sz w:val="20"/>
                <w:szCs w:val="20"/>
              </w:rPr>
              <w:t>Class</w:t>
            </w:r>
          </w:p>
          <w:p w14:paraId="2279EFCF" w14:textId="3C1A4378" w:rsidR="00010AFB" w:rsidRPr="00511BE5" w:rsidRDefault="00010AFB" w:rsidP="00B403D7">
            <w:pPr>
              <w:pStyle w:val="Tableheading"/>
              <w:keepNext/>
              <w:keepLines/>
              <w:spacing w:before="60" w:afterLines="60" w:after="144"/>
              <w:rPr>
                <w:sz w:val="20"/>
                <w:szCs w:val="20"/>
              </w:rPr>
            </w:pPr>
            <w:r w:rsidRPr="00511BE5">
              <w:rPr>
                <w:sz w:val="20"/>
                <w:szCs w:val="20"/>
              </w:rPr>
              <w:t>Summarised restriction</w:t>
            </w:r>
          </w:p>
        </w:tc>
        <w:tc>
          <w:tcPr>
            <w:tcW w:w="4187" w:type="pct"/>
            <w:tcBorders>
              <w:bottom w:val="single" w:sz="4" w:space="0" w:color="auto"/>
            </w:tcBorders>
            <w:shd w:val="clear" w:color="auto" w:fill="D9D9D9" w:themeFill="background1" w:themeFillShade="D9"/>
            <w:vAlign w:val="center"/>
          </w:tcPr>
          <w:p w14:paraId="7DBCB236" w14:textId="2E401463" w:rsidR="00010AFB" w:rsidRDefault="00010AFB" w:rsidP="00B403D7">
            <w:pPr>
              <w:pStyle w:val="Tableheading"/>
              <w:keepNext/>
              <w:keepLines/>
              <w:spacing w:before="60" w:afterLines="60" w:after="144"/>
              <w:rPr>
                <w:sz w:val="20"/>
                <w:szCs w:val="20"/>
              </w:rPr>
            </w:pPr>
            <w:r>
              <w:rPr>
                <w:sz w:val="20"/>
                <w:szCs w:val="20"/>
              </w:rPr>
              <w:t>Drug</w:t>
            </w:r>
            <w:r w:rsidR="00EC3653">
              <w:rPr>
                <w:sz w:val="20"/>
                <w:szCs w:val="20"/>
              </w:rPr>
              <w:t xml:space="preserve">, </w:t>
            </w:r>
            <w:r w:rsidRPr="00511BE5">
              <w:rPr>
                <w:sz w:val="20"/>
                <w:szCs w:val="20"/>
              </w:rPr>
              <w:t>Date</w:t>
            </w:r>
            <w:r>
              <w:rPr>
                <w:sz w:val="20"/>
                <w:szCs w:val="20"/>
              </w:rPr>
              <w:t xml:space="preserve"> of listing/change </w:t>
            </w:r>
          </w:p>
          <w:p w14:paraId="2FEDE50E" w14:textId="44AEB759" w:rsidR="00010AFB" w:rsidRPr="00511BE5" w:rsidRDefault="00010AFB" w:rsidP="00B403D7">
            <w:pPr>
              <w:pStyle w:val="Tableheading"/>
              <w:keepNext/>
              <w:keepLines/>
              <w:spacing w:before="60" w:afterLines="60" w:after="144"/>
              <w:rPr>
                <w:sz w:val="20"/>
                <w:szCs w:val="20"/>
              </w:rPr>
            </w:pPr>
            <w:r>
              <w:rPr>
                <w:sz w:val="20"/>
                <w:szCs w:val="20"/>
              </w:rPr>
              <w:t>R</w:t>
            </w:r>
            <w:r w:rsidRPr="000C47E2">
              <w:rPr>
                <w:sz w:val="20"/>
                <w:szCs w:val="20"/>
              </w:rPr>
              <w:t>elevant aspects of PBAC consideration</w:t>
            </w:r>
            <w:r w:rsidRPr="00542325">
              <w:rPr>
                <w:sz w:val="20"/>
                <w:szCs w:val="20"/>
                <w:vertAlign w:val="superscript"/>
              </w:rPr>
              <w:t>1</w:t>
            </w:r>
          </w:p>
        </w:tc>
      </w:tr>
      <w:tr w:rsidR="00010AFB" w:rsidRPr="00511BE5" w14:paraId="508A7DCD" w14:textId="77777777" w:rsidTr="00EC3653">
        <w:tc>
          <w:tcPr>
            <w:tcW w:w="813" w:type="pct"/>
            <w:vMerge w:val="restart"/>
            <w:tcBorders>
              <w:top w:val="single" w:sz="4" w:space="0" w:color="auto"/>
              <w:left w:val="single" w:sz="4" w:space="0" w:color="auto"/>
              <w:right w:val="single" w:sz="4" w:space="0" w:color="auto"/>
            </w:tcBorders>
          </w:tcPr>
          <w:p w14:paraId="21BE6920" w14:textId="2489074E" w:rsidR="00010AFB" w:rsidRPr="001467A8" w:rsidRDefault="00010AFB" w:rsidP="00B403D7">
            <w:pPr>
              <w:pStyle w:val="TableText"/>
              <w:spacing w:afterLines="60" w:after="144"/>
              <w:rPr>
                <w:b/>
                <w:iCs/>
              </w:rPr>
            </w:pPr>
            <w:r w:rsidRPr="001467A8">
              <w:rPr>
                <w:b/>
                <w:iCs/>
              </w:rPr>
              <w:t>SGLT2</w:t>
            </w:r>
            <w:r>
              <w:rPr>
                <w:b/>
                <w:iCs/>
              </w:rPr>
              <w:t>i + DPP4i</w:t>
            </w:r>
          </w:p>
          <w:p w14:paraId="4373C6F4" w14:textId="1740FD7F" w:rsidR="00010AFB" w:rsidRPr="006329A7" w:rsidRDefault="00010AFB" w:rsidP="00B403D7">
            <w:pPr>
              <w:pStyle w:val="TableText"/>
              <w:spacing w:afterLines="60" w:after="144"/>
              <w:rPr>
                <w:bCs/>
                <w:iCs/>
              </w:rPr>
            </w:pPr>
            <w:r w:rsidRPr="001467A8">
              <w:rPr>
                <w:bCs/>
                <w:iCs/>
              </w:rPr>
              <w:t>Triple therapy</w:t>
            </w:r>
            <w:r>
              <w:rPr>
                <w:bCs/>
                <w:iCs/>
              </w:rPr>
              <w:t xml:space="preserve">: with </w:t>
            </w:r>
            <w:r>
              <w:t>met</w:t>
            </w:r>
          </w:p>
        </w:tc>
        <w:tc>
          <w:tcPr>
            <w:tcW w:w="4187" w:type="pct"/>
            <w:tcBorders>
              <w:top w:val="single" w:sz="4" w:space="0" w:color="auto"/>
              <w:left w:val="single" w:sz="4" w:space="0" w:color="auto"/>
              <w:bottom w:val="single" w:sz="4" w:space="0" w:color="auto"/>
              <w:right w:val="single" w:sz="4" w:space="0" w:color="auto"/>
            </w:tcBorders>
            <w:shd w:val="clear" w:color="auto" w:fill="auto"/>
          </w:tcPr>
          <w:p w14:paraId="0BE06686" w14:textId="513091A9" w:rsidR="00010AFB" w:rsidRDefault="00010AFB" w:rsidP="007F6C22">
            <w:pPr>
              <w:pStyle w:val="TableText"/>
              <w:spacing w:afterLines="60" w:after="144"/>
            </w:pPr>
            <w:r w:rsidRPr="00EC3653">
              <w:rPr>
                <w:u w:val="single"/>
              </w:rPr>
              <w:t>Empagliflozin + linagliptin</w:t>
            </w:r>
            <w:r w:rsidR="00EC3653">
              <w:t xml:space="preserve">, </w:t>
            </w:r>
            <w:r>
              <w:t>1 April 2018</w:t>
            </w:r>
          </w:p>
          <w:p w14:paraId="648D9351" w14:textId="77777777" w:rsidR="00010AFB" w:rsidRPr="00AF2D84" w:rsidRDefault="00010AFB" w:rsidP="00B403D7">
            <w:pPr>
              <w:pStyle w:val="TableText"/>
              <w:spacing w:afterLines="60" w:after="144"/>
            </w:pPr>
            <w:r w:rsidRPr="00AF2D84">
              <w:t xml:space="preserve">The PBAC considered that the presented alternative approach where the decrement of benefit of empagliflozin and linagliptin in triple therapy with metformin compared to the sum of benefit when each </w:t>
            </w:r>
            <w:proofErr w:type="gramStart"/>
            <w:r w:rsidRPr="00AF2D84">
              <w:t>is added</w:t>
            </w:r>
            <w:proofErr w:type="gramEnd"/>
            <w:r w:rsidRPr="00AF2D84">
              <w:t xml:space="preserve"> to metformin in dual therapy was a more robust approach than cost-minimisation against insulin glargine or exenatide. </w:t>
            </w:r>
          </w:p>
          <w:p w14:paraId="26597281" w14:textId="173AB144" w:rsidR="00010AFB" w:rsidRPr="00F4346B" w:rsidDel="00B6699E" w:rsidRDefault="00010AFB" w:rsidP="00B403D7">
            <w:pPr>
              <w:pStyle w:val="TableText"/>
              <w:spacing w:afterLines="60" w:after="144"/>
            </w:pPr>
            <w:r w:rsidRPr="00AF2D84">
              <w:t>For use in combination with</w:t>
            </w:r>
            <w:r>
              <w:t xml:space="preserve"> metformin, the PBAC advised </w:t>
            </w:r>
            <w:r w:rsidRPr="00B74721">
              <w:rPr>
                <w:rFonts w:cstheme="minorHAnsi"/>
              </w:rPr>
              <w:t xml:space="preserve">empagliflozin </w:t>
            </w:r>
            <w:r>
              <w:rPr>
                <w:rFonts w:cstheme="minorHAnsi"/>
              </w:rPr>
              <w:t>+</w:t>
            </w:r>
            <w:r w:rsidRPr="00B74721">
              <w:rPr>
                <w:rFonts w:cstheme="minorHAnsi"/>
              </w:rPr>
              <w:t xml:space="preserve"> linagliptin should </w:t>
            </w:r>
            <w:proofErr w:type="gramStart"/>
            <w:r w:rsidRPr="00B74721">
              <w:rPr>
                <w:rFonts w:cstheme="minorHAnsi"/>
              </w:rPr>
              <w:t>be treated</w:t>
            </w:r>
            <w:proofErr w:type="gramEnd"/>
            <w:r w:rsidRPr="00B74721">
              <w:rPr>
                <w:rFonts w:cstheme="minorHAnsi"/>
              </w:rPr>
              <w:t xml:space="preserve"> as interchangeable on an individual patient basis with dapagliflozin </w:t>
            </w:r>
            <w:r>
              <w:rPr>
                <w:rFonts w:cstheme="minorHAnsi"/>
              </w:rPr>
              <w:t xml:space="preserve">+ </w:t>
            </w:r>
            <w:r w:rsidRPr="00B74721">
              <w:rPr>
                <w:rFonts w:cstheme="minorHAnsi"/>
              </w:rPr>
              <w:t xml:space="preserve">saxagliptin. The equi-effective doses </w:t>
            </w:r>
            <w:r>
              <w:rPr>
                <w:rFonts w:cstheme="minorHAnsi"/>
              </w:rPr>
              <w:t>were</w:t>
            </w:r>
            <w:r w:rsidRPr="00B74721">
              <w:rPr>
                <w:rFonts w:cstheme="minorHAnsi"/>
              </w:rPr>
              <w:t xml:space="preserve"> empagliflozin 10 mg or 25 mg plus linagliptin 5 mg compared to dapagliflozin 10 mg plus saxagliptin 5 mg.</w:t>
            </w:r>
          </w:p>
        </w:tc>
      </w:tr>
      <w:tr w:rsidR="00010AFB" w:rsidRPr="00511BE5" w14:paraId="241F8634" w14:textId="77777777" w:rsidTr="00EC3653">
        <w:tc>
          <w:tcPr>
            <w:tcW w:w="813" w:type="pct"/>
            <w:vMerge/>
            <w:tcBorders>
              <w:left w:val="single" w:sz="4" w:space="0" w:color="auto"/>
              <w:right w:val="single" w:sz="4" w:space="0" w:color="auto"/>
            </w:tcBorders>
          </w:tcPr>
          <w:p w14:paraId="57715AC7" w14:textId="77777777" w:rsidR="00010AFB" w:rsidRPr="00F4346B" w:rsidRDefault="00010AFB" w:rsidP="00C7336E">
            <w:pPr>
              <w:pStyle w:val="TableText"/>
              <w:rPr>
                <w:b/>
                <w:i/>
              </w:rPr>
            </w:pPr>
          </w:p>
        </w:tc>
        <w:tc>
          <w:tcPr>
            <w:tcW w:w="4187" w:type="pct"/>
            <w:tcBorders>
              <w:top w:val="single" w:sz="4" w:space="0" w:color="auto"/>
              <w:left w:val="single" w:sz="4" w:space="0" w:color="auto"/>
              <w:bottom w:val="single" w:sz="4" w:space="0" w:color="auto"/>
              <w:right w:val="single" w:sz="4" w:space="0" w:color="auto"/>
            </w:tcBorders>
            <w:shd w:val="clear" w:color="auto" w:fill="auto"/>
          </w:tcPr>
          <w:p w14:paraId="54E7B428" w14:textId="4879F72E" w:rsidR="00010AFB" w:rsidRDefault="00010AFB" w:rsidP="00010AFB">
            <w:pPr>
              <w:pStyle w:val="TableText"/>
            </w:pPr>
            <w:r w:rsidRPr="00EC3653">
              <w:rPr>
                <w:u w:val="single"/>
              </w:rPr>
              <w:t>Dapagliflozin + saxagliptin</w:t>
            </w:r>
            <w:r w:rsidR="00EC3653">
              <w:t xml:space="preserve">, </w:t>
            </w:r>
            <w:r>
              <w:t>1 April 2018</w:t>
            </w:r>
          </w:p>
          <w:p w14:paraId="4F26F205" w14:textId="2EAA4361" w:rsidR="00010AFB" w:rsidRDefault="00010AFB" w:rsidP="00010AFB">
            <w:pPr>
              <w:pStyle w:val="TableText"/>
            </w:pPr>
            <w:r>
              <w:t>Cost-minimisation compared with empagliflozin + linagliptin. The equi-effective</w:t>
            </w:r>
            <w:r w:rsidRPr="00B6699E">
              <w:t xml:space="preserve"> </w:t>
            </w:r>
            <w:r>
              <w:t xml:space="preserve">doses were empagliflozin 10 mg and 25 mg to dapagliflozin 10 mg, and linagliptin 5 mg to saxagliptin 5 </w:t>
            </w:r>
            <w:proofErr w:type="gramStart"/>
            <w:r>
              <w:t xml:space="preserve">mg.  </w:t>
            </w:r>
            <w:proofErr w:type="gramEnd"/>
          </w:p>
        </w:tc>
      </w:tr>
      <w:tr w:rsidR="00010AFB" w:rsidRPr="00511BE5" w14:paraId="3663FD67" w14:textId="77777777" w:rsidTr="00EC3653">
        <w:tc>
          <w:tcPr>
            <w:tcW w:w="813" w:type="pct"/>
            <w:vMerge/>
            <w:tcBorders>
              <w:left w:val="single" w:sz="4" w:space="0" w:color="auto"/>
              <w:bottom w:val="single" w:sz="4" w:space="0" w:color="auto"/>
              <w:right w:val="single" w:sz="4" w:space="0" w:color="auto"/>
            </w:tcBorders>
          </w:tcPr>
          <w:p w14:paraId="686C514E" w14:textId="77777777" w:rsidR="00010AFB" w:rsidRPr="00F4346B" w:rsidRDefault="00010AFB" w:rsidP="00C7336E">
            <w:pPr>
              <w:pStyle w:val="TableText"/>
              <w:rPr>
                <w:b/>
                <w:i/>
              </w:rPr>
            </w:pPr>
          </w:p>
        </w:tc>
        <w:tc>
          <w:tcPr>
            <w:tcW w:w="4187" w:type="pct"/>
            <w:tcBorders>
              <w:top w:val="single" w:sz="4" w:space="0" w:color="auto"/>
              <w:left w:val="single" w:sz="4" w:space="0" w:color="auto"/>
              <w:bottom w:val="single" w:sz="4" w:space="0" w:color="auto"/>
              <w:right w:val="single" w:sz="4" w:space="0" w:color="auto"/>
            </w:tcBorders>
            <w:shd w:val="clear" w:color="auto" w:fill="auto"/>
          </w:tcPr>
          <w:p w14:paraId="6B80B4DE" w14:textId="4230CEAC" w:rsidR="00010AFB" w:rsidRDefault="00010AFB" w:rsidP="00C7336E">
            <w:pPr>
              <w:pStyle w:val="TableText"/>
            </w:pPr>
            <w:r w:rsidRPr="00EC3653">
              <w:rPr>
                <w:u w:val="single"/>
              </w:rPr>
              <w:t>Ertugliflozin + sitagliptin</w:t>
            </w:r>
            <w:r w:rsidR="00EC3653">
              <w:t xml:space="preserve">, </w:t>
            </w:r>
            <w:r>
              <w:t xml:space="preserve">1 December 2018 </w:t>
            </w:r>
          </w:p>
          <w:p w14:paraId="7D40B4C6" w14:textId="5CE0BCB2" w:rsidR="00010AFB" w:rsidRDefault="00010AFB" w:rsidP="00C7336E">
            <w:pPr>
              <w:pStyle w:val="TableText"/>
            </w:pPr>
            <w:r>
              <w:t xml:space="preserve">Cost-minimisation basis compared with dapagliflozin + saxagliptin + metformin and empagliflozin + linagliptin + metformin. </w:t>
            </w:r>
            <w:r w:rsidRPr="00D4285F">
              <w:rPr>
                <w:rFonts w:cstheme="minorHAnsi"/>
              </w:rPr>
              <w:t xml:space="preserve">The equi-effective doses of the FDC products </w:t>
            </w:r>
            <w:proofErr w:type="gramStart"/>
            <w:r w:rsidRPr="00D4285F">
              <w:rPr>
                <w:rFonts w:cstheme="minorHAnsi"/>
              </w:rPr>
              <w:t>were considered</w:t>
            </w:r>
            <w:proofErr w:type="gramEnd"/>
            <w:r w:rsidRPr="00D4285F">
              <w:rPr>
                <w:rFonts w:cstheme="minorHAnsi"/>
              </w:rPr>
              <w:t xml:space="preserve"> equivalent to the same dose of individual components taken concomitantly</w:t>
            </w:r>
            <w:r>
              <w:rPr>
                <w:rFonts w:cstheme="minorHAnsi"/>
              </w:rPr>
              <w:t xml:space="preserve">: </w:t>
            </w:r>
            <w:r w:rsidRPr="00D4285F">
              <w:rPr>
                <w:rFonts w:cstheme="minorHAnsi"/>
              </w:rPr>
              <w:t>ertugliflozin 5 mg or 15 mg with sitagliptin 100 mg, dapagliflozin 10 mg with saxagliptin 5 mg and empagliflozin 10 mg or 25 mg with linagliptin 5 mg</w:t>
            </w:r>
            <w:r>
              <w:rPr>
                <w:rFonts w:cstheme="minorHAnsi"/>
              </w:rPr>
              <w:t xml:space="preserve">. </w:t>
            </w:r>
          </w:p>
        </w:tc>
      </w:tr>
      <w:tr w:rsidR="00010AFB" w:rsidRPr="00511BE5" w14:paraId="2722544E" w14:textId="77777777" w:rsidTr="00EC3653">
        <w:tc>
          <w:tcPr>
            <w:tcW w:w="813" w:type="pct"/>
            <w:tcBorders>
              <w:bottom w:val="single" w:sz="4" w:space="0" w:color="auto"/>
            </w:tcBorders>
          </w:tcPr>
          <w:p w14:paraId="726B1700" w14:textId="045533CD" w:rsidR="00010AFB" w:rsidRDefault="00010AFB" w:rsidP="00EE3D6C">
            <w:pPr>
              <w:pStyle w:val="TableText"/>
              <w:keepNext/>
              <w:keepLines/>
              <w:rPr>
                <w:b/>
                <w:bCs/>
                <w:i/>
                <w:iCs/>
              </w:rPr>
            </w:pPr>
            <w:r>
              <w:rPr>
                <w:b/>
              </w:rPr>
              <w:t>DPP4i</w:t>
            </w:r>
            <w:r w:rsidRPr="00AF2D84">
              <w:rPr>
                <w:b/>
                <w:bCs/>
                <w:i/>
                <w:iCs/>
              </w:rPr>
              <w:t xml:space="preserve"> </w:t>
            </w:r>
          </w:p>
          <w:p w14:paraId="3442E43B" w14:textId="77777777" w:rsidR="00010AFB" w:rsidRDefault="00010AFB" w:rsidP="00C7336E">
            <w:pPr>
              <w:pStyle w:val="TableText"/>
            </w:pPr>
            <w:r w:rsidRPr="001467A8">
              <w:t>Triple therapy</w:t>
            </w:r>
            <w:r>
              <w:t>:</w:t>
            </w:r>
          </w:p>
          <w:p w14:paraId="228DDD0F" w14:textId="34B3CEE8" w:rsidR="00010AFB" w:rsidRPr="001467A8" w:rsidRDefault="00010AFB" w:rsidP="00C7336E">
            <w:pPr>
              <w:pStyle w:val="TableText"/>
              <w:rPr>
                <w:b/>
                <w:bCs/>
                <w:i/>
                <w:iCs/>
              </w:rPr>
            </w:pPr>
            <w:r>
              <w:t xml:space="preserve">with </w:t>
            </w:r>
            <w:r w:rsidRPr="001467A8">
              <w:t>ins</w:t>
            </w:r>
            <w:r w:rsidRPr="001467A8">
              <w:rPr>
                <w:vertAlign w:val="superscript"/>
              </w:rPr>
              <w:t>2</w:t>
            </w:r>
            <w:r>
              <w:rPr>
                <w:vertAlign w:val="superscript"/>
              </w:rPr>
              <w:t xml:space="preserve"> </w:t>
            </w:r>
            <w:r>
              <w:rPr>
                <w:bCs/>
                <w:iCs/>
              </w:rPr>
              <w:t xml:space="preserve">+ </w:t>
            </w:r>
            <w:r w:rsidRPr="009C50C7">
              <w:rPr>
                <w:bCs/>
                <w:iCs/>
              </w:rPr>
              <w:t>met</w:t>
            </w:r>
          </w:p>
        </w:tc>
        <w:tc>
          <w:tcPr>
            <w:tcW w:w="4187" w:type="pct"/>
            <w:tcBorders>
              <w:bottom w:val="single" w:sz="4" w:space="0" w:color="auto"/>
            </w:tcBorders>
            <w:shd w:val="clear" w:color="auto" w:fill="auto"/>
          </w:tcPr>
          <w:p w14:paraId="4FEA2532" w14:textId="0052633A" w:rsidR="00010AFB" w:rsidRDefault="00010AFB" w:rsidP="00C7336E">
            <w:pPr>
              <w:pStyle w:val="TableText"/>
            </w:pPr>
            <w:r w:rsidRPr="00EC3653">
              <w:rPr>
                <w:u w:val="single"/>
              </w:rPr>
              <w:t>Vildagliptin</w:t>
            </w:r>
            <w:r w:rsidR="00EC3653">
              <w:t xml:space="preserve">, </w:t>
            </w:r>
            <w:r w:rsidRPr="009C50C7">
              <w:t xml:space="preserve">1 April 2018 </w:t>
            </w:r>
          </w:p>
          <w:p w14:paraId="6B040303" w14:textId="4140041A" w:rsidR="00010AFB" w:rsidRPr="009C50C7" w:rsidRDefault="00010AFB" w:rsidP="00C7336E">
            <w:pPr>
              <w:pStyle w:val="TableText"/>
            </w:pPr>
            <w:r w:rsidRPr="009C50C7">
              <w:t>Cost-minimisation basis against sitagliptin and linagliptin. The estimated equi-effective doses</w:t>
            </w:r>
            <w:r>
              <w:t>: v</w:t>
            </w:r>
            <w:r w:rsidRPr="009C50C7">
              <w:t xml:space="preserve">ildagliptin 100mg daily is equivalent </w:t>
            </w:r>
            <w:r>
              <w:t xml:space="preserve">to </w:t>
            </w:r>
            <w:r w:rsidRPr="009C50C7">
              <w:t>sitagliptin 100mg daily or linagliptin 5mg daily</w:t>
            </w:r>
            <w:proofErr w:type="gramStart"/>
            <w:r w:rsidRPr="009C50C7">
              <w:t xml:space="preserve">.  </w:t>
            </w:r>
            <w:proofErr w:type="gramEnd"/>
          </w:p>
          <w:p w14:paraId="13F4886C" w14:textId="77777777" w:rsidR="00010AFB" w:rsidRPr="009C50C7" w:rsidRDefault="00010AFB" w:rsidP="00C7336E">
            <w:pPr>
              <w:pStyle w:val="TableText"/>
            </w:pPr>
            <w:r w:rsidRPr="009C50C7">
              <w:t>Vildagliptin with metformin 50/500mg, 50/850mg and 50/1000mg FDC bid is equivalent to the concomitant administration of vildagliptin 50mg bid and metformin hydrochloride 500/850/1000mg bid.</w:t>
            </w:r>
          </w:p>
        </w:tc>
      </w:tr>
      <w:tr w:rsidR="00010AFB" w:rsidRPr="00511BE5" w14:paraId="3448A5BC" w14:textId="77777777" w:rsidTr="00EC3653">
        <w:tc>
          <w:tcPr>
            <w:tcW w:w="813" w:type="pct"/>
          </w:tcPr>
          <w:p w14:paraId="36F4E520" w14:textId="77777777" w:rsidR="00010AFB" w:rsidRPr="006329A7" w:rsidRDefault="00010AFB" w:rsidP="00C7336E">
            <w:pPr>
              <w:pStyle w:val="Tablewriting"/>
              <w:keepNext/>
              <w:keepLines/>
              <w:rPr>
                <w:b/>
                <w:iCs/>
              </w:rPr>
            </w:pPr>
            <w:r w:rsidRPr="006329A7">
              <w:rPr>
                <w:b/>
                <w:iCs/>
              </w:rPr>
              <w:t>GLP-1 RA</w:t>
            </w:r>
          </w:p>
          <w:p w14:paraId="40226B49" w14:textId="77777777" w:rsidR="00010AFB" w:rsidRDefault="00010AFB" w:rsidP="00C7336E">
            <w:pPr>
              <w:pStyle w:val="Tablewriting"/>
              <w:keepNext/>
              <w:keepLines/>
              <w:rPr>
                <w:bCs/>
                <w:iCs/>
              </w:rPr>
            </w:pPr>
            <w:r w:rsidRPr="001467A8">
              <w:rPr>
                <w:bCs/>
                <w:iCs/>
              </w:rPr>
              <w:t>Dual therapy</w:t>
            </w:r>
            <w:r>
              <w:rPr>
                <w:bCs/>
                <w:iCs/>
              </w:rPr>
              <w:t>:</w:t>
            </w:r>
            <w:r w:rsidRPr="001467A8">
              <w:rPr>
                <w:bCs/>
                <w:iCs/>
              </w:rPr>
              <w:t xml:space="preserve"> with met </w:t>
            </w:r>
          </w:p>
          <w:p w14:paraId="71911662" w14:textId="44D2CC55" w:rsidR="00010AFB" w:rsidRPr="001467A8" w:rsidRDefault="00010AFB" w:rsidP="00C7336E">
            <w:pPr>
              <w:pStyle w:val="Tablewriting"/>
              <w:keepNext/>
              <w:keepLines/>
              <w:rPr>
                <w:bCs/>
                <w:iCs/>
              </w:rPr>
            </w:pPr>
            <w:r>
              <w:rPr>
                <w:bCs/>
                <w:iCs/>
              </w:rPr>
              <w:t>Triple therapy: with met + SU</w:t>
            </w:r>
          </w:p>
        </w:tc>
        <w:tc>
          <w:tcPr>
            <w:tcW w:w="4187" w:type="pct"/>
            <w:shd w:val="clear" w:color="auto" w:fill="auto"/>
          </w:tcPr>
          <w:p w14:paraId="273C0A00" w14:textId="47032C89" w:rsidR="00010AFB" w:rsidRDefault="00010AFB" w:rsidP="00C7336E">
            <w:pPr>
              <w:pStyle w:val="TableText"/>
            </w:pPr>
            <w:r w:rsidRPr="00EC3653">
              <w:rPr>
                <w:u w:val="single"/>
              </w:rPr>
              <w:t>Dulaglutide</w:t>
            </w:r>
            <w:r w:rsidR="00EC3653">
              <w:t xml:space="preserve">, </w:t>
            </w:r>
            <w:r w:rsidRPr="00AF2D84">
              <w:t xml:space="preserve">1 June 2018 </w:t>
            </w:r>
          </w:p>
          <w:p w14:paraId="411A9811" w14:textId="077B7B76" w:rsidR="00010AFB" w:rsidRPr="00C560D0" w:rsidRDefault="00010AFB" w:rsidP="00C7336E">
            <w:pPr>
              <w:pStyle w:val="TableText"/>
            </w:pPr>
            <w:r w:rsidRPr="00C560D0">
              <w:t xml:space="preserve">Cost-minimisation basis </w:t>
            </w:r>
            <w:r>
              <w:t>against</w:t>
            </w:r>
            <w:r w:rsidRPr="00C560D0">
              <w:t xml:space="preserve"> once weekly and twice daily forms of exenatide (5mcg + 10mcg). The equi-effective doses, when used in combination with metformin (dual therapy)</w:t>
            </w:r>
            <w:r>
              <w:t xml:space="preserve">, and combination with metformin and sulfonylurea (triple therapy) are </w:t>
            </w:r>
            <w:r w:rsidRPr="00C560D0">
              <w:t xml:space="preserve">dulaglutide 1.5mg once weekly </w:t>
            </w:r>
            <w:r>
              <w:t xml:space="preserve">is equal to </w:t>
            </w:r>
            <w:r w:rsidRPr="00C560D0">
              <w:t>exenatide 10</w:t>
            </w:r>
            <w:r>
              <w:rPr>
                <w:rFonts w:cstheme="minorHAnsi"/>
              </w:rPr>
              <w:t>µ</w:t>
            </w:r>
            <w:r w:rsidRPr="00C560D0">
              <w:t xml:space="preserve">g twice daily. </w:t>
            </w:r>
          </w:p>
        </w:tc>
      </w:tr>
      <w:tr w:rsidR="00010AFB" w:rsidRPr="00511BE5" w14:paraId="247E1A13" w14:textId="77777777" w:rsidTr="00EC3653">
        <w:tc>
          <w:tcPr>
            <w:tcW w:w="813" w:type="pct"/>
          </w:tcPr>
          <w:p w14:paraId="25A835AA" w14:textId="77777777" w:rsidR="00010AFB" w:rsidRPr="006329A7" w:rsidRDefault="00010AFB" w:rsidP="00010AFB">
            <w:pPr>
              <w:pStyle w:val="Tablewriting"/>
              <w:keepNext/>
              <w:keepLines/>
              <w:rPr>
                <w:b/>
                <w:iCs/>
              </w:rPr>
            </w:pPr>
            <w:r w:rsidRPr="006329A7">
              <w:rPr>
                <w:b/>
                <w:iCs/>
              </w:rPr>
              <w:t>GLP-1 RA</w:t>
            </w:r>
          </w:p>
          <w:p w14:paraId="587E7BDF" w14:textId="77777777" w:rsidR="00010AFB" w:rsidRDefault="00010AFB" w:rsidP="00010AFB">
            <w:pPr>
              <w:pStyle w:val="Tablewriting"/>
              <w:rPr>
                <w:bCs/>
                <w:iCs/>
              </w:rPr>
            </w:pPr>
            <w:r w:rsidRPr="001467A8">
              <w:rPr>
                <w:bCs/>
                <w:iCs/>
              </w:rPr>
              <w:t>Dual therapy</w:t>
            </w:r>
            <w:r>
              <w:rPr>
                <w:bCs/>
                <w:iCs/>
              </w:rPr>
              <w:t>:</w:t>
            </w:r>
            <w:r w:rsidRPr="001467A8">
              <w:rPr>
                <w:bCs/>
                <w:iCs/>
              </w:rPr>
              <w:t xml:space="preserve"> with met</w:t>
            </w:r>
            <w:r>
              <w:rPr>
                <w:bCs/>
                <w:iCs/>
              </w:rPr>
              <w:t>/SU</w:t>
            </w:r>
          </w:p>
          <w:p w14:paraId="620AE3CD" w14:textId="793D6EDB" w:rsidR="00010AFB" w:rsidRPr="00BF3792" w:rsidRDefault="00010AFB" w:rsidP="00010AFB">
            <w:pPr>
              <w:pStyle w:val="Tablewriting"/>
              <w:rPr>
                <w:b/>
                <w:i/>
              </w:rPr>
            </w:pPr>
            <w:r>
              <w:rPr>
                <w:bCs/>
                <w:iCs/>
              </w:rPr>
              <w:t>Triple therapy: with met + SU</w:t>
            </w:r>
            <w:r w:rsidRPr="001467A8">
              <w:rPr>
                <w:bCs/>
                <w:iCs/>
              </w:rPr>
              <w:t xml:space="preserve"> </w:t>
            </w:r>
          </w:p>
        </w:tc>
        <w:tc>
          <w:tcPr>
            <w:tcW w:w="4187" w:type="pct"/>
            <w:shd w:val="clear" w:color="auto" w:fill="auto"/>
          </w:tcPr>
          <w:p w14:paraId="0912C836" w14:textId="472854E6" w:rsidR="00010AFB" w:rsidRPr="00BF3792" w:rsidRDefault="00010AFB" w:rsidP="001467A8">
            <w:pPr>
              <w:pStyle w:val="TableText"/>
            </w:pPr>
            <w:r w:rsidRPr="00EC3653">
              <w:rPr>
                <w:u w:val="single"/>
              </w:rPr>
              <w:t>Semaglutide</w:t>
            </w:r>
            <w:r w:rsidR="00EC3653">
              <w:t xml:space="preserve">, </w:t>
            </w:r>
            <w:r w:rsidRPr="00BF3792">
              <w:t xml:space="preserve">1 July 2020 </w:t>
            </w:r>
          </w:p>
          <w:p w14:paraId="546792F8" w14:textId="77777777" w:rsidR="00010AFB" w:rsidRPr="00B527C3" w:rsidRDefault="00010AFB" w:rsidP="00C7336E">
            <w:pPr>
              <w:pStyle w:val="TableText"/>
              <w:rPr>
                <w:highlight w:val="yellow"/>
              </w:rPr>
            </w:pPr>
            <w:r w:rsidRPr="00C560D0">
              <w:t xml:space="preserve">Cost-minimisation basis against dulaglutide. Both exenatide and dulaglutide should </w:t>
            </w:r>
            <w:proofErr w:type="gramStart"/>
            <w:r w:rsidRPr="00C560D0">
              <w:t>be considered</w:t>
            </w:r>
            <w:proofErr w:type="gramEnd"/>
            <w:r w:rsidRPr="00C560D0">
              <w:t xml:space="preserve"> comparators to semaglutide. The equi-effective doses for the cost-minimisation to dulaglutide: when used in combination with metformin (dual therapy) and in combination with metformin plus a sulfonylurea (triple therapy) semaglutide 1.0 mg once weekly is equi-effective to dulaglutide 1.5 mg once weekly.</w:t>
            </w:r>
          </w:p>
        </w:tc>
      </w:tr>
      <w:tr w:rsidR="00010AFB" w:rsidRPr="00511BE5" w14:paraId="704E5C4F" w14:textId="77777777" w:rsidTr="00EC3653">
        <w:tc>
          <w:tcPr>
            <w:tcW w:w="813" w:type="pct"/>
            <w:vMerge w:val="restart"/>
            <w:tcBorders>
              <w:top w:val="nil"/>
            </w:tcBorders>
            <w:shd w:val="clear" w:color="auto" w:fill="auto"/>
          </w:tcPr>
          <w:p w14:paraId="13A2EC65" w14:textId="77777777" w:rsidR="00010AFB" w:rsidRPr="006329A7" w:rsidRDefault="00010AFB" w:rsidP="006329A7">
            <w:pPr>
              <w:pStyle w:val="Tablewriting"/>
              <w:keepNext/>
              <w:keepLines/>
              <w:rPr>
                <w:b/>
                <w:iCs/>
              </w:rPr>
            </w:pPr>
            <w:r w:rsidRPr="006329A7">
              <w:rPr>
                <w:b/>
                <w:iCs/>
              </w:rPr>
              <w:t>GLP-1 RA</w:t>
            </w:r>
          </w:p>
          <w:p w14:paraId="30D8540C" w14:textId="5B7D7310" w:rsidR="00010AFB" w:rsidRPr="006329A7" w:rsidRDefault="00010AFB" w:rsidP="00C7336E">
            <w:pPr>
              <w:pStyle w:val="Tablewriting"/>
              <w:rPr>
                <w:bCs/>
                <w:iCs/>
              </w:rPr>
            </w:pPr>
            <w:r w:rsidRPr="006329A7">
              <w:rPr>
                <w:bCs/>
                <w:iCs/>
              </w:rPr>
              <w:t>Triple therapy</w:t>
            </w:r>
            <w:r>
              <w:rPr>
                <w:bCs/>
                <w:iCs/>
              </w:rPr>
              <w:t>:</w:t>
            </w:r>
            <w:r w:rsidRPr="006329A7">
              <w:rPr>
                <w:bCs/>
                <w:iCs/>
              </w:rPr>
              <w:t xml:space="preserve"> with ins</w:t>
            </w:r>
            <w:r w:rsidRPr="006329A7">
              <w:rPr>
                <w:bCs/>
                <w:iCs/>
                <w:vertAlign w:val="superscript"/>
              </w:rPr>
              <w:t>2</w:t>
            </w:r>
            <w:r w:rsidRPr="002B6CD1">
              <w:rPr>
                <w:bCs/>
                <w:iCs/>
              </w:rPr>
              <w:t xml:space="preserve"> </w:t>
            </w:r>
            <w:r>
              <w:rPr>
                <w:bCs/>
                <w:iCs/>
              </w:rPr>
              <w:t xml:space="preserve">+ </w:t>
            </w:r>
            <w:r w:rsidRPr="002B6CD1">
              <w:rPr>
                <w:bCs/>
                <w:iCs/>
              </w:rPr>
              <w:t>met</w:t>
            </w:r>
          </w:p>
        </w:tc>
        <w:tc>
          <w:tcPr>
            <w:tcW w:w="4187" w:type="pct"/>
            <w:tcBorders>
              <w:top w:val="nil"/>
            </w:tcBorders>
            <w:shd w:val="clear" w:color="auto" w:fill="auto"/>
          </w:tcPr>
          <w:p w14:paraId="461E1291" w14:textId="45FE4239" w:rsidR="00010AFB" w:rsidRPr="002B6CD1" w:rsidRDefault="00010AFB" w:rsidP="00010AFB">
            <w:pPr>
              <w:pStyle w:val="TableText"/>
            </w:pPr>
            <w:r w:rsidRPr="00EC3653">
              <w:rPr>
                <w:u w:val="single"/>
              </w:rPr>
              <w:t>Dulaglutide</w:t>
            </w:r>
            <w:r w:rsidR="00EC3653">
              <w:t xml:space="preserve">, </w:t>
            </w:r>
            <w:r w:rsidRPr="002B6CD1">
              <w:t>1 March 2021</w:t>
            </w:r>
          </w:p>
          <w:p w14:paraId="0473FA1A" w14:textId="77777777" w:rsidR="00010AFB" w:rsidRPr="00B527C3" w:rsidRDefault="00010AFB" w:rsidP="00C7336E">
            <w:pPr>
              <w:pStyle w:val="TableText"/>
              <w:rPr>
                <w:highlight w:val="yellow"/>
              </w:rPr>
            </w:pPr>
            <w:r w:rsidRPr="002B6CD1">
              <w:t xml:space="preserve">Cost-minimisation basis against exenatide 10mcg twice daily. </w:t>
            </w:r>
          </w:p>
        </w:tc>
      </w:tr>
      <w:tr w:rsidR="00010AFB" w:rsidRPr="00511BE5" w14:paraId="62499B02" w14:textId="77777777" w:rsidTr="00EC3653">
        <w:tc>
          <w:tcPr>
            <w:tcW w:w="813" w:type="pct"/>
            <w:vMerge/>
            <w:tcBorders>
              <w:bottom w:val="single" w:sz="4" w:space="0" w:color="auto"/>
            </w:tcBorders>
            <w:shd w:val="clear" w:color="auto" w:fill="auto"/>
          </w:tcPr>
          <w:p w14:paraId="09382AA1" w14:textId="77777777" w:rsidR="00010AFB" w:rsidRPr="002B6CD1" w:rsidRDefault="00010AFB" w:rsidP="00C7336E">
            <w:pPr>
              <w:pStyle w:val="Tablewriting"/>
              <w:rPr>
                <w:b/>
                <w:i/>
              </w:rPr>
            </w:pPr>
          </w:p>
        </w:tc>
        <w:tc>
          <w:tcPr>
            <w:tcW w:w="4187" w:type="pct"/>
            <w:tcBorders>
              <w:bottom w:val="single" w:sz="4" w:space="0" w:color="auto"/>
            </w:tcBorders>
            <w:shd w:val="clear" w:color="auto" w:fill="auto"/>
          </w:tcPr>
          <w:p w14:paraId="45A015DE" w14:textId="2A264BD2" w:rsidR="00010AFB" w:rsidRDefault="00010AFB" w:rsidP="00010AFB">
            <w:pPr>
              <w:pStyle w:val="TableText"/>
            </w:pPr>
            <w:r w:rsidRPr="00EC3653">
              <w:rPr>
                <w:u w:val="single"/>
              </w:rPr>
              <w:t>Semaglutide</w:t>
            </w:r>
            <w:r w:rsidR="00EC3653">
              <w:t xml:space="preserve">, </w:t>
            </w:r>
            <w:r>
              <w:t>1 September 2021</w:t>
            </w:r>
          </w:p>
          <w:p w14:paraId="32A0EA4F" w14:textId="77777777" w:rsidR="00010AFB" w:rsidRPr="002B6CD1" w:rsidRDefault="00010AFB" w:rsidP="00C7336E">
            <w:pPr>
              <w:pStyle w:val="TableText"/>
            </w:pPr>
            <w:r>
              <w:t xml:space="preserve">Cost-minimisation basis against dulaglutide 1.5mg once weekly. </w:t>
            </w:r>
          </w:p>
        </w:tc>
      </w:tr>
      <w:tr w:rsidR="00010AFB" w:rsidRPr="00511BE5" w14:paraId="11118625" w14:textId="77777777" w:rsidTr="00EC3653">
        <w:tc>
          <w:tcPr>
            <w:tcW w:w="813" w:type="pct"/>
            <w:tcBorders>
              <w:bottom w:val="single" w:sz="4" w:space="0" w:color="auto"/>
            </w:tcBorders>
          </w:tcPr>
          <w:p w14:paraId="6C538D4B" w14:textId="77777777" w:rsidR="00010AFB" w:rsidRPr="006329A7" w:rsidRDefault="00010AFB" w:rsidP="006329A7">
            <w:pPr>
              <w:pStyle w:val="Tablewriting"/>
              <w:keepNext/>
              <w:keepLines/>
              <w:rPr>
                <w:b/>
                <w:iCs/>
              </w:rPr>
            </w:pPr>
            <w:r w:rsidRPr="006329A7">
              <w:rPr>
                <w:b/>
                <w:iCs/>
              </w:rPr>
              <w:t>GLP-1 RA</w:t>
            </w:r>
          </w:p>
          <w:p w14:paraId="3CCC926A" w14:textId="7B902CD0" w:rsidR="00010AFB" w:rsidRPr="006329A7" w:rsidRDefault="00010AFB" w:rsidP="00C7336E">
            <w:pPr>
              <w:pStyle w:val="Tablewriting"/>
              <w:rPr>
                <w:bCs/>
                <w:iCs/>
              </w:rPr>
            </w:pPr>
            <w:r w:rsidRPr="006329A7">
              <w:rPr>
                <w:bCs/>
                <w:iCs/>
              </w:rPr>
              <w:t xml:space="preserve">Delist  </w:t>
            </w:r>
          </w:p>
        </w:tc>
        <w:tc>
          <w:tcPr>
            <w:tcW w:w="4187" w:type="pct"/>
            <w:tcBorders>
              <w:bottom w:val="single" w:sz="4" w:space="0" w:color="auto"/>
            </w:tcBorders>
            <w:shd w:val="clear" w:color="auto" w:fill="auto"/>
          </w:tcPr>
          <w:p w14:paraId="65D5C1AB" w14:textId="13566487" w:rsidR="00010AFB" w:rsidRDefault="00010AFB" w:rsidP="006329A7">
            <w:pPr>
              <w:pStyle w:val="TableText"/>
            </w:pPr>
            <w:r w:rsidRPr="00EC3653">
              <w:rPr>
                <w:u w:val="single"/>
              </w:rPr>
              <w:t>Once weekly exenatide</w:t>
            </w:r>
            <w:r w:rsidR="00EC3653">
              <w:t xml:space="preserve">, </w:t>
            </w:r>
            <w:r w:rsidRPr="00BF3792">
              <w:t xml:space="preserve">1 February 2022 </w:t>
            </w:r>
          </w:p>
          <w:p w14:paraId="6A4C6D7F" w14:textId="729E1F96" w:rsidR="00010AFB" w:rsidRPr="00BF3792" w:rsidRDefault="00010AFB" w:rsidP="00C7336E">
            <w:pPr>
              <w:pStyle w:val="TableText"/>
            </w:pPr>
            <w:r w:rsidRPr="00BF3792">
              <w:t>Delisted</w:t>
            </w:r>
          </w:p>
        </w:tc>
      </w:tr>
      <w:tr w:rsidR="00010AFB" w:rsidRPr="00511BE5" w14:paraId="5FBE5FA8" w14:textId="77777777" w:rsidTr="00EC3653">
        <w:tc>
          <w:tcPr>
            <w:tcW w:w="813" w:type="pct"/>
            <w:tcBorders>
              <w:top w:val="single" w:sz="4" w:space="0" w:color="auto"/>
              <w:bottom w:val="single" w:sz="4" w:space="0" w:color="auto"/>
            </w:tcBorders>
          </w:tcPr>
          <w:p w14:paraId="2BE246C0" w14:textId="77777777" w:rsidR="00010AFB" w:rsidRPr="006329A7" w:rsidRDefault="00010AFB" w:rsidP="00C7336E">
            <w:pPr>
              <w:pStyle w:val="Tablewriting"/>
              <w:rPr>
                <w:b/>
                <w:iCs/>
              </w:rPr>
            </w:pPr>
            <w:r w:rsidRPr="006329A7">
              <w:rPr>
                <w:b/>
                <w:iCs/>
              </w:rPr>
              <w:t>TZD</w:t>
            </w:r>
          </w:p>
          <w:p w14:paraId="5310A0B2" w14:textId="52ADABB5" w:rsidR="00010AFB" w:rsidRPr="006329A7" w:rsidRDefault="00010AFB" w:rsidP="00C7336E">
            <w:pPr>
              <w:pStyle w:val="Tablewriting"/>
              <w:rPr>
                <w:bCs/>
                <w:iCs/>
              </w:rPr>
            </w:pPr>
            <w:r w:rsidRPr="006329A7">
              <w:rPr>
                <w:bCs/>
                <w:iCs/>
              </w:rPr>
              <w:t>Delist</w:t>
            </w:r>
          </w:p>
        </w:tc>
        <w:tc>
          <w:tcPr>
            <w:tcW w:w="4187" w:type="pct"/>
            <w:tcBorders>
              <w:bottom w:val="single" w:sz="4" w:space="0" w:color="auto"/>
            </w:tcBorders>
            <w:shd w:val="clear" w:color="auto" w:fill="auto"/>
          </w:tcPr>
          <w:p w14:paraId="69023BA7" w14:textId="43E263EC" w:rsidR="00010AFB" w:rsidRDefault="00010AFB" w:rsidP="006329A7">
            <w:pPr>
              <w:pStyle w:val="Tablewriting"/>
            </w:pPr>
            <w:r w:rsidRPr="00EC3653">
              <w:rPr>
                <w:u w:val="single"/>
              </w:rPr>
              <w:t>Rosiglitazone</w:t>
            </w:r>
            <w:r w:rsidR="00EC3653">
              <w:t xml:space="preserve">, </w:t>
            </w:r>
            <w:r>
              <w:t>1 July 2019</w:t>
            </w:r>
          </w:p>
          <w:p w14:paraId="37AF6B91" w14:textId="372EB6A7" w:rsidR="00010AFB" w:rsidRPr="00BF3792" w:rsidRDefault="00010AFB" w:rsidP="00C7336E">
            <w:pPr>
              <w:pStyle w:val="Tablewriting"/>
            </w:pPr>
            <w:r>
              <w:t xml:space="preserve">Delisted </w:t>
            </w:r>
          </w:p>
        </w:tc>
      </w:tr>
    </w:tbl>
    <w:p w14:paraId="6603B027" w14:textId="77777777" w:rsidR="00542325" w:rsidRPr="00B403D7" w:rsidRDefault="00542325" w:rsidP="00EC3653">
      <w:pPr>
        <w:spacing w:after="0" w:line="240" w:lineRule="auto"/>
        <w:rPr>
          <w:rFonts w:cs="Calibri"/>
          <w:color w:val="000000"/>
          <w:sz w:val="20"/>
          <w:szCs w:val="20"/>
        </w:rPr>
      </w:pPr>
      <w:r w:rsidRPr="00B403D7">
        <w:rPr>
          <w:rFonts w:cs="Calibri"/>
          <w:color w:val="000000"/>
          <w:sz w:val="20"/>
          <w:szCs w:val="20"/>
        </w:rPr>
        <w:t>Notes:</w:t>
      </w:r>
    </w:p>
    <w:p w14:paraId="29158F32" w14:textId="29E78917" w:rsidR="00542325" w:rsidRPr="00B403D7" w:rsidRDefault="00542325" w:rsidP="00EC3653">
      <w:pPr>
        <w:pStyle w:val="ListParagraph"/>
        <w:numPr>
          <w:ilvl w:val="0"/>
          <w:numId w:val="24"/>
        </w:numPr>
        <w:spacing w:line="240" w:lineRule="auto"/>
        <w:rPr>
          <w:color w:val="000000"/>
          <w:sz w:val="20"/>
          <w:szCs w:val="20"/>
        </w:rPr>
      </w:pPr>
      <w:r w:rsidRPr="00B403D7">
        <w:rPr>
          <w:color w:val="000000"/>
          <w:sz w:val="20"/>
          <w:szCs w:val="20"/>
        </w:rPr>
        <w:t>F</w:t>
      </w:r>
      <w:r w:rsidR="00E62CA3" w:rsidRPr="00B403D7">
        <w:rPr>
          <w:color w:val="000000"/>
          <w:sz w:val="20"/>
          <w:szCs w:val="20"/>
        </w:rPr>
        <w:t xml:space="preserve">urther information on the PBAC consideration is available from </w:t>
      </w:r>
      <w:r w:rsidRPr="00B403D7">
        <w:rPr>
          <w:color w:val="000000"/>
          <w:sz w:val="20"/>
          <w:szCs w:val="20"/>
        </w:rPr>
        <w:t xml:space="preserve">the </w:t>
      </w:r>
      <w:hyperlink r:id="rId15" w:history="1">
        <w:r w:rsidR="00E62CA3" w:rsidRPr="00B403D7">
          <w:rPr>
            <w:rStyle w:val="Hyperlink"/>
            <w:sz w:val="20"/>
            <w:szCs w:val="20"/>
          </w:rPr>
          <w:t>Public Summary Documents by Product</w:t>
        </w:r>
      </w:hyperlink>
      <w:r w:rsidRPr="00B403D7">
        <w:rPr>
          <w:sz w:val="20"/>
          <w:szCs w:val="20"/>
        </w:rPr>
        <w:t xml:space="preserve"> on the PBS website</w:t>
      </w:r>
      <w:r w:rsidR="00E62CA3" w:rsidRPr="00B403D7">
        <w:rPr>
          <w:color w:val="000000"/>
          <w:sz w:val="20"/>
          <w:szCs w:val="20"/>
        </w:rPr>
        <w:t>.</w:t>
      </w:r>
    </w:p>
    <w:p w14:paraId="10EF37E8" w14:textId="77777777" w:rsidR="00542325" w:rsidRPr="00B403D7" w:rsidRDefault="00542325" w:rsidP="00EC3653">
      <w:pPr>
        <w:pStyle w:val="ListParagraph"/>
        <w:numPr>
          <w:ilvl w:val="0"/>
          <w:numId w:val="24"/>
        </w:numPr>
        <w:spacing w:line="240" w:lineRule="auto"/>
        <w:rPr>
          <w:color w:val="000000"/>
          <w:sz w:val="20"/>
          <w:szCs w:val="20"/>
        </w:rPr>
      </w:pPr>
      <w:r w:rsidRPr="00B403D7">
        <w:rPr>
          <w:color w:val="000000"/>
          <w:sz w:val="20"/>
          <w:szCs w:val="20"/>
        </w:rPr>
        <w:t>Despite treatment with insulin and oral antidiabetic agents, or insulin alone where metformin is contraindicated.</w:t>
      </w:r>
    </w:p>
    <w:p w14:paraId="275FC7B4" w14:textId="284200BB" w:rsidR="00E62CA3" w:rsidRPr="005E22C2" w:rsidRDefault="00E62CA3" w:rsidP="00EC3653">
      <w:pPr>
        <w:pStyle w:val="Heading2"/>
        <w:spacing w:line="240" w:lineRule="auto"/>
      </w:pPr>
      <w:r>
        <w:lastRenderedPageBreak/>
        <w:t>Relevant aspects of</w:t>
      </w:r>
      <w:r w:rsidRPr="005E22C2">
        <w:t xml:space="preserve"> consideration</w:t>
      </w:r>
      <w:r>
        <w:t xml:space="preserve"> by the Pharmaceutical Benefits Advisory Committee (PBAC)</w:t>
      </w:r>
    </w:p>
    <w:p w14:paraId="511CBBAD" w14:textId="61B0F2E6" w:rsidR="00B41618" w:rsidRDefault="00A92A25" w:rsidP="00EC3653">
      <w:pPr>
        <w:keepNext/>
        <w:keepLines/>
        <w:spacing w:before="240" w:line="240" w:lineRule="auto"/>
      </w:pPr>
      <w:r>
        <w:t xml:space="preserve">In </w:t>
      </w:r>
      <w:r w:rsidR="008A56EA">
        <w:t>July 2022</w:t>
      </w:r>
      <w:r>
        <w:t>,</w:t>
      </w:r>
      <w:r w:rsidR="008A56EA">
        <w:t xml:space="preserve"> the PBAC recommended a review of the utilisation of T2DM medicines</w:t>
      </w:r>
      <w:r w:rsidR="00B41618">
        <w:t>, considering the current treatment pathways and extent of use outside the PBS restrictions for DPP4 inhibitors, SGLT2 inhibitors and GLP</w:t>
      </w:r>
      <w:r w:rsidR="00495BBD">
        <w:noBreakHyphen/>
      </w:r>
      <w:r w:rsidR="00B41618">
        <w:t>1 RAs. This would include an estimation of the extend of use of GLP-1 RAs outside the PBS restrictions, such as use in monotherapy, and in dual therapy in patients not contraindicated/intolerant to a combination of metformin and a SU.</w:t>
      </w:r>
    </w:p>
    <w:p w14:paraId="3A5BC68C" w14:textId="329D1CA2" w:rsidR="00495BBD" w:rsidRDefault="00495BBD" w:rsidP="00C7336E">
      <w:pPr>
        <w:spacing w:line="240" w:lineRule="auto"/>
      </w:pPr>
      <w:r>
        <w:t>DUSC reviewed medicines for the treatment of T2DM in October 2012/February 2013,</w:t>
      </w:r>
      <w:r w:rsidR="00E365D2">
        <w:rPr>
          <w:rStyle w:val="FootnoteReference"/>
        </w:rPr>
        <w:footnoteReference w:id="7"/>
      </w:r>
      <w:r>
        <w:t xml:space="preserve"> and for diabetes more broadly in February 2017.</w:t>
      </w:r>
      <w:r w:rsidR="00E365D2">
        <w:rPr>
          <w:rStyle w:val="FootnoteReference"/>
        </w:rPr>
        <w:footnoteReference w:id="8"/>
      </w:r>
      <w:r>
        <w:t xml:space="preserve"> </w:t>
      </w:r>
    </w:p>
    <w:p w14:paraId="24FCB7A5" w14:textId="77777777" w:rsidR="00E365D2" w:rsidRDefault="005B5CEC" w:rsidP="00C7336E">
      <w:pPr>
        <w:spacing w:line="240" w:lineRule="auto"/>
      </w:pPr>
      <w:r>
        <w:t xml:space="preserve">Since the DUSC utilisation review in February 2017, </w:t>
      </w:r>
      <w:r w:rsidR="00E365D2">
        <w:t>t</w:t>
      </w:r>
      <w:r>
        <w:t xml:space="preserve">he Department </w:t>
      </w:r>
      <w:r w:rsidR="00E365D2">
        <w:t xml:space="preserve">has </w:t>
      </w:r>
      <w:r>
        <w:t xml:space="preserve">contracted a project on the cost-effectiveness of T2DM medicines in stages. This project </w:t>
      </w:r>
      <w:proofErr w:type="gramStart"/>
      <w:r>
        <w:t>was recommended</w:t>
      </w:r>
      <w:proofErr w:type="gramEnd"/>
      <w:r>
        <w:t xml:space="preserve"> at</w:t>
      </w:r>
      <w:r w:rsidR="00AB08E9" w:rsidRPr="002805E9">
        <w:t xml:space="preserve"> the PBAC Executive meeting on 19 September 2019</w:t>
      </w:r>
      <w:r w:rsidR="00E365D2">
        <w:t xml:space="preserve">, in response to a request from a stakeholder for broader access to GLP-1 RAs and SGLT2 inhibitors for patients with cardiovascular disease (CVD) or high cardiovascular (CV) risk. </w:t>
      </w:r>
    </w:p>
    <w:p w14:paraId="4ABFC725" w14:textId="5CE5307A" w:rsidR="00DF10BD" w:rsidRDefault="00E365D2" w:rsidP="00C7336E">
      <w:pPr>
        <w:spacing w:line="240" w:lineRule="auto"/>
      </w:pPr>
      <w:r>
        <w:t xml:space="preserve">PBAC considered a </w:t>
      </w:r>
      <w:r w:rsidR="00D24AC4">
        <w:t xml:space="preserve">report </w:t>
      </w:r>
      <w:r>
        <w:t xml:space="preserve">on </w:t>
      </w:r>
      <w:r w:rsidR="00D24AC4">
        <w:t>the ‘</w:t>
      </w:r>
      <w:r w:rsidR="00D24AC4" w:rsidRPr="005D3044">
        <w:t>Cost-effectiveness review of SGLT2 inhibitors for the treatment of T2DM</w:t>
      </w:r>
      <w:r w:rsidR="00D24AC4">
        <w:t>’ (the SGLT2 inhibitor report)</w:t>
      </w:r>
      <w:r w:rsidR="00DF10BD">
        <w:t xml:space="preserve"> in November 2021 and March 2022. The report compared </w:t>
      </w:r>
      <w:r>
        <w:t xml:space="preserve">SGLT2 inhibitors </w:t>
      </w:r>
      <w:r w:rsidR="00DF10BD">
        <w:t xml:space="preserve">to </w:t>
      </w:r>
      <w:r>
        <w:t xml:space="preserve">SUs for the treatment of T2DM as add-on therapy to metformin, using the UKPDS Outcomes Model Version 2 (UKPDS OM2) calibrated to the Australian setting by using Australian specific mortality, cost, and patient data. </w:t>
      </w:r>
      <w:r w:rsidR="00DF10BD">
        <w:t xml:space="preserve">The report </w:t>
      </w:r>
      <w:r w:rsidR="00D24AC4">
        <w:t xml:space="preserve">concluded that </w:t>
      </w:r>
      <w:r w:rsidR="00D24AC4" w:rsidRPr="00DE5B2C">
        <w:t>SGLT2 inhibitors decreased the risk of all-cause and CV-related mortality</w:t>
      </w:r>
      <w:r w:rsidR="00357388">
        <w:t xml:space="preserve"> </w:t>
      </w:r>
      <w:r w:rsidR="00DF10BD">
        <w:t>and reduced systolic blood pressure and weight</w:t>
      </w:r>
      <w:r w:rsidR="00D24AC4" w:rsidRPr="00DE5B2C">
        <w:t xml:space="preserve"> when compared to SUs</w:t>
      </w:r>
      <w:r w:rsidR="00DF10BD">
        <w:t xml:space="preserve"> for </w:t>
      </w:r>
      <w:r w:rsidR="00D24AC4" w:rsidRPr="00DE5B2C">
        <w:t>the treatment of T2DM</w:t>
      </w:r>
      <w:r w:rsidR="00D24AC4">
        <w:t xml:space="preserve"> as add-on therapy to metformin</w:t>
      </w:r>
      <w:r w:rsidR="00357388">
        <w:t xml:space="preserve">. The report found </w:t>
      </w:r>
      <w:r w:rsidR="00D24AC4">
        <w:t xml:space="preserve">that </w:t>
      </w:r>
      <w:r w:rsidR="00D24AC4" w:rsidRPr="00DE5B2C">
        <w:t>SGLT2 inhibitors were likely to improve life expectancy and quality</w:t>
      </w:r>
      <w:r w:rsidR="00D24AC4">
        <w:t>-</w:t>
      </w:r>
      <w:r w:rsidR="00D24AC4" w:rsidRPr="00DE5B2C">
        <w:t>adjusted life expectancy (quality-adjusted life years, or QALYs) versus SUs</w:t>
      </w:r>
      <w:r w:rsidR="00D24AC4">
        <w:t>,</w:t>
      </w:r>
      <w:r w:rsidR="00D24AC4" w:rsidRPr="00DE5B2C">
        <w:t xml:space="preserve"> but were likely to lead to an overall increase in lifetime costs per patient. </w:t>
      </w:r>
    </w:p>
    <w:p w14:paraId="54AC8CF8" w14:textId="556891ED" w:rsidR="005B5CEC" w:rsidRPr="005B5CEC" w:rsidRDefault="00DF10BD" w:rsidP="00C7336E">
      <w:pPr>
        <w:spacing w:line="240" w:lineRule="auto"/>
      </w:pPr>
      <w:r>
        <w:t xml:space="preserve">In March 2022, </w:t>
      </w:r>
      <w:r w:rsidR="00C30DB0">
        <w:t xml:space="preserve">PBAC recommended the listing of dapagliflozin and empagliflozin for the treatment of T2DM, </w:t>
      </w:r>
      <w:r w:rsidR="00C30DB0" w:rsidRPr="001C5E4C">
        <w:t>as add-on therapy to metformin</w:t>
      </w:r>
      <w:r w:rsidR="00C30DB0">
        <w:t>,</w:t>
      </w:r>
      <w:r w:rsidR="00C30DB0" w:rsidRPr="001C5E4C">
        <w:t xml:space="preserve"> in patients with established </w:t>
      </w:r>
      <w:r w:rsidR="00C30DB0">
        <w:t xml:space="preserve">CVD </w:t>
      </w:r>
      <w:r w:rsidR="00C30DB0" w:rsidRPr="001C5E4C">
        <w:t xml:space="preserve">or at high </w:t>
      </w:r>
      <w:proofErr w:type="gramStart"/>
      <w:r w:rsidR="00C30DB0">
        <w:t>CV</w:t>
      </w:r>
      <w:proofErr w:type="gramEnd"/>
      <w:r w:rsidR="00C30DB0">
        <w:t xml:space="preserve"> </w:t>
      </w:r>
      <w:r w:rsidR="00C30DB0" w:rsidRPr="001C5E4C">
        <w:t>risk, without the requirement to have a specific unmet glycaemic target</w:t>
      </w:r>
      <w:r w:rsidR="00C30DB0">
        <w:t>.</w:t>
      </w:r>
      <w:r w:rsidR="00C7269D">
        <w:t xml:space="preserve"> The PBAC requested that the Department commence negotiations with sponsors to achieve a financial cap on the additional cost to the PBS over the forward estimates.</w:t>
      </w:r>
      <w:r>
        <w:rPr>
          <w:rStyle w:val="FootnoteReference"/>
        </w:rPr>
        <w:footnoteReference w:id="9"/>
      </w:r>
    </w:p>
    <w:p w14:paraId="6DCF65A9" w14:textId="595E9386" w:rsidR="006C46AB" w:rsidRPr="00AF2D84" w:rsidRDefault="000F2480" w:rsidP="00C7336E">
      <w:pPr>
        <w:pStyle w:val="Default"/>
        <w:rPr>
          <w:rFonts w:asciiTheme="minorHAnsi" w:hAnsiTheme="minorHAnsi" w:cstheme="minorHAnsi"/>
          <w:bCs/>
        </w:rPr>
      </w:pPr>
      <w:r w:rsidRPr="00406CDA">
        <w:rPr>
          <w:rFonts w:asciiTheme="minorHAnsi" w:hAnsiTheme="minorHAnsi" w:cstheme="minorHAnsi"/>
        </w:rPr>
        <w:t>PBAC considered a similar report, ‘C</w:t>
      </w:r>
      <w:r w:rsidR="00753D5F" w:rsidRPr="00406CDA">
        <w:rPr>
          <w:rFonts w:asciiTheme="minorHAnsi" w:hAnsiTheme="minorHAnsi" w:cstheme="minorHAnsi"/>
        </w:rPr>
        <w:t>linical and cost utility analysis of GLP</w:t>
      </w:r>
      <w:r w:rsidRPr="00406CDA">
        <w:rPr>
          <w:rFonts w:asciiTheme="minorHAnsi" w:hAnsiTheme="minorHAnsi" w:cstheme="minorHAnsi"/>
        </w:rPr>
        <w:t>-</w:t>
      </w:r>
      <w:r w:rsidR="00753D5F" w:rsidRPr="00406CDA">
        <w:rPr>
          <w:rFonts w:asciiTheme="minorHAnsi" w:hAnsiTheme="minorHAnsi" w:cstheme="minorHAnsi"/>
        </w:rPr>
        <w:t>1 RAs for the treatment of T2DM in the Australian setting</w:t>
      </w:r>
      <w:r w:rsidRPr="00406CDA">
        <w:rPr>
          <w:rFonts w:asciiTheme="minorHAnsi" w:hAnsiTheme="minorHAnsi" w:cstheme="minorHAnsi"/>
        </w:rPr>
        <w:t>’ (GLP-1 RA report)</w:t>
      </w:r>
      <w:r w:rsidR="00753D5F" w:rsidRPr="00406CDA">
        <w:rPr>
          <w:rFonts w:asciiTheme="minorHAnsi" w:hAnsiTheme="minorHAnsi" w:cstheme="minorHAnsi"/>
        </w:rPr>
        <w:t xml:space="preserve"> in July</w:t>
      </w:r>
      <w:r w:rsidR="00AB08E9" w:rsidRPr="00406CDA">
        <w:rPr>
          <w:rFonts w:asciiTheme="minorHAnsi" w:hAnsiTheme="minorHAnsi" w:cstheme="minorHAnsi"/>
        </w:rPr>
        <w:t xml:space="preserve"> 2022</w:t>
      </w:r>
      <w:r w:rsidRPr="00406CDA">
        <w:rPr>
          <w:rFonts w:asciiTheme="minorHAnsi" w:hAnsiTheme="minorHAnsi" w:cstheme="minorHAnsi"/>
        </w:rPr>
        <w:t>, which compared GLP-1 RAs to SUs for the treatment of T2DM as add-on therapy to metformin</w:t>
      </w:r>
      <w:r w:rsidR="00AB08E9" w:rsidRPr="00406CDA">
        <w:rPr>
          <w:rFonts w:asciiTheme="minorHAnsi" w:hAnsiTheme="minorHAnsi" w:cstheme="minorHAnsi"/>
        </w:rPr>
        <w:t xml:space="preserve">. </w:t>
      </w:r>
      <w:r w:rsidR="00406CDA" w:rsidRPr="00406CDA">
        <w:rPr>
          <w:rFonts w:asciiTheme="minorHAnsi" w:hAnsiTheme="minorHAnsi" w:cstheme="minorHAnsi"/>
          <w:bCs/>
        </w:rPr>
        <w:t xml:space="preserve">PBAC considered the clinical outcomes to be uncertain due to the paucity of trial data, resulting in low confidence in the results of the cost utility analysis. Noting the potentially </w:t>
      </w:r>
      <w:r w:rsidR="00406CDA" w:rsidRPr="00406CDA">
        <w:rPr>
          <w:rFonts w:asciiTheme="minorHAnsi" w:hAnsiTheme="minorHAnsi" w:cstheme="minorHAnsi"/>
          <w:bCs/>
        </w:rPr>
        <w:lastRenderedPageBreak/>
        <w:t>high and uncertain estimates of cost-effectiveness,</w:t>
      </w:r>
      <w:r w:rsidR="00724B6F">
        <w:rPr>
          <w:rFonts w:asciiTheme="minorHAnsi" w:hAnsiTheme="minorHAnsi" w:cstheme="minorHAnsi"/>
          <w:bCs/>
        </w:rPr>
        <w:t xml:space="preserve"> the</w:t>
      </w:r>
      <w:r w:rsidR="00406CDA" w:rsidRPr="00406CDA">
        <w:rPr>
          <w:rFonts w:asciiTheme="minorHAnsi" w:hAnsiTheme="minorHAnsi" w:cstheme="minorHAnsi"/>
          <w:bCs/>
        </w:rPr>
        <w:t xml:space="preserve"> PBAC did not recommend broadening the current PBS restrictions for GLP-1 RAs.</w:t>
      </w:r>
      <w:r w:rsidR="00406CDA">
        <w:rPr>
          <w:rFonts w:asciiTheme="minorHAnsi" w:hAnsiTheme="minorHAnsi" w:cstheme="minorHAnsi"/>
          <w:bCs/>
        </w:rPr>
        <w:t xml:space="preserve"> </w:t>
      </w:r>
      <w:r w:rsidR="00A26283" w:rsidRPr="00406CDA">
        <w:rPr>
          <w:rFonts w:asciiTheme="minorHAnsi" w:hAnsiTheme="minorHAnsi" w:cstheme="minorHAnsi"/>
        </w:rPr>
        <w:t xml:space="preserve">The PBAC </w:t>
      </w:r>
      <w:r w:rsidR="00406CDA">
        <w:rPr>
          <w:rFonts w:asciiTheme="minorHAnsi" w:hAnsiTheme="minorHAnsi" w:cstheme="minorHAnsi"/>
        </w:rPr>
        <w:t xml:space="preserve">expressed concern </w:t>
      </w:r>
      <w:r w:rsidR="00A26283" w:rsidRPr="00406CDA">
        <w:rPr>
          <w:rFonts w:asciiTheme="minorHAnsi" w:hAnsiTheme="minorHAnsi" w:cstheme="minorHAnsi"/>
        </w:rPr>
        <w:t>over the price difference between GLP-1 RAs and SGLT2 inhibitors, noting that this difference was based on the requirement for patients initiating</w:t>
      </w:r>
      <w:r w:rsidR="00A26283" w:rsidRPr="008F1D96">
        <w:rPr>
          <w:rFonts w:asciiTheme="minorHAnsi" w:hAnsiTheme="minorHAnsi" w:cstheme="minorHAnsi"/>
        </w:rPr>
        <w:t xml:space="preserve"> </w:t>
      </w:r>
      <w:r w:rsidR="008F1D96" w:rsidRPr="008F1D96">
        <w:rPr>
          <w:rFonts w:asciiTheme="minorHAnsi" w:hAnsiTheme="minorHAnsi" w:cstheme="minorHAnsi"/>
        </w:rPr>
        <w:t>dual therapy with a</w:t>
      </w:r>
      <w:r w:rsidR="008F1D96">
        <w:t xml:space="preserve"> </w:t>
      </w:r>
      <w:r w:rsidR="00A26283" w:rsidRPr="00406CDA">
        <w:rPr>
          <w:rFonts w:asciiTheme="minorHAnsi" w:hAnsiTheme="minorHAnsi" w:cstheme="minorHAnsi"/>
        </w:rPr>
        <w:t>GLP-1 RA</w:t>
      </w:r>
      <w:r w:rsidR="00A26283" w:rsidRPr="00A26283">
        <w:t xml:space="preserve"> </w:t>
      </w:r>
      <w:r w:rsidR="00A26283" w:rsidRPr="00406CDA">
        <w:rPr>
          <w:rFonts w:asciiTheme="minorHAnsi" w:hAnsiTheme="minorHAnsi" w:cstheme="minorHAnsi"/>
        </w:rPr>
        <w:t xml:space="preserve">to </w:t>
      </w:r>
      <w:r w:rsidR="008F1D96">
        <w:rPr>
          <w:rFonts w:asciiTheme="minorHAnsi" w:hAnsiTheme="minorHAnsi" w:cstheme="minorHAnsi"/>
        </w:rPr>
        <w:t xml:space="preserve">be </w:t>
      </w:r>
      <w:r w:rsidR="00A26283" w:rsidRPr="00406CDA">
        <w:rPr>
          <w:rFonts w:asciiTheme="minorHAnsi" w:hAnsiTheme="minorHAnsi" w:cstheme="minorHAnsi"/>
        </w:rPr>
        <w:t>contraindi</w:t>
      </w:r>
      <w:r w:rsidR="008F1D96">
        <w:rPr>
          <w:rFonts w:asciiTheme="minorHAnsi" w:hAnsiTheme="minorHAnsi" w:cstheme="minorHAnsi"/>
        </w:rPr>
        <w:t>cated/</w:t>
      </w:r>
      <w:r w:rsidR="00A26283" w:rsidRPr="00406CDA">
        <w:rPr>
          <w:rFonts w:asciiTheme="minorHAnsi" w:hAnsiTheme="minorHAnsi" w:cstheme="minorHAnsi"/>
        </w:rPr>
        <w:t>intoler</w:t>
      </w:r>
      <w:r w:rsidR="008F1D96">
        <w:rPr>
          <w:rFonts w:asciiTheme="minorHAnsi" w:hAnsiTheme="minorHAnsi" w:cstheme="minorHAnsi"/>
        </w:rPr>
        <w:t>ant</w:t>
      </w:r>
      <w:r w:rsidR="00A26283" w:rsidRPr="00406CDA">
        <w:rPr>
          <w:rFonts w:asciiTheme="minorHAnsi" w:hAnsiTheme="minorHAnsi" w:cstheme="minorHAnsi"/>
        </w:rPr>
        <w:t xml:space="preserve"> to </w:t>
      </w:r>
      <w:r w:rsidRPr="00406CDA">
        <w:rPr>
          <w:rFonts w:asciiTheme="minorHAnsi" w:hAnsiTheme="minorHAnsi" w:cstheme="minorHAnsi"/>
        </w:rPr>
        <w:t xml:space="preserve">metformin </w:t>
      </w:r>
      <w:r w:rsidR="008F1D96">
        <w:rPr>
          <w:rFonts w:asciiTheme="minorHAnsi" w:hAnsiTheme="minorHAnsi" w:cstheme="minorHAnsi"/>
        </w:rPr>
        <w:t>and</w:t>
      </w:r>
      <w:r w:rsidRPr="00406CDA">
        <w:rPr>
          <w:rFonts w:asciiTheme="minorHAnsi" w:hAnsiTheme="minorHAnsi" w:cstheme="minorHAnsi"/>
        </w:rPr>
        <w:t xml:space="preserve"> a </w:t>
      </w:r>
      <w:r w:rsidR="00A26283" w:rsidRPr="00406CDA">
        <w:rPr>
          <w:rFonts w:asciiTheme="minorHAnsi" w:hAnsiTheme="minorHAnsi" w:cstheme="minorHAnsi"/>
        </w:rPr>
        <w:t xml:space="preserve">SU. </w:t>
      </w:r>
      <w:r w:rsidR="00C7269D">
        <w:rPr>
          <w:rFonts w:asciiTheme="minorHAnsi" w:hAnsiTheme="minorHAnsi" w:cstheme="minorHAnsi"/>
        </w:rPr>
        <w:t xml:space="preserve">The </w:t>
      </w:r>
      <w:r w:rsidR="00A26283" w:rsidRPr="00406CDA">
        <w:rPr>
          <w:rFonts w:asciiTheme="minorHAnsi" w:hAnsiTheme="minorHAnsi" w:cstheme="minorHAnsi"/>
        </w:rPr>
        <w:t>PBAC noted that clinicians may have a broader interpretation of contraindication to SU in clinical practice than in the clinical trials and estimates of use that supported the PBS listing.</w:t>
      </w:r>
      <w:r w:rsidR="00406CDA" w:rsidRPr="00406CDA">
        <w:rPr>
          <w:rStyle w:val="FootnoteReference"/>
          <w:rFonts w:asciiTheme="minorHAnsi" w:hAnsiTheme="minorHAnsi" w:cstheme="minorHAnsi"/>
        </w:rPr>
        <w:footnoteReference w:id="10"/>
      </w:r>
    </w:p>
    <w:p w14:paraId="3E0D926B" w14:textId="772F5B78" w:rsidR="00AA61CA" w:rsidRPr="00CC6C89" w:rsidRDefault="00AA61CA" w:rsidP="00C7336E">
      <w:pPr>
        <w:pStyle w:val="Heading2"/>
        <w:spacing w:line="240" w:lineRule="auto"/>
      </w:pPr>
      <w:r w:rsidRPr="00CC6C89">
        <w:t xml:space="preserve">Clinical </w:t>
      </w:r>
      <w:r w:rsidR="00930351">
        <w:t>g</w:t>
      </w:r>
      <w:r w:rsidRPr="00CC6C89">
        <w:t>uidelines</w:t>
      </w:r>
    </w:p>
    <w:p w14:paraId="5FDBFECE" w14:textId="45F14DCD" w:rsidR="00EA604A" w:rsidRDefault="00AA61CA" w:rsidP="00C7336E">
      <w:pPr>
        <w:spacing w:line="240" w:lineRule="auto"/>
      </w:pPr>
      <w:proofErr w:type="gramStart"/>
      <w:r>
        <w:t>Several</w:t>
      </w:r>
      <w:proofErr w:type="gramEnd"/>
      <w:r>
        <w:t xml:space="preserve"> </w:t>
      </w:r>
      <w:r w:rsidR="00930351">
        <w:t xml:space="preserve">Australian </w:t>
      </w:r>
      <w:r>
        <w:t>clinical guid</w:t>
      </w:r>
      <w:r w:rsidR="0065367D">
        <w:t>elines</w:t>
      </w:r>
      <w:r>
        <w:t xml:space="preserve"> are available for </w:t>
      </w:r>
      <w:r w:rsidR="0065367D">
        <w:t>the management of T2DM</w:t>
      </w:r>
      <w:r>
        <w:t>:</w:t>
      </w:r>
    </w:p>
    <w:p w14:paraId="23E47028" w14:textId="06E703E9" w:rsidR="00234D0E" w:rsidRPr="00EA604A" w:rsidRDefault="00234D0E">
      <w:pPr>
        <w:pStyle w:val="ListParagraph"/>
        <w:numPr>
          <w:ilvl w:val="0"/>
          <w:numId w:val="6"/>
        </w:numPr>
        <w:spacing w:line="240" w:lineRule="auto"/>
      </w:pPr>
      <w:r w:rsidRPr="008C5BBB">
        <w:rPr>
          <w:rFonts w:asciiTheme="minorHAnsi" w:hAnsiTheme="minorHAnsi"/>
          <w:noProof/>
        </w:rPr>
        <w:t>Therapeutic Guidelines</w:t>
      </w:r>
      <w:r w:rsidR="00EA604A" w:rsidRPr="008C5BBB">
        <w:rPr>
          <w:rFonts w:asciiTheme="minorHAnsi" w:hAnsiTheme="minorHAnsi"/>
          <w:noProof/>
        </w:rPr>
        <w:t>, ‘</w:t>
      </w:r>
      <w:hyperlink r:id="rId16" w:history="1">
        <w:r w:rsidRPr="008C5BBB">
          <w:rPr>
            <w:rStyle w:val="Hyperlink"/>
            <w:rFonts w:asciiTheme="minorHAnsi" w:hAnsiTheme="minorHAnsi"/>
            <w:noProof/>
          </w:rPr>
          <w:t>Type 2 diabetes in Adults</w:t>
        </w:r>
      </w:hyperlink>
      <w:r w:rsidR="00EA604A" w:rsidRPr="008C5BBB">
        <w:rPr>
          <w:rFonts w:asciiTheme="minorHAnsi" w:hAnsiTheme="minorHAnsi"/>
          <w:noProof/>
        </w:rPr>
        <w:t xml:space="preserve">’ (Updated </w:t>
      </w:r>
      <w:r w:rsidRPr="008C5BBB">
        <w:rPr>
          <w:rFonts w:asciiTheme="minorHAnsi" w:hAnsiTheme="minorHAnsi"/>
          <w:noProof/>
        </w:rPr>
        <w:t>December 2020</w:t>
      </w:r>
      <w:r w:rsidR="00EA604A" w:rsidRPr="008C5BBB">
        <w:rPr>
          <w:rFonts w:asciiTheme="minorHAnsi" w:hAnsiTheme="minorHAnsi"/>
          <w:noProof/>
        </w:rPr>
        <w:t>)</w:t>
      </w:r>
      <w:r w:rsidRPr="008C5BBB">
        <w:rPr>
          <w:rFonts w:asciiTheme="minorHAnsi" w:hAnsiTheme="minorHAnsi"/>
          <w:noProof/>
        </w:rPr>
        <w:t>.</w:t>
      </w:r>
    </w:p>
    <w:p w14:paraId="18D68613" w14:textId="6845350A" w:rsidR="00234D0E" w:rsidRPr="00EA604A" w:rsidRDefault="00234D0E">
      <w:pPr>
        <w:pStyle w:val="Bibliography"/>
        <w:numPr>
          <w:ilvl w:val="0"/>
          <w:numId w:val="5"/>
        </w:numPr>
        <w:spacing w:line="240" w:lineRule="auto"/>
        <w:ind w:left="454"/>
        <w:rPr>
          <w:rFonts w:asciiTheme="minorHAnsi" w:hAnsiTheme="minorHAnsi"/>
          <w:noProof/>
        </w:rPr>
      </w:pPr>
      <w:r w:rsidRPr="00EA604A">
        <w:rPr>
          <w:rFonts w:asciiTheme="minorHAnsi" w:hAnsiTheme="minorHAnsi"/>
          <w:noProof/>
        </w:rPr>
        <w:t>Royal Australian College of General Practitioners</w:t>
      </w:r>
      <w:r w:rsidR="00EA604A">
        <w:rPr>
          <w:rFonts w:asciiTheme="minorHAnsi" w:hAnsiTheme="minorHAnsi"/>
          <w:noProof/>
        </w:rPr>
        <w:t>, ‘</w:t>
      </w:r>
      <w:hyperlink r:id="rId17" w:history="1">
        <w:r w:rsidRPr="00EA604A">
          <w:rPr>
            <w:rStyle w:val="Hyperlink"/>
            <w:rFonts w:asciiTheme="minorHAnsi" w:hAnsiTheme="minorHAnsi"/>
            <w:noProof/>
          </w:rPr>
          <w:t>Management of type 2 diabetes: A handbook for general practice</w:t>
        </w:r>
      </w:hyperlink>
      <w:r w:rsidR="00EA604A">
        <w:rPr>
          <w:rFonts w:asciiTheme="minorHAnsi" w:hAnsiTheme="minorHAnsi"/>
          <w:noProof/>
        </w:rPr>
        <w:t>’ (</w:t>
      </w:r>
      <w:r w:rsidRPr="00EA604A">
        <w:rPr>
          <w:rFonts w:asciiTheme="minorHAnsi" w:hAnsiTheme="minorHAnsi"/>
          <w:noProof/>
        </w:rPr>
        <w:t>2020</w:t>
      </w:r>
      <w:r w:rsidR="00EA604A">
        <w:rPr>
          <w:rFonts w:asciiTheme="minorHAnsi" w:hAnsiTheme="minorHAnsi"/>
          <w:noProof/>
        </w:rPr>
        <w:t>)</w:t>
      </w:r>
      <w:r w:rsidRPr="00EA604A">
        <w:rPr>
          <w:rFonts w:asciiTheme="minorHAnsi" w:hAnsiTheme="minorHAnsi"/>
          <w:noProof/>
        </w:rPr>
        <w:t xml:space="preserve">. </w:t>
      </w:r>
    </w:p>
    <w:p w14:paraId="4592EA79" w14:textId="0A146A95" w:rsidR="00234D0E" w:rsidRPr="00EA604A" w:rsidRDefault="00234D0E">
      <w:pPr>
        <w:pStyle w:val="Bibliography"/>
        <w:numPr>
          <w:ilvl w:val="0"/>
          <w:numId w:val="5"/>
        </w:numPr>
        <w:spacing w:line="240" w:lineRule="auto"/>
        <w:ind w:left="454"/>
        <w:rPr>
          <w:rFonts w:asciiTheme="minorHAnsi" w:hAnsiTheme="minorHAnsi"/>
          <w:noProof/>
        </w:rPr>
      </w:pPr>
      <w:r w:rsidRPr="00EA604A">
        <w:rPr>
          <w:rFonts w:asciiTheme="minorHAnsi" w:hAnsiTheme="minorHAnsi"/>
          <w:noProof/>
        </w:rPr>
        <w:t>Australian Diabetes Society</w:t>
      </w:r>
      <w:r w:rsidR="00EA604A">
        <w:rPr>
          <w:rFonts w:asciiTheme="minorHAnsi" w:hAnsiTheme="minorHAnsi"/>
          <w:noProof/>
        </w:rPr>
        <w:t>, ‘</w:t>
      </w:r>
      <w:hyperlink r:id="rId18" w:history="1">
        <w:r w:rsidRPr="00EA604A">
          <w:rPr>
            <w:rStyle w:val="Hyperlink"/>
            <w:rFonts w:asciiTheme="minorHAnsi" w:hAnsiTheme="minorHAnsi"/>
            <w:noProof/>
          </w:rPr>
          <w:t>Australian Type 2 Diabetes Glycaemic Management Algorithm</w:t>
        </w:r>
      </w:hyperlink>
      <w:r w:rsidR="00EA604A">
        <w:rPr>
          <w:rFonts w:asciiTheme="minorHAnsi" w:hAnsiTheme="minorHAnsi"/>
          <w:noProof/>
        </w:rPr>
        <w:t>’ (</w:t>
      </w:r>
      <w:r w:rsidRPr="00EA604A">
        <w:rPr>
          <w:rFonts w:asciiTheme="minorHAnsi" w:hAnsiTheme="minorHAnsi"/>
          <w:noProof/>
        </w:rPr>
        <w:t>2021</w:t>
      </w:r>
      <w:r w:rsidR="00EA604A">
        <w:rPr>
          <w:rFonts w:asciiTheme="minorHAnsi" w:hAnsiTheme="minorHAnsi"/>
          <w:noProof/>
        </w:rPr>
        <w:t>)</w:t>
      </w:r>
      <w:r w:rsidRPr="00EA604A">
        <w:rPr>
          <w:rFonts w:asciiTheme="minorHAnsi" w:hAnsiTheme="minorHAnsi"/>
          <w:noProof/>
        </w:rPr>
        <w:t>.</w:t>
      </w:r>
    </w:p>
    <w:p w14:paraId="07F1C5DA" w14:textId="4AF4602E" w:rsidR="00234D0E" w:rsidRPr="00EA604A" w:rsidRDefault="00234D0E">
      <w:pPr>
        <w:pStyle w:val="Bibliography"/>
        <w:numPr>
          <w:ilvl w:val="0"/>
          <w:numId w:val="5"/>
        </w:numPr>
        <w:spacing w:line="240" w:lineRule="auto"/>
        <w:ind w:left="454"/>
        <w:rPr>
          <w:rFonts w:asciiTheme="minorHAnsi" w:hAnsiTheme="minorHAnsi"/>
          <w:noProof/>
        </w:rPr>
      </w:pPr>
      <w:r w:rsidRPr="00EA604A">
        <w:rPr>
          <w:rFonts w:asciiTheme="minorHAnsi" w:hAnsiTheme="minorHAnsi"/>
          <w:noProof/>
        </w:rPr>
        <w:t>Living Evidence for Diabetes Consortium</w:t>
      </w:r>
      <w:r w:rsidR="008C5BBB">
        <w:rPr>
          <w:rFonts w:asciiTheme="minorHAnsi" w:hAnsiTheme="minorHAnsi"/>
          <w:noProof/>
        </w:rPr>
        <w:t>,</w:t>
      </w:r>
      <w:r w:rsidRPr="00EA604A">
        <w:rPr>
          <w:rFonts w:asciiTheme="minorHAnsi" w:hAnsiTheme="minorHAnsi"/>
          <w:noProof/>
        </w:rPr>
        <w:t xml:space="preserve"> </w:t>
      </w:r>
      <w:r w:rsidR="008C5BBB">
        <w:rPr>
          <w:rFonts w:asciiTheme="minorHAnsi" w:hAnsiTheme="minorHAnsi"/>
          <w:noProof/>
        </w:rPr>
        <w:t>‘</w:t>
      </w:r>
      <w:hyperlink r:id="rId19" w:history="1">
        <w:r w:rsidRPr="008C5BBB">
          <w:rPr>
            <w:rStyle w:val="Hyperlink"/>
            <w:rFonts w:asciiTheme="minorHAnsi" w:hAnsiTheme="minorHAnsi"/>
            <w:noProof/>
          </w:rPr>
          <w:t>Australian Evidence-Based Guidelines for Diabetes</w:t>
        </w:r>
      </w:hyperlink>
      <w:r w:rsidR="008C5BBB">
        <w:rPr>
          <w:rFonts w:asciiTheme="minorHAnsi" w:hAnsiTheme="minorHAnsi"/>
          <w:noProof/>
        </w:rPr>
        <w:t>’</w:t>
      </w:r>
      <w:r w:rsidRPr="00EA604A">
        <w:rPr>
          <w:rFonts w:asciiTheme="minorHAnsi" w:hAnsiTheme="minorHAnsi"/>
          <w:noProof/>
        </w:rPr>
        <w:t xml:space="preserve"> </w:t>
      </w:r>
      <w:r w:rsidR="00EA604A">
        <w:rPr>
          <w:rFonts w:asciiTheme="minorHAnsi" w:hAnsiTheme="minorHAnsi"/>
          <w:noProof/>
        </w:rPr>
        <w:t>(</w:t>
      </w:r>
      <w:r w:rsidRPr="00EA604A">
        <w:rPr>
          <w:rFonts w:asciiTheme="minorHAnsi" w:hAnsiTheme="minorHAnsi"/>
          <w:noProof/>
        </w:rPr>
        <w:t>2020</w:t>
      </w:r>
      <w:r w:rsidR="00EA604A">
        <w:rPr>
          <w:rFonts w:asciiTheme="minorHAnsi" w:hAnsiTheme="minorHAnsi"/>
          <w:noProof/>
        </w:rPr>
        <w:t>)</w:t>
      </w:r>
      <w:r w:rsidRPr="00EA604A">
        <w:rPr>
          <w:rFonts w:asciiTheme="minorHAnsi" w:hAnsiTheme="minorHAnsi"/>
          <w:noProof/>
        </w:rPr>
        <w:t xml:space="preserve">. </w:t>
      </w:r>
    </w:p>
    <w:p w14:paraId="1F90385F" w14:textId="164EC023" w:rsidR="00AA61CA" w:rsidRDefault="00AA61CA" w:rsidP="00C7336E">
      <w:pPr>
        <w:spacing w:line="240" w:lineRule="auto"/>
      </w:pPr>
      <w:r>
        <w:t xml:space="preserve">These clinical guidance documents provide evidence-based algorithms to assist in the selection of medicines or combinations of medicines to manage blood glucose. </w:t>
      </w:r>
      <w:r w:rsidR="00522414">
        <w:t xml:space="preserve">Australian guidelines generally recommend </w:t>
      </w:r>
      <w:r w:rsidR="00522414" w:rsidRPr="00D5225D">
        <w:t>a target HbA1c of ≤53 mmol/mol (7.0%) for most patients</w:t>
      </w:r>
      <w:r w:rsidR="00522414">
        <w:t>, noting that</w:t>
      </w:r>
      <w:r w:rsidR="00522414" w:rsidRPr="007B3E34">
        <w:t xml:space="preserve"> </w:t>
      </w:r>
      <w:r w:rsidR="00522414">
        <w:t>the</w:t>
      </w:r>
      <w:r w:rsidR="00522414" w:rsidRPr="007B3E34">
        <w:t xml:space="preserve"> treatment </w:t>
      </w:r>
      <w:r w:rsidR="00522414">
        <w:t xml:space="preserve">approach for </w:t>
      </w:r>
      <w:r w:rsidR="00522414" w:rsidRPr="00342213">
        <w:t>T2DM, including HbA1c targets should be individualised based on patient-specific factors and the risk of hypoglycaemia</w:t>
      </w:r>
      <w:r w:rsidR="00522414">
        <w:t xml:space="preserve">. </w:t>
      </w:r>
      <w:proofErr w:type="gramStart"/>
      <w:r w:rsidR="008C5BBB">
        <w:t>Some</w:t>
      </w:r>
      <w:proofErr w:type="gramEnd"/>
      <w:r>
        <w:t xml:space="preserve"> guidelines also advise or provide links for prescribers to consult the PBS schedule for restrictions and eligibility criteria.</w:t>
      </w:r>
    </w:p>
    <w:p w14:paraId="0B131682" w14:textId="5D38AE2C" w:rsidR="00AA61CA" w:rsidRPr="003E2D98" w:rsidRDefault="00AA61CA" w:rsidP="00C7336E">
      <w:pPr>
        <w:pStyle w:val="Heading2"/>
        <w:spacing w:line="240" w:lineRule="auto"/>
      </w:pPr>
      <w:r w:rsidRPr="003E2D98">
        <w:t>Previous reviews by DUSC</w:t>
      </w:r>
    </w:p>
    <w:p w14:paraId="76532E46" w14:textId="00CFBBA0" w:rsidR="00AA61CA" w:rsidRDefault="00AA61CA" w:rsidP="00C7336E">
      <w:pPr>
        <w:spacing w:line="240" w:lineRule="auto"/>
      </w:pPr>
      <w:r w:rsidRPr="009C1E36">
        <w:t xml:space="preserve">Medicines for the treatment of </w:t>
      </w:r>
      <w:r w:rsidR="00234D0E">
        <w:t xml:space="preserve">T2DM </w:t>
      </w:r>
      <w:proofErr w:type="gramStart"/>
      <w:r w:rsidRPr="009C1E36">
        <w:t>were reviewed</w:t>
      </w:r>
      <w:proofErr w:type="gramEnd"/>
      <w:r w:rsidRPr="009C1E36">
        <w:t xml:space="preserve"> by DUSC at its </w:t>
      </w:r>
      <w:r>
        <w:t xml:space="preserve">meetings in June and </w:t>
      </w:r>
      <w:r w:rsidRPr="009C1E36">
        <w:t xml:space="preserve">October 2012 </w:t>
      </w:r>
      <w:r>
        <w:t xml:space="preserve">and February 2013, and </w:t>
      </w:r>
      <w:r w:rsidR="00234D0E">
        <w:t xml:space="preserve">diabetes more broadly </w:t>
      </w:r>
      <w:r>
        <w:t xml:space="preserve">in February 2017. The February 2013 analysis results </w:t>
      </w:r>
      <w:proofErr w:type="gramStart"/>
      <w:r>
        <w:t>were used</w:t>
      </w:r>
      <w:proofErr w:type="gramEnd"/>
      <w:r>
        <w:t xml:space="preserve"> </w:t>
      </w:r>
      <w:r w:rsidR="00234D0E">
        <w:t>to inform the</w:t>
      </w:r>
      <w:r>
        <w:t xml:space="preserve"> first and second terms of reference of the </w:t>
      </w:r>
      <w:r w:rsidR="00234D0E">
        <w:t>Post-market Review</w:t>
      </w:r>
      <w:r>
        <w:t xml:space="preserve"> report</w:t>
      </w:r>
      <w:r w:rsidR="00234D0E">
        <w:t xml:space="preserve"> on T2DM medicines</w:t>
      </w:r>
      <w:r>
        <w:t>.</w:t>
      </w:r>
      <w:r w:rsidR="00234D0E">
        <w:rPr>
          <w:rStyle w:val="FootnoteReference"/>
        </w:rPr>
        <w:footnoteReference w:id="11"/>
      </w:r>
      <w:r w:rsidR="00234D0E">
        <w:t xml:space="preserve"> An analysis of predicted versus actual utilisation of exenatide was also considered in October 2014.</w:t>
      </w:r>
      <w:r w:rsidR="00234D0E">
        <w:rPr>
          <w:rStyle w:val="FootnoteReference"/>
        </w:rPr>
        <w:footnoteReference w:id="12"/>
      </w:r>
    </w:p>
    <w:p w14:paraId="0F3639FC" w14:textId="77777777" w:rsidR="00AA61CA" w:rsidRPr="007233DD" w:rsidRDefault="00AA61CA" w:rsidP="00C7336E">
      <w:pPr>
        <w:pStyle w:val="Heading1"/>
      </w:pPr>
      <w:r w:rsidRPr="007233DD">
        <w:lastRenderedPageBreak/>
        <w:t>Methods</w:t>
      </w:r>
    </w:p>
    <w:p w14:paraId="7CF615B8" w14:textId="696C1176" w:rsidR="00C43B1D" w:rsidRDefault="00C43B1D" w:rsidP="00C7336E">
      <w:pPr>
        <w:spacing w:line="240" w:lineRule="auto"/>
      </w:pPr>
      <w:r>
        <w:t xml:space="preserve">Data extracted from the PBS claims database maintained by the Department of Health and Aged Care, and processed by Services Australia, </w:t>
      </w:r>
      <w:proofErr w:type="gramStart"/>
      <w:r>
        <w:t>were used</w:t>
      </w:r>
      <w:proofErr w:type="gramEnd"/>
      <w:r>
        <w:t xml:space="preserve"> for the analyses. Prescription data </w:t>
      </w:r>
      <w:proofErr w:type="gramStart"/>
      <w:r>
        <w:t>were extracted</w:t>
      </w:r>
      <w:proofErr w:type="gramEnd"/>
      <w:r>
        <w:t xml:space="preserve"> from 1 January 2015 up to and including 30 June 2022. Data </w:t>
      </w:r>
      <w:proofErr w:type="gramStart"/>
      <w:r>
        <w:t>were extracted</w:t>
      </w:r>
      <w:proofErr w:type="gramEnd"/>
      <w:r>
        <w:t xml:space="preserve"> on 11 August 2022.</w:t>
      </w:r>
    </w:p>
    <w:p w14:paraId="131BFD4C" w14:textId="03CA2CFF" w:rsidR="00C753E2" w:rsidRDefault="00C753E2" w:rsidP="00C753E2">
      <w:pPr>
        <w:rPr>
          <w:rFonts w:asciiTheme="minorHAnsi" w:hAnsiTheme="minorHAnsi"/>
        </w:rPr>
      </w:pPr>
      <w:r>
        <w:t>As th</w:t>
      </w:r>
      <w:r w:rsidR="00C7269D">
        <w:t>ese</w:t>
      </w:r>
      <w:r>
        <w:t xml:space="preserve"> analys</w:t>
      </w:r>
      <w:r w:rsidR="00C7269D">
        <w:t>es</w:t>
      </w:r>
      <w:r>
        <w:t xml:space="preserve"> use date of supply prescription data, there may be </w:t>
      </w:r>
      <w:proofErr w:type="gramStart"/>
      <w:r>
        <w:t>small differences</w:t>
      </w:r>
      <w:proofErr w:type="gramEnd"/>
      <w:r>
        <w:t xml:space="preserve"> compared with publicly available Services Australia Medicare date of processing data.</w:t>
      </w:r>
      <w:r>
        <w:rPr>
          <w:rStyle w:val="FootnoteReference"/>
        </w:rPr>
        <w:footnoteReference w:id="13"/>
      </w:r>
      <w:r>
        <w:t xml:space="preserve">  The publicly available Medicare data only includes subsidised R/PBS prescriptions</w:t>
      </w:r>
      <w:r w:rsidR="00C7269D">
        <w:t>,</w:t>
      </w:r>
      <w:r>
        <w:t xml:space="preserve"> with prescriptions </w:t>
      </w:r>
      <w:r w:rsidR="00C7269D">
        <w:t xml:space="preserve">priced </w:t>
      </w:r>
      <w:r>
        <w:t>under the patient co-payment not included. The Medicare data used in this report includes under co-payment prescriptions from 1 April 2012.</w:t>
      </w:r>
    </w:p>
    <w:p w14:paraId="2E5B2F52" w14:textId="38C26761" w:rsidR="00AA61CA" w:rsidRDefault="00037AA8" w:rsidP="00C7336E">
      <w:pPr>
        <w:spacing w:line="240" w:lineRule="auto"/>
      </w:pPr>
      <w:r>
        <w:t xml:space="preserve">Patients who </w:t>
      </w:r>
      <w:proofErr w:type="gramStart"/>
      <w:r>
        <w:t>were only supplied</w:t>
      </w:r>
      <w:proofErr w:type="gramEnd"/>
      <w:r>
        <w:t xml:space="preserve"> insulin in the 7.5</w:t>
      </w:r>
      <w:r w:rsidR="00EF0261">
        <w:t>-</w:t>
      </w:r>
      <w:r>
        <w:t>year</w:t>
      </w:r>
      <w:r w:rsidR="00EF0261">
        <w:t xml:space="preserve"> </w:t>
      </w:r>
      <w:r w:rsidR="008B0B49">
        <w:t xml:space="preserve">study </w:t>
      </w:r>
      <w:r w:rsidR="00EF0261">
        <w:t>period</w:t>
      </w:r>
      <w:r>
        <w:t xml:space="preserve"> were excluded as likely having </w:t>
      </w:r>
      <w:r w:rsidR="00EF0261">
        <w:t>t</w:t>
      </w:r>
      <w:r>
        <w:t xml:space="preserve">ype 1 </w:t>
      </w:r>
      <w:r w:rsidR="00EF0261">
        <w:t>d</w:t>
      </w:r>
      <w:r>
        <w:t>iabetes</w:t>
      </w:r>
      <w:r w:rsidR="00EF0261">
        <w:t xml:space="preserve">. </w:t>
      </w:r>
    </w:p>
    <w:p w14:paraId="4E98A06A" w14:textId="6D3454D8" w:rsidR="00427126" w:rsidRDefault="00427126" w:rsidP="00C7336E">
      <w:pPr>
        <w:spacing w:line="240" w:lineRule="auto"/>
      </w:pPr>
      <w:r>
        <w:t xml:space="preserve">R/PBS benefits paid is based on the published list prices. Special pricing arrangements are in place for </w:t>
      </w:r>
      <w:proofErr w:type="gramStart"/>
      <w:r>
        <w:t>some</w:t>
      </w:r>
      <w:proofErr w:type="gramEnd"/>
      <w:r>
        <w:t xml:space="preserve"> GLP-1 RAs</w:t>
      </w:r>
      <w:r w:rsidR="004774E9">
        <w:t xml:space="preserve"> (semaglutide and dulaglutide)</w:t>
      </w:r>
      <w:r>
        <w:t>.</w:t>
      </w:r>
    </w:p>
    <w:p w14:paraId="3C0DF1A8" w14:textId="09138D88" w:rsidR="004774E9" w:rsidRDefault="00A24481" w:rsidP="00C7336E">
      <w:pPr>
        <w:spacing w:line="240" w:lineRule="auto"/>
        <w:rPr>
          <w:rFonts w:eastAsia="Calibri"/>
        </w:rPr>
      </w:pPr>
      <w:r>
        <w:t xml:space="preserve">Diabetes </w:t>
      </w:r>
      <w:r w:rsidRPr="009C1E36">
        <w:t>medicines listed on the PBS</w:t>
      </w:r>
      <w:r>
        <w:t xml:space="preserve"> that </w:t>
      </w:r>
      <w:proofErr w:type="gramStart"/>
      <w:r>
        <w:t>were included</w:t>
      </w:r>
      <w:proofErr w:type="gramEnd"/>
      <w:r>
        <w:t xml:space="preserve"> </w:t>
      </w:r>
      <w:r w:rsidR="00B44FDC">
        <w:t xml:space="preserve">in the analysis </w:t>
      </w:r>
      <w:r>
        <w:t xml:space="preserve">are listed in </w:t>
      </w:r>
      <w:r w:rsidRPr="00B44FDC">
        <w:t>Appendix A.</w:t>
      </w:r>
      <w:r w:rsidR="00B44FDC">
        <w:t xml:space="preserve"> </w:t>
      </w:r>
      <w:r w:rsidR="004774E9">
        <w:t>Item codes related to the CHF and</w:t>
      </w:r>
      <w:r w:rsidR="008E40F9">
        <w:t>/or</w:t>
      </w:r>
      <w:r w:rsidR="004774E9">
        <w:t xml:space="preserve"> CKD listings for dapagliflozin and empagliflozin were excluded from analysis.</w:t>
      </w:r>
      <w:r w:rsidR="004774E9" w:rsidRPr="00AF6ACC">
        <w:rPr>
          <w:rFonts w:eastAsia="Calibri"/>
        </w:rPr>
        <w:t xml:space="preserve"> </w:t>
      </w:r>
    </w:p>
    <w:p w14:paraId="06893383" w14:textId="2CD32A63" w:rsidR="00A24481" w:rsidRDefault="00A24481" w:rsidP="00C7336E">
      <w:pPr>
        <w:spacing w:line="240" w:lineRule="auto"/>
      </w:pPr>
      <w:r w:rsidRPr="00AF6ACC">
        <w:rPr>
          <w:rFonts w:eastAsia="Calibri"/>
        </w:rPr>
        <w:t xml:space="preserve">Data </w:t>
      </w:r>
      <w:r>
        <w:rPr>
          <w:rFonts w:eastAsia="Calibri"/>
        </w:rPr>
        <w:t xml:space="preserve">analysis </w:t>
      </w:r>
      <w:proofErr w:type="gramStart"/>
      <w:r w:rsidRPr="00AF6ACC">
        <w:rPr>
          <w:rFonts w:eastAsia="Calibri"/>
        </w:rPr>
        <w:t>was undertaken</w:t>
      </w:r>
      <w:proofErr w:type="gramEnd"/>
      <w:r w:rsidRPr="00AF6ACC">
        <w:rPr>
          <w:rFonts w:eastAsia="Calibri"/>
        </w:rPr>
        <w:t xml:space="preserve"> using SAS.</w:t>
      </w:r>
    </w:p>
    <w:p w14:paraId="6F33E92B" w14:textId="270DDA43" w:rsidR="00037AA8" w:rsidRPr="008C684C" w:rsidRDefault="008C684C" w:rsidP="00E5032E">
      <w:pPr>
        <w:pStyle w:val="Heading3"/>
      </w:pPr>
      <w:r w:rsidRPr="008C684C">
        <w:t>P</w:t>
      </w:r>
      <w:r w:rsidR="00037AA8" w:rsidRPr="008C684C">
        <w:t>r</w:t>
      </w:r>
      <w:r w:rsidR="0042649E" w:rsidRPr="008C684C">
        <w:t>ior use of</w:t>
      </w:r>
      <w:r w:rsidR="00037AA8" w:rsidRPr="008C684C">
        <w:t xml:space="preserve"> metformin</w:t>
      </w:r>
      <w:r w:rsidR="00EF0261" w:rsidRPr="008C684C">
        <w:t>,</w:t>
      </w:r>
      <w:r w:rsidR="00037AA8" w:rsidRPr="008C684C">
        <w:t xml:space="preserve"> </w:t>
      </w:r>
      <w:r>
        <w:t xml:space="preserve">SU </w:t>
      </w:r>
      <w:r w:rsidR="00EF0261" w:rsidRPr="008C684C">
        <w:t>and</w:t>
      </w:r>
      <w:r>
        <w:t>/or</w:t>
      </w:r>
      <w:r w:rsidR="00EF0261" w:rsidRPr="008C684C">
        <w:t xml:space="preserve"> insulin</w:t>
      </w:r>
      <w:r>
        <w:t xml:space="preserve"> in patients initiating a GLP-1 RA</w:t>
      </w:r>
    </w:p>
    <w:p w14:paraId="42312886" w14:textId="7E2CF1B9" w:rsidR="00037AA8" w:rsidRDefault="00037AA8" w:rsidP="00C7336E">
      <w:pPr>
        <w:spacing w:line="240" w:lineRule="auto"/>
      </w:pPr>
      <w:r>
        <w:t xml:space="preserve">A two-year lookback (2015 and 2016) </w:t>
      </w:r>
      <w:proofErr w:type="gramStart"/>
      <w:r>
        <w:t>was used</w:t>
      </w:r>
      <w:proofErr w:type="gramEnd"/>
      <w:r>
        <w:t xml:space="preserve"> to identify patients </w:t>
      </w:r>
      <w:r w:rsidR="00EF0261">
        <w:t>initiating a GLP</w:t>
      </w:r>
      <w:r w:rsidR="00EF0261">
        <w:noBreakHyphen/>
        <w:t xml:space="preserve">1 RA </w:t>
      </w:r>
      <w:r>
        <w:t xml:space="preserve">from </w:t>
      </w:r>
      <w:r w:rsidR="00EF0261">
        <w:t xml:space="preserve">1 January </w:t>
      </w:r>
      <w:r>
        <w:t>2017 onwards.</w:t>
      </w:r>
      <w:r w:rsidR="008C684C">
        <w:t xml:space="preserve"> </w:t>
      </w:r>
      <w:r w:rsidR="00EF0261">
        <w:t xml:space="preserve">Patients initiating a GLP-1 RA </w:t>
      </w:r>
      <w:proofErr w:type="gramStart"/>
      <w:r w:rsidR="00EF0261">
        <w:t>were then examined</w:t>
      </w:r>
      <w:proofErr w:type="gramEnd"/>
      <w:r w:rsidR="00EF0261">
        <w:t xml:space="preserve"> to determine if they had been supplied </w:t>
      </w:r>
      <w:r>
        <w:t>metformin</w:t>
      </w:r>
      <w:r w:rsidR="00EF0261">
        <w:t xml:space="preserve"> (alone or in a</w:t>
      </w:r>
      <w:r w:rsidR="00C7269D">
        <w:t>n</w:t>
      </w:r>
      <w:r w:rsidR="00EF0261">
        <w:t xml:space="preserve"> FDC)</w:t>
      </w:r>
      <w:r>
        <w:t xml:space="preserve">, </w:t>
      </w:r>
      <w:r w:rsidR="00EF0261">
        <w:t>SU</w:t>
      </w:r>
      <w:r>
        <w:t xml:space="preserve">, </w:t>
      </w:r>
      <w:r w:rsidR="008C684C">
        <w:t>and/</w:t>
      </w:r>
      <w:r w:rsidR="00EF0261">
        <w:t xml:space="preserve">or </w:t>
      </w:r>
      <w:r>
        <w:t>insulin</w:t>
      </w:r>
      <w:r w:rsidR="00505440">
        <w:t xml:space="preserve"> prior to </w:t>
      </w:r>
      <w:r w:rsidR="0042649E">
        <w:t xml:space="preserve">supply of </w:t>
      </w:r>
      <w:r w:rsidR="00505440">
        <w:t>the GLP-1 RA. Prior use included same</w:t>
      </w:r>
      <w:r w:rsidR="0042649E">
        <w:t xml:space="preserve"> </w:t>
      </w:r>
      <w:r w:rsidR="00505440">
        <w:t>day supply</w:t>
      </w:r>
      <w:r>
        <w:t>.</w:t>
      </w:r>
    </w:p>
    <w:p w14:paraId="24D32439" w14:textId="5889D698" w:rsidR="00037AA8" w:rsidRDefault="008C684C" w:rsidP="00E5032E">
      <w:pPr>
        <w:pStyle w:val="Heading3"/>
      </w:pPr>
      <w:r>
        <w:t>C</w:t>
      </w:r>
      <w:r w:rsidR="00037AA8">
        <w:t>ombination use</w:t>
      </w:r>
      <w:r w:rsidR="00505440">
        <w:t xml:space="preserve"> of GLP-1 RAs with GLP-1 RAs, DPP4 inhibitors or SGLT2 inhibitors</w:t>
      </w:r>
    </w:p>
    <w:p w14:paraId="0B22F44C" w14:textId="4D8AC6B4" w:rsidR="00791E57" w:rsidRDefault="008C684C" w:rsidP="00C7336E">
      <w:pPr>
        <w:spacing w:line="240" w:lineRule="auto"/>
      </w:pPr>
      <w:r>
        <w:t>This analysis c</w:t>
      </w:r>
      <w:r w:rsidR="0042649E">
        <w:t>onsidered patients supplied a GLP-1 RA between January 2021 and December</w:t>
      </w:r>
      <w:r>
        <w:t> </w:t>
      </w:r>
      <w:r w:rsidR="0042649E">
        <w:t>2021, inclusive.</w:t>
      </w:r>
      <w:r w:rsidR="00791E57">
        <w:t xml:space="preserve"> Due to supply issues associated with </w:t>
      </w:r>
      <w:proofErr w:type="gramStart"/>
      <w:r w:rsidR="00791E57">
        <w:t>some</w:t>
      </w:r>
      <w:proofErr w:type="gramEnd"/>
      <w:r w:rsidR="00791E57">
        <w:t xml:space="preserve"> GLP-1 RAs in 2022,</w:t>
      </w:r>
      <w:r w:rsidR="00791E57">
        <w:rPr>
          <w:rStyle w:val="FootnoteReference"/>
        </w:rPr>
        <w:footnoteReference w:id="14"/>
      </w:r>
      <w:r w:rsidR="00791E57">
        <w:t xml:space="preserve"> data from 2021 were used instead.</w:t>
      </w:r>
      <w:r w:rsidR="007D4AF4">
        <w:t xml:space="preserve"> SGLT2 inhibitors (dapagliflozin and empagliflozin) </w:t>
      </w:r>
      <w:proofErr w:type="gramStart"/>
      <w:r w:rsidR="007D4AF4">
        <w:t>were not listed</w:t>
      </w:r>
      <w:proofErr w:type="gramEnd"/>
      <w:r w:rsidR="007D4AF4">
        <w:t xml:space="preserve"> for the treatment of CHF and/or CKD until 2022. </w:t>
      </w:r>
    </w:p>
    <w:p w14:paraId="20B5A176" w14:textId="47B227F7" w:rsidR="0042649E" w:rsidRDefault="00037AA8" w:rsidP="00C7336E">
      <w:pPr>
        <w:spacing w:line="240" w:lineRule="auto"/>
      </w:pPr>
      <w:r>
        <w:t xml:space="preserve">Combination treatment </w:t>
      </w:r>
      <w:proofErr w:type="gramStart"/>
      <w:r>
        <w:t>was defined</w:t>
      </w:r>
      <w:proofErr w:type="gramEnd"/>
      <w:r>
        <w:t xml:space="preserve"> as receiving a </w:t>
      </w:r>
      <w:r w:rsidR="00505440">
        <w:t>supply of one drug</w:t>
      </w:r>
      <w:r w:rsidR="0042649E">
        <w:t xml:space="preserve">, </w:t>
      </w:r>
      <w:r w:rsidR="00505440">
        <w:t>drug A</w:t>
      </w:r>
      <w:r w:rsidR="0042649E">
        <w:t xml:space="preserve"> (</w:t>
      </w:r>
      <w:r w:rsidR="00B403D7">
        <w:t>e.g.,</w:t>
      </w:r>
      <w:r w:rsidR="00505440">
        <w:t xml:space="preserve"> </w:t>
      </w:r>
      <w:r>
        <w:t>GLP</w:t>
      </w:r>
      <w:r w:rsidR="003D1D8A">
        <w:noBreakHyphen/>
      </w:r>
      <w:r>
        <w:t>1</w:t>
      </w:r>
      <w:r w:rsidR="003D1D8A">
        <w:t> </w:t>
      </w:r>
      <w:r w:rsidR="00505440">
        <w:t>RA)</w:t>
      </w:r>
      <w:r w:rsidR="0042649E">
        <w:t>,</w:t>
      </w:r>
      <w:r w:rsidR="00505440">
        <w:t xml:space="preserve"> </w:t>
      </w:r>
      <w:r>
        <w:t xml:space="preserve">with </w:t>
      </w:r>
      <w:r w:rsidR="0042649E">
        <w:t xml:space="preserve">supply of </w:t>
      </w:r>
      <w:r>
        <w:t xml:space="preserve">another </w:t>
      </w:r>
      <w:r w:rsidR="0042649E">
        <w:t>drug</w:t>
      </w:r>
      <w:r w:rsidR="0042649E" w:rsidRPr="0042649E">
        <w:t xml:space="preserve"> </w:t>
      </w:r>
      <w:r w:rsidR="0042649E">
        <w:t>within 30 days, drug B (</w:t>
      </w:r>
      <w:r w:rsidR="00B403D7">
        <w:t>e.g.,</w:t>
      </w:r>
      <w:r w:rsidR="0042649E">
        <w:t xml:space="preserve"> an alternative </w:t>
      </w:r>
      <w:r>
        <w:t>GLP</w:t>
      </w:r>
      <w:r w:rsidR="0042649E">
        <w:noBreakHyphen/>
      </w:r>
      <w:r>
        <w:t>1</w:t>
      </w:r>
      <w:r w:rsidR="0042649E">
        <w:t> </w:t>
      </w:r>
      <w:r w:rsidR="00505440">
        <w:t xml:space="preserve">RA, </w:t>
      </w:r>
      <w:r>
        <w:t xml:space="preserve">DPP4 </w:t>
      </w:r>
      <w:r w:rsidR="00505440">
        <w:t xml:space="preserve">inhibitor </w:t>
      </w:r>
      <w:r>
        <w:t>or SGLT2</w:t>
      </w:r>
      <w:r w:rsidR="00505440">
        <w:t xml:space="preserve"> inhibitor)</w:t>
      </w:r>
      <w:r>
        <w:t xml:space="preserve">, and then a </w:t>
      </w:r>
      <w:r w:rsidR="00505440">
        <w:t xml:space="preserve">supply of </w:t>
      </w:r>
      <w:r w:rsidR="0042649E">
        <w:t xml:space="preserve">drug A </w:t>
      </w:r>
      <w:r w:rsidR="008C684C">
        <w:t xml:space="preserve">again </w:t>
      </w:r>
      <w:r w:rsidR="0042649E">
        <w:t xml:space="preserve">within </w:t>
      </w:r>
      <w:r w:rsidR="008C684C">
        <w:t>a subsequent</w:t>
      </w:r>
      <w:r w:rsidR="0042649E">
        <w:t xml:space="preserve"> 30 days (</w:t>
      </w:r>
      <w:r w:rsidR="00B403D7">
        <w:t>e.g.,</w:t>
      </w:r>
      <w:r w:rsidR="0042649E">
        <w:t xml:space="preserve"> a GLP-1 RA) </w:t>
      </w:r>
      <w:r w:rsidR="00505440">
        <w:t>(</w:t>
      </w:r>
      <w:r w:rsidR="00B403D7">
        <w:t>i.e.,</w:t>
      </w:r>
      <w:r w:rsidR="00505440">
        <w:t xml:space="preserve"> A</w:t>
      </w:r>
      <w:r w:rsidR="00505440">
        <w:rPr>
          <w:rFonts w:cstheme="minorHAnsi"/>
          <w:lang w:val="en-US"/>
        </w:rPr>
        <w:sym w:font="Wingdings" w:char="F0E0"/>
      </w:r>
      <w:r w:rsidR="00505440">
        <w:t>B</w:t>
      </w:r>
      <w:r w:rsidR="00505440">
        <w:rPr>
          <w:rFonts w:cstheme="minorHAnsi"/>
          <w:lang w:val="en-US"/>
        </w:rPr>
        <w:sym w:font="Wingdings" w:char="F0E0"/>
      </w:r>
      <w:r w:rsidR="00505440" w:rsidRPr="008C684C">
        <w:rPr>
          <w:rFonts w:cstheme="minorHAnsi"/>
          <w:lang w:val="en-US"/>
        </w:rPr>
        <w:t>A)</w:t>
      </w:r>
      <w:r>
        <w:t xml:space="preserve">. </w:t>
      </w:r>
      <w:r w:rsidR="0042649E">
        <w:t xml:space="preserve">Same day supply of a GLP-1 RA with another GLP-1 RA, a DPP4 inhibitor or an SGLT2 inhibitor </w:t>
      </w:r>
      <w:proofErr w:type="gramStart"/>
      <w:r w:rsidR="0042649E">
        <w:t>was also considered</w:t>
      </w:r>
      <w:proofErr w:type="gramEnd"/>
      <w:r w:rsidR="0042649E">
        <w:t xml:space="preserve"> combination use. </w:t>
      </w:r>
    </w:p>
    <w:p w14:paraId="7E01BC48" w14:textId="46377CFB" w:rsidR="00037AA8" w:rsidRDefault="00037AA8" w:rsidP="00C7336E">
      <w:pPr>
        <w:spacing w:line="240" w:lineRule="auto"/>
      </w:pPr>
      <w:r>
        <w:lastRenderedPageBreak/>
        <w:t xml:space="preserve">Supplies of insulin, metformin, </w:t>
      </w:r>
      <w:r w:rsidR="00505440">
        <w:t>SU</w:t>
      </w:r>
      <w:r>
        <w:t>s, thiazolidinediones</w:t>
      </w:r>
      <w:r w:rsidR="003D1D8A">
        <w:t xml:space="preserve"> (TZDs)</w:t>
      </w:r>
      <w:r>
        <w:t xml:space="preserve"> and </w:t>
      </w:r>
      <w:r w:rsidR="00505440">
        <w:t xml:space="preserve">acarbose </w:t>
      </w:r>
      <w:proofErr w:type="gramStart"/>
      <w:r>
        <w:t xml:space="preserve">were </w:t>
      </w:r>
      <w:r w:rsidR="0042649E">
        <w:t>not considered</w:t>
      </w:r>
      <w:proofErr w:type="gramEnd"/>
      <w:r w:rsidR="008C684C">
        <w:t xml:space="preserve"> in this analysis</w:t>
      </w:r>
      <w:r>
        <w:t>.</w:t>
      </w:r>
      <w:r w:rsidR="0042649E">
        <w:t xml:space="preserve"> FDCs of DPP4 inhibitors and SGLT2 inhibitors </w:t>
      </w:r>
      <w:proofErr w:type="gramStart"/>
      <w:r w:rsidR="0042649E">
        <w:t>were included</w:t>
      </w:r>
      <w:proofErr w:type="gramEnd"/>
      <w:r w:rsidR="0042649E">
        <w:t>.</w:t>
      </w:r>
      <w:r w:rsidR="008C684C">
        <w:t xml:space="preserve"> Gaps in supply of more than 30 days </w:t>
      </w:r>
      <w:proofErr w:type="gramStart"/>
      <w:r w:rsidR="008C684C">
        <w:t>were considered</w:t>
      </w:r>
      <w:proofErr w:type="gramEnd"/>
      <w:r w:rsidR="008C684C">
        <w:t xml:space="preserve"> to represent a switch in use.</w:t>
      </w:r>
    </w:p>
    <w:p w14:paraId="5D9576F4" w14:textId="3525B134" w:rsidR="008C684C" w:rsidRDefault="008C684C" w:rsidP="00E5032E">
      <w:pPr>
        <w:pStyle w:val="Heading3"/>
      </w:pPr>
      <w:r>
        <w:t>Use of GLP-1 RAs, DPP4 inhibitors and SGLT2 inhibitors without metformin, SU or insulin</w:t>
      </w:r>
    </w:p>
    <w:p w14:paraId="307EBC09" w14:textId="1950E8C2" w:rsidR="00A24481" w:rsidRDefault="008C684C" w:rsidP="00C7336E">
      <w:pPr>
        <w:spacing w:line="240" w:lineRule="auto"/>
      </w:pPr>
      <w:r>
        <w:t>This an</w:t>
      </w:r>
      <w:r w:rsidR="00AF774D">
        <w:t xml:space="preserve">alysis aimed to identify the proportion of patients supplied a GLP-1 RA, DPP4 inhibitor or SGLT2 inhibitor that were not also on concomitant therapy with metformin, a SU or insulin. The analysis considered patients supplied a GLP-1 RA, SGLT2 inhibitor or DPP4 inhibitor between January 2021 and December 2021, inclusive. Data from 2020 </w:t>
      </w:r>
      <w:proofErr w:type="gramStart"/>
      <w:r w:rsidR="00AF774D">
        <w:t>was used</w:t>
      </w:r>
      <w:proofErr w:type="gramEnd"/>
      <w:r w:rsidR="00AF774D">
        <w:t xml:space="preserve"> to check if the patient was supplied metformin, SU or insulin prior to 2021. </w:t>
      </w:r>
      <w:r w:rsidR="00A24481">
        <w:t xml:space="preserve">Supplies of </w:t>
      </w:r>
      <w:r w:rsidR="00694D14">
        <w:t xml:space="preserve">TZDs </w:t>
      </w:r>
      <w:r w:rsidR="00A24481">
        <w:t xml:space="preserve">and acarbose </w:t>
      </w:r>
      <w:proofErr w:type="gramStart"/>
      <w:r w:rsidR="00A24481">
        <w:t>were not considered</w:t>
      </w:r>
      <w:proofErr w:type="gramEnd"/>
      <w:r w:rsidR="00A24481">
        <w:t xml:space="preserve"> in this analysis. </w:t>
      </w:r>
    </w:p>
    <w:p w14:paraId="431E8F86" w14:textId="62C00069" w:rsidR="00C43B1D" w:rsidRDefault="00AF774D" w:rsidP="00C7336E">
      <w:pPr>
        <w:spacing w:line="240" w:lineRule="auto"/>
      </w:pPr>
      <w:r>
        <w:t xml:space="preserve">The number of supplies of GLP-1 RA, SGLT2 inhibitor or DPP4 inhibitor in a row, without supplies of metformin, SU or insulin, </w:t>
      </w:r>
      <w:proofErr w:type="gramStart"/>
      <w:r>
        <w:t>were counted</w:t>
      </w:r>
      <w:proofErr w:type="gramEnd"/>
      <w:r>
        <w:t xml:space="preserve"> for each patient. </w:t>
      </w:r>
      <w:r w:rsidR="00C43B1D">
        <w:t>Patients with three or more supplies of a GLP-1 RA, SGLT2 inhibitor or DPP4 inhibitor in a row following initiation, or a supply of metformin or SU, and patients with five or more supplies of a GLP</w:t>
      </w:r>
      <w:r w:rsidR="00C43B1D">
        <w:noBreakHyphen/>
        <w:t xml:space="preserve">1 RA, SGLT2 inhibitor or DPP4 inhibitor in a row following a supply of insulin were considered to be using the </w:t>
      </w:r>
      <w:r w:rsidR="00C43B1D" w:rsidRPr="008A4397">
        <w:t>GLP</w:t>
      </w:r>
      <w:r w:rsidR="00694D14">
        <w:t>-</w:t>
      </w:r>
      <w:r w:rsidR="00C43B1D" w:rsidRPr="008A4397">
        <w:t>1 RA, SGLT2 inhibitor or DPP4 inhibitor</w:t>
      </w:r>
      <w:r w:rsidR="00C43B1D">
        <w:t xml:space="preserve"> without concomitant therapy.</w:t>
      </w:r>
    </w:p>
    <w:p w14:paraId="1ECA8B96" w14:textId="2EAA7B36" w:rsidR="00AA61CA" w:rsidRPr="007D5EB9" w:rsidRDefault="00AA61CA" w:rsidP="00C7336E">
      <w:pPr>
        <w:pStyle w:val="Heading3"/>
      </w:pPr>
      <w:r w:rsidRPr="007D5EB9">
        <w:t>Difference</w:t>
      </w:r>
      <w:r>
        <w:t>s</w:t>
      </w:r>
      <w:r w:rsidRPr="007D5EB9">
        <w:t xml:space="preserve"> from previous reports</w:t>
      </w:r>
    </w:p>
    <w:p w14:paraId="7B223F5A" w14:textId="6532E70F" w:rsidR="000C13E1" w:rsidRDefault="00AA61CA" w:rsidP="00B403D7">
      <w:pPr>
        <w:spacing w:after="200" w:line="240" w:lineRule="auto"/>
      </w:pPr>
      <w:r>
        <w:t>This report covers use of medicines for people with</w:t>
      </w:r>
      <w:r w:rsidR="00EB74AE">
        <w:t xml:space="preserve"> T2DM</w:t>
      </w:r>
      <w:r>
        <w:t xml:space="preserve">. The </w:t>
      </w:r>
      <w:r w:rsidR="000C13E1">
        <w:t xml:space="preserve">previous </w:t>
      </w:r>
      <w:r>
        <w:t>February 201</w:t>
      </w:r>
      <w:r w:rsidR="000C13E1">
        <w:t xml:space="preserve">7 </w:t>
      </w:r>
      <w:r>
        <w:t xml:space="preserve">DUSC analysis </w:t>
      </w:r>
      <w:r w:rsidR="000C13E1">
        <w:t xml:space="preserve">covered the use of medicines for people with </w:t>
      </w:r>
      <w:r w:rsidR="00EB74AE">
        <w:t>t</w:t>
      </w:r>
      <w:r w:rsidR="000C13E1">
        <w:t xml:space="preserve">ype 1 and </w:t>
      </w:r>
      <w:r w:rsidR="00EB74AE">
        <w:t>t</w:t>
      </w:r>
      <w:r w:rsidR="000C13E1">
        <w:t>ype</w:t>
      </w:r>
      <w:r>
        <w:t xml:space="preserve"> 2 diabetes</w:t>
      </w:r>
      <w:r w:rsidR="00EB74AE">
        <w:t xml:space="preserve"> mellitus</w:t>
      </w:r>
      <w:r>
        <w:t xml:space="preserve">. </w:t>
      </w:r>
    </w:p>
    <w:p w14:paraId="11AF46D5" w14:textId="49188851" w:rsidR="00303AC4" w:rsidRDefault="00303AC4" w:rsidP="00B403D7">
      <w:pPr>
        <w:spacing w:after="200" w:line="240" w:lineRule="auto"/>
      </w:pPr>
      <w:r>
        <w:t xml:space="preserve">The Standard Coverage Days (SCDs), or median time to re-supply, by drug group </w:t>
      </w:r>
      <w:proofErr w:type="gramStart"/>
      <w:r>
        <w:t>were considered</w:t>
      </w:r>
      <w:proofErr w:type="gramEnd"/>
      <w:r>
        <w:t xml:space="preserve"> unlikely to have changed appreciably since the 2017 DUSC diabetes report. Table A.2 in Appendix A shows the SCDs estimated during the 2017 and 2012/13 DUSC diabetes analyses. The SCD</w:t>
      </w:r>
      <w:r w:rsidR="00694D14">
        <w:t>s</w:t>
      </w:r>
      <w:r>
        <w:t xml:space="preserve"> for most medicines w</w:t>
      </w:r>
      <w:r w:rsidR="00694D14">
        <w:t>ere</w:t>
      </w:r>
      <w:r>
        <w:t xml:space="preserve"> around 30 days, except for insulin, which was around 90 days.</w:t>
      </w:r>
    </w:p>
    <w:p w14:paraId="3131CD1C" w14:textId="055DFBCF" w:rsidR="00AA61CA" w:rsidRPr="00303AC4" w:rsidRDefault="00303AC4" w:rsidP="00B403D7">
      <w:pPr>
        <w:spacing w:after="200" w:line="240" w:lineRule="auto"/>
      </w:pPr>
      <w:r>
        <w:t>The 2017 DUSC diabetes report used a more complex methodology to determine patient drug regimens</w:t>
      </w:r>
      <w:r w:rsidR="005E45A7">
        <w:t>. T</w:t>
      </w:r>
      <w:r>
        <w:t xml:space="preserve">his report uses simpler methods focussed on estimating the proportion of use of GLP-1 RAs, DPP4 inhibitors and SGLT2 inhibitors outside the PBS restrictions. </w:t>
      </w:r>
    </w:p>
    <w:p w14:paraId="5BD78CC3" w14:textId="4EDAC733" w:rsidR="006C46AB" w:rsidRPr="00E501E0" w:rsidRDefault="00E501E0" w:rsidP="00C7336E">
      <w:pPr>
        <w:pStyle w:val="Heading1"/>
      </w:pPr>
      <w:r w:rsidRPr="00E501E0">
        <w:t>Results</w:t>
      </w:r>
    </w:p>
    <w:p w14:paraId="677E0A7B" w14:textId="222C0E89" w:rsidR="00E501E0" w:rsidRDefault="00E501E0" w:rsidP="00C7336E">
      <w:pPr>
        <w:spacing w:line="240" w:lineRule="auto"/>
      </w:pPr>
      <w:r>
        <w:t xml:space="preserve">The number of people receiving PBS medicines for the treatment of </w:t>
      </w:r>
      <w:r w:rsidR="00E91FE4">
        <w:t xml:space="preserve">T2DM </w:t>
      </w:r>
      <w:r>
        <w:t xml:space="preserve">has increased gradually reaching approximately </w:t>
      </w:r>
      <w:r w:rsidR="00176474">
        <w:t>1</w:t>
      </w:r>
      <w:r w:rsidR="008D480D">
        <w:t>.22 million</w:t>
      </w:r>
      <w:r w:rsidR="00176474">
        <w:t xml:space="preserve"> people </w:t>
      </w:r>
      <w:r w:rsidR="00725375">
        <w:t xml:space="preserve">in Q2 </w:t>
      </w:r>
      <w:r w:rsidR="00176474">
        <w:t>2022</w:t>
      </w:r>
      <w:r w:rsidR="00E91FE4">
        <w:t xml:space="preserve"> (Figure 1)</w:t>
      </w:r>
      <w:r w:rsidR="00176474">
        <w:t xml:space="preserve">. </w:t>
      </w:r>
      <w:r w:rsidR="00E91FE4">
        <w:t xml:space="preserve">As patients who </w:t>
      </w:r>
      <w:proofErr w:type="gramStart"/>
      <w:r w:rsidR="00E91FE4">
        <w:t>were supplied</w:t>
      </w:r>
      <w:proofErr w:type="gramEnd"/>
      <w:r w:rsidR="00E91FE4">
        <w:t xml:space="preserve"> only insulin during 2015 to mid-2022</w:t>
      </w:r>
      <w:r w:rsidR="008D480D">
        <w:t xml:space="preserve"> were excluded (in order to remove patients with likely type 1 or gestational diabetes from the analysis), a small number of T2DM patients managed on insulin monotherapy may have been excluded from this analysis. </w:t>
      </w:r>
    </w:p>
    <w:p w14:paraId="32E89FA8" w14:textId="2173D575" w:rsidR="006C46AB" w:rsidRDefault="001E6EA4" w:rsidP="00C7336E">
      <w:pPr>
        <w:spacing w:line="240" w:lineRule="auto"/>
        <w:rPr>
          <w:b/>
          <w:bCs/>
        </w:rPr>
      </w:pPr>
      <w:r>
        <w:rPr>
          <w:noProof/>
        </w:rPr>
        <w:lastRenderedPageBreak/>
        <w:drawing>
          <wp:inline distT="0" distB="0" distL="0" distR="0" wp14:anchorId="73D0BD92" wp14:editId="0F0C4BFA">
            <wp:extent cx="5613991" cy="3324225"/>
            <wp:effectExtent l="0" t="0" r="6350" b="9525"/>
            <wp:docPr id="1" name="Chart 1" descr="Graph showing the number of patients estimated to be on T2DM therapy based on quarterly PBS prescriptions supplied data between 2017 and mid-2022. The graph shows an upward trend from around 900,000 in quarter 1, 2017 to around 1.2 million in quarter 2, 2022.">
              <a:extLst xmlns:a="http://schemas.openxmlformats.org/drawingml/2006/main">
                <a:ext uri="{FF2B5EF4-FFF2-40B4-BE49-F238E27FC236}">
                  <a16:creationId xmlns:a16="http://schemas.microsoft.com/office/drawing/2014/main" id="{85F11FCC-05EE-4A73-BC90-3151C0A729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410055" w14:textId="3A956D64" w:rsidR="006C46AB" w:rsidRDefault="00176474" w:rsidP="00B403D7">
      <w:pPr>
        <w:spacing w:before="60" w:after="60" w:line="240" w:lineRule="auto"/>
        <w:rPr>
          <w:b/>
          <w:bCs/>
        </w:rPr>
      </w:pPr>
      <w:r w:rsidRPr="001D4A77">
        <w:rPr>
          <w:b/>
        </w:rPr>
        <w:t xml:space="preserve">Figure </w:t>
      </w:r>
      <w:r>
        <w:rPr>
          <w:b/>
        </w:rPr>
        <w:t>1:</w:t>
      </w:r>
      <w:r w:rsidRPr="001D4A77">
        <w:rPr>
          <w:b/>
        </w:rPr>
        <w:t xml:space="preserve"> </w:t>
      </w:r>
      <w:r>
        <w:rPr>
          <w:b/>
        </w:rPr>
        <w:t xml:space="preserve">Number of patients estimated to be on </w:t>
      </w:r>
      <w:r w:rsidRPr="009D5583">
        <w:rPr>
          <w:b/>
        </w:rPr>
        <w:t xml:space="preserve">a </w:t>
      </w:r>
      <w:r w:rsidR="00E91FE4">
        <w:rPr>
          <w:b/>
        </w:rPr>
        <w:t xml:space="preserve">T2DM </w:t>
      </w:r>
      <w:r>
        <w:rPr>
          <w:b/>
        </w:rPr>
        <w:t xml:space="preserve">medicine by quarter </w:t>
      </w:r>
      <w:r w:rsidR="00E91FE4">
        <w:rPr>
          <w:b/>
        </w:rPr>
        <w:t>(</w:t>
      </w:r>
      <w:r w:rsidR="00694D14">
        <w:rPr>
          <w:b/>
        </w:rPr>
        <w:t xml:space="preserve">Q1 </w:t>
      </w:r>
      <w:r w:rsidR="00E91FE4">
        <w:rPr>
          <w:b/>
        </w:rPr>
        <w:t xml:space="preserve">2017 to </w:t>
      </w:r>
      <w:r w:rsidR="00694D14">
        <w:rPr>
          <w:b/>
        </w:rPr>
        <w:t xml:space="preserve">Q2 </w:t>
      </w:r>
      <w:r w:rsidR="00E91FE4">
        <w:rPr>
          <w:b/>
        </w:rPr>
        <w:t>2022).</w:t>
      </w:r>
    </w:p>
    <w:p w14:paraId="75796662" w14:textId="3CAF6750" w:rsidR="008D480D" w:rsidRPr="00694D14" w:rsidRDefault="008D480D" w:rsidP="00C7336E">
      <w:pPr>
        <w:spacing w:line="240" w:lineRule="auto"/>
        <w:rPr>
          <w:rFonts w:asciiTheme="minorHAnsi" w:hAnsiTheme="minorHAnsi"/>
          <w:b/>
          <w:bCs/>
          <w:color w:val="000000" w:themeColor="text1"/>
        </w:rPr>
      </w:pPr>
      <w:r>
        <w:t>The data in Figure 1 represent the point prevalence by quarter of patients treated with T2DM medicines through the PBS</w:t>
      </w:r>
      <w:r w:rsidRPr="00694D14">
        <w:t>.</w:t>
      </w:r>
      <w:r w:rsidRPr="00694D14">
        <w:rPr>
          <w:b/>
          <w:bCs/>
        </w:rPr>
        <w:t xml:space="preserve"> </w:t>
      </w:r>
      <w:r w:rsidR="00335B39" w:rsidRPr="00694D14">
        <w:t>The estimated prevalence of T2DM in Australia in 2017</w:t>
      </w:r>
      <w:r w:rsidR="001C1C7E" w:rsidRPr="00694D14">
        <w:noBreakHyphen/>
      </w:r>
      <w:r w:rsidR="00335B39" w:rsidRPr="00694D14">
        <w:t>2018 based on</w:t>
      </w:r>
      <w:r w:rsidR="00335B39" w:rsidRPr="00694D14">
        <w:rPr>
          <w:b/>
          <w:bCs/>
        </w:rPr>
        <w:t xml:space="preserve"> </w:t>
      </w:r>
      <w:r w:rsidR="00335B39" w:rsidRPr="00694D14">
        <w:rPr>
          <w:rFonts w:asciiTheme="minorHAnsi" w:hAnsiTheme="minorHAnsi" w:cs="Open Sans"/>
          <w:color w:val="000000" w:themeColor="text1"/>
        </w:rPr>
        <w:t>self-reported data from the Australian Bureau of Statistics (ABS) 2017</w:t>
      </w:r>
      <w:r w:rsidR="00FE0D7F">
        <w:rPr>
          <w:rFonts w:asciiTheme="minorHAnsi" w:hAnsiTheme="minorHAnsi" w:cs="Open Sans"/>
          <w:color w:val="000000" w:themeColor="text1"/>
        </w:rPr>
        <w:noBreakHyphen/>
      </w:r>
      <w:r w:rsidR="00335B39" w:rsidRPr="00694D14">
        <w:rPr>
          <w:rFonts w:asciiTheme="minorHAnsi" w:hAnsiTheme="minorHAnsi" w:cs="Open Sans"/>
          <w:color w:val="000000" w:themeColor="text1"/>
        </w:rPr>
        <w:t xml:space="preserve">18 National Health Survey was </w:t>
      </w:r>
      <w:r w:rsidR="0031472B" w:rsidRPr="00694D14">
        <w:rPr>
          <w:rFonts w:asciiTheme="minorHAnsi" w:hAnsiTheme="minorHAnsi" w:cs="Open Sans"/>
          <w:color w:val="000000" w:themeColor="text1"/>
        </w:rPr>
        <w:t xml:space="preserve">around </w:t>
      </w:r>
      <w:proofErr w:type="gramStart"/>
      <w:r w:rsidR="0031472B" w:rsidRPr="00694D14">
        <w:rPr>
          <w:rFonts w:asciiTheme="minorHAnsi" w:hAnsiTheme="minorHAnsi" w:cs="Open Sans"/>
          <w:color w:val="000000" w:themeColor="text1"/>
        </w:rPr>
        <w:t>1</w:t>
      </w:r>
      <w:proofErr w:type="gramEnd"/>
      <w:r w:rsidR="0031472B" w:rsidRPr="00694D14">
        <w:rPr>
          <w:rFonts w:asciiTheme="minorHAnsi" w:hAnsiTheme="minorHAnsi" w:cs="Open Sans"/>
          <w:color w:val="000000" w:themeColor="text1"/>
        </w:rPr>
        <w:t xml:space="preserve"> million or </w:t>
      </w:r>
      <w:r w:rsidRPr="00694D14">
        <w:rPr>
          <w:rFonts w:asciiTheme="minorHAnsi" w:hAnsiTheme="minorHAnsi" w:cs="Open Sans"/>
          <w:color w:val="000000" w:themeColor="text1"/>
        </w:rPr>
        <w:t>5.3% of those aged 18 and over</w:t>
      </w:r>
      <w:r w:rsidR="0031472B" w:rsidRPr="00694D14">
        <w:rPr>
          <w:rFonts w:asciiTheme="minorHAnsi" w:hAnsiTheme="minorHAnsi" w:cs="Open Sans"/>
          <w:color w:val="000000" w:themeColor="text1"/>
        </w:rPr>
        <w:t>,</w:t>
      </w:r>
      <w:r w:rsidR="00335B39" w:rsidRPr="00694D14">
        <w:rPr>
          <w:rStyle w:val="FootnoteReference"/>
          <w:rFonts w:asciiTheme="minorHAnsi" w:hAnsiTheme="minorHAnsi" w:cs="Open Sans"/>
          <w:color w:val="000000" w:themeColor="text1"/>
        </w:rPr>
        <w:footnoteReference w:id="15"/>
      </w:r>
      <w:r w:rsidR="00335B39" w:rsidRPr="00694D14">
        <w:rPr>
          <w:rFonts w:asciiTheme="minorHAnsi" w:hAnsiTheme="minorHAnsi" w:cs="Open Sans"/>
          <w:color w:val="000000" w:themeColor="text1"/>
        </w:rPr>
        <w:t xml:space="preserve"> </w:t>
      </w:r>
      <w:r w:rsidR="0031472B" w:rsidRPr="00694D14">
        <w:rPr>
          <w:rFonts w:asciiTheme="minorHAnsi" w:hAnsiTheme="minorHAnsi" w:cs="Open Sans"/>
          <w:color w:val="000000" w:themeColor="text1"/>
        </w:rPr>
        <w:t xml:space="preserve">which matches </w:t>
      </w:r>
      <w:r w:rsidR="00873B9D" w:rsidRPr="00694D14">
        <w:rPr>
          <w:rFonts w:asciiTheme="minorHAnsi" w:hAnsiTheme="minorHAnsi" w:cs="Open Sans"/>
          <w:color w:val="000000" w:themeColor="text1"/>
        </w:rPr>
        <w:t>closely</w:t>
      </w:r>
      <w:r w:rsidR="0031472B" w:rsidRPr="00694D14">
        <w:rPr>
          <w:rFonts w:asciiTheme="minorHAnsi" w:hAnsiTheme="minorHAnsi" w:cs="Open Sans"/>
          <w:color w:val="000000" w:themeColor="text1"/>
        </w:rPr>
        <w:t xml:space="preserve"> to the prevalence estimate based o</w:t>
      </w:r>
      <w:r w:rsidR="00694D14" w:rsidRPr="00694D14">
        <w:rPr>
          <w:rFonts w:asciiTheme="minorHAnsi" w:hAnsiTheme="minorHAnsi" w:cs="Open Sans"/>
          <w:color w:val="000000" w:themeColor="text1"/>
        </w:rPr>
        <w:t>n</w:t>
      </w:r>
      <w:r w:rsidR="0031472B" w:rsidRPr="00694D14">
        <w:rPr>
          <w:rFonts w:asciiTheme="minorHAnsi" w:hAnsiTheme="minorHAnsi" w:cs="Open Sans"/>
          <w:color w:val="000000" w:themeColor="text1"/>
        </w:rPr>
        <w:t xml:space="preserve"> patients treated with T2DM medicines </w:t>
      </w:r>
      <w:r w:rsidR="00873B9D" w:rsidRPr="00694D14">
        <w:rPr>
          <w:rFonts w:asciiTheme="minorHAnsi" w:hAnsiTheme="minorHAnsi" w:cs="Open Sans"/>
          <w:color w:val="000000" w:themeColor="text1"/>
        </w:rPr>
        <w:t xml:space="preserve">through the PBS </w:t>
      </w:r>
      <w:r w:rsidR="0031472B" w:rsidRPr="00694D14">
        <w:rPr>
          <w:rFonts w:asciiTheme="minorHAnsi" w:hAnsiTheme="minorHAnsi" w:cs="Open Sans"/>
          <w:color w:val="000000" w:themeColor="text1"/>
        </w:rPr>
        <w:t>during 2017-2018</w:t>
      </w:r>
      <w:r w:rsidR="00725375" w:rsidRPr="00694D14">
        <w:rPr>
          <w:rFonts w:asciiTheme="minorHAnsi" w:hAnsiTheme="minorHAnsi" w:cs="Open Sans"/>
          <w:color w:val="000000" w:themeColor="text1"/>
        </w:rPr>
        <w:t xml:space="preserve"> per </w:t>
      </w:r>
      <w:r w:rsidR="002C2B9D" w:rsidRPr="00694D14">
        <w:rPr>
          <w:rFonts w:asciiTheme="minorHAnsi" w:hAnsiTheme="minorHAnsi" w:cs="Open Sans"/>
          <w:color w:val="000000" w:themeColor="text1"/>
        </w:rPr>
        <w:t>q</w:t>
      </w:r>
      <w:r w:rsidR="00725375" w:rsidRPr="00694D14">
        <w:rPr>
          <w:rFonts w:asciiTheme="minorHAnsi" w:hAnsiTheme="minorHAnsi" w:cs="Open Sans"/>
          <w:color w:val="000000" w:themeColor="text1"/>
        </w:rPr>
        <w:t>uarter</w:t>
      </w:r>
      <w:r w:rsidR="0031472B" w:rsidRPr="00694D14">
        <w:rPr>
          <w:rFonts w:asciiTheme="minorHAnsi" w:hAnsiTheme="minorHAnsi" w:cs="Open Sans"/>
          <w:color w:val="000000" w:themeColor="text1"/>
        </w:rPr>
        <w:t xml:space="preserve"> of around 960,000.</w:t>
      </w:r>
      <w:r w:rsidR="00873B9D" w:rsidRPr="00694D14">
        <w:rPr>
          <w:rFonts w:asciiTheme="minorHAnsi" w:hAnsiTheme="minorHAnsi" w:cs="Open Sans"/>
          <w:color w:val="000000" w:themeColor="text1"/>
        </w:rPr>
        <w:t xml:space="preserve"> </w:t>
      </w:r>
    </w:p>
    <w:p w14:paraId="2593CC11" w14:textId="76E765B5" w:rsidR="003E3559" w:rsidRDefault="008D480D" w:rsidP="00C7336E">
      <w:pPr>
        <w:spacing w:line="240" w:lineRule="auto"/>
        <w:rPr>
          <w:b/>
          <w:bCs/>
        </w:rPr>
      </w:pPr>
      <w:r>
        <w:t>Alternative measures of prevalence can provide different results. For example</w:t>
      </w:r>
      <w:r w:rsidR="001C1C7E">
        <w:t>,</w:t>
      </w:r>
      <w:r w:rsidR="00335B39">
        <w:t xml:space="preserve"> </w:t>
      </w:r>
      <w:r>
        <w:t xml:space="preserve">a count of patients dispensed at least one PBS medicine in a calendar year will give a higher estimate because patients commencing or ceasing treatment (including due to patient death) partway through a year are counted in addition to patients treated for the </w:t>
      </w:r>
      <w:proofErr w:type="gramStart"/>
      <w:r>
        <w:t>whole year</w:t>
      </w:r>
      <w:proofErr w:type="gramEnd"/>
      <w:r>
        <w:t xml:space="preserve">. </w:t>
      </w:r>
      <w:r w:rsidR="00725375">
        <w:t>In 2021, the total number of patients supplied a medicine for the treatment of T2DM was around 1.4</w:t>
      </w:r>
      <w:r w:rsidR="000E595F">
        <w:t>3</w:t>
      </w:r>
      <w:r w:rsidR="00725375">
        <w:t xml:space="preserve"> million</w:t>
      </w:r>
      <w:r w:rsidR="00082451">
        <w:t xml:space="preserve"> (data not shown)</w:t>
      </w:r>
      <w:r w:rsidR="00C7269D">
        <w:t xml:space="preserve"> (excluding patients supplied only insulin)</w:t>
      </w:r>
      <w:r w:rsidR="00725375">
        <w:t>.</w:t>
      </w:r>
    </w:p>
    <w:p w14:paraId="461ED5AB" w14:textId="2FB8E993" w:rsidR="007D1BB3" w:rsidRDefault="003E3559" w:rsidP="00C7336E">
      <w:pPr>
        <w:spacing w:line="240" w:lineRule="auto"/>
      </w:pPr>
      <w:bookmarkStart w:id="1" w:name="_Hlk113352819"/>
      <w:r>
        <w:t xml:space="preserve">In </w:t>
      </w:r>
      <w:r w:rsidR="00970549">
        <w:t xml:space="preserve">Q2 </w:t>
      </w:r>
      <w:r>
        <w:t xml:space="preserve">2022, biguanides (metformin) were the </w:t>
      </w:r>
      <w:r w:rsidR="00B403D7">
        <w:t>most supplied</w:t>
      </w:r>
      <w:r>
        <w:t xml:space="preserve"> class of medicines for the treatment of T2DM, followed by (in order of </w:t>
      </w:r>
      <w:r w:rsidR="005D7859">
        <w:t>most supplied</w:t>
      </w:r>
      <w:r>
        <w:t xml:space="preserve">), DPP4 inhibitor + metformin FDCs, </w:t>
      </w:r>
      <w:r w:rsidR="007F234D">
        <w:t>GLP-1 RAs,</w:t>
      </w:r>
      <w:r w:rsidR="00B403D7">
        <w:t xml:space="preserve"> </w:t>
      </w:r>
      <w:r w:rsidR="004E361C">
        <w:t>SUs,</w:t>
      </w:r>
      <w:r w:rsidR="007F234D">
        <w:t xml:space="preserve"> </w:t>
      </w:r>
      <w:r w:rsidR="00FE0D7F">
        <w:t>and SGLT2 inhibitors</w:t>
      </w:r>
      <w:r w:rsidR="00970549">
        <w:t xml:space="preserve"> (Figure 2)</w:t>
      </w:r>
      <w:r>
        <w:t>.</w:t>
      </w:r>
      <w:r w:rsidR="007D1BB3">
        <w:t xml:space="preserve"> </w:t>
      </w:r>
    </w:p>
    <w:bookmarkEnd w:id="1"/>
    <w:p w14:paraId="2EC1A320" w14:textId="0A54490E" w:rsidR="008764D7" w:rsidRDefault="001E6EA4" w:rsidP="00C7336E">
      <w:pPr>
        <w:spacing w:line="240" w:lineRule="auto"/>
        <w:rPr>
          <w:b/>
          <w:bCs/>
        </w:rPr>
      </w:pPr>
      <w:r>
        <w:rPr>
          <w:noProof/>
        </w:rPr>
        <w:lastRenderedPageBreak/>
        <w:drawing>
          <wp:inline distT="0" distB="0" distL="0" distR="0" wp14:anchorId="5E8365A4" wp14:editId="1E59CB36">
            <wp:extent cx="5731510" cy="5648325"/>
            <wp:effectExtent l="0" t="0" r="2540" b="9525"/>
            <wp:docPr id="3" name="Chart 3" descr="Graph showing quarterly PBS prescriptions supplied for T2DM medicines by class between 2017 and mid-2022. Biguanides (metformin) are the most commonly supplied medicine class. ">
              <a:extLst xmlns:a="http://schemas.openxmlformats.org/drawingml/2006/main">
                <a:ext uri="{FF2B5EF4-FFF2-40B4-BE49-F238E27FC236}">
                  <a16:creationId xmlns:a16="http://schemas.microsoft.com/office/drawing/2014/main" id="{15F1B101-1C7F-4C7A-A98D-8FEF46E18A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7B20E3" w14:textId="48F08F2A" w:rsidR="008764D7" w:rsidRDefault="008764D7" w:rsidP="00C7336E">
      <w:pPr>
        <w:spacing w:before="60" w:after="60" w:line="240" w:lineRule="auto"/>
        <w:rPr>
          <w:b/>
          <w:bCs/>
        </w:rPr>
      </w:pPr>
      <w:r>
        <w:rPr>
          <w:b/>
          <w:bCs/>
        </w:rPr>
        <w:t xml:space="preserve">Figure 2: </w:t>
      </w:r>
      <w:r w:rsidR="005F7FBC">
        <w:rPr>
          <w:b/>
          <w:bCs/>
        </w:rPr>
        <w:t>R/PBS p</w:t>
      </w:r>
      <w:r w:rsidR="00970549">
        <w:rPr>
          <w:b/>
          <w:bCs/>
        </w:rPr>
        <w:t xml:space="preserve">rescriptions supplied of </w:t>
      </w:r>
      <w:r>
        <w:rPr>
          <w:b/>
          <w:bCs/>
        </w:rPr>
        <w:t xml:space="preserve">T2DM medicines by class </w:t>
      </w:r>
      <w:r w:rsidR="00970549">
        <w:rPr>
          <w:b/>
          <w:bCs/>
        </w:rPr>
        <w:t>(Q1 2017 to Q2 2022)</w:t>
      </w:r>
    </w:p>
    <w:p w14:paraId="6912B2B9" w14:textId="7BEE4BFC" w:rsidR="00B403D7" w:rsidRPr="00B403D7" w:rsidRDefault="00B403D7" w:rsidP="00B403D7">
      <w:pPr>
        <w:spacing w:before="60" w:after="60" w:line="240" w:lineRule="auto"/>
        <w:rPr>
          <w:sz w:val="20"/>
          <w:szCs w:val="20"/>
        </w:rPr>
      </w:pPr>
      <w:bookmarkStart w:id="2" w:name="_Hlk113352924"/>
      <w:r>
        <w:rPr>
          <w:sz w:val="20"/>
          <w:szCs w:val="20"/>
        </w:rPr>
        <w:t xml:space="preserve">Abbreviations: AGI = acarbose; </w:t>
      </w:r>
      <w:r w:rsidR="005D7859">
        <w:rPr>
          <w:sz w:val="20"/>
          <w:szCs w:val="20"/>
        </w:rPr>
        <w:t>MET = metformin; SULF = sulfonylurea; TZD = thiazolidinediones.</w:t>
      </w:r>
    </w:p>
    <w:p w14:paraId="1D663DB1" w14:textId="77777777" w:rsidR="005D7859" w:rsidRDefault="005D7859" w:rsidP="00C32054">
      <w:pPr>
        <w:spacing w:line="240" w:lineRule="auto"/>
      </w:pPr>
    </w:p>
    <w:p w14:paraId="23207BDD" w14:textId="19744ACC" w:rsidR="00C32054" w:rsidRDefault="00C32054" w:rsidP="00C32054">
      <w:pPr>
        <w:spacing w:line="240" w:lineRule="auto"/>
      </w:pPr>
      <w:r>
        <w:t xml:space="preserve">Total expenditure on T2DM medicines has increased from around $516 million in 2017-2018 to around $756 million in 2021-22 (Table 4). </w:t>
      </w:r>
      <w:bookmarkEnd w:id="2"/>
      <w:r>
        <w:t>Until the end of 2011, expenditure on T2DM medicines by class was highest on insulins (Figure 3). However, GLP</w:t>
      </w:r>
      <w:r>
        <w:noBreakHyphen/>
        <w:t xml:space="preserve">1 RAs are now the highest expenditure class of medicines on the PBS for the treatment of T2DM representing 26% of expenditure in 2021-22 ($194 million) (noting that special pricing arrangements are in place for dulaglutide and semaglutide), followed by insulin at 23% ($177 million), DPP4 inhibitors (including metformin FDCs but excluding SGLT2 inhibitor FDCs) at 21% ($159 million), and SGLT2 inhibitors (including metformin FDCs but excluding DPP4 inhibitor FDCs) at 19% ($142 million) (Figure 3 and Table 4). </w:t>
      </w:r>
    </w:p>
    <w:p w14:paraId="483ADE39" w14:textId="518FF516" w:rsidR="001C1C7E" w:rsidRPr="00DF63B4" w:rsidRDefault="001C1C7E" w:rsidP="00082451">
      <w:pPr>
        <w:pStyle w:val="Tableheading"/>
        <w:keepNext/>
        <w:keepLines/>
      </w:pPr>
      <w:r w:rsidRPr="00DF63B4">
        <w:lastRenderedPageBreak/>
        <w:t xml:space="preserve">Table </w:t>
      </w:r>
      <w:r w:rsidR="000F4A60">
        <w:t>4</w:t>
      </w:r>
      <w:r w:rsidRPr="00DF63B4">
        <w:t xml:space="preserve">: </w:t>
      </w:r>
      <w:r>
        <w:t>R/PBS b</w:t>
      </w:r>
      <w:r w:rsidRPr="00DF63B4">
        <w:t>enefits paid</w:t>
      </w:r>
      <w:r>
        <w:t xml:space="preserve"> </w:t>
      </w:r>
      <w:r w:rsidRPr="00DF63B4">
        <w:t>by class of T2DM medicine for 2017-18 and 2021-22</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437"/>
        <w:gridCol w:w="1834"/>
        <w:gridCol w:w="1575"/>
        <w:gridCol w:w="1843"/>
      </w:tblGrid>
      <w:tr w:rsidR="008272BB" w:rsidRPr="00CD3A8E" w14:paraId="4B1DFCC0" w14:textId="77777777" w:rsidTr="001D57A7">
        <w:trPr>
          <w:trHeight w:val="525"/>
        </w:trPr>
        <w:tc>
          <w:tcPr>
            <w:tcW w:w="1528" w:type="dxa"/>
            <w:shd w:val="clear" w:color="000000" w:fill="D9D9D9"/>
            <w:vAlign w:val="center"/>
            <w:hideMark/>
          </w:tcPr>
          <w:p w14:paraId="1471C35B" w14:textId="77777777" w:rsidR="008272BB" w:rsidRPr="00CD3A8E" w:rsidRDefault="008272BB" w:rsidP="008272BB">
            <w:pPr>
              <w:keepNext/>
              <w:keepLines/>
              <w:spacing w:after="0" w:line="240" w:lineRule="auto"/>
              <w:rPr>
                <w:rFonts w:eastAsia="Times New Roman" w:cs="Calibri"/>
                <w:b/>
                <w:bCs/>
                <w:color w:val="000000"/>
                <w:sz w:val="20"/>
                <w:szCs w:val="20"/>
                <w:lang w:eastAsia="en-AU"/>
              </w:rPr>
            </w:pPr>
            <w:r>
              <w:rPr>
                <w:rFonts w:eastAsia="Times New Roman" w:cs="Calibri"/>
                <w:b/>
                <w:bCs/>
                <w:color w:val="000000"/>
                <w:sz w:val="20"/>
                <w:szCs w:val="20"/>
                <w:lang w:eastAsia="en-AU"/>
              </w:rPr>
              <w:t xml:space="preserve">Financial </w:t>
            </w:r>
            <w:r w:rsidRPr="00CD3A8E">
              <w:rPr>
                <w:rFonts w:eastAsia="Times New Roman" w:cs="Calibri"/>
                <w:b/>
                <w:bCs/>
                <w:color w:val="000000"/>
                <w:sz w:val="20"/>
                <w:szCs w:val="20"/>
                <w:lang w:eastAsia="en-AU"/>
              </w:rPr>
              <w:t xml:space="preserve">Year </w:t>
            </w:r>
          </w:p>
        </w:tc>
        <w:tc>
          <w:tcPr>
            <w:tcW w:w="1437" w:type="dxa"/>
            <w:tcBorders>
              <w:top w:val="single" w:sz="8" w:space="0" w:color="auto"/>
              <w:left w:val="nil"/>
              <w:bottom w:val="single" w:sz="8" w:space="0" w:color="auto"/>
              <w:right w:val="single" w:sz="8" w:space="0" w:color="auto"/>
            </w:tcBorders>
            <w:shd w:val="clear" w:color="auto" w:fill="D0CECE"/>
            <w:vAlign w:val="center"/>
          </w:tcPr>
          <w:p w14:paraId="6B603A92" w14:textId="4712E6FF" w:rsidR="008272BB" w:rsidRPr="00CD3A8E" w:rsidRDefault="008272BB" w:rsidP="008272BB">
            <w:pPr>
              <w:keepNext/>
              <w:keepLines/>
              <w:spacing w:after="0" w:line="240" w:lineRule="auto"/>
              <w:jc w:val="right"/>
              <w:rPr>
                <w:rFonts w:eastAsia="Times New Roman" w:cs="Calibri"/>
                <w:b/>
                <w:bCs/>
                <w:color w:val="000000"/>
                <w:sz w:val="20"/>
                <w:szCs w:val="20"/>
                <w:lang w:eastAsia="en-AU"/>
              </w:rPr>
            </w:pPr>
            <w:r>
              <w:rPr>
                <w:b/>
                <w:bCs/>
                <w:color w:val="000000"/>
                <w:sz w:val="20"/>
                <w:szCs w:val="20"/>
                <w:lang w:eastAsia="en-AU"/>
              </w:rPr>
              <w:t>2017-18</w:t>
            </w:r>
          </w:p>
        </w:tc>
        <w:tc>
          <w:tcPr>
            <w:tcW w:w="1834" w:type="dxa"/>
            <w:tcBorders>
              <w:top w:val="single" w:sz="8" w:space="0" w:color="auto"/>
              <w:left w:val="nil"/>
              <w:bottom w:val="single" w:sz="8" w:space="0" w:color="auto"/>
              <w:right w:val="single" w:sz="8" w:space="0" w:color="auto"/>
            </w:tcBorders>
            <w:shd w:val="clear" w:color="auto" w:fill="D0CECE"/>
            <w:vAlign w:val="center"/>
          </w:tcPr>
          <w:p w14:paraId="65B3DBF0" w14:textId="3B34AE36" w:rsidR="008272BB" w:rsidRPr="00CD3A8E" w:rsidRDefault="008272BB" w:rsidP="008272BB">
            <w:pPr>
              <w:keepNext/>
              <w:keepLines/>
              <w:spacing w:after="0" w:line="240" w:lineRule="auto"/>
              <w:jc w:val="right"/>
              <w:rPr>
                <w:rFonts w:eastAsia="Times New Roman" w:cs="Calibri"/>
                <w:b/>
                <w:bCs/>
                <w:color w:val="000000"/>
                <w:sz w:val="20"/>
                <w:szCs w:val="20"/>
                <w:lang w:eastAsia="en-AU"/>
              </w:rPr>
            </w:pPr>
            <w:r>
              <w:rPr>
                <w:b/>
                <w:bCs/>
                <w:color w:val="000000"/>
                <w:sz w:val="20"/>
                <w:szCs w:val="20"/>
                <w:lang w:eastAsia="en-AU"/>
              </w:rPr>
              <w:t>2017-18 % of total</w:t>
            </w:r>
          </w:p>
        </w:tc>
        <w:tc>
          <w:tcPr>
            <w:tcW w:w="1575" w:type="dxa"/>
            <w:shd w:val="clear" w:color="000000" w:fill="D0CECE"/>
            <w:vAlign w:val="center"/>
            <w:hideMark/>
          </w:tcPr>
          <w:p w14:paraId="40096B6A" w14:textId="77777777" w:rsidR="008272BB" w:rsidRPr="00CD3A8E" w:rsidRDefault="008272BB" w:rsidP="008272BB">
            <w:pPr>
              <w:keepNext/>
              <w:keepLines/>
              <w:spacing w:after="0" w:line="240" w:lineRule="auto"/>
              <w:jc w:val="right"/>
              <w:rPr>
                <w:rFonts w:eastAsia="Times New Roman" w:cs="Calibri"/>
                <w:b/>
                <w:bCs/>
                <w:color w:val="000000"/>
                <w:sz w:val="20"/>
                <w:szCs w:val="20"/>
                <w:lang w:eastAsia="en-AU"/>
              </w:rPr>
            </w:pPr>
            <w:r w:rsidRPr="00CD3A8E">
              <w:rPr>
                <w:rFonts w:eastAsia="Times New Roman" w:cs="Calibri"/>
                <w:b/>
                <w:bCs/>
                <w:color w:val="000000"/>
                <w:sz w:val="20"/>
                <w:szCs w:val="20"/>
                <w:lang w:eastAsia="en-AU"/>
              </w:rPr>
              <w:t>2021-22</w:t>
            </w:r>
          </w:p>
        </w:tc>
        <w:tc>
          <w:tcPr>
            <w:tcW w:w="1843" w:type="dxa"/>
            <w:shd w:val="clear" w:color="000000" w:fill="D0CECE"/>
            <w:vAlign w:val="center"/>
            <w:hideMark/>
          </w:tcPr>
          <w:p w14:paraId="446AAA8F" w14:textId="77777777" w:rsidR="008272BB" w:rsidRPr="00CD3A8E" w:rsidRDefault="008272BB" w:rsidP="008272BB">
            <w:pPr>
              <w:keepNext/>
              <w:keepLines/>
              <w:spacing w:after="0" w:line="240" w:lineRule="auto"/>
              <w:jc w:val="right"/>
              <w:rPr>
                <w:rFonts w:eastAsia="Times New Roman" w:cs="Calibri"/>
                <w:b/>
                <w:bCs/>
                <w:color w:val="000000"/>
                <w:sz w:val="20"/>
                <w:szCs w:val="20"/>
                <w:lang w:eastAsia="en-AU"/>
              </w:rPr>
            </w:pPr>
            <w:r w:rsidRPr="00CD3A8E">
              <w:rPr>
                <w:rFonts w:eastAsia="Times New Roman" w:cs="Calibri"/>
                <w:b/>
                <w:bCs/>
                <w:color w:val="000000"/>
                <w:sz w:val="20"/>
                <w:szCs w:val="20"/>
                <w:lang w:eastAsia="en-AU"/>
              </w:rPr>
              <w:t>2021-22 % of total</w:t>
            </w:r>
          </w:p>
        </w:tc>
      </w:tr>
      <w:tr w:rsidR="008272BB" w:rsidRPr="00CD3A8E" w14:paraId="4F8D8219" w14:textId="77777777" w:rsidTr="001D57A7">
        <w:trPr>
          <w:trHeight w:val="315"/>
        </w:trPr>
        <w:tc>
          <w:tcPr>
            <w:tcW w:w="1528" w:type="dxa"/>
            <w:shd w:val="clear" w:color="000000" w:fill="D9D9D9"/>
            <w:vAlign w:val="center"/>
            <w:hideMark/>
          </w:tcPr>
          <w:p w14:paraId="5876328E" w14:textId="77777777" w:rsidR="008272BB" w:rsidRPr="00CD3A8E" w:rsidRDefault="008272BB" w:rsidP="008272BB">
            <w:pPr>
              <w:keepNext/>
              <w:keepLines/>
              <w:spacing w:after="0" w:line="240" w:lineRule="auto"/>
              <w:rPr>
                <w:rFonts w:eastAsia="Times New Roman" w:cs="Calibri"/>
                <w:b/>
                <w:bCs/>
                <w:color w:val="000000"/>
                <w:sz w:val="20"/>
                <w:szCs w:val="20"/>
                <w:lang w:eastAsia="en-AU"/>
              </w:rPr>
            </w:pPr>
            <w:r w:rsidRPr="00CD3A8E">
              <w:rPr>
                <w:rFonts w:eastAsia="Times New Roman" w:cs="Calibri"/>
                <w:b/>
                <w:bCs/>
                <w:color w:val="000000"/>
                <w:sz w:val="20"/>
                <w:szCs w:val="20"/>
                <w:lang w:eastAsia="en-AU"/>
              </w:rPr>
              <w:t>TZD</w:t>
            </w:r>
          </w:p>
        </w:tc>
        <w:tc>
          <w:tcPr>
            <w:tcW w:w="1437" w:type="dxa"/>
            <w:tcBorders>
              <w:top w:val="nil"/>
              <w:left w:val="nil"/>
              <w:bottom w:val="single" w:sz="8" w:space="0" w:color="auto"/>
              <w:right w:val="single" w:sz="8" w:space="0" w:color="auto"/>
            </w:tcBorders>
            <w:vAlign w:val="center"/>
          </w:tcPr>
          <w:p w14:paraId="497E6580" w14:textId="6F0C24D5"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$1,507,235</w:t>
            </w:r>
          </w:p>
        </w:tc>
        <w:tc>
          <w:tcPr>
            <w:tcW w:w="1834" w:type="dxa"/>
            <w:tcBorders>
              <w:top w:val="nil"/>
              <w:left w:val="nil"/>
              <w:bottom w:val="single" w:sz="8" w:space="0" w:color="auto"/>
              <w:right w:val="single" w:sz="8" w:space="0" w:color="auto"/>
            </w:tcBorders>
            <w:shd w:val="clear" w:color="auto" w:fill="D9E2F3"/>
            <w:vAlign w:val="center"/>
          </w:tcPr>
          <w:p w14:paraId="1108B944" w14:textId="3FEDE9B4"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0.30%</w:t>
            </w:r>
          </w:p>
        </w:tc>
        <w:tc>
          <w:tcPr>
            <w:tcW w:w="1575" w:type="dxa"/>
            <w:shd w:val="clear" w:color="auto" w:fill="auto"/>
            <w:vAlign w:val="center"/>
            <w:hideMark/>
          </w:tcPr>
          <w:p w14:paraId="16B83069"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$796,579</w:t>
            </w:r>
          </w:p>
        </w:tc>
        <w:tc>
          <w:tcPr>
            <w:tcW w:w="1843" w:type="dxa"/>
            <w:shd w:val="clear" w:color="000000" w:fill="D9E2F3"/>
            <w:vAlign w:val="center"/>
            <w:hideMark/>
          </w:tcPr>
          <w:p w14:paraId="3325E34B"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0.10%</w:t>
            </w:r>
          </w:p>
        </w:tc>
      </w:tr>
      <w:tr w:rsidR="008272BB" w:rsidRPr="00CD3A8E" w14:paraId="1EFEAC1E" w14:textId="77777777" w:rsidTr="001D57A7">
        <w:trPr>
          <w:trHeight w:val="315"/>
        </w:trPr>
        <w:tc>
          <w:tcPr>
            <w:tcW w:w="1528" w:type="dxa"/>
            <w:shd w:val="clear" w:color="000000" w:fill="D9D9D9"/>
            <w:vAlign w:val="center"/>
            <w:hideMark/>
          </w:tcPr>
          <w:p w14:paraId="02C4C85C" w14:textId="77777777" w:rsidR="008272BB" w:rsidRPr="00CD3A8E" w:rsidRDefault="008272BB" w:rsidP="008272BB">
            <w:pPr>
              <w:keepNext/>
              <w:keepLines/>
              <w:spacing w:after="0" w:line="240" w:lineRule="auto"/>
              <w:rPr>
                <w:rFonts w:eastAsia="Times New Roman" w:cs="Calibri"/>
                <w:b/>
                <w:bCs/>
                <w:color w:val="000000"/>
                <w:sz w:val="20"/>
                <w:szCs w:val="20"/>
                <w:lang w:eastAsia="en-AU"/>
              </w:rPr>
            </w:pPr>
            <w:r w:rsidRPr="00CD3A8E">
              <w:rPr>
                <w:rFonts w:eastAsia="Times New Roman" w:cs="Calibri"/>
                <w:b/>
                <w:bCs/>
                <w:color w:val="000000"/>
                <w:sz w:val="20"/>
                <w:szCs w:val="20"/>
                <w:lang w:eastAsia="en-AU"/>
              </w:rPr>
              <w:t>AGI</w:t>
            </w:r>
          </w:p>
        </w:tc>
        <w:tc>
          <w:tcPr>
            <w:tcW w:w="1437" w:type="dxa"/>
            <w:tcBorders>
              <w:top w:val="nil"/>
              <w:left w:val="nil"/>
              <w:bottom w:val="single" w:sz="8" w:space="0" w:color="auto"/>
              <w:right w:val="single" w:sz="8" w:space="0" w:color="auto"/>
            </w:tcBorders>
            <w:vAlign w:val="center"/>
          </w:tcPr>
          <w:p w14:paraId="52472BA4" w14:textId="252B6EA4"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$1,118,383</w:t>
            </w:r>
          </w:p>
        </w:tc>
        <w:tc>
          <w:tcPr>
            <w:tcW w:w="1834" w:type="dxa"/>
            <w:tcBorders>
              <w:top w:val="nil"/>
              <w:left w:val="nil"/>
              <w:bottom w:val="single" w:sz="8" w:space="0" w:color="auto"/>
              <w:right w:val="single" w:sz="8" w:space="0" w:color="auto"/>
            </w:tcBorders>
            <w:shd w:val="clear" w:color="auto" w:fill="D9E2F3"/>
            <w:vAlign w:val="center"/>
          </w:tcPr>
          <w:p w14:paraId="0F621198" w14:textId="0E4051AA"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0.20%</w:t>
            </w:r>
          </w:p>
        </w:tc>
        <w:tc>
          <w:tcPr>
            <w:tcW w:w="1575" w:type="dxa"/>
            <w:shd w:val="clear" w:color="auto" w:fill="auto"/>
            <w:vAlign w:val="center"/>
            <w:hideMark/>
          </w:tcPr>
          <w:p w14:paraId="4049A49F"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$707,822</w:t>
            </w:r>
          </w:p>
        </w:tc>
        <w:tc>
          <w:tcPr>
            <w:tcW w:w="1843" w:type="dxa"/>
            <w:shd w:val="clear" w:color="000000" w:fill="D9E2F3"/>
            <w:vAlign w:val="center"/>
            <w:hideMark/>
          </w:tcPr>
          <w:p w14:paraId="643D4EA3"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0.01%</w:t>
            </w:r>
          </w:p>
        </w:tc>
      </w:tr>
      <w:tr w:rsidR="008272BB" w:rsidRPr="00CD3A8E" w14:paraId="75DC9DA8" w14:textId="77777777" w:rsidTr="001D57A7">
        <w:trPr>
          <w:trHeight w:val="315"/>
        </w:trPr>
        <w:tc>
          <w:tcPr>
            <w:tcW w:w="1528" w:type="dxa"/>
            <w:shd w:val="clear" w:color="000000" w:fill="D9D9D9"/>
            <w:vAlign w:val="center"/>
            <w:hideMark/>
          </w:tcPr>
          <w:p w14:paraId="2B1DB9C4" w14:textId="0CE1AF9C" w:rsidR="008272BB" w:rsidRPr="00CD3A8E" w:rsidRDefault="008272BB" w:rsidP="008272BB">
            <w:pPr>
              <w:keepNext/>
              <w:keepLines/>
              <w:spacing w:after="0" w:line="240" w:lineRule="auto"/>
              <w:rPr>
                <w:rFonts w:eastAsia="Times New Roman" w:cs="Calibri"/>
                <w:b/>
                <w:bCs/>
                <w:color w:val="000000"/>
                <w:sz w:val="20"/>
                <w:szCs w:val="20"/>
                <w:lang w:eastAsia="en-AU"/>
              </w:rPr>
            </w:pPr>
            <w:r w:rsidRPr="00CD3A8E">
              <w:rPr>
                <w:rFonts w:eastAsia="Times New Roman" w:cs="Calibri"/>
                <w:b/>
                <w:bCs/>
                <w:color w:val="000000"/>
                <w:sz w:val="20"/>
                <w:szCs w:val="20"/>
                <w:lang w:eastAsia="en-AU"/>
              </w:rPr>
              <w:t>DPP4</w:t>
            </w:r>
            <w:r>
              <w:rPr>
                <w:rFonts w:eastAsia="Times New Roman" w:cs="Calibri"/>
                <w:b/>
                <w:bCs/>
                <w:color w:val="000000"/>
                <w:sz w:val="20"/>
                <w:szCs w:val="20"/>
                <w:lang w:eastAsia="en-AU"/>
              </w:rPr>
              <w:t>i</w:t>
            </w:r>
            <w:r w:rsidR="005D7859" w:rsidRPr="005D7859">
              <w:rPr>
                <w:rFonts w:eastAsia="Times New Roman" w:cs="Calibri"/>
                <w:b/>
                <w:bCs/>
                <w:color w:val="000000"/>
                <w:sz w:val="20"/>
                <w:szCs w:val="20"/>
                <w:vertAlign w:val="superscript"/>
                <w:lang w:eastAsia="en-AU"/>
              </w:rPr>
              <w:t>1</w:t>
            </w:r>
          </w:p>
        </w:tc>
        <w:tc>
          <w:tcPr>
            <w:tcW w:w="1437" w:type="dxa"/>
            <w:tcBorders>
              <w:top w:val="nil"/>
              <w:left w:val="nil"/>
              <w:bottom w:val="single" w:sz="8" w:space="0" w:color="auto"/>
              <w:right w:val="single" w:sz="8" w:space="0" w:color="auto"/>
            </w:tcBorders>
            <w:vAlign w:val="center"/>
          </w:tcPr>
          <w:p w14:paraId="2E6C56E4" w14:textId="54899031"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$129,127,536</w:t>
            </w:r>
          </w:p>
        </w:tc>
        <w:tc>
          <w:tcPr>
            <w:tcW w:w="1834" w:type="dxa"/>
            <w:tcBorders>
              <w:top w:val="nil"/>
              <w:left w:val="nil"/>
              <w:bottom w:val="single" w:sz="8" w:space="0" w:color="auto"/>
              <w:right w:val="single" w:sz="8" w:space="0" w:color="auto"/>
            </w:tcBorders>
            <w:shd w:val="clear" w:color="auto" w:fill="D9E2F3"/>
            <w:vAlign w:val="center"/>
          </w:tcPr>
          <w:p w14:paraId="0D4E35A2" w14:textId="3C6D92CD"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24.50%</w:t>
            </w:r>
          </w:p>
        </w:tc>
        <w:tc>
          <w:tcPr>
            <w:tcW w:w="1575" w:type="dxa"/>
            <w:shd w:val="clear" w:color="auto" w:fill="auto"/>
            <w:vAlign w:val="center"/>
            <w:hideMark/>
          </w:tcPr>
          <w:p w14:paraId="0C6C424D"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$159,060,615</w:t>
            </w:r>
          </w:p>
        </w:tc>
        <w:tc>
          <w:tcPr>
            <w:tcW w:w="1843" w:type="dxa"/>
            <w:shd w:val="clear" w:color="000000" w:fill="D9E2F3"/>
            <w:vAlign w:val="center"/>
            <w:hideMark/>
          </w:tcPr>
          <w:p w14:paraId="30382B29"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2</w:t>
            </w:r>
            <w:r>
              <w:rPr>
                <w:rFonts w:eastAsia="Times New Roman" w:cs="Calibri"/>
                <w:color w:val="000000"/>
                <w:sz w:val="20"/>
                <w:szCs w:val="20"/>
                <w:lang w:eastAsia="en-AU"/>
              </w:rPr>
              <w:t>0.5</w:t>
            </w:r>
            <w:r w:rsidRPr="00CD3A8E">
              <w:rPr>
                <w:rFonts w:eastAsia="Times New Roman" w:cs="Calibri"/>
                <w:color w:val="000000"/>
                <w:sz w:val="20"/>
                <w:szCs w:val="20"/>
                <w:lang w:eastAsia="en-AU"/>
              </w:rPr>
              <w:t>%</w:t>
            </w:r>
          </w:p>
        </w:tc>
      </w:tr>
      <w:tr w:rsidR="008272BB" w:rsidRPr="00CD3A8E" w14:paraId="3CBF46D2" w14:textId="77777777" w:rsidTr="001D57A7">
        <w:trPr>
          <w:trHeight w:val="315"/>
        </w:trPr>
        <w:tc>
          <w:tcPr>
            <w:tcW w:w="1528" w:type="dxa"/>
            <w:shd w:val="clear" w:color="000000" w:fill="D9D9D9"/>
            <w:vAlign w:val="center"/>
            <w:hideMark/>
          </w:tcPr>
          <w:p w14:paraId="2B99271A" w14:textId="54F0C051" w:rsidR="008272BB" w:rsidRPr="00CD3A8E" w:rsidRDefault="008272BB" w:rsidP="008272BB">
            <w:pPr>
              <w:keepNext/>
              <w:keepLines/>
              <w:spacing w:after="0" w:line="240" w:lineRule="auto"/>
              <w:rPr>
                <w:rFonts w:eastAsia="Times New Roman" w:cs="Calibri"/>
                <w:b/>
                <w:bCs/>
                <w:color w:val="000000"/>
                <w:sz w:val="20"/>
                <w:szCs w:val="20"/>
                <w:lang w:eastAsia="en-AU"/>
              </w:rPr>
            </w:pPr>
            <w:r w:rsidRPr="00CD3A8E">
              <w:rPr>
                <w:rFonts w:eastAsia="Times New Roman" w:cs="Calibri"/>
                <w:b/>
                <w:bCs/>
                <w:color w:val="000000"/>
                <w:sz w:val="20"/>
                <w:szCs w:val="20"/>
                <w:lang w:eastAsia="en-AU"/>
              </w:rPr>
              <w:t>GLP-1</w:t>
            </w:r>
            <w:r>
              <w:rPr>
                <w:rFonts w:eastAsia="Times New Roman" w:cs="Calibri"/>
                <w:b/>
                <w:bCs/>
                <w:color w:val="000000"/>
                <w:sz w:val="20"/>
                <w:szCs w:val="20"/>
                <w:lang w:eastAsia="en-AU"/>
              </w:rPr>
              <w:t xml:space="preserve"> RA</w:t>
            </w:r>
            <w:r w:rsidR="005D7859" w:rsidRPr="005D7859">
              <w:rPr>
                <w:rFonts w:eastAsia="Times New Roman" w:cs="Calibri"/>
                <w:b/>
                <w:bCs/>
                <w:color w:val="000000"/>
                <w:sz w:val="20"/>
                <w:szCs w:val="20"/>
                <w:vertAlign w:val="superscript"/>
                <w:lang w:eastAsia="en-AU"/>
              </w:rPr>
              <w:t>2</w:t>
            </w:r>
          </w:p>
        </w:tc>
        <w:tc>
          <w:tcPr>
            <w:tcW w:w="1437" w:type="dxa"/>
            <w:tcBorders>
              <w:top w:val="nil"/>
              <w:left w:val="nil"/>
              <w:bottom w:val="single" w:sz="8" w:space="0" w:color="auto"/>
              <w:right w:val="single" w:sz="8" w:space="0" w:color="auto"/>
            </w:tcBorders>
            <w:vAlign w:val="center"/>
          </w:tcPr>
          <w:p w14:paraId="2D7DC7AB" w14:textId="52A584A2"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$37,553,823</w:t>
            </w:r>
          </w:p>
        </w:tc>
        <w:tc>
          <w:tcPr>
            <w:tcW w:w="1834" w:type="dxa"/>
            <w:tcBorders>
              <w:top w:val="nil"/>
              <w:left w:val="nil"/>
              <w:bottom w:val="single" w:sz="8" w:space="0" w:color="auto"/>
              <w:right w:val="single" w:sz="8" w:space="0" w:color="auto"/>
            </w:tcBorders>
            <w:shd w:val="clear" w:color="auto" w:fill="D9E2F3"/>
            <w:vAlign w:val="center"/>
          </w:tcPr>
          <w:p w14:paraId="4D61BFF0" w14:textId="32DE239A"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7%</w:t>
            </w:r>
          </w:p>
        </w:tc>
        <w:tc>
          <w:tcPr>
            <w:tcW w:w="1575" w:type="dxa"/>
            <w:shd w:val="clear" w:color="auto" w:fill="auto"/>
            <w:vAlign w:val="center"/>
            <w:hideMark/>
          </w:tcPr>
          <w:p w14:paraId="3A0D4BB4"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$193,508,927</w:t>
            </w:r>
          </w:p>
        </w:tc>
        <w:tc>
          <w:tcPr>
            <w:tcW w:w="1843" w:type="dxa"/>
            <w:shd w:val="clear" w:color="000000" w:fill="D9E2F3"/>
            <w:vAlign w:val="center"/>
            <w:hideMark/>
          </w:tcPr>
          <w:p w14:paraId="2B1E1959"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2</w:t>
            </w:r>
            <w:r>
              <w:rPr>
                <w:rFonts w:eastAsia="Times New Roman" w:cs="Calibri"/>
                <w:color w:val="000000"/>
                <w:sz w:val="20"/>
                <w:szCs w:val="20"/>
                <w:lang w:eastAsia="en-AU"/>
              </w:rPr>
              <w:t>6</w:t>
            </w:r>
            <w:r w:rsidRPr="00CD3A8E">
              <w:rPr>
                <w:rFonts w:eastAsia="Times New Roman" w:cs="Calibri"/>
                <w:color w:val="000000"/>
                <w:sz w:val="20"/>
                <w:szCs w:val="20"/>
                <w:lang w:eastAsia="en-AU"/>
              </w:rPr>
              <w:t>%</w:t>
            </w:r>
          </w:p>
        </w:tc>
      </w:tr>
      <w:tr w:rsidR="008272BB" w:rsidRPr="00CD3A8E" w14:paraId="16590CF2" w14:textId="77777777" w:rsidTr="001D57A7">
        <w:trPr>
          <w:trHeight w:val="315"/>
        </w:trPr>
        <w:tc>
          <w:tcPr>
            <w:tcW w:w="1528" w:type="dxa"/>
            <w:shd w:val="clear" w:color="000000" w:fill="D9D9D9"/>
            <w:vAlign w:val="center"/>
            <w:hideMark/>
          </w:tcPr>
          <w:p w14:paraId="110CB7D0" w14:textId="1FFDFDCC" w:rsidR="008272BB" w:rsidRPr="00CD3A8E" w:rsidRDefault="008272BB" w:rsidP="008272BB">
            <w:pPr>
              <w:keepNext/>
              <w:keepLines/>
              <w:spacing w:after="0" w:line="240" w:lineRule="auto"/>
              <w:rPr>
                <w:rFonts w:eastAsia="Times New Roman" w:cs="Calibri"/>
                <w:b/>
                <w:bCs/>
                <w:color w:val="000000"/>
                <w:sz w:val="20"/>
                <w:szCs w:val="20"/>
                <w:lang w:eastAsia="en-AU"/>
              </w:rPr>
            </w:pPr>
            <w:r w:rsidRPr="00CD3A8E">
              <w:rPr>
                <w:rFonts w:eastAsia="Times New Roman" w:cs="Calibri"/>
                <w:b/>
                <w:bCs/>
                <w:color w:val="000000"/>
                <w:sz w:val="20"/>
                <w:szCs w:val="20"/>
                <w:lang w:eastAsia="en-AU"/>
              </w:rPr>
              <w:t>SGLT2</w:t>
            </w:r>
            <w:r>
              <w:rPr>
                <w:rFonts w:eastAsia="Times New Roman" w:cs="Calibri"/>
                <w:b/>
                <w:bCs/>
                <w:color w:val="000000"/>
                <w:sz w:val="20"/>
                <w:szCs w:val="20"/>
                <w:lang w:eastAsia="en-AU"/>
              </w:rPr>
              <w:t>i</w:t>
            </w:r>
            <w:r w:rsidR="005D7859" w:rsidRPr="005D7859">
              <w:rPr>
                <w:rFonts w:eastAsia="Times New Roman" w:cs="Calibri"/>
                <w:b/>
                <w:bCs/>
                <w:color w:val="000000"/>
                <w:sz w:val="20"/>
                <w:szCs w:val="20"/>
                <w:vertAlign w:val="superscript"/>
                <w:lang w:eastAsia="en-AU"/>
              </w:rPr>
              <w:t>1</w:t>
            </w:r>
          </w:p>
        </w:tc>
        <w:tc>
          <w:tcPr>
            <w:tcW w:w="1437" w:type="dxa"/>
            <w:tcBorders>
              <w:top w:val="nil"/>
              <w:left w:val="nil"/>
              <w:bottom w:val="single" w:sz="8" w:space="0" w:color="auto"/>
              <w:right w:val="single" w:sz="8" w:space="0" w:color="auto"/>
            </w:tcBorders>
            <w:vAlign w:val="center"/>
          </w:tcPr>
          <w:p w14:paraId="2FF47204" w14:textId="0F08A23D"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$70,721,194</w:t>
            </w:r>
          </w:p>
        </w:tc>
        <w:tc>
          <w:tcPr>
            <w:tcW w:w="1834" w:type="dxa"/>
            <w:tcBorders>
              <w:top w:val="nil"/>
              <w:left w:val="nil"/>
              <w:bottom w:val="single" w:sz="8" w:space="0" w:color="auto"/>
              <w:right w:val="single" w:sz="8" w:space="0" w:color="auto"/>
            </w:tcBorders>
            <w:shd w:val="clear" w:color="auto" w:fill="D9E2F3"/>
            <w:vAlign w:val="center"/>
          </w:tcPr>
          <w:p w14:paraId="4FC6D9EB" w14:textId="5944C916"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14%</w:t>
            </w:r>
          </w:p>
        </w:tc>
        <w:tc>
          <w:tcPr>
            <w:tcW w:w="1575" w:type="dxa"/>
            <w:shd w:val="clear" w:color="auto" w:fill="auto"/>
            <w:vAlign w:val="center"/>
            <w:hideMark/>
          </w:tcPr>
          <w:p w14:paraId="1AA2FDBD"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w:t>
            </w:r>
            <w:r>
              <w:rPr>
                <w:rFonts w:eastAsia="Times New Roman" w:cs="Calibri"/>
                <w:color w:val="000000"/>
                <w:sz w:val="20"/>
                <w:szCs w:val="20"/>
                <w:lang w:eastAsia="en-AU"/>
              </w:rPr>
              <w:t>141,575,846</w:t>
            </w:r>
          </w:p>
        </w:tc>
        <w:tc>
          <w:tcPr>
            <w:tcW w:w="1843" w:type="dxa"/>
            <w:shd w:val="clear" w:color="000000" w:fill="D9E2F3"/>
            <w:vAlign w:val="center"/>
            <w:hideMark/>
          </w:tcPr>
          <w:p w14:paraId="79ED0EAD"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1</w:t>
            </w:r>
            <w:r>
              <w:rPr>
                <w:rFonts w:eastAsia="Times New Roman" w:cs="Calibri"/>
                <w:color w:val="000000"/>
                <w:sz w:val="20"/>
                <w:szCs w:val="20"/>
                <w:lang w:eastAsia="en-AU"/>
              </w:rPr>
              <w:t>9</w:t>
            </w:r>
            <w:r w:rsidRPr="00CD3A8E">
              <w:rPr>
                <w:rFonts w:eastAsia="Times New Roman" w:cs="Calibri"/>
                <w:color w:val="000000"/>
                <w:sz w:val="20"/>
                <w:szCs w:val="20"/>
                <w:lang w:eastAsia="en-AU"/>
              </w:rPr>
              <w:t>%</w:t>
            </w:r>
          </w:p>
        </w:tc>
      </w:tr>
      <w:tr w:rsidR="008272BB" w:rsidRPr="00CD3A8E" w14:paraId="52B8461B" w14:textId="77777777" w:rsidTr="001D57A7">
        <w:trPr>
          <w:trHeight w:val="289"/>
        </w:trPr>
        <w:tc>
          <w:tcPr>
            <w:tcW w:w="1528" w:type="dxa"/>
            <w:shd w:val="clear" w:color="000000" w:fill="D9D9D9"/>
            <w:vAlign w:val="center"/>
            <w:hideMark/>
          </w:tcPr>
          <w:p w14:paraId="71524A65" w14:textId="28FF9192" w:rsidR="008272BB" w:rsidRPr="00CD3A8E" w:rsidRDefault="008272BB" w:rsidP="008272BB">
            <w:pPr>
              <w:keepNext/>
              <w:keepLines/>
              <w:spacing w:after="0" w:line="240" w:lineRule="auto"/>
              <w:rPr>
                <w:rFonts w:eastAsia="Times New Roman" w:cs="Calibri"/>
                <w:b/>
                <w:bCs/>
                <w:color w:val="000000"/>
                <w:sz w:val="20"/>
                <w:szCs w:val="20"/>
                <w:lang w:eastAsia="en-AU"/>
              </w:rPr>
            </w:pPr>
            <w:r w:rsidRPr="00CD3A8E">
              <w:rPr>
                <w:rFonts w:eastAsia="Times New Roman" w:cs="Calibri"/>
                <w:b/>
                <w:bCs/>
                <w:color w:val="000000"/>
                <w:sz w:val="20"/>
                <w:szCs w:val="20"/>
                <w:lang w:eastAsia="en-AU"/>
              </w:rPr>
              <w:t>SGLT</w:t>
            </w:r>
            <w:r w:rsidR="001D57A7">
              <w:rPr>
                <w:rFonts w:eastAsia="Times New Roman" w:cs="Calibri"/>
                <w:b/>
                <w:bCs/>
                <w:color w:val="000000"/>
                <w:sz w:val="20"/>
                <w:szCs w:val="20"/>
                <w:lang w:eastAsia="en-AU"/>
              </w:rPr>
              <w:t xml:space="preserve">2i </w:t>
            </w:r>
            <w:r w:rsidRPr="00CD3A8E">
              <w:rPr>
                <w:rFonts w:eastAsia="Times New Roman" w:cs="Calibri"/>
                <w:b/>
                <w:bCs/>
                <w:color w:val="000000"/>
                <w:sz w:val="20"/>
                <w:szCs w:val="20"/>
                <w:lang w:eastAsia="en-AU"/>
              </w:rPr>
              <w:t>+ DPP4</w:t>
            </w:r>
            <w:r>
              <w:rPr>
                <w:rFonts w:eastAsia="Times New Roman" w:cs="Calibri"/>
                <w:b/>
                <w:bCs/>
                <w:color w:val="000000"/>
                <w:sz w:val="20"/>
                <w:szCs w:val="20"/>
                <w:lang w:eastAsia="en-AU"/>
              </w:rPr>
              <w:t>i</w:t>
            </w:r>
            <w:r w:rsidR="005D7859" w:rsidRPr="005D7859">
              <w:rPr>
                <w:rFonts w:eastAsia="Times New Roman" w:cs="Calibri"/>
                <w:b/>
                <w:bCs/>
                <w:color w:val="000000"/>
                <w:sz w:val="20"/>
                <w:szCs w:val="20"/>
                <w:vertAlign w:val="superscript"/>
                <w:lang w:eastAsia="en-AU"/>
              </w:rPr>
              <w:t>3</w:t>
            </w:r>
          </w:p>
        </w:tc>
        <w:tc>
          <w:tcPr>
            <w:tcW w:w="1437" w:type="dxa"/>
            <w:tcBorders>
              <w:top w:val="nil"/>
              <w:left w:val="nil"/>
              <w:bottom w:val="single" w:sz="8" w:space="0" w:color="auto"/>
              <w:right w:val="single" w:sz="8" w:space="0" w:color="auto"/>
            </w:tcBorders>
            <w:vAlign w:val="center"/>
          </w:tcPr>
          <w:p w14:paraId="7CFD0484" w14:textId="3EE34368"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$410,513</w:t>
            </w:r>
          </w:p>
        </w:tc>
        <w:tc>
          <w:tcPr>
            <w:tcW w:w="1834" w:type="dxa"/>
            <w:tcBorders>
              <w:top w:val="nil"/>
              <w:left w:val="nil"/>
              <w:bottom w:val="single" w:sz="8" w:space="0" w:color="auto"/>
              <w:right w:val="single" w:sz="8" w:space="0" w:color="auto"/>
            </w:tcBorders>
            <w:shd w:val="clear" w:color="auto" w:fill="D9E2F3"/>
            <w:vAlign w:val="center"/>
          </w:tcPr>
          <w:p w14:paraId="11A337AA" w14:textId="2F9DD4A2"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0.01%</w:t>
            </w:r>
          </w:p>
        </w:tc>
        <w:tc>
          <w:tcPr>
            <w:tcW w:w="1575" w:type="dxa"/>
            <w:shd w:val="clear" w:color="auto" w:fill="auto"/>
            <w:vAlign w:val="center"/>
            <w:hideMark/>
          </w:tcPr>
          <w:p w14:paraId="3D9B240A"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$19,393,171</w:t>
            </w:r>
          </w:p>
        </w:tc>
        <w:tc>
          <w:tcPr>
            <w:tcW w:w="1843" w:type="dxa"/>
            <w:shd w:val="clear" w:color="000000" w:fill="D9E2F3"/>
            <w:vAlign w:val="center"/>
            <w:hideMark/>
          </w:tcPr>
          <w:p w14:paraId="03C25EB7"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3%</w:t>
            </w:r>
          </w:p>
        </w:tc>
      </w:tr>
      <w:tr w:rsidR="008272BB" w:rsidRPr="00CD3A8E" w14:paraId="418C69EA" w14:textId="77777777" w:rsidTr="001D57A7">
        <w:trPr>
          <w:trHeight w:val="315"/>
        </w:trPr>
        <w:tc>
          <w:tcPr>
            <w:tcW w:w="1528" w:type="dxa"/>
            <w:shd w:val="clear" w:color="000000" w:fill="D9D9D9"/>
            <w:vAlign w:val="center"/>
            <w:hideMark/>
          </w:tcPr>
          <w:p w14:paraId="0266596C" w14:textId="77777777" w:rsidR="008272BB" w:rsidRPr="00CD3A8E" w:rsidRDefault="008272BB" w:rsidP="008272BB">
            <w:pPr>
              <w:keepNext/>
              <w:keepLines/>
              <w:spacing w:after="0" w:line="240" w:lineRule="auto"/>
              <w:rPr>
                <w:rFonts w:eastAsia="Times New Roman" w:cs="Calibri"/>
                <w:b/>
                <w:bCs/>
                <w:color w:val="000000"/>
                <w:sz w:val="20"/>
                <w:szCs w:val="20"/>
                <w:lang w:eastAsia="en-AU"/>
              </w:rPr>
            </w:pPr>
            <w:r w:rsidRPr="00CD3A8E">
              <w:rPr>
                <w:rFonts w:eastAsia="Times New Roman" w:cs="Calibri"/>
                <w:b/>
                <w:bCs/>
                <w:color w:val="000000"/>
                <w:sz w:val="20"/>
                <w:szCs w:val="20"/>
                <w:lang w:eastAsia="en-AU"/>
              </w:rPr>
              <w:t>INSULIN</w:t>
            </w:r>
          </w:p>
        </w:tc>
        <w:tc>
          <w:tcPr>
            <w:tcW w:w="1437" w:type="dxa"/>
            <w:tcBorders>
              <w:top w:val="nil"/>
              <w:left w:val="nil"/>
              <w:bottom w:val="single" w:sz="8" w:space="0" w:color="auto"/>
              <w:right w:val="single" w:sz="8" w:space="0" w:color="auto"/>
            </w:tcBorders>
            <w:vAlign w:val="center"/>
          </w:tcPr>
          <w:p w14:paraId="2B812F05" w14:textId="54F31B40"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$220,147,361</w:t>
            </w:r>
          </w:p>
        </w:tc>
        <w:tc>
          <w:tcPr>
            <w:tcW w:w="1834" w:type="dxa"/>
            <w:tcBorders>
              <w:top w:val="nil"/>
              <w:left w:val="nil"/>
              <w:bottom w:val="single" w:sz="8" w:space="0" w:color="auto"/>
              <w:right w:val="single" w:sz="8" w:space="0" w:color="auto"/>
            </w:tcBorders>
            <w:shd w:val="clear" w:color="auto" w:fill="D9E2F3"/>
            <w:vAlign w:val="center"/>
          </w:tcPr>
          <w:p w14:paraId="15F5A1CC" w14:textId="0D693C45"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43%</w:t>
            </w:r>
          </w:p>
        </w:tc>
        <w:tc>
          <w:tcPr>
            <w:tcW w:w="1575" w:type="dxa"/>
            <w:shd w:val="clear" w:color="auto" w:fill="auto"/>
            <w:vAlign w:val="center"/>
            <w:hideMark/>
          </w:tcPr>
          <w:p w14:paraId="0B4CC476"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$176,722,930</w:t>
            </w:r>
          </w:p>
        </w:tc>
        <w:tc>
          <w:tcPr>
            <w:tcW w:w="1843" w:type="dxa"/>
            <w:shd w:val="clear" w:color="000000" w:fill="D9E2F3"/>
            <w:vAlign w:val="center"/>
            <w:hideMark/>
          </w:tcPr>
          <w:p w14:paraId="1B19A2EF"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23%</w:t>
            </w:r>
          </w:p>
        </w:tc>
      </w:tr>
      <w:tr w:rsidR="008272BB" w:rsidRPr="00CD3A8E" w14:paraId="7EB825B4" w14:textId="77777777" w:rsidTr="001D57A7">
        <w:trPr>
          <w:trHeight w:val="315"/>
        </w:trPr>
        <w:tc>
          <w:tcPr>
            <w:tcW w:w="1528" w:type="dxa"/>
            <w:shd w:val="clear" w:color="000000" w:fill="D9D9D9"/>
            <w:vAlign w:val="center"/>
            <w:hideMark/>
          </w:tcPr>
          <w:p w14:paraId="42C80D99" w14:textId="77777777" w:rsidR="008272BB" w:rsidRPr="00CD3A8E" w:rsidRDefault="008272BB" w:rsidP="008272BB">
            <w:pPr>
              <w:keepNext/>
              <w:keepLines/>
              <w:spacing w:after="0" w:line="240" w:lineRule="auto"/>
              <w:rPr>
                <w:rFonts w:eastAsia="Times New Roman" w:cs="Calibri"/>
                <w:b/>
                <w:bCs/>
                <w:color w:val="000000"/>
                <w:sz w:val="20"/>
                <w:szCs w:val="20"/>
                <w:lang w:eastAsia="en-AU"/>
              </w:rPr>
            </w:pPr>
            <w:r w:rsidRPr="00CD3A8E">
              <w:rPr>
                <w:rFonts w:eastAsia="Times New Roman" w:cs="Calibri"/>
                <w:b/>
                <w:bCs/>
                <w:color w:val="000000"/>
                <w:sz w:val="20"/>
                <w:szCs w:val="20"/>
                <w:lang w:eastAsia="en-AU"/>
              </w:rPr>
              <w:t>MET</w:t>
            </w:r>
          </w:p>
        </w:tc>
        <w:tc>
          <w:tcPr>
            <w:tcW w:w="1437" w:type="dxa"/>
            <w:tcBorders>
              <w:top w:val="nil"/>
              <w:left w:val="nil"/>
              <w:bottom w:val="single" w:sz="8" w:space="0" w:color="auto"/>
              <w:right w:val="single" w:sz="8" w:space="0" w:color="auto"/>
            </w:tcBorders>
            <w:vAlign w:val="center"/>
          </w:tcPr>
          <w:p w14:paraId="0FBE8D63" w14:textId="1939EAA0"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$34,333,818</w:t>
            </w:r>
          </w:p>
        </w:tc>
        <w:tc>
          <w:tcPr>
            <w:tcW w:w="1834" w:type="dxa"/>
            <w:tcBorders>
              <w:top w:val="nil"/>
              <w:left w:val="nil"/>
              <w:bottom w:val="single" w:sz="8" w:space="0" w:color="auto"/>
              <w:right w:val="single" w:sz="8" w:space="0" w:color="auto"/>
            </w:tcBorders>
            <w:shd w:val="clear" w:color="auto" w:fill="D9E2F3"/>
            <w:vAlign w:val="center"/>
          </w:tcPr>
          <w:p w14:paraId="1C42CA89" w14:textId="5DEAC182"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7%</w:t>
            </w:r>
          </w:p>
        </w:tc>
        <w:tc>
          <w:tcPr>
            <w:tcW w:w="1575" w:type="dxa"/>
            <w:shd w:val="clear" w:color="auto" w:fill="auto"/>
            <w:vAlign w:val="center"/>
            <w:hideMark/>
          </w:tcPr>
          <w:p w14:paraId="4960ACC1"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$42,248,089</w:t>
            </w:r>
          </w:p>
        </w:tc>
        <w:tc>
          <w:tcPr>
            <w:tcW w:w="1843" w:type="dxa"/>
            <w:shd w:val="clear" w:color="000000" w:fill="D9E2F3"/>
            <w:vAlign w:val="center"/>
            <w:hideMark/>
          </w:tcPr>
          <w:p w14:paraId="1CD050CA"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rFonts w:eastAsia="Times New Roman" w:cs="Calibri"/>
                <w:color w:val="000000"/>
                <w:sz w:val="20"/>
                <w:szCs w:val="20"/>
                <w:lang w:eastAsia="en-AU"/>
              </w:rPr>
              <w:t>5.5</w:t>
            </w:r>
            <w:r w:rsidRPr="00CD3A8E">
              <w:rPr>
                <w:rFonts w:eastAsia="Times New Roman" w:cs="Calibri"/>
                <w:color w:val="000000"/>
                <w:sz w:val="20"/>
                <w:szCs w:val="20"/>
                <w:lang w:eastAsia="en-AU"/>
              </w:rPr>
              <w:t>%</w:t>
            </w:r>
          </w:p>
        </w:tc>
      </w:tr>
      <w:tr w:rsidR="008272BB" w:rsidRPr="00CD3A8E" w14:paraId="0FB332A9" w14:textId="77777777" w:rsidTr="001D57A7">
        <w:trPr>
          <w:trHeight w:val="315"/>
        </w:trPr>
        <w:tc>
          <w:tcPr>
            <w:tcW w:w="1528" w:type="dxa"/>
            <w:shd w:val="clear" w:color="000000" w:fill="D9D9D9"/>
            <w:vAlign w:val="center"/>
            <w:hideMark/>
          </w:tcPr>
          <w:p w14:paraId="798B5FCD" w14:textId="77777777" w:rsidR="008272BB" w:rsidRPr="00CD3A8E" w:rsidRDefault="008272BB" w:rsidP="008272BB">
            <w:pPr>
              <w:keepNext/>
              <w:keepLines/>
              <w:spacing w:after="0" w:line="240" w:lineRule="auto"/>
              <w:rPr>
                <w:rFonts w:eastAsia="Times New Roman" w:cs="Calibri"/>
                <w:b/>
                <w:bCs/>
                <w:color w:val="000000"/>
                <w:sz w:val="20"/>
                <w:szCs w:val="20"/>
                <w:lang w:eastAsia="en-AU"/>
              </w:rPr>
            </w:pPr>
            <w:r w:rsidRPr="00CD3A8E">
              <w:rPr>
                <w:rFonts w:eastAsia="Times New Roman" w:cs="Calibri"/>
                <w:b/>
                <w:bCs/>
                <w:color w:val="000000"/>
                <w:sz w:val="20"/>
                <w:szCs w:val="20"/>
                <w:lang w:eastAsia="en-AU"/>
              </w:rPr>
              <w:t>SULF</w:t>
            </w:r>
          </w:p>
        </w:tc>
        <w:tc>
          <w:tcPr>
            <w:tcW w:w="1437" w:type="dxa"/>
            <w:tcBorders>
              <w:top w:val="nil"/>
              <w:left w:val="nil"/>
              <w:bottom w:val="single" w:sz="8" w:space="0" w:color="auto"/>
              <w:right w:val="single" w:sz="8" w:space="0" w:color="auto"/>
            </w:tcBorders>
            <w:vAlign w:val="center"/>
          </w:tcPr>
          <w:p w14:paraId="72E72D96" w14:textId="120E79B6"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$20,676,836</w:t>
            </w:r>
          </w:p>
        </w:tc>
        <w:tc>
          <w:tcPr>
            <w:tcW w:w="1834" w:type="dxa"/>
            <w:tcBorders>
              <w:top w:val="nil"/>
              <w:left w:val="nil"/>
              <w:bottom w:val="single" w:sz="8" w:space="0" w:color="auto"/>
              <w:right w:val="single" w:sz="8" w:space="0" w:color="auto"/>
            </w:tcBorders>
            <w:shd w:val="clear" w:color="auto" w:fill="D9E2F3"/>
            <w:vAlign w:val="center"/>
          </w:tcPr>
          <w:p w14:paraId="29CCC5E9" w14:textId="505FFAA8" w:rsidR="008272BB" w:rsidRPr="00CD3A8E" w:rsidRDefault="008272BB" w:rsidP="008272BB">
            <w:pPr>
              <w:keepNext/>
              <w:keepLines/>
              <w:spacing w:after="0" w:line="240" w:lineRule="auto"/>
              <w:jc w:val="right"/>
              <w:rPr>
                <w:rFonts w:eastAsia="Times New Roman" w:cs="Calibri"/>
                <w:color w:val="000000"/>
                <w:sz w:val="20"/>
                <w:szCs w:val="20"/>
                <w:lang w:eastAsia="en-AU"/>
              </w:rPr>
            </w:pPr>
            <w:r>
              <w:rPr>
                <w:color w:val="000000"/>
                <w:sz w:val="20"/>
                <w:szCs w:val="20"/>
                <w:lang w:eastAsia="en-AU"/>
              </w:rPr>
              <w:t>4%</w:t>
            </w:r>
          </w:p>
        </w:tc>
        <w:tc>
          <w:tcPr>
            <w:tcW w:w="1575" w:type="dxa"/>
            <w:shd w:val="clear" w:color="auto" w:fill="auto"/>
            <w:vAlign w:val="center"/>
            <w:hideMark/>
          </w:tcPr>
          <w:p w14:paraId="2FD13D35"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$22,041,382</w:t>
            </w:r>
          </w:p>
        </w:tc>
        <w:tc>
          <w:tcPr>
            <w:tcW w:w="1843" w:type="dxa"/>
            <w:shd w:val="clear" w:color="000000" w:fill="D9E2F3"/>
            <w:vAlign w:val="center"/>
            <w:hideMark/>
          </w:tcPr>
          <w:p w14:paraId="0925F1A0" w14:textId="77777777" w:rsidR="008272BB" w:rsidRPr="00CD3A8E" w:rsidRDefault="008272BB" w:rsidP="008272BB">
            <w:pPr>
              <w:keepNext/>
              <w:keepLines/>
              <w:spacing w:after="0" w:line="240" w:lineRule="auto"/>
              <w:jc w:val="right"/>
              <w:rPr>
                <w:rFonts w:eastAsia="Times New Roman" w:cs="Calibri"/>
                <w:color w:val="000000"/>
                <w:sz w:val="20"/>
                <w:szCs w:val="20"/>
                <w:lang w:eastAsia="en-AU"/>
              </w:rPr>
            </w:pPr>
            <w:r w:rsidRPr="00CD3A8E">
              <w:rPr>
                <w:rFonts w:eastAsia="Times New Roman" w:cs="Calibri"/>
                <w:color w:val="000000"/>
                <w:sz w:val="20"/>
                <w:szCs w:val="20"/>
                <w:lang w:eastAsia="en-AU"/>
              </w:rPr>
              <w:t>3%</w:t>
            </w:r>
          </w:p>
        </w:tc>
      </w:tr>
      <w:tr w:rsidR="008272BB" w:rsidRPr="00CD3A8E" w14:paraId="075B50EA" w14:textId="77777777" w:rsidTr="001D57A7">
        <w:trPr>
          <w:trHeight w:val="315"/>
        </w:trPr>
        <w:tc>
          <w:tcPr>
            <w:tcW w:w="1528" w:type="dxa"/>
            <w:shd w:val="clear" w:color="000000" w:fill="D9D9D9"/>
            <w:vAlign w:val="center"/>
            <w:hideMark/>
          </w:tcPr>
          <w:p w14:paraId="68AB4553" w14:textId="77777777" w:rsidR="008272BB" w:rsidRPr="00CD3A8E" w:rsidRDefault="008272BB" w:rsidP="008272BB">
            <w:pPr>
              <w:keepNext/>
              <w:keepLines/>
              <w:spacing w:after="0" w:line="240" w:lineRule="auto"/>
              <w:rPr>
                <w:rFonts w:eastAsia="Times New Roman" w:cs="Calibri"/>
                <w:b/>
                <w:bCs/>
                <w:color w:val="000000"/>
                <w:sz w:val="20"/>
                <w:szCs w:val="20"/>
                <w:lang w:eastAsia="en-AU"/>
              </w:rPr>
            </w:pPr>
            <w:r w:rsidRPr="00CD3A8E">
              <w:rPr>
                <w:rFonts w:eastAsia="Times New Roman" w:cs="Calibri"/>
                <w:b/>
                <w:bCs/>
                <w:color w:val="000000"/>
                <w:sz w:val="20"/>
                <w:szCs w:val="20"/>
                <w:lang w:eastAsia="en-AU"/>
              </w:rPr>
              <w:t>TOTAL</w:t>
            </w:r>
          </w:p>
        </w:tc>
        <w:tc>
          <w:tcPr>
            <w:tcW w:w="1437" w:type="dxa"/>
            <w:tcBorders>
              <w:top w:val="nil"/>
              <w:left w:val="nil"/>
              <w:bottom w:val="single" w:sz="8" w:space="0" w:color="auto"/>
              <w:right w:val="single" w:sz="8" w:space="0" w:color="auto"/>
            </w:tcBorders>
            <w:vAlign w:val="center"/>
          </w:tcPr>
          <w:p w14:paraId="0D8F6962" w14:textId="0D1FDA13" w:rsidR="008272BB" w:rsidRPr="001C1C7E" w:rsidRDefault="008272BB" w:rsidP="008272BB">
            <w:pPr>
              <w:keepNext/>
              <w:keepLines/>
              <w:spacing w:after="0" w:line="240" w:lineRule="auto"/>
              <w:jc w:val="right"/>
              <w:rPr>
                <w:rFonts w:eastAsia="Times New Roman" w:cs="Calibri"/>
                <w:b/>
                <w:bCs/>
                <w:color w:val="000000"/>
                <w:sz w:val="20"/>
                <w:szCs w:val="20"/>
                <w:lang w:eastAsia="en-AU"/>
              </w:rPr>
            </w:pPr>
            <w:r>
              <w:rPr>
                <w:b/>
                <w:bCs/>
                <w:color w:val="000000"/>
                <w:sz w:val="20"/>
                <w:szCs w:val="20"/>
                <w:lang w:eastAsia="en-AU"/>
              </w:rPr>
              <w:t>$515,596,699</w:t>
            </w:r>
          </w:p>
        </w:tc>
        <w:tc>
          <w:tcPr>
            <w:tcW w:w="1834" w:type="dxa"/>
            <w:tcBorders>
              <w:top w:val="nil"/>
              <w:left w:val="nil"/>
              <w:bottom w:val="single" w:sz="8" w:space="0" w:color="auto"/>
              <w:right w:val="single" w:sz="8" w:space="0" w:color="auto"/>
            </w:tcBorders>
            <w:shd w:val="clear" w:color="auto" w:fill="D9E2F3"/>
            <w:vAlign w:val="center"/>
          </w:tcPr>
          <w:p w14:paraId="51CA7B1D" w14:textId="19FDB29E" w:rsidR="008272BB" w:rsidRPr="001C1C7E" w:rsidRDefault="008272BB" w:rsidP="008272BB">
            <w:pPr>
              <w:keepNext/>
              <w:keepLines/>
              <w:spacing w:after="0" w:line="240" w:lineRule="auto"/>
              <w:jc w:val="right"/>
              <w:rPr>
                <w:rFonts w:eastAsia="Times New Roman" w:cs="Calibri"/>
                <w:b/>
                <w:bCs/>
                <w:color w:val="000000"/>
                <w:sz w:val="20"/>
                <w:szCs w:val="20"/>
                <w:lang w:eastAsia="en-AU"/>
              </w:rPr>
            </w:pPr>
            <w:r>
              <w:rPr>
                <w:b/>
                <w:bCs/>
                <w:color w:val="000000"/>
                <w:sz w:val="20"/>
                <w:szCs w:val="20"/>
                <w:lang w:eastAsia="en-AU"/>
              </w:rPr>
              <w:t>100%</w:t>
            </w:r>
          </w:p>
        </w:tc>
        <w:tc>
          <w:tcPr>
            <w:tcW w:w="1575" w:type="dxa"/>
            <w:shd w:val="clear" w:color="auto" w:fill="auto"/>
            <w:vAlign w:val="center"/>
            <w:hideMark/>
          </w:tcPr>
          <w:p w14:paraId="5FE1EF4F" w14:textId="77777777" w:rsidR="008272BB" w:rsidRPr="001C1C7E" w:rsidRDefault="008272BB" w:rsidP="008272BB">
            <w:pPr>
              <w:keepNext/>
              <w:keepLines/>
              <w:spacing w:after="0" w:line="240" w:lineRule="auto"/>
              <w:jc w:val="right"/>
              <w:rPr>
                <w:rFonts w:eastAsia="Times New Roman" w:cs="Calibri"/>
                <w:b/>
                <w:bCs/>
                <w:color w:val="000000"/>
                <w:sz w:val="20"/>
                <w:szCs w:val="20"/>
                <w:lang w:eastAsia="en-AU"/>
              </w:rPr>
            </w:pPr>
            <w:r w:rsidRPr="001C1C7E">
              <w:rPr>
                <w:rFonts w:eastAsia="Times New Roman" w:cs="Calibri"/>
                <w:b/>
                <w:bCs/>
                <w:color w:val="000000"/>
                <w:sz w:val="20"/>
                <w:szCs w:val="20"/>
                <w:lang w:eastAsia="en-AU"/>
              </w:rPr>
              <w:t>$</w:t>
            </w:r>
            <w:r>
              <w:rPr>
                <w:rFonts w:eastAsia="Times New Roman" w:cs="Calibri"/>
                <w:b/>
                <w:bCs/>
                <w:color w:val="000000"/>
                <w:sz w:val="20"/>
                <w:szCs w:val="20"/>
                <w:lang w:eastAsia="en-AU"/>
              </w:rPr>
              <w:t>756,055,361</w:t>
            </w:r>
          </w:p>
        </w:tc>
        <w:tc>
          <w:tcPr>
            <w:tcW w:w="1843" w:type="dxa"/>
            <w:shd w:val="clear" w:color="000000" w:fill="D9E2F3"/>
            <w:vAlign w:val="center"/>
            <w:hideMark/>
          </w:tcPr>
          <w:p w14:paraId="79A6997D" w14:textId="77777777" w:rsidR="008272BB" w:rsidRPr="001C1C7E" w:rsidRDefault="008272BB" w:rsidP="008272BB">
            <w:pPr>
              <w:keepNext/>
              <w:keepLines/>
              <w:spacing w:after="0" w:line="240" w:lineRule="auto"/>
              <w:jc w:val="right"/>
              <w:rPr>
                <w:rFonts w:eastAsia="Times New Roman" w:cs="Calibri"/>
                <w:b/>
                <w:bCs/>
                <w:color w:val="000000"/>
                <w:sz w:val="20"/>
                <w:szCs w:val="20"/>
                <w:lang w:eastAsia="en-AU"/>
              </w:rPr>
            </w:pPr>
            <w:r w:rsidRPr="001C1C7E">
              <w:rPr>
                <w:rFonts w:eastAsia="Times New Roman" w:cs="Calibri"/>
                <w:b/>
                <w:bCs/>
                <w:color w:val="000000"/>
                <w:sz w:val="20"/>
                <w:szCs w:val="20"/>
                <w:lang w:eastAsia="en-AU"/>
              </w:rPr>
              <w:t>100%</w:t>
            </w:r>
          </w:p>
        </w:tc>
      </w:tr>
    </w:tbl>
    <w:p w14:paraId="5B2731FC" w14:textId="77777777" w:rsidR="005D7859" w:rsidRDefault="005D7859" w:rsidP="005D7859">
      <w:pPr>
        <w:spacing w:after="0" w:line="240" w:lineRule="auto"/>
        <w:rPr>
          <w:rFonts w:cs="Calibri"/>
          <w:color w:val="000000"/>
          <w:sz w:val="20"/>
          <w:szCs w:val="20"/>
        </w:rPr>
      </w:pPr>
      <w:r w:rsidRPr="00B403D7">
        <w:rPr>
          <w:rFonts w:cs="Calibri"/>
          <w:color w:val="000000"/>
          <w:sz w:val="20"/>
          <w:szCs w:val="20"/>
        </w:rPr>
        <w:t>Notes:</w:t>
      </w:r>
    </w:p>
    <w:p w14:paraId="2B2C322F" w14:textId="32B8EA3A" w:rsidR="005D7859" w:rsidRPr="005D7859" w:rsidRDefault="001C1C7E">
      <w:pPr>
        <w:pStyle w:val="ListParagraph"/>
        <w:numPr>
          <w:ilvl w:val="0"/>
          <w:numId w:val="25"/>
        </w:numPr>
        <w:spacing w:after="0" w:line="240" w:lineRule="auto"/>
        <w:rPr>
          <w:color w:val="000000"/>
          <w:sz w:val="20"/>
          <w:szCs w:val="20"/>
        </w:rPr>
      </w:pPr>
      <w:r w:rsidRPr="005D7859">
        <w:rPr>
          <w:rFonts w:asciiTheme="minorHAnsi" w:hAnsiTheme="minorHAnsi" w:cstheme="minorHAnsi"/>
          <w:sz w:val="20"/>
          <w:szCs w:val="20"/>
        </w:rPr>
        <w:t>DPP4</w:t>
      </w:r>
      <w:r w:rsidR="001D57A7">
        <w:rPr>
          <w:rFonts w:asciiTheme="minorHAnsi" w:hAnsiTheme="minorHAnsi" w:cstheme="minorHAnsi"/>
          <w:sz w:val="20"/>
          <w:szCs w:val="20"/>
        </w:rPr>
        <w:t xml:space="preserve"> inhibitor</w:t>
      </w:r>
      <w:r w:rsidRPr="005D7859">
        <w:rPr>
          <w:rFonts w:asciiTheme="minorHAnsi" w:hAnsiTheme="minorHAnsi" w:cstheme="minorHAnsi"/>
          <w:sz w:val="20"/>
          <w:szCs w:val="20"/>
        </w:rPr>
        <w:t xml:space="preserve"> and SGLT2</w:t>
      </w:r>
      <w:r w:rsidR="001D57A7">
        <w:rPr>
          <w:rFonts w:asciiTheme="minorHAnsi" w:hAnsiTheme="minorHAnsi" w:cstheme="minorHAnsi"/>
          <w:sz w:val="20"/>
          <w:szCs w:val="20"/>
        </w:rPr>
        <w:t xml:space="preserve"> inhibitor</w:t>
      </w:r>
      <w:r w:rsidRPr="005D7859">
        <w:rPr>
          <w:rFonts w:asciiTheme="minorHAnsi" w:hAnsiTheme="minorHAnsi" w:cstheme="minorHAnsi"/>
          <w:sz w:val="20"/>
          <w:szCs w:val="20"/>
        </w:rPr>
        <w:t xml:space="preserve"> include </w:t>
      </w:r>
      <w:r w:rsidR="001D57A7">
        <w:rPr>
          <w:rFonts w:asciiTheme="minorHAnsi" w:hAnsiTheme="minorHAnsi" w:cstheme="minorHAnsi"/>
          <w:sz w:val="20"/>
          <w:szCs w:val="20"/>
        </w:rPr>
        <w:t>benefits paid</w:t>
      </w:r>
      <w:r w:rsidRPr="005D7859">
        <w:rPr>
          <w:rFonts w:asciiTheme="minorHAnsi" w:hAnsiTheme="minorHAnsi" w:cstheme="minorHAnsi"/>
          <w:sz w:val="20"/>
          <w:szCs w:val="20"/>
        </w:rPr>
        <w:t xml:space="preserve"> for FDC</w:t>
      </w:r>
      <w:r w:rsidR="001D57A7">
        <w:rPr>
          <w:rFonts w:asciiTheme="minorHAnsi" w:hAnsiTheme="minorHAnsi" w:cstheme="minorHAnsi"/>
          <w:sz w:val="20"/>
          <w:szCs w:val="20"/>
        </w:rPr>
        <w:t>s</w:t>
      </w:r>
      <w:r w:rsidRPr="005D7859">
        <w:rPr>
          <w:rFonts w:asciiTheme="minorHAnsi" w:hAnsiTheme="minorHAnsi" w:cstheme="minorHAnsi"/>
          <w:sz w:val="20"/>
          <w:szCs w:val="20"/>
        </w:rPr>
        <w:t xml:space="preserve"> with metformin</w:t>
      </w:r>
      <w:r w:rsidR="00662D33" w:rsidRPr="005D7859">
        <w:rPr>
          <w:rFonts w:asciiTheme="minorHAnsi" w:hAnsiTheme="minorHAnsi" w:cstheme="minorHAnsi"/>
          <w:sz w:val="20"/>
          <w:szCs w:val="20"/>
        </w:rPr>
        <w:t>.</w:t>
      </w:r>
    </w:p>
    <w:p w14:paraId="230A1129" w14:textId="05AEE141" w:rsidR="00427126" w:rsidRPr="005D7859" w:rsidRDefault="00B82BBF">
      <w:pPr>
        <w:pStyle w:val="ListParagraph"/>
        <w:numPr>
          <w:ilvl w:val="0"/>
          <w:numId w:val="25"/>
        </w:numPr>
        <w:spacing w:after="0" w:line="240" w:lineRule="auto"/>
        <w:rPr>
          <w:color w:val="000000"/>
          <w:sz w:val="20"/>
          <w:szCs w:val="20"/>
        </w:rPr>
      </w:pPr>
      <w:r w:rsidRPr="00B82BBF">
        <w:rPr>
          <w:rFonts w:eastAsia="Times New Roman"/>
          <w:color w:val="000000"/>
          <w:sz w:val="20"/>
          <w:szCs w:val="20"/>
          <w:lang w:eastAsia="en-AU"/>
        </w:rPr>
        <w:t>R/PBS benefits paid based on published list prices.</w:t>
      </w:r>
      <w:r>
        <w:t xml:space="preserve"> </w:t>
      </w:r>
      <w:r w:rsidR="00427126" w:rsidRPr="005D7859">
        <w:rPr>
          <w:rFonts w:eastAsia="Times New Roman"/>
          <w:color w:val="000000"/>
          <w:sz w:val="20"/>
          <w:szCs w:val="20"/>
          <w:lang w:eastAsia="en-AU"/>
        </w:rPr>
        <w:t>Special pricing arrangements are in place for dulaglutide</w:t>
      </w:r>
      <w:r w:rsidR="00427126" w:rsidRPr="005D7859">
        <w:rPr>
          <w:rFonts w:eastAsia="Times New Roman"/>
          <w:b/>
          <w:bCs/>
          <w:color w:val="000000"/>
          <w:sz w:val="20"/>
          <w:szCs w:val="20"/>
          <w:vertAlign w:val="superscript"/>
          <w:lang w:eastAsia="en-AU"/>
        </w:rPr>
        <w:t xml:space="preserve"> </w:t>
      </w:r>
      <w:r w:rsidR="00427126" w:rsidRPr="005D7859">
        <w:rPr>
          <w:rFonts w:asciiTheme="minorHAnsi" w:hAnsiTheme="minorHAnsi" w:cstheme="minorHAnsi"/>
          <w:sz w:val="20"/>
          <w:szCs w:val="20"/>
        </w:rPr>
        <w:t>and semaglutide.</w:t>
      </w:r>
    </w:p>
    <w:p w14:paraId="339134C2" w14:textId="12B9B890" w:rsidR="005D7859" w:rsidRPr="005D7859" w:rsidRDefault="005D7859">
      <w:pPr>
        <w:pStyle w:val="ListParagraph"/>
        <w:numPr>
          <w:ilvl w:val="0"/>
          <w:numId w:val="25"/>
        </w:numPr>
        <w:spacing w:after="0" w:line="240" w:lineRule="auto"/>
        <w:rPr>
          <w:color w:val="000000"/>
          <w:sz w:val="20"/>
          <w:szCs w:val="20"/>
        </w:rPr>
      </w:pPr>
      <w:r w:rsidRPr="005D7859">
        <w:rPr>
          <w:rFonts w:asciiTheme="minorHAnsi" w:hAnsiTheme="minorHAnsi" w:cstheme="minorHAnsi"/>
          <w:sz w:val="20"/>
          <w:szCs w:val="20"/>
        </w:rPr>
        <w:t>First FDC of SGLT2</w:t>
      </w:r>
      <w:r>
        <w:rPr>
          <w:rFonts w:asciiTheme="minorHAnsi" w:hAnsiTheme="minorHAnsi" w:cstheme="minorHAnsi"/>
          <w:sz w:val="20"/>
          <w:szCs w:val="20"/>
        </w:rPr>
        <w:t xml:space="preserve"> inhibitor </w:t>
      </w:r>
      <w:r w:rsidRPr="005D7859">
        <w:rPr>
          <w:rFonts w:asciiTheme="minorHAnsi" w:hAnsiTheme="minorHAnsi" w:cstheme="minorHAnsi"/>
          <w:sz w:val="20"/>
          <w:szCs w:val="20"/>
        </w:rPr>
        <w:t>+</w:t>
      </w:r>
      <w:r>
        <w:rPr>
          <w:rFonts w:asciiTheme="minorHAnsi" w:hAnsiTheme="minorHAnsi" w:cstheme="minorHAnsi"/>
          <w:sz w:val="20"/>
          <w:szCs w:val="20"/>
        </w:rPr>
        <w:t xml:space="preserve"> </w:t>
      </w:r>
      <w:r w:rsidRPr="005D7859">
        <w:rPr>
          <w:rFonts w:asciiTheme="minorHAnsi" w:hAnsiTheme="minorHAnsi" w:cstheme="minorHAnsi"/>
          <w:sz w:val="20"/>
          <w:szCs w:val="20"/>
        </w:rPr>
        <w:t>DPP4</w:t>
      </w:r>
      <w:r>
        <w:rPr>
          <w:rFonts w:asciiTheme="minorHAnsi" w:hAnsiTheme="minorHAnsi" w:cstheme="minorHAnsi"/>
          <w:sz w:val="20"/>
          <w:szCs w:val="20"/>
        </w:rPr>
        <w:t xml:space="preserve"> inhibitor</w:t>
      </w:r>
      <w:r w:rsidRPr="005D7859">
        <w:rPr>
          <w:rFonts w:asciiTheme="minorHAnsi" w:hAnsiTheme="minorHAnsi" w:cstheme="minorHAnsi"/>
          <w:sz w:val="20"/>
          <w:szCs w:val="20"/>
        </w:rPr>
        <w:t xml:space="preserve"> not listed </w:t>
      </w:r>
      <w:r w:rsidR="001D57A7">
        <w:rPr>
          <w:rFonts w:asciiTheme="minorHAnsi" w:hAnsiTheme="minorHAnsi" w:cstheme="minorHAnsi"/>
          <w:sz w:val="20"/>
          <w:szCs w:val="20"/>
        </w:rPr>
        <w:t>until the</w:t>
      </w:r>
      <w:r w:rsidRPr="005D7859">
        <w:rPr>
          <w:rFonts w:asciiTheme="minorHAnsi" w:hAnsiTheme="minorHAnsi" w:cstheme="minorHAnsi"/>
          <w:sz w:val="20"/>
          <w:szCs w:val="20"/>
        </w:rPr>
        <w:t xml:space="preserve"> third quarter </w:t>
      </w:r>
      <w:r w:rsidR="001D57A7">
        <w:rPr>
          <w:rFonts w:asciiTheme="minorHAnsi" w:hAnsiTheme="minorHAnsi" w:cstheme="minorHAnsi"/>
          <w:sz w:val="20"/>
          <w:szCs w:val="20"/>
        </w:rPr>
        <w:t xml:space="preserve">of </w:t>
      </w:r>
      <w:r w:rsidRPr="005D7859">
        <w:rPr>
          <w:rFonts w:asciiTheme="minorHAnsi" w:hAnsiTheme="minorHAnsi" w:cstheme="minorHAnsi"/>
          <w:sz w:val="20"/>
          <w:szCs w:val="20"/>
        </w:rPr>
        <w:t>2018.</w:t>
      </w:r>
    </w:p>
    <w:p w14:paraId="752A944F" w14:textId="77777777" w:rsidR="005F7FBC" w:rsidRDefault="005F7FBC" w:rsidP="00C7336E">
      <w:pPr>
        <w:spacing w:line="240" w:lineRule="auto"/>
      </w:pPr>
    </w:p>
    <w:p w14:paraId="1E05AD0E" w14:textId="22829C3E" w:rsidR="007D1BB3" w:rsidRDefault="001E6EA4" w:rsidP="00C7336E">
      <w:pPr>
        <w:keepNext/>
        <w:keepLines/>
        <w:spacing w:line="240" w:lineRule="auto"/>
      </w:pPr>
      <w:r>
        <w:rPr>
          <w:noProof/>
        </w:rPr>
        <w:drawing>
          <wp:inline distT="0" distB="0" distL="0" distR="0" wp14:anchorId="07B0BED5" wp14:editId="53BB9967">
            <wp:extent cx="5731510" cy="3800475"/>
            <wp:effectExtent l="0" t="0" r="2540" b="9525"/>
            <wp:docPr id="4" name="Chart 4" descr="Graph showing quarterly R/PBS benefits paid for T2DM medicines by class between 2017 and mid-2022, based on published prices. In early 2022, GLP-1 RAs surpassed insulin, as the class with the highest R/PBS expenditure on T2DM therapy.">
              <a:extLst xmlns:a="http://schemas.openxmlformats.org/drawingml/2006/main">
                <a:ext uri="{FF2B5EF4-FFF2-40B4-BE49-F238E27FC236}">
                  <a16:creationId xmlns:a16="http://schemas.microsoft.com/office/drawing/2014/main" id="{E3FD0F2B-1EAC-4414-84AB-6BEF066CA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A321BD" w14:textId="2CAE5AB2" w:rsidR="0074405A" w:rsidRDefault="007D1BB3" w:rsidP="00C7336E">
      <w:pPr>
        <w:keepNext/>
        <w:keepLines/>
        <w:spacing w:before="60" w:after="60" w:line="240" w:lineRule="auto"/>
        <w:rPr>
          <w:b/>
        </w:rPr>
      </w:pPr>
      <w:r w:rsidRPr="00DF63B4">
        <w:rPr>
          <w:rFonts w:asciiTheme="minorHAnsi" w:hAnsiTheme="minorHAnsi" w:cstheme="minorHAnsi"/>
          <w:b/>
          <w:bCs/>
        </w:rPr>
        <w:t xml:space="preserve">Figure </w:t>
      </w:r>
      <w:r>
        <w:rPr>
          <w:rFonts w:asciiTheme="minorHAnsi" w:hAnsiTheme="minorHAnsi" w:cstheme="minorHAnsi"/>
          <w:b/>
          <w:bCs/>
        </w:rPr>
        <w:t>3</w:t>
      </w:r>
      <w:r w:rsidRPr="00DF63B4">
        <w:rPr>
          <w:rFonts w:asciiTheme="minorHAnsi" w:hAnsiTheme="minorHAnsi" w:cstheme="minorHAnsi"/>
          <w:b/>
          <w:bCs/>
        </w:rPr>
        <w:t xml:space="preserve">: </w:t>
      </w:r>
      <w:r w:rsidR="00CD3A8E">
        <w:rPr>
          <w:rFonts w:asciiTheme="minorHAnsi" w:hAnsiTheme="minorHAnsi" w:cstheme="minorHAnsi"/>
          <w:b/>
          <w:bCs/>
        </w:rPr>
        <w:t>R/PBS b</w:t>
      </w:r>
      <w:r w:rsidRPr="00DF63B4">
        <w:rPr>
          <w:rFonts w:asciiTheme="minorHAnsi" w:hAnsiTheme="minorHAnsi" w:cstheme="minorHAnsi"/>
          <w:b/>
          <w:bCs/>
        </w:rPr>
        <w:t xml:space="preserve">enefits </w:t>
      </w:r>
      <w:r>
        <w:rPr>
          <w:rFonts w:asciiTheme="minorHAnsi" w:hAnsiTheme="minorHAnsi" w:cstheme="minorHAnsi"/>
          <w:b/>
          <w:bCs/>
        </w:rPr>
        <w:t xml:space="preserve">paid </w:t>
      </w:r>
      <w:r w:rsidRPr="00DF63B4">
        <w:rPr>
          <w:rFonts w:asciiTheme="minorHAnsi" w:hAnsiTheme="minorHAnsi" w:cstheme="minorHAnsi"/>
          <w:b/>
          <w:bCs/>
        </w:rPr>
        <w:t xml:space="preserve">for T2DM medicines by class </w:t>
      </w:r>
      <w:r>
        <w:rPr>
          <w:b/>
        </w:rPr>
        <w:t>by quarter (</w:t>
      </w:r>
      <w:r w:rsidR="001D57A7">
        <w:rPr>
          <w:b/>
        </w:rPr>
        <w:t xml:space="preserve">Q1 </w:t>
      </w:r>
      <w:r>
        <w:rPr>
          <w:b/>
        </w:rPr>
        <w:t xml:space="preserve">2017 to </w:t>
      </w:r>
      <w:r w:rsidR="001D57A7">
        <w:rPr>
          <w:b/>
        </w:rPr>
        <w:t xml:space="preserve">Q2 </w:t>
      </w:r>
      <w:r>
        <w:rPr>
          <w:b/>
        </w:rPr>
        <w:t>2022)</w:t>
      </w:r>
    </w:p>
    <w:p w14:paraId="15E57806" w14:textId="09DE582D" w:rsidR="00427126" w:rsidRPr="003E20CA" w:rsidRDefault="00427126" w:rsidP="000143AB">
      <w:pPr>
        <w:pStyle w:val="Tablewriting"/>
        <w:rPr>
          <w:rFonts w:cstheme="minorHAnsi"/>
          <w:bCs/>
        </w:rPr>
      </w:pPr>
      <w:r>
        <w:t>Note: R/PBS benefits paid based on published list prices. Special pricing arrangements are in place for dulaglutide and semaglutide.</w:t>
      </w:r>
    </w:p>
    <w:p w14:paraId="45E645BF" w14:textId="77777777" w:rsidR="00662D33" w:rsidRDefault="00662D33" w:rsidP="00C7336E">
      <w:pPr>
        <w:spacing w:line="240" w:lineRule="auto"/>
      </w:pPr>
    </w:p>
    <w:p w14:paraId="3A12B03A" w14:textId="0A50FB2B" w:rsidR="00970549" w:rsidRDefault="00B775CF" w:rsidP="00C7336E">
      <w:pPr>
        <w:spacing w:line="240" w:lineRule="auto"/>
      </w:pPr>
      <w:r>
        <w:t xml:space="preserve">Figure 4 </w:t>
      </w:r>
      <w:r w:rsidR="007F234D">
        <w:t xml:space="preserve">and Table </w:t>
      </w:r>
      <w:r w:rsidR="000F4A60">
        <w:t>5</w:t>
      </w:r>
      <w:r w:rsidR="007F234D">
        <w:t xml:space="preserve"> </w:t>
      </w:r>
      <w:r>
        <w:t xml:space="preserve">show the </w:t>
      </w:r>
      <w:r w:rsidR="007F234D">
        <w:t xml:space="preserve">R/PBS </w:t>
      </w:r>
      <w:r>
        <w:t xml:space="preserve">prescriptions supplied for GLP-1 RAs, DPP4 inhibitors and SGLT2 inhibitors by quarter (Q1 2017 to Q2 2022 inclusive), </w:t>
      </w:r>
      <w:r w:rsidR="007F234D">
        <w:t xml:space="preserve">and by year, respectively. </w:t>
      </w:r>
      <w:r w:rsidR="00934F54">
        <w:t xml:space="preserve">Between 2017 and 2021, R/PBS prescriptions for these three classes of medicines increased almost 88%. </w:t>
      </w:r>
      <w:r w:rsidR="00970549" w:rsidRPr="00970549">
        <w:t xml:space="preserve">Since 2020, there has been </w:t>
      </w:r>
      <w:r w:rsidR="00934F54">
        <w:t xml:space="preserve">a rapid </w:t>
      </w:r>
      <w:r w:rsidR="00970549" w:rsidRPr="00970549">
        <w:t>increas</w:t>
      </w:r>
      <w:r w:rsidR="00934F54">
        <w:t>e in the</w:t>
      </w:r>
      <w:r w:rsidR="00970549" w:rsidRPr="00970549">
        <w:t xml:space="preserve"> use of GLP-1 RAs</w:t>
      </w:r>
      <w:r w:rsidR="00934F54">
        <w:t xml:space="preserve">. </w:t>
      </w:r>
      <w:r w:rsidR="007D1BB3">
        <w:t>Use of SGLT2 inhibitor + DPP4 inhibitor FDCs appears relatively low and stable</w:t>
      </w:r>
      <w:r w:rsidR="007F234D">
        <w:t xml:space="preserve">, representing around 3% of R/PBS prescriptions supplied </w:t>
      </w:r>
      <w:r w:rsidR="00662D33">
        <w:t xml:space="preserve">for </w:t>
      </w:r>
      <w:r w:rsidR="00934F54">
        <w:t xml:space="preserve">medicines in these three classes </w:t>
      </w:r>
      <w:r w:rsidR="007F234D">
        <w:t>between 2019 and 2022</w:t>
      </w:r>
      <w:r w:rsidR="007D1BB3">
        <w:t>.</w:t>
      </w:r>
    </w:p>
    <w:p w14:paraId="5553E6D8" w14:textId="4C55C058" w:rsidR="008764D7" w:rsidRDefault="001E6EA4" w:rsidP="00C7336E">
      <w:pPr>
        <w:keepNext/>
        <w:keepLines/>
        <w:spacing w:line="240" w:lineRule="auto"/>
        <w:rPr>
          <w:b/>
          <w:bCs/>
        </w:rPr>
      </w:pPr>
      <w:r>
        <w:rPr>
          <w:noProof/>
        </w:rPr>
        <w:drawing>
          <wp:inline distT="0" distB="0" distL="0" distR="0" wp14:anchorId="10C0C2D8" wp14:editId="772D2846">
            <wp:extent cx="5731510" cy="4362450"/>
            <wp:effectExtent l="0" t="0" r="2540" b="0"/>
            <wp:docPr id="6" name="Chart 6" descr="Graph showing quarterly R/PBS prescriptions supplied for GLP-1 RAs, DPP4 inhibitors and SGLT2 inhibitors between 2017 and mid-2022.">
              <a:extLst xmlns:a="http://schemas.openxmlformats.org/drawingml/2006/main">
                <a:ext uri="{FF2B5EF4-FFF2-40B4-BE49-F238E27FC236}">
                  <a16:creationId xmlns:a16="http://schemas.microsoft.com/office/drawing/2014/main" id="{D136C639-9FAC-40C3-9D0C-547A0E490C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B6F4BC4" w14:textId="49BA322A" w:rsidR="008764D7" w:rsidRDefault="00D6230F" w:rsidP="00C7336E">
      <w:pPr>
        <w:spacing w:before="60" w:after="60" w:line="240" w:lineRule="auto"/>
        <w:rPr>
          <w:b/>
          <w:bCs/>
        </w:rPr>
      </w:pPr>
      <w:r>
        <w:rPr>
          <w:b/>
          <w:bCs/>
        </w:rPr>
        <w:t xml:space="preserve">Figure </w:t>
      </w:r>
      <w:r w:rsidR="007D1BB3">
        <w:rPr>
          <w:b/>
          <w:bCs/>
        </w:rPr>
        <w:t>4</w:t>
      </w:r>
      <w:r>
        <w:rPr>
          <w:b/>
          <w:bCs/>
        </w:rPr>
        <w:t xml:space="preserve">: </w:t>
      </w:r>
      <w:r w:rsidR="005F7FBC">
        <w:rPr>
          <w:b/>
          <w:bCs/>
        </w:rPr>
        <w:t>R/PBS p</w:t>
      </w:r>
      <w:r w:rsidR="00970549">
        <w:rPr>
          <w:b/>
          <w:bCs/>
        </w:rPr>
        <w:t xml:space="preserve">rescriptions supplied </w:t>
      </w:r>
      <w:r>
        <w:rPr>
          <w:b/>
          <w:bCs/>
        </w:rPr>
        <w:t>of GLP1-RAs, DPP4</w:t>
      </w:r>
      <w:r w:rsidR="00970549">
        <w:rPr>
          <w:b/>
          <w:bCs/>
        </w:rPr>
        <w:t xml:space="preserve"> inhibitors</w:t>
      </w:r>
      <w:r>
        <w:rPr>
          <w:b/>
          <w:bCs/>
        </w:rPr>
        <w:t xml:space="preserve"> </w:t>
      </w:r>
      <w:r w:rsidR="00970549">
        <w:rPr>
          <w:b/>
          <w:bCs/>
        </w:rPr>
        <w:t xml:space="preserve">and </w:t>
      </w:r>
      <w:r>
        <w:rPr>
          <w:b/>
          <w:bCs/>
        </w:rPr>
        <w:t xml:space="preserve">SGLT2 </w:t>
      </w:r>
      <w:r w:rsidR="00970549">
        <w:rPr>
          <w:b/>
          <w:bCs/>
        </w:rPr>
        <w:t xml:space="preserve">inhibitors </w:t>
      </w:r>
      <w:r w:rsidR="005F7FBC">
        <w:rPr>
          <w:b/>
          <w:bCs/>
        </w:rPr>
        <w:t xml:space="preserve">and FDCs including these classes of medicine </w:t>
      </w:r>
      <w:r w:rsidR="00970549">
        <w:rPr>
          <w:b/>
          <w:bCs/>
        </w:rPr>
        <w:t>(Q1 2017 to Q2 2022)</w:t>
      </w:r>
    </w:p>
    <w:p w14:paraId="072362E2" w14:textId="77777777" w:rsidR="007F234D" w:rsidRDefault="007F234D" w:rsidP="00C7336E">
      <w:pPr>
        <w:spacing w:line="240" w:lineRule="auto"/>
        <w:rPr>
          <w:b/>
          <w:bCs/>
        </w:rPr>
      </w:pPr>
    </w:p>
    <w:p w14:paraId="4A8D4D8A" w14:textId="584B4016" w:rsidR="005F7FBC" w:rsidRPr="008C7D49" w:rsidRDefault="005F7FBC" w:rsidP="001E6EA4">
      <w:pPr>
        <w:pStyle w:val="Tableheading"/>
        <w:keepNext/>
        <w:keepLines/>
      </w:pPr>
      <w:r w:rsidRPr="008C7D49">
        <w:lastRenderedPageBreak/>
        <w:t xml:space="preserve">Table </w:t>
      </w:r>
      <w:r w:rsidR="000F4A60">
        <w:t>5</w:t>
      </w:r>
      <w:r w:rsidRPr="008C7D49">
        <w:t xml:space="preserve">: </w:t>
      </w:r>
      <w:r>
        <w:t>R/PBS prescriptions for</w:t>
      </w:r>
      <w:r w:rsidRPr="008C7D49">
        <w:t xml:space="preserve"> GLP1-RAs, DPP4</w:t>
      </w:r>
      <w:r>
        <w:t xml:space="preserve"> inhibitors</w:t>
      </w:r>
      <w:r w:rsidRPr="008C7D49">
        <w:t>, SGLT2</w:t>
      </w:r>
      <w:r>
        <w:t xml:space="preserve"> inhibitors</w:t>
      </w:r>
      <w:r w:rsidRPr="008C7D49">
        <w:t xml:space="preserve"> and DPP4</w:t>
      </w:r>
      <w:r>
        <w:t xml:space="preserve"> inhibitor + </w:t>
      </w:r>
      <w:r w:rsidRPr="008C7D49">
        <w:t>SGLT2</w:t>
      </w:r>
      <w:r>
        <w:t xml:space="preserve"> inhibitor</w:t>
      </w:r>
      <w:r w:rsidRPr="008C7D49">
        <w:t xml:space="preserve"> FDCs </w:t>
      </w:r>
      <w:r>
        <w:t>and percentage of total (2017 to 2022)</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358"/>
        <w:gridCol w:w="1352"/>
        <w:gridCol w:w="1363"/>
        <w:gridCol w:w="1515"/>
        <w:gridCol w:w="2075"/>
      </w:tblGrid>
      <w:tr w:rsidR="001E6EA4" w:rsidRPr="008C7D49" w14:paraId="597717DC" w14:textId="77777777" w:rsidTr="001C0F09">
        <w:trPr>
          <w:jc w:val="right"/>
        </w:trPr>
        <w:tc>
          <w:tcPr>
            <w:tcW w:w="750" w:type="pct"/>
            <w:shd w:val="clear" w:color="auto" w:fill="D0CECE" w:themeFill="background2" w:themeFillShade="E6"/>
          </w:tcPr>
          <w:p w14:paraId="0284A024" w14:textId="77777777" w:rsidR="001E6EA4" w:rsidRPr="000674A3" w:rsidRDefault="001E6EA4" w:rsidP="001E6EA4">
            <w:pPr>
              <w:pStyle w:val="TableText"/>
              <w:keepNext/>
              <w:keepLines/>
              <w:rPr>
                <w:b/>
                <w:bCs/>
              </w:rPr>
            </w:pPr>
            <w:r w:rsidRPr="000674A3">
              <w:rPr>
                <w:b/>
                <w:bCs/>
              </w:rPr>
              <w:t>Year</w:t>
            </w:r>
          </w:p>
        </w:tc>
        <w:tc>
          <w:tcPr>
            <w:tcW w:w="753" w:type="pct"/>
            <w:shd w:val="clear" w:color="auto" w:fill="D0CECE" w:themeFill="background2" w:themeFillShade="E6"/>
          </w:tcPr>
          <w:p w14:paraId="3500413F" w14:textId="432ECDD3" w:rsidR="001E6EA4" w:rsidRPr="000674A3" w:rsidRDefault="001E6EA4" w:rsidP="001E6EA4">
            <w:pPr>
              <w:pStyle w:val="TableText"/>
              <w:keepNext/>
              <w:keepLines/>
              <w:rPr>
                <w:b/>
                <w:bCs/>
              </w:rPr>
            </w:pPr>
            <w:r w:rsidRPr="000674A3">
              <w:rPr>
                <w:b/>
                <w:bCs/>
              </w:rPr>
              <w:t>DPP4i</w:t>
            </w:r>
            <w:r w:rsidR="001D57A7" w:rsidRPr="001D57A7">
              <w:rPr>
                <w:b/>
                <w:bCs/>
                <w:vertAlign w:val="superscript"/>
              </w:rPr>
              <w:t>1</w:t>
            </w:r>
          </w:p>
        </w:tc>
        <w:tc>
          <w:tcPr>
            <w:tcW w:w="750" w:type="pct"/>
            <w:shd w:val="clear" w:color="auto" w:fill="D0CECE" w:themeFill="background2" w:themeFillShade="E6"/>
          </w:tcPr>
          <w:p w14:paraId="65D3E242" w14:textId="77777777" w:rsidR="001E6EA4" w:rsidRPr="000674A3" w:rsidRDefault="001E6EA4" w:rsidP="001E6EA4">
            <w:pPr>
              <w:pStyle w:val="TableText"/>
              <w:keepNext/>
              <w:keepLines/>
              <w:rPr>
                <w:b/>
                <w:bCs/>
              </w:rPr>
            </w:pPr>
            <w:r w:rsidRPr="000674A3">
              <w:rPr>
                <w:b/>
                <w:bCs/>
              </w:rPr>
              <w:t>GLP-1 RA</w:t>
            </w:r>
          </w:p>
        </w:tc>
        <w:tc>
          <w:tcPr>
            <w:tcW w:w="756" w:type="pct"/>
            <w:shd w:val="clear" w:color="auto" w:fill="D0CECE" w:themeFill="background2" w:themeFillShade="E6"/>
          </w:tcPr>
          <w:p w14:paraId="0C9BDCB0" w14:textId="759AFF0D" w:rsidR="001E6EA4" w:rsidRPr="000674A3" w:rsidRDefault="001E6EA4" w:rsidP="001E6EA4">
            <w:pPr>
              <w:pStyle w:val="TableText"/>
              <w:keepNext/>
              <w:keepLines/>
              <w:rPr>
                <w:b/>
                <w:bCs/>
              </w:rPr>
            </w:pPr>
            <w:r w:rsidRPr="000674A3">
              <w:rPr>
                <w:b/>
                <w:bCs/>
              </w:rPr>
              <w:t>SGLT2i</w:t>
            </w:r>
            <w:r w:rsidR="001D57A7" w:rsidRPr="001D57A7">
              <w:rPr>
                <w:b/>
                <w:bCs/>
                <w:vertAlign w:val="superscript"/>
              </w:rPr>
              <w:t>1</w:t>
            </w:r>
          </w:p>
        </w:tc>
        <w:tc>
          <w:tcPr>
            <w:tcW w:w="840" w:type="pct"/>
            <w:shd w:val="clear" w:color="auto" w:fill="D0CECE" w:themeFill="background2" w:themeFillShade="E6"/>
          </w:tcPr>
          <w:p w14:paraId="526E1631" w14:textId="4B194608" w:rsidR="001E6EA4" w:rsidRPr="000674A3" w:rsidRDefault="001E6EA4" w:rsidP="001E6EA4">
            <w:pPr>
              <w:pStyle w:val="TableText"/>
              <w:keepNext/>
              <w:keepLines/>
              <w:rPr>
                <w:b/>
                <w:bCs/>
              </w:rPr>
            </w:pPr>
            <w:r w:rsidRPr="000674A3">
              <w:rPr>
                <w:b/>
                <w:bCs/>
              </w:rPr>
              <w:t>SGLT2i+DPP4i</w:t>
            </w:r>
            <w:r w:rsidR="001D57A7" w:rsidRPr="001D57A7">
              <w:rPr>
                <w:b/>
                <w:bCs/>
                <w:vertAlign w:val="superscript"/>
              </w:rPr>
              <w:t>2</w:t>
            </w:r>
          </w:p>
        </w:tc>
        <w:tc>
          <w:tcPr>
            <w:tcW w:w="1151" w:type="pct"/>
            <w:shd w:val="clear" w:color="auto" w:fill="D0CECE" w:themeFill="background2" w:themeFillShade="E6"/>
          </w:tcPr>
          <w:p w14:paraId="64562FDD" w14:textId="77777777" w:rsidR="001E6EA4" w:rsidRPr="000674A3" w:rsidRDefault="001E6EA4" w:rsidP="001E6EA4">
            <w:pPr>
              <w:pStyle w:val="TableText"/>
              <w:keepNext/>
              <w:keepLines/>
              <w:rPr>
                <w:b/>
                <w:bCs/>
              </w:rPr>
            </w:pPr>
            <w:r w:rsidRPr="000674A3">
              <w:rPr>
                <w:b/>
                <w:bCs/>
              </w:rPr>
              <w:t>TOTAL</w:t>
            </w:r>
          </w:p>
        </w:tc>
      </w:tr>
      <w:tr w:rsidR="001E6EA4" w:rsidRPr="008C7D49" w14:paraId="63D515B8" w14:textId="77777777" w:rsidTr="001C0F09">
        <w:trPr>
          <w:jc w:val="right"/>
        </w:trPr>
        <w:tc>
          <w:tcPr>
            <w:tcW w:w="750" w:type="pct"/>
            <w:shd w:val="clear" w:color="auto" w:fill="D0CECE" w:themeFill="background2" w:themeFillShade="E6"/>
          </w:tcPr>
          <w:p w14:paraId="48DB4650" w14:textId="77777777" w:rsidR="001E6EA4" w:rsidRPr="000674A3" w:rsidRDefault="001E6EA4" w:rsidP="001E6EA4">
            <w:pPr>
              <w:pStyle w:val="TableText"/>
              <w:keepNext/>
              <w:keepLines/>
              <w:rPr>
                <w:b/>
                <w:bCs/>
              </w:rPr>
            </w:pPr>
            <w:r w:rsidRPr="000674A3">
              <w:rPr>
                <w:b/>
                <w:bCs/>
              </w:rPr>
              <w:t>2017</w:t>
            </w:r>
          </w:p>
        </w:tc>
        <w:tc>
          <w:tcPr>
            <w:tcW w:w="753" w:type="pct"/>
          </w:tcPr>
          <w:p w14:paraId="1F253A6A" w14:textId="77777777" w:rsidR="001E6EA4" w:rsidRPr="008C7D49" w:rsidRDefault="001E6EA4" w:rsidP="001E6EA4">
            <w:pPr>
              <w:pStyle w:val="TableText"/>
              <w:keepNext/>
              <w:keepLines/>
              <w:jc w:val="right"/>
            </w:pPr>
            <w:r>
              <w:t>2,761,649</w:t>
            </w:r>
          </w:p>
        </w:tc>
        <w:tc>
          <w:tcPr>
            <w:tcW w:w="750" w:type="pct"/>
          </w:tcPr>
          <w:p w14:paraId="723EB5B1" w14:textId="77777777" w:rsidR="001E6EA4" w:rsidRPr="008C7D49" w:rsidRDefault="001E6EA4" w:rsidP="001E6EA4">
            <w:pPr>
              <w:pStyle w:val="TableText"/>
              <w:keepNext/>
              <w:keepLines/>
              <w:jc w:val="right"/>
            </w:pPr>
            <w:r>
              <w:t>372,336</w:t>
            </w:r>
          </w:p>
        </w:tc>
        <w:tc>
          <w:tcPr>
            <w:tcW w:w="756" w:type="pct"/>
          </w:tcPr>
          <w:p w14:paraId="6ACD488D" w14:textId="77777777" w:rsidR="001E6EA4" w:rsidRPr="008C7D49" w:rsidRDefault="001E6EA4" w:rsidP="001E6EA4">
            <w:pPr>
              <w:pStyle w:val="TableText"/>
              <w:keepNext/>
              <w:keepLines/>
              <w:jc w:val="right"/>
            </w:pPr>
            <w:r>
              <w:t>1,357,938</w:t>
            </w:r>
          </w:p>
        </w:tc>
        <w:tc>
          <w:tcPr>
            <w:tcW w:w="840" w:type="pct"/>
          </w:tcPr>
          <w:p w14:paraId="60652FCC" w14:textId="4563D053" w:rsidR="001E6EA4" w:rsidRPr="008C7D49" w:rsidRDefault="001D57A7" w:rsidP="001E6EA4">
            <w:pPr>
              <w:pStyle w:val="TableText"/>
              <w:keepNext/>
              <w:keepLines/>
              <w:jc w:val="right"/>
            </w:pPr>
            <w:r>
              <w:t>NA</w:t>
            </w:r>
          </w:p>
        </w:tc>
        <w:tc>
          <w:tcPr>
            <w:tcW w:w="1151" w:type="pct"/>
          </w:tcPr>
          <w:p w14:paraId="24E79893" w14:textId="77777777" w:rsidR="001E6EA4" w:rsidRPr="008C7D49" w:rsidRDefault="001E6EA4" w:rsidP="001E6EA4">
            <w:pPr>
              <w:pStyle w:val="TableText"/>
              <w:keepNext/>
              <w:keepLines/>
              <w:jc w:val="right"/>
            </w:pPr>
            <w:r>
              <w:t>4,491,923</w:t>
            </w:r>
          </w:p>
        </w:tc>
      </w:tr>
      <w:tr w:rsidR="001E6EA4" w:rsidRPr="008C7D49" w14:paraId="0AF09122" w14:textId="77777777" w:rsidTr="001C0F09">
        <w:trPr>
          <w:jc w:val="right"/>
        </w:trPr>
        <w:tc>
          <w:tcPr>
            <w:tcW w:w="750" w:type="pct"/>
            <w:shd w:val="clear" w:color="auto" w:fill="D5DCE4" w:themeFill="text2" w:themeFillTint="33"/>
          </w:tcPr>
          <w:p w14:paraId="00AF1747" w14:textId="77777777" w:rsidR="001E6EA4" w:rsidRPr="000674A3" w:rsidRDefault="001E6EA4" w:rsidP="001E6EA4">
            <w:pPr>
              <w:pStyle w:val="TableText"/>
              <w:keepNext/>
              <w:keepLines/>
              <w:rPr>
                <w:b/>
                <w:bCs/>
              </w:rPr>
            </w:pPr>
            <w:r w:rsidRPr="000674A3">
              <w:rPr>
                <w:b/>
                <w:bCs/>
              </w:rPr>
              <w:t>% of total</w:t>
            </w:r>
          </w:p>
        </w:tc>
        <w:tc>
          <w:tcPr>
            <w:tcW w:w="753" w:type="pct"/>
            <w:shd w:val="clear" w:color="auto" w:fill="D5DCE4" w:themeFill="text2" w:themeFillTint="33"/>
          </w:tcPr>
          <w:p w14:paraId="581CB3B1" w14:textId="77777777" w:rsidR="001E6EA4" w:rsidRPr="008C7D49" w:rsidRDefault="001E6EA4" w:rsidP="001E6EA4">
            <w:pPr>
              <w:pStyle w:val="TableText"/>
              <w:keepNext/>
              <w:keepLines/>
              <w:jc w:val="right"/>
            </w:pPr>
            <w:r>
              <w:t>62%</w:t>
            </w:r>
          </w:p>
        </w:tc>
        <w:tc>
          <w:tcPr>
            <w:tcW w:w="750" w:type="pct"/>
            <w:shd w:val="clear" w:color="auto" w:fill="D5DCE4" w:themeFill="text2" w:themeFillTint="33"/>
          </w:tcPr>
          <w:p w14:paraId="60267048" w14:textId="77777777" w:rsidR="001E6EA4" w:rsidRPr="008C7D49" w:rsidRDefault="001E6EA4" w:rsidP="001E6EA4">
            <w:pPr>
              <w:pStyle w:val="TableText"/>
              <w:keepNext/>
              <w:keepLines/>
              <w:jc w:val="right"/>
            </w:pPr>
            <w:r>
              <w:t>8%</w:t>
            </w:r>
          </w:p>
        </w:tc>
        <w:tc>
          <w:tcPr>
            <w:tcW w:w="756" w:type="pct"/>
            <w:shd w:val="clear" w:color="auto" w:fill="D5DCE4" w:themeFill="text2" w:themeFillTint="33"/>
          </w:tcPr>
          <w:p w14:paraId="3DAE5D70" w14:textId="77777777" w:rsidR="001E6EA4" w:rsidRPr="008C7D49" w:rsidRDefault="001E6EA4" w:rsidP="001E6EA4">
            <w:pPr>
              <w:pStyle w:val="TableText"/>
              <w:keepNext/>
              <w:keepLines/>
              <w:jc w:val="right"/>
            </w:pPr>
            <w:r>
              <w:t>30%</w:t>
            </w:r>
          </w:p>
        </w:tc>
        <w:tc>
          <w:tcPr>
            <w:tcW w:w="840" w:type="pct"/>
            <w:shd w:val="clear" w:color="auto" w:fill="D5DCE4" w:themeFill="text2" w:themeFillTint="33"/>
          </w:tcPr>
          <w:p w14:paraId="65435F03" w14:textId="1223800F" w:rsidR="001E6EA4" w:rsidRPr="008C7D49" w:rsidRDefault="001D57A7" w:rsidP="001E6EA4">
            <w:pPr>
              <w:pStyle w:val="TableText"/>
              <w:keepNext/>
              <w:keepLines/>
              <w:jc w:val="right"/>
            </w:pPr>
            <w:r>
              <w:t>NA</w:t>
            </w:r>
          </w:p>
        </w:tc>
        <w:tc>
          <w:tcPr>
            <w:tcW w:w="1151" w:type="pct"/>
            <w:shd w:val="clear" w:color="auto" w:fill="D5DCE4" w:themeFill="text2" w:themeFillTint="33"/>
          </w:tcPr>
          <w:p w14:paraId="64A0E14F" w14:textId="77777777" w:rsidR="001E6EA4" w:rsidRPr="008C7D49" w:rsidRDefault="001E6EA4" w:rsidP="001E6EA4">
            <w:pPr>
              <w:pStyle w:val="TableText"/>
              <w:keepNext/>
              <w:keepLines/>
              <w:jc w:val="right"/>
            </w:pPr>
            <w:r>
              <w:t>100%</w:t>
            </w:r>
          </w:p>
        </w:tc>
      </w:tr>
      <w:tr w:rsidR="001E6EA4" w:rsidRPr="008C7D49" w14:paraId="19DEAA26" w14:textId="77777777" w:rsidTr="001C0F09">
        <w:trPr>
          <w:jc w:val="right"/>
        </w:trPr>
        <w:tc>
          <w:tcPr>
            <w:tcW w:w="750" w:type="pct"/>
            <w:shd w:val="clear" w:color="auto" w:fill="D0CECE" w:themeFill="background2" w:themeFillShade="E6"/>
          </w:tcPr>
          <w:p w14:paraId="49FC7B60" w14:textId="77777777" w:rsidR="001E6EA4" w:rsidRPr="000674A3" w:rsidRDefault="001E6EA4" w:rsidP="001E6EA4">
            <w:pPr>
              <w:pStyle w:val="TableText"/>
              <w:keepNext/>
              <w:keepLines/>
              <w:rPr>
                <w:b/>
                <w:bCs/>
              </w:rPr>
            </w:pPr>
            <w:r w:rsidRPr="000674A3">
              <w:rPr>
                <w:b/>
                <w:bCs/>
              </w:rPr>
              <w:t>2018</w:t>
            </w:r>
          </w:p>
        </w:tc>
        <w:tc>
          <w:tcPr>
            <w:tcW w:w="753" w:type="pct"/>
          </w:tcPr>
          <w:p w14:paraId="7615EA4A" w14:textId="77777777" w:rsidR="001E6EA4" w:rsidRPr="008C7D49" w:rsidRDefault="001E6EA4" w:rsidP="001E6EA4">
            <w:pPr>
              <w:pStyle w:val="TableText"/>
              <w:keepNext/>
              <w:keepLines/>
              <w:jc w:val="right"/>
            </w:pPr>
            <w:r>
              <w:t>3,060,872</w:t>
            </w:r>
          </w:p>
        </w:tc>
        <w:tc>
          <w:tcPr>
            <w:tcW w:w="750" w:type="pct"/>
          </w:tcPr>
          <w:p w14:paraId="41C9FF9C" w14:textId="77777777" w:rsidR="001E6EA4" w:rsidRPr="008C7D49" w:rsidRDefault="001E6EA4" w:rsidP="001E6EA4">
            <w:pPr>
              <w:pStyle w:val="TableText"/>
              <w:keepNext/>
              <w:keepLines/>
              <w:jc w:val="right"/>
            </w:pPr>
            <w:r>
              <w:t>450,622</w:t>
            </w:r>
          </w:p>
        </w:tc>
        <w:tc>
          <w:tcPr>
            <w:tcW w:w="756" w:type="pct"/>
          </w:tcPr>
          <w:p w14:paraId="7D5FDEB5" w14:textId="77777777" w:rsidR="001E6EA4" w:rsidRPr="008C7D49" w:rsidRDefault="001E6EA4" w:rsidP="001E6EA4">
            <w:pPr>
              <w:pStyle w:val="TableText"/>
              <w:keepNext/>
              <w:keepLines/>
              <w:jc w:val="right"/>
            </w:pPr>
            <w:r>
              <w:t>1,844,335</w:t>
            </w:r>
          </w:p>
        </w:tc>
        <w:tc>
          <w:tcPr>
            <w:tcW w:w="840" w:type="pct"/>
          </w:tcPr>
          <w:p w14:paraId="61EFBA31" w14:textId="77777777" w:rsidR="001E6EA4" w:rsidRPr="008C7D49" w:rsidRDefault="001E6EA4" w:rsidP="001E6EA4">
            <w:pPr>
              <w:pStyle w:val="TableText"/>
              <w:keepNext/>
              <w:keepLines/>
              <w:jc w:val="right"/>
            </w:pPr>
            <w:r>
              <w:t>49,393</w:t>
            </w:r>
          </w:p>
        </w:tc>
        <w:tc>
          <w:tcPr>
            <w:tcW w:w="1151" w:type="pct"/>
          </w:tcPr>
          <w:p w14:paraId="44C6CE21" w14:textId="77777777" w:rsidR="001E6EA4" w:rsidRPr="008C7D49" w:rsidRDefault="001E6EA4" w:rsidP="001E6EA4">
            <w:pPr>
              <w:pStyle w:val="TableText"/>
              <w:keepNext/>
              <w:keepLines/>
              <w:jc w:val="right"/>
            </w:pPr>
            <w:r>
              <w:t>5,405,222</w:t>
            </w:r>
          </w:p>
        </w:tc>
      </w:tr>
      <w:tr w:rsidR="001E6EA4" w:rsidRPr="008C7D49" w14:paraId="16EFDA44" w14:textId="77777777" w:rsidTr="001C0F09">
        <w:trPr>
          <w:jc w:val="right"/>
        </w:trPr>
        <w:tc>
          <w:tcPr>
            <w:tcW w:w="750" w:type="pct"/>
            <w:shd w:val="clear" w:color="auto" w:fill="D5DCE4" w:themeFill="text2" w:themeFillTint="33"/>
          </w:tcPr>
          <w:p w14:paraId="0E322556" w14:textId="77777777" w:rsidR="001E6EA4" w:rsidRPr="000674A3" w:rsidRDefault="001E6EA4" w:rsidP="001E6EA4">
            <w:pPr>
              <w:pStyle w:val="TableText"/>
              <w:keepNext/>
              <w:keepLines/>
              <w:rPr>
                <w:b/>
                <w:bCs/>
              </w:rPr>
            </w:pPr>
            <w:r w:rsidRPr="000674A3">
              <w:rPr>
                <w:b/>
                <w:bCs/>
              </w:rPr>
              <w:t>% of total</w:t>
            </w:r>
          </w:p>
        </w:tc>
        <w:tc>
          <w:tcPr>
            <w:tcW w:w="753" w:type="pct"/>
            <w:shd w:val="clear" w:color="auto" w:fill="D5DCE4" w:themeFill="text2" w:themeFillTint="33"/>
          </w:tcPr>
          <w:p w14:paraId="34CF0A31" w14:textId="77777777" w:rsidR="001E6EA4" w:rsidRPr="008C7D49" w:rsidRDefault="001E6EA4" w:rsidP="001E6EA4">
            <w:pPr>
              <w:pStyle w:val="TableText"/>
              <w:keepNext/>
              <w:keepLines/>
              <w:jc w:val="right"/>
            </w:pPr>
            <w:r>
              <w:t>57%</w:t>
            </w:r>
          </w:p>
        </w:tc>
        <w:tc>
          <w:tcPr>
            <w:tcW w:w="750" w:type="pct"/>
            <w:shd w:val="clear" w:color="auto" w:fill="D5DCE4" w:themeFill="text2" w:themeFillTint="33"/>
          </w:tcPr>
          <w:p w14:paraId="05C6CB40" w14:textId="77777777" w:rsidR="001E6EA4" w:rsidRPr="008C7D49" w:rsidRDefault="001E6EA4" w:rsidP="001E6EA4">
            <w:pPr>
              <w:pStyle w:val="TableText"/>
              <w:keepNext/>
              <w:keepLines/>
              <w:jc w:val="right"/>
            </w:pPr>
            <w:r>
              <w:t>8%</w:t>
            </w:r>
          </w:p>
        </w:tc>
        <w:tc>
          <w:tcPr>
            <w:tcW w:w="756" w:type="pct"/>
            <w:shd w:val="clear" w:color="auto" w:fill="D5DCE4" w:themeFill="text2" w:themeFillTint="33"/>
          </w:tcPr>
          <w:p w14:paraId="36701ABC" w14:textId="77777777" w:rsidR="001E6EA4" w:rsidRPr="008C7D49" w:rsidRDefault="001E6EA4" w:rsidP="001E6EA4">
            <w:pPr>
              <w:pStyle w:val="TableText"/>
              <w:keepNext/>
              <w:keepLines/>
              <w:jc w:val="right"/>
            </w:pPr>
            <w:r>
              <w:t>34%</w:t>
            </w:r>
          </w:p>
        </w:tc>
        <w:tc>
          <w:tcPr>
            <w:tcW w:w="840" w:type="pct"/>
            <w:shd w:val="clear" w:color="auto" w:fill="D5DCE4" w:themeFill="text2" w:themeFillTint="33"/>
          </w:tcPr>
          <w:p w14:paraId="05BE78E4" w14:textId="77777777" w:rsidR="001E6EA4" w:rsidRPr="008C7D49" w:rsidRDefault="001E6EA4" w:rsidP="001E6EA4">
            <w:pPr>
              <w:pStyle w:val="TableText"/>
              <w:keepNext/>
              <w:keepLines/>
              <w:jc w:val="right"/>
            </w:pPr>
            <w:r>
              <w:t>1%</w:t>
            </w:r>
          </w:p>
        </w:tc>
        <w:tc>
          <w:tcPr>
            <w:tcW w:w="1151" w:type="pct"/>
            <w:shd w:val="clear" w:color="auto" w:fill="D5DCE4" w:themeFill="text2" w:themeFillTint="33"/>
          </w:tcPr>
          <w:p w14:paraId="77306717" w14:textId="77777777" w:rsidR="001E6EA4" w:rsidRPr="008C7D49" w:rsidRDefault="001E6EA4" w:rsidP="001E6EA4">
            <w:pPr>
              <w:pStyle w:val="TableText"/>
              <w:keepNext/>
              <w:keepLines/>
              <w:jc w:val="right"/>
            </w:pPr>
            <w:r>
              <w:t>100%</w:t>
            </w:r>
          </w:p>
        </w:tc>
      </w:tr>
      <w:tr w:rsidR="001E6EA4" w:rsidRPr="008C7D49" w14:paraId="03DF82AE" w14:textId="77777777" w:rsidTr="001C0F09">
        <w:trPr>
          <w:jc w:val="right"/>
        </w:trPr>
        <w:tc>
          <w:tcPr>
            <w:tcW w:w="750" w:type="pct"/>
            <w:shd w:val="clear" w:color="auto" w:fill="D0CECE" w:themeFill="background2" w:themeFillShade="E6"/>
          </w:tcPr>
          <w:p w14:paraId="0A950E64" w14:textId="77777777" w:rsidR="001E6EA4" w:rsidRPr="000674A3" w:rsidRDefault="001E6EA4" w:rsidP="001E6EA4">
            <w:pPr>
              <w:pStyle w:val="TableText"/>
              <w:keepNext/>
              <w:keepLines/>
              <w:rPr>
                <w:b/>
                <w:bCs/>
              </w:rPr>
            </w:pPr>
            <w:r w:rsidRPr="000674A3">
              <w:rPr>
                <w:b/>
                <w:bCs/>
              </w:rPr>
              <w:t>2019</w:t>
            </w:r>
          </w:p>
        </w:tc>
        <w:tc>
          <w:tcPr>
            <w:tcW w:w="753" w:type="pct"/>
          </w:tcPr>
          <w:p w14:paraId="1355C1D6" w14:textId="77777777" w:rsidR="001E6EA4" w:rsidRPr="008C7D49" w:rsidRDefault="001E6EA4" w:rsidP="001E6EA4">
            <w:pPr>
              <w:pStyle w:val="TableText"/>
              <w:keepNext/>
              <w:keepLines/>
              <w:jc w:val="right"/>
            </w:pPr>
            <w:r>
              <w:t>3,349,031</w:t>
            </w:r>
          </w:p>
        </w:tc>
        <w:tc>
          <w:tcPr>
            <w:tcW w:w="750" w:type="pct"/>
          </w:tcPr>
          <w:p w14:paraId="5BF9E85C" w14:textId="77777777" w:rsidR="001E6EA4" w:rsidRPr="008C7D49" w:rsidRDefault="001E6EA4" w:rsidP="001E6EA4">
            <w:pPr>
              <w:pStyle w:val="TableText"/>
              <w:keepNext/>
              <w:keepLines/>
              <w:jc w:val="right"/>
            </w:pPr>
            <w:r>
              <w:t>592,045</w:t>
            </w:r>
          </w:p>
        </w:tc>
        <w:tc>
          <w:tcPr>
            <w:tcW w:w="756" w:type="pct"/>
          </w:tcPr>
          <w:p w14:paraId="1D54056A" w14:textId="77777777" w:rsidR="001E6EA4" w:rsidRPr="008C7D49" w:rsidRDefault="001E6EA4" w:rsidP="001E6EA4">
            <w:pPr>
              <w:pStyle w:val="TableText"/>
              <w:keepNext/>
              <w:keepLines/>
              <w:jc w:val="right"/>
            </w:pPr>
            <w:r>
              <w:t>2,212,140</w:t>
            </w:r>
          </w:p>
        </w:tc>
        <w:tc>
          <w:tcPr>
            <w:tcW w:w="840" w:type="pct"/>
          </w:tcPr>
          <w:p w14:paraId="3B606DE1" w14:textId="77777777" w:rsidR="001E6EA4" w:rsidRPr="008C7D49" w:rsidRDefault="001E6EA4" w:rsidP="001E6EA4">
            <w:pPr>
              <w:pStyle w:val="TableText"/>
              <w:keepNext/>
              <w:keepLines/>
              <w:jc w:val="right"/>
            </w:pPr>
            <w:r>
              <w:t>159,300</w:t>
            </w:r>
          </w:p>
        </w:tc>
        <w:tc>
          <w:tcPr>
            <w:tcW w:w="1151" w:type="pct"/>
          </w:tcPr>
          <w:p w14:paraId="7D641751" w14:textId="77777777" w:rsidR="001E6EA4" w:rsidRPr="008C7D49" w:rsidRDefault="001E6EA4" w:rsidP="001E6EA4">
            <w:pPr>
              <w:pStyle w:val="TableText"/>
              <w:keepNext/>
              <w:keepLines/>
              <w:jc w:val="right"/>
            </w:pPr>
            <w:r>
              <w:t>6,312,516</w:t>
            </w:r>
          </w:p>
        </w:tc>
      </w:tr>
      <w:tr w:rsidR="001E6EA4" w:rsidRPr="008C7D49" w14:paraId="0D3C799E" w14:textId="77777777" w:rsidTr="001C0F09">
        <w:trPr>
          <w:jc w:val="right"/>
        </w:trPr>
        <w:tc>
          <w:tcPr>
            <w:tcW w:w="750" w:type="pct"/>
            <w:shd w:val="clear" w:color="auto" w:fill="D5DCE4" w:themeFill="text2" w:themeFillTint="33"/>
          </w:tcPr>
          <w:p w14:paraId="30A4F141" w14:textId="77777777" w:rsidR="001E6EA4" w:rsidRPr="000674A3" w:rsidRDefault="001E6EA4" w:rsidP="001E6EA4">
            <w:pPr>
              <w:pStyle w:val="TableText"/>
              <w:keepNext/>
              <w:keepLines/>
              <w:rPr>
                <w:b/>
                <w:bCs/>
              </w:rPr>
            </w:pPr>
            <w:r w:rsidRPr="000674A3">
              <w:rPr>
                <w:b/>
                <w:bCs/>
              </w:rPr>
              <w:t>% of total</w:t>
            </w:r>
          </w:p>
        </w:tc>
        <w:tc>
          <w:tcPr>
            <w:tcW w:w="753" w:type="pct"/>
            <w:shd w:val="clear" w:color="auto" w:fill="D5DCE4" w:themeFill="text2" w:themeFillTint="33"/>
          </w:tcPr>
          <w:p w14:paraId="42C80C40" w14:textId="77777777" w:rsidR="001E6EA4" w:rsidRPr="008C7D49" w:rsidRDefault="001E6EA4" w:rsidP="001E6EA4">
            <w:pPr>
              <w:pStyle w:val="TableText"/>
              <w:keepNext/>
              <w:keepLines/>
              <w:jc w:val="right"/>
            </w:pPr>
            <w:r>
              <w:t>53%</w:t>
            </w:r>
          </w:p>
        </w:tc>
        <w:tc>
          <w:tcPr>
            <w:tcW w:w="750" w:type="pct"/>
            <w:shd w:val="clear" w:color="auto" w:fill="D5DCE4" w:themeFill="text2" w:themeFillTint="33"/>
          </w:tcPr>
          <w:p w14:paraId="0F8AD197" w14:textId="77777777" w:rsidR="001E6EA4" w:rsidRPr="008C7D49" w:rsidRDefault="001E6EA4" w:rsidP="001E6EA4">
            <w:pPr>
              <w:pStyle w:val="TableText"/>
              <w:keepNext/>
              <w:keepLines/>
              <w:jc w:val="right"/>
            </w:pPr>
            <w:r>
              <w:t>9%</w:t>
            </w:r>
          </w:p>
        </w:tc>
        <w:tc>
          <w:tcPr>
            <w:tcW w:w="756" w:type="pct"/>
            <w:shd w:val="clear" w:color="auto" w:fill="D5DCE4" w:themeFill="text2" w:themeFillTint="33"/>
          </w:tcPr>
          <w:p w14:paraId="5B973544" w14:textId="77777777" w:rsidR="001E6EA4" w:rsidRPr="008C7D49" w:rsidRDefault="001E6EA4" w:rsidP="001E6EA4">
            <w:pPr>
              <w:pStyle w:val="TableText"/>
              <w:keepNext/>
              <w:keepLines/>
              <w:jc w:val="right"/>
            </w:pPr>
            <w:r>
              <w:t>35%</w:t>
            </w:r>
          </w:p>
        </w:tc>
        <w:tc>
          <w:tcPr>
            <w:tcW w:w="840" w:type="pct"/>
            <w:shd w:val="clear" w:color="auto" w:fill="D5DCE4" w:themeFill="text2" w:themeFillTint="33"/>
          </w:tcPr>
          <w:p w14:paraId="52E3605F" w14:textId="77777777" w:rsidR="001E6EA4" w:rsidRPr="008C7D49" w:rsidRDefault="001E6EA4" w:rsidP="001E6EA4">
            <w:pPr>
              <w:pStyle w:val="TableText"/>
              <w:keepNext/>
              <w:keepLines/>
              <w:jc w:val="right"/>
            </w:pPr>
            <w:r>
              <w:t>3%</w:t>
            </w:r>
          </w:p>
        </w:tc>
        <w:tc>
          <w:tcPr>
            <w:tcW w:w="1151" w:type="pct"/>
            <w:shd w:val="clear" w:color="auto" w:fill="D5DCE4" w:themeFill="text2" w:themeFillTint="33"/>
          </w:tcPr>
          <w:p w14:paraId="77F50136" w14:textId="77777777" w:rsidR="001E6EA4" w:rsidRPr="008C7D49" w:rsidRDefault="001E6EA4" w:rsidP="001E6EA4">
            <w:pPr>
              <w:pStyle w:val="TableText"/>
              <w:keepNext/>
              <w:keepLines/>
              <w:jc w:val="right"/>
            </w:pPr>
            <w:r>
              <w:t>100%</w:t>
            </w:r>
          </w:p>
        </w:tc>
      </w:tr>
      <w:tr w:rsidR="001E6EA4" w:rsidRPr="008C7D49" w14:paraId="61F28BDD" w14:textId="77777777" w:rsidTr="001C0F09">
        <w:trPr>
          <w:jc w:val="right"/>
        </w:trPr>
        <w:tc>
          <w:tcPr>
            <w:tcW w:w="750" w:type="pct"/>
            <w:shd w:val="clear" w:color="auto" w:fill="D0CECE" w:themeFill="background2" w:themeFillShade="E6"/>
          </w:tcPr>
          <w:p w14:paraId="641265C2" w14:textId="77777777" w:rsidR="001E6EA4" w:rsidRPr="000674A3" w:rsidRDefault="001E6EA4" w:rsidP="001E6EA4">
            <w:pPr>
              <w:pStyle w:val="TableText"/>
              <w:keepNext/>
              <w:keepLines/>
              <w:rPr>
                <w:b/>
                <w:bCs/>
              </w:rPr>
            </w:pPr>
            <w:r w:rsidRPr="000674A3">
              <w:rPr>
                <w:b/>
                <w:bCs/>
              </w:rPr>
              <w:t>2020</w:t>
            </w:r>
          </w:p>
        </w:tc>
        <w:tc>
          <w:tcPr>
            <w:tcW w:w="753" w:type="pct"/>
          </w:tcPr>
          <w:p w14:paraId="30D6A8A2" w14:textId="77777777" w:rsidR="001E6EA4" w:rsidRPr="008C7D49" w:rsidRDefault="001E6EA4" w:rsidP="001E6EA4">
            <w:pPr>
              <w:pStyle w:val="TableText"/>
              <w:keepNext/>
              <w:keepLines/>
              <w:jc w:val="right"/>
            </w:pPr>
            <w:r>
              <w:t>3,636,223</w:t>
            </w:r>
          </w:p>
        </w:tc>
        <w:tc>
          <w:tcPr>
            <w:tcW w:w="750" w:type="pct"/>
          </w:tcPr>
          <w:p w14:paraId="36100A92" w14:textId="77777777" w:rsidR="001E6EA4" w:rsidRPr="008C7D49" w:rsidRDefault="001E6EA4" w:rsidP="001E6EA4">
            <w:pPr>
              <w:pStyle w:val="TableText"/>
              <w:keepNext/>
              <w:keepLines/>
              <w:jc w:val="right"/>
            </w:pPr>
            <w:r>
              <w:t>787,589</w:t>
            </w:r>
          </w:p>
        </w:tc>
        <w:tc>
          <w:tcPr>
            <w:tcW w:w="756" w:type="pct"/>
          </w:tcPr>
          <w:p w14:paraId="207253F7" w14:textId="77777777" w:rsidR="001E6EA4" w:rsidRPr="008C7D49" w:rsidRDefault="001E6EA4" w:rsidP="001E6EA4">
            <w:pPr>
              <w:pStyle w:val="TableText"/>
              <w:keepNext/>
              <w:keepLines/>
              <w:jc w:val="right"/>
            </w:pPr>
            <w:r>
              <w:t>2,688,282</w:t>
            </w:r>
          </w:p>
        </w:tc>
        <w:tc>
          <w:tcPr>
            <w:tcW w:w="840" w:type="pct"/>
          </w:tcPr>
          <w:p w14:paraId="5D0BE4CC" w14:textId="77777777" w:rsidR="001E6EA4" w:rsidRPr="008C7D49" w:rsidRDefault="001E6EA4" w:rsidP="001E6EA4">
            <w:pPr>
              <w:pStyle w:val="TableText"/>
              <w:keepNext/>
              <w:keepLines/>
              <w:jc w:val="right"/>
            </w:pPr>
            <w:r>
              <w:t>222,183</w:t>
            </w:r>
          </w:p>
        </w:tc>
        <w:tc>
          <w:tcPr>
            <w:tcW w:w="1151" w:type="pct"/>
          </w:tcPr>
          <w:p w14:paraId="2C555D8C" w14:textId="77777777" w:rsidR="001E6EA4" w:rsidRPr="008C7D49" w:rsidRDefault="001E6EA4" w:rsidP="001E6EA4">
            <w:pPr>
              <w:pStyle w:val="TableText"/>
              <w:keepNext/>
              <w:keepLines/>
              <w:jc w:val="right"/>
            </w:pPr>
            <w:r>
              <w:t>7,334,277</w:t>
            </w:r>
          </w:p>
        </w:tc>
      </w:tr>
      <w:tr w:rsidR="001E6EA4" w:rsidRPr="008C7D49" w14:paraId="040736CD" w14:textId="77777777" w:rsidTr="001C0F09">
        <w:trPr>
          <w:jc w:val="right"/>
        </w:trPr>
        <w:tc>
          <w:tcPr>
            <w:tcW w:w="750" w:type="pct"/>
            <w:shd w:val="clear" w:color="auto" w:fill="D5DCE4" w:themeFill="text2" w:themeFillTint="33"/>
          </w:tcPr>
          <w:p w14:paraId="30EC8C7B" w14:textId="77777777" w:rsidR="001E6EA4" w:rsidRPr="000674A3" w:rsidRDefault="001E6EA4" w:rsidP="001E6EA4">
            <w:pPr>
              <w:pStyle w:val="TableText"/>
              <w:keepNext/>
              <w:keepLines/>
              <w:rPr>
                <w:b/>
                <w:bCs/>
              </w:rPr>
            </w:pPr>
            <w:r w:rsidRPr="000674A3">
              <w:rPr>
                <w:b/>
                <w:bCs/>
              </w:rPr>
              <w:t>% of total</w:t>
            </w:r>
          </w:p>
        </w:tc>
        <w:tc>
          <w:tcPr>
            <w:tcW w:w="753" w:type="pct"/>
            <w:shd w:val="clear" w:color="auto" w:fill="D5DCE4" w:themeFill="text2" w:themeFillTint="33"/>
          </w:tcPr>
          <w:p w14:paraId="7DD6136F" w14:textId="77777777" w:rsidR="001E6EA4" w:rsidRPr="008C7D49" w:rsidRDefault="001E6EA4" w:rsidP="001E6EA4">
            <w:pPr>
              <w:pStyle w:val="TableText"/>
              <w:keepNext/>
              <w:keepLines/>
              <w:jc w:val="right"/>
            </w:pPr>
            <w:r>
              <w:t>49.5%</w:t>
            </w:r>
          </w:p>
        </w:tc>
        <w:tc>
          <w:tcPr>
            <w:tcW w:w="750" w:type="pct"/>
            <w:shd w:val="clear" w:color="auto" w:fill="D5DCE4" w:themeFill="text2" w:themeFillTint="33"/>
          </w:tcPr>
          <w:p w14:paraId="18B497D7" w14:textId="77777777" w:rsidR="001E6EA4" w:rsidRPr="008C7D49" w:rsidRDefault="001E6EA4" w:rsidP="001E6EA4">
            <w:pPr>
              <w:pStyle w:val="TableText"/>
              <w:keepNext/>
              <w:keepLines/>
              <w:jc w:val="right"/>
            </w:pPr>
            <w:r>
              <w:t>10.5%</w:t>
            </w:r>
          </w:p>
        </w:tc>
        <w:tc>
          <w:tcPr>
            <w:tcW w:w="756" w:type="pct"/>
            <w:shd w:val="clear" w:color="auto" w:fill="D5DCE4" w:themeFill="text2" w:themeFillTint="33"/>
          </w:tcPr>
          <w:p w14:paraId="6331D929" w14:textId="77777777" w:rsidR="001E6EA4" w:rsidRPr="008C7D49" w:rsidRDefault="001E6EA4" w:rsidP="001E6EA4">
            <w:pPr>
              <w:pStyle w:val="TableText"/>
              <w:keepNext/>
              <w:keepLines/>
              <w:jc w:val="right"/>
            </w:pPr>
            <w:r>
              <w:t>37%</w:t>
            </w:r>
          </w:p>
        </w:tc>
        <w:tc>
          <w:tcPr>
            <w:tcW w:w="840" w:type="pct"/>
            <w:shd w:val="clear" w:color="auto" w:fill="D5DCE4" w:themeFill="text2" w:themeFillTint="33"/>
          </w:tcPr>
          <w:p w14:paraId="0A64F3BB" w14:textId="77777777" w:rsidR="001E6EA4" w:rsidRPr="008C7D49" w:rsidRDefault="001E6EA4" w:rsidP="001E6EA4">
            <w:pPr>
              <w:pStyle w:val="TableText"/>
              <w:keepNext/>
              <w:keepLines/>
              <w:jc w:val="right"/>
            </w:pPr>
            <w:r>
              <w:t>3%</w:t>
            </w:r>
          </w:p>
        </w:tc>
        <w:tc>
          <w:tcPr>
            <w:tcW w:w="1151" w:type="pct"/>
            <w:shd w:val="clear" w:color="auto" w:fill="D5DCE4" w:themeFill="text2" w:themeFillTint="33"/>
          </w:tcPr>
          <w:p w14:paraId="5DE70DBF" w14:textId="77777777" w:rsidR="001E6EA4" w:rsidRPr="008C7D49" w:rsidRDefault="001E6EA4" w:rsidP="001E6EA4">
            <w:pPr>
              <w:pStyle w:val="TableText"/>
              <w:keepNext/>
              <w:keepLines/>
              <w:jc w:val="right"/>
            </w:pPr>
            <w:r>
              <w:t>100%</w:t>
            </w:r>
          </w:p>
        </w:tc>
      </w:tr>
      <w:tr w:rsidR="001E6EA4" w:rsidRPr="008C7D49" w14:paraId="30C366A0" w14:textId="77777777" w:rsidTr="001C0F09">
        <w:trPr>
          <w:jc w:val="right"/>
        </w:trPr>
        <w:tc>
          <w:tcPr>
            <w:tcW w:w="750" w:type="pct"/>
            <w:shd w:val="clear" w:color="auto" w:fill="D0CECE" w:themeFill="background2" w:themeFillShade="E6"/>
          </w:tcPr>
          <w:p w14:paraId="23CE04DB" w14:textId="77777777" w:rsidR="001E6EA4" w:rsidRPr="000674A3" w:rsidRDefault="001E6EA4" w:rsidP="001E6EA4">
            <w:pPr>
              <w:pStyle w:val="TableText"/>
              <w:keepNext/>
              <w:keepLines/>
              <w:rPr>
                <w:b/>
                <w:bCs/>
              </w:rPr>
            </w:pPr>
            <w:r w:rsidRPr="000674A3">
              <w:rPr>
                <w:b/>
                <w:bCs/>
              </w:rPr>
              <w:t>2021</w:t>
            </w:r>
          </w:p>
        </w:tc>
        <w:tc>
          <w:tcPr>
            <w:tcW w:w="753" w:type="pct"/>
          </w:tcPr>
          <w:p w14:paraId="319D09BF" w14:textId="77777777" w:rsidR="001E6EA4" w:rsidRPr="008C7D49" w:rsidRDefault="001E6EA4" w:rsidP="001E6EA4">
            <w:pPr>
              <w:pStyle w:val="TableText"/>
              <w:keepNext/>
              <w:keepLines/>
              <w:jc w:val="right"/>
            </w:pPr>
            <w:r>
              <w:t>3,731,790</w:t>
            </w:r>
          </w:p>
        </w:tc>
        <w:tc>
          <w:tcPr>
            <w:tcW w:w="750" w:type="pct"/>
          </w:tcPr>
          <w:p w14:paraId="708BA319" w14:textId="77777777" w:rsidR="001E6EA4" w:rsidRPr="008C7D49" w:rsidRDefault="001E6EA4" w:rsidP="001E6EA4">
            <w:pPr>
              <w:pStyle w:val="TableText"/>
              <w:keepNext/>
              <w:keepLines/>
              <w:jc w:val="right"/>
            </w:pPr>
            <w:r>
              <w:t>1,290,283</w:t>
            </w:r>
          </w:p>
        </w:tc>
        <w:tc>
          <w:tcPr>
            <w:tcW w:w="756" w:type="pct"/>
          </w:tcPr>
          <w:p w14:paraId="37FCF78F" w14:textId="77777777" w:rsidR="001E6EA4" w:rsidRPr="008C7D49" w:rsidRDefault="001E6EA4" w:rsidP="001E6EA4">
            <w:pPr>
              <w:pStyle w:val="TableText"/>
              <w:keepNext/>
              <w:keepLines/>
              <w:jc w:val="right"/>
            </w:pPr>
            <w:r>
              <w:t>3,110,585</w:t>
            </w:r>
          </w:p>
        </w:tc>
        <w:tc>
          <w:tcPr>
            <w:tcW w:w="840" w:type="pct"/>
          </w:tcPr>
          <w:p w14:paraId="7EB1FDFD" w14:textId="77777777" w:rsidR="001E6EA4" w:rsidRPr="008C7D49" w:rsidRDefault="001E6EA4" w:rsidP="001E6EA4">
            <w:pPr>
              <w:pStyle w:val="TableText"/>
              <w:keepNext/>
              <w:keepLines/>
              <w:jc w:val="right"/>
            </w:pPr>
            <w:r>
              <w:t>293,477</w:t>
            </w:r>
          </w:p>
        </w:tc>
        <w:tc>
          <w:tcPr>
            <w:tcW w:w="1151" w:type="pct"/>
          </w:tcPr>
          <w:p w14:paraId="0D69D956" w14:textId="77777777" w:rsidR="001E6EA4" w:rsidRPr="008C7D49" w:rsidRDefault="001E6EA4" w:rsidP="001E6EA4">
            <w:pPr>
              <w:pStyle w:val="TableText"/>
              <w:keepNext/>
              <w:keepLines/>
              <w:jc w:val="right"/>
            </w:pPr>
            <w:r>
              <w:t>8,426,135</w:t>
            </w:r>
          </w:p>
        </w:tc>
      </w:tr>
      <w:tr w:rsidR="001E6EA4" w:rsidRPr="008C7D49" w14:paraId="7A52469E" w14:textId="77777777" w:rsidTr="001C0F09">
        <w:trPr>
          <w:jc w:val="right"/>
        </w:trPr>
        <w:tc>
          <w:tcPr>
            <w:tcW w:w="750" w:type="pct"/>
            <w:shd w:val="clear" w:color="auto" w:fill="D5DCE4" w:themeFill="text2" w:themeFillTint="33"/>
          </w:tcPr>
          <w:p w14:paraId="5344CC4F" w14:textId="77777777" w:rsidR="001E6EA4" w:rsidRPr="000674A3" w:rsidRDefault="001E6EA4" w:rsidP="001E6EA4">
            <w:pPr>
              <w:pStyle w:val="TableText"/>
              <w:keepNext/>
              <w:keepLines/>
              <w:rPr>
                <w:b/>
                <w:bCs/>
              </w:rPr>
            </w:pPr>
            <w:r w:rsidRPr="000674A3">
              <w:rPr>
                <w:b/>
                <w:bCs/>
              </w:rPr>
              <w:t>% of total</w:t>
            </w:r>
          </w:p>
        </w:tc>
        <w:tc>
          <w:tcPr>
            <w:tcW w:w="753" w:type="pct"/>
            <w:shd w:val="clear" w:color="auto" w:fill="D5DCE4" w:themeFill="text2" w:themeFillTint="33"/>
          </w:tcPr>
          <w:p w14:paraId="115ED7C8" w14:textId="77777777" w:rsidR="001E6EA4" w:rsidRPr="008C7D49" w:rsidRDefault="001E6EA4" w:rsidP="001E6EA4">
            <w:pPr>
              <w:pStyle w:val="TableText"/>
              <w:keepNext/>
              <w:keepLines/>
              <w:jc w:val="right"/>
            </w:pPr>
            <w:r>
              <w:t>44%</w:t>
            </w:r>
          </w:p>
        </w:tc>
        <w:tc>
          <w:tcPr>
            <w:tcW w:w="750" w:type="pct"/>
            <w:shd w:val="clear" w:color="auto" w:fill="D5DCE4" w:themeFill="text2" w:themeFillTint="33"/>
          </w:tcPr>
          <w:p w14:paraId="7E88C867" w14:textId="77777777" w:rsidR="001E6EA4" w:rsidRPr="008C7D49" w:rsidRDefault="001E6EA4" w:rsidP="001E6EA4">
            <w:pPr>
              <w:pStyle w:val="TableText"/>
              <w:keepNext/>
              <w:keepLines/>
              <w:jc w:val="right"/>
            </w:pPr>
            <w:r>
              <w:t>15%</w:t>
            </w:r>
          </w:p>
        </w:tc>
        <w:tc>
          <w:tcPr>
            <w:tcW w:w="756" w:type="pct"/>
            <w:shd w:val="clear" w:color="auto" w:fill="D5DCE4" w:themeFill="text2" w:themeFillTint="33"/>
          </w:tcPr>
          <w:p w14:paraId="607D12D3" w14:textId="77777777" w:rsidR="001E6EA4" w:rsidRPr="008C7D49" w:rsidRDefault="001E6EA4" w:rsidP="001E6EA4">
            <w:pPr>
              <w:pStyle w:val="TableText"/>
              <w:keepNext/>
              <w:keepLines/>
              <w:jc w:val="right"/>
            </w:pPr>
            <w:r>
              <w:t>37%</w:t>
            </w:r>
          </w:p>
        </w:tc>
        <w:tc>
          <w:tcPr>
            <w:tcW w:w="840" w:type="pct"/>
            <w:shd w:val="clear" w:color="auto" w:fill="D5DCE4" w:themeFill="text2" w:themeFillTint="33"/>
          </w:tcPr>
          <w:p w14:paraId="394808C9" w14:textId="77777777" w:rsidR="001E6EA4" w:rsidRPr="008C7D49" w:rsidRDefault="001E6EA4" w:rsidP="001E6EA4">
            <w:pPr>
              <w:pStyle w:val="TableText"/>
              <w:keepNext/>
              <w:keepLines/>
              <w:jc w:val="right"/>
            </w:pPr>
            <w:r>
              <w:t>4%</w:t>
            </w:r>
          </w:p>
        </w:tc>
        <w:tc>
          <w:tcPr>
            <w:tcW w:w="1151" w:type="pct"/>
            <w:shd w:val="clear" w:color="auto" w:fill="D5DCE4" w:themeFill="text2" w:themeFillTint="33"/>
          </w:tcPr>
          <w:p w14:paraId="1B85E296" w14:textId="77777777" w:rsidR="001E6EA4" w:rsidRPr="008C7D49" w:rsidRDefault="001E6EA4" w:rsidP="001E6EA4">
            <w:pPr>
              <w:pStyle w:val="TableText"/>
              <w:keepNext/>
              <w:keepLines/>
              <w:jc w:val="right"/>
            </w:pPr>
            <w:r>
              <w:t>100%</w:t>
            </w:r>
          </w:p>
        </w:tc>
      </w:tr>
      <w:tr w:rsidR="001E6EA4" w:rsidRPr="008C7D49" w14:paraId="33CB7423" w14:textId="77777777" w:rsidTr="001C0F09">
        <w:trPr>
          <w:jc w:val="right"/>
        </w:trPr>
        <w:tc>
          <w:tcPr>
            <w:tcW w:w="750" w:type="pct"/>
            <w:shd w:val="clear" w:color="auto" w:fill="D0CECE" w:themeFill="background2" w:themeFillShade="E6"/>
          </w:tcPr>
          <w:p w14:paraId="416C0918" w14:textId="0CADD5DD" w:rsidR="001E6EA4" w:rsidRPr="000674A3" w:rsidRDefault="001E6EA4" w:rsidP="001E6EA4">
            <w:pPr>
              <w:pStyle w:val="TableText"/>
              <w:keepNext/>
              <w:keepLines/>
              <w:rPr>
                <w:b/>
                <w:bCs/>
                <w:vertAlign w:val="superscript"/>
              </w:rPr>
            </w:pPr>
            <w:r w:rsidRPr="000674A3">
              <w:rPr>
                <w:b/>
                <w:bCs/>
              </w:rPr>
              <w:t>2022</w:t>
            </w:r>
            <w:r w:rsidR="001D57A7" w:rsidRPr="001D57A7">
              <w:rPr>
                <w:b/>
                <w:bCs/>
                <w:vertAlign w:val="superscript"/>
              </w:rPr>
              <w:t>3</w:t>
            </w:r>
          </w:p>
        </w:tc>
        <w:tc>
          <w:tcPr>
            <w:tcW w:w="753" w:type="pct"/>
          </w:tcPr>
          <w:p w14:paraId="68A5B48F" w14:textId="77777777" w:rsidR="001E6EA4" w:rsidRPr="008C7D49" w:rsidRDefault="001E6EA4" w:rsidP="001E6EA4">
            <w:pPr>
              <w:pStyle w:val="TableText"/>
              <w:keepNext/>
              <w:keepLines/>
              <w:jc w:val="right"/>
            </w:pPr>
            <w:r>
              <w:t>1,771,236</w:t>
            </w:r>
          </w:p>
        </w:tc>
        <w:tc>
          <w:tcPr>
            <w:tcW w:w="750" w:type="pct"/>
          </w:tcPr>
          <w:p w14:paraId="380CBFCB" w14:textId="77777777" w:rsidR="001E6EA4" w:rsidRPr="008C7D49" w:rsidRDefault="001E6EA4" w:rsidP="001E6EA4">
            <w:pPr>
              <w:pStyle w:val="TableText"/>
              <w:keepNext/>
              <w:keepLines/>
              <w:jc w:val="right"/>
            </w:pPr>
            <w:r>
              <w:t>934,227</w:t>
            </w:r>
          </w:p>
        </w:tc>
        <w:tc>
          <w:tcPr>
            <w:tcW w:w="756" w:type="pct"/>
          </w:tcPr>
          <w:p w14:paraId="5C26B386" w14:textId="77777777" w:rsidR="001E6EA4" w:rsidRPr="008C7D49" w:rsidRDefault="001E6EA4" w:rsidP="001E6EA4">
            <w:pPr>
              <w:pStyle w:val="TableText"/>
              <w:keepNext/>
              <w:keepLines/>
              <w:jc w:val="right"/>
            </w:pPr>
            <w:r>
              <w:t>1,624,113</w:t>
            </w:r>
          </w:p>
        </w:tc>
        <w:tc>
          <w:tcPr>
            <w:tcW w:w="840" w:type="pct"/>
          </w:tcPr>
          <w:p w14:paraId="53C20148" w14:textId="77777777" w:rsidR="001E6EA4" w:rsidRPr="008C7D49" w:rsidRDefault="001E6EA4" w:rsidP="001E6EA4">
            <w:pPr>
              <w:pStyle w:val="TableText"/>
              <w:keepNext/>
              <w:keepLines/>
              <w:jc w:val="right"/>
            </w:pPr>
            <w:r>
              <w:t>148,575</w:t>
            </w:r>
          </w:p>
        </w:tc>
        <w:tc>
          <w:tcPr>
            <w:tcW w:w="1151" w:type="pct"/>
          </w:tcPr>
          <w:p w14:paraId="54B80CAF" w14:textId="77777777" w:rsidR="001E6EA4" w:rsidRPr="008C7D49" w:rsidRDefault="001E6EA4" w:rsidP="001E6EA4">
            <w:pPr>
              <w:pStyle w:val="TableText"/>
              <w:keepNext/>
              <w:keepLines/>
              <w:jc w:val="right"/>
            </w:pPr>
            <w:r>
              <w:t>4,478,151</w:t>
            </w:r>
          </w:p>
        </w:tc>
      </w:tr>
      <w:tr w:rsidR="001E6EA4" w:rsidRPr="008C7D49" w14:paraId="08E07522" w14:textId="77777777" w:rsidTr="001C0F09">
        <w:trPr>
          <w:jc w:val="right"/>
        </w:trPr>
        <w:tc>
          <w:tcPr>
            <w:tcW w:w="750" w:type="pct"/>
            <w:shd w:val="clear" w:color="auto" w:fill="D5DCE4" w:themeFill="text2" w:themeFillTint="33"/>
          </w:tcPr>
          <w:p w14:paraId="1F331F09" w14:textId="77777777" w:rsidR="001E6EA4" w:rsidRPr="000674A3" w:rsidRDefault="001E6EA4" w:rsidP="001E6EA4">
            <w:pPr>
              <w:pStyle w:val="TableText"/>
              <w:keepNext/>
              <w:keepLines/>
              <w:rPr>
                <w:b/>
                <w:bCs/>
              </w:rPr>
            </w:pPr>
            <w:r w:rsidRPr="000674A3">
              <w:rPr>
                <w:b/>
                <w:bCs/>
              </w:rPr>
              <w:t>% of total</w:t>
            </w:r>
          </w:p>
        </w:tc>
        <w:tc>
          <w:tcPr>
            <w:tcW w:w="753" w:type="pct"/>
            <w:shd w:val="clear" w:color="auto" w:fill="D5DCE4" w:themeFill="text2" w:themeFillTint="33"/>
          </w:tcPr>
          <w:p w14:paraId="073A5837" w14:textId="77777777" w:rsidR="001E6EA4" w:rsidRPr="008C7D49" w:rsidRDefault="001E6EA4" w:rsidP="001E6EA4">
            <w:pPr>
              <w:pStyle w:val="TableText"/>
              <w:keepNext/>
              <w:keepLines/>
              <w:jc w:val="right"/>
            </w:pPr>
            <w:r>
              <w:t>39%</w:t>
            </w:r>
          </w:p>
        </w:tc>
        <w:tc>
          <w:tcPr>
            <w:tcW w:w="750" w:type="pct"/>
            <w:shd w:val="clear" w:color="auto" w:fill="D5DCE4" w:themeFill="text2" w:themeFillTint="33"/>
          </w:tcPr>
          <w:p w14:paraId="6456F571" w14:textId="77777777" w:rsidR="001E6EA4" w:rsidRPr="008C7D49" w:rsidRDefault="001E6EA4" w:rsidP="001E6EA4">
            <w:pPr>
              <w:pStyle w:val="TableText"/>
              <w:keepNext/>
              <w:keepLines/>
              <w:jc w:val="right"/>
            </w:pPr>
            <w:r>
              <w:t>21%</w:t>
            </w:r>
          </w:p>
        </w:tc>
        <w:tc>
          <w:tcPr>
            <w:tcW w:w="756" w:type="pct"/>
            <w:shd w:val="clear" w:color="auto" w:fill="D5DCE4" w:themeFill="text2" w:themeFillTint="33"/>
          </w:tcPr>
          <w:p w14:paraId="7712EA7B" w14:textId="77777777" w:rsidR="001E6EA4" w:rsidRPr="008C7D49" w:rsidRDefault="001E6EA4" w:rsidP="001E6EA4">
            <w:pPr>
              <w:pStyle w:val="TableText"/>
              <w:keepNext/>
              <w:keepLines/>
              <w:jc w:val="right"/>
            </w:pPr>
            <w:r>
              <w:t>37%</w:t>
            </w:r>
          </w:p>
        </w:tc>
        <w:tc>
          <w:tcPr>
            <w:tcW w:w="840" w:type="pct"/>
            <w:shd w:val="clear" w:color="auto" w:fill="D5DCE4" w:themeFill="text2" w:themeFillTint="33"/>
          </w:tcPr>
          <w:p w14:paraId="2BBA693F" w14:textId="77777777" w:rsidR="001E6EA4" w:rsidRPr="008C7D49" w:rsidRDefault="001E6EA4" w:rsidP="001E6EA4">
            <w:pPr>
              <w:pStyle w:val="TableText"/>
              <w:keepNext/>
              <w:keepLines/>
              <w:jc w:val="right"/>
            </w:pPr>
            <w:r>
              <w:t>3%</w:t>
            </w:r>
          </w:p>
        </w:tc>
        <w:tc>
          <w:tcPr>
            <w:tcW w:w="1151" w:type="pct"/>
            <w:shd w:val="clear" w:color="auto" w:fill="D5DCE4" w:themeFill="text2" w:themeFillTint="33"/>
          </w:tcPr>
          <w:p w14:paraId="29645368" w14:textId="77777777" w:rsidR="001E6EA4" w:rsidRPr="008C7D49" w:rsidRDefault="001E6EA4" w:rsidP="001E6EA4">
            <w:pPr>
              <w:pStyle w:val="TableText"/>
              <w:keepNext/>
              <w:keepLines/>
              <w:jc w:val="right"/>
            </w:pPr>
            <w:r>
              <w:t>100%</w:t>
            </w:r>
          </w:p>
        </w:tc>
      </w:tr>
    </w:tbl>
    <w:p w14:paraId="6F8F38C0" w14:textId="77777777" w:rsidR="001D57A7" w:rsidRPr="001D57A7" w:rsidRDefault="001D57A7" w:rsidP="001E6EA4">
      <w:pPr>
        <w:keepNext/>
        <w:keepLines/>
        <w:spacing w:after="0" w:line="240" w:lineRule="auto"/>
        <w:rPr>
          <w:rFonts w:asciiTheme="minorHAnsi" w:hAnsiTheme="minorHAnsi" w:cstheme="minorHAnsi"/>
          <w:sz w:val="20"/>
          <w:szCs w:val="20"/>
        </w:rPr>
      </w:pPr>
      <w:r w:rsidRPr="001D57A7">
        <w:rPr>
          <w:rFonts w:asciiTheme="minorHAnsi" w:hAnsiTheme="minorHAnsi" w:cstheme="minorHAnsi"/>
          <w:sz w:val="20"/>
          <w:szCs w:val="20"/>
        </w:rPr>
        <w:t>Notes:</w:t>
      </w:r>
    </w:p>
    <w:p w14:paraId="7372A451" w14:textId="77777777" w:rsidR="001D57A7" w:rsidRDefault="005F7FBC">
      <w:pPr>
        <w:pStyle w:val="ListParagraph"/>
        <w:keepNext/>
        <w:keepLines/>
        <w:numPr>
          <w:ilvl w:val="0"/>
          <w:numId w:val="26"/>
        </w:numPr>
        <w:spacing w:after="0" w:line="240" w:lineRule="auto"/>
        <w:rPr>
          <w:rFonts w:asciiTheme="minorHAnsi" w:hAnsiTheme="minorHAnsi" w:cstheme="minorHAnsi"/>
          <w:sz w:val="20"/>
          <w:szCs w:val="20"/>
        </w:rPr>
      </w:pPr>
      <w:r w:rsidRPr="001D57A7">
        <w:rPr>
          <w:rFonts w:asciiTheme="minorHAnsi" w:hAnsiTheme="minorHAnsi" w:cstheme="minorHAnsi"/>
          <w:sz w:val="20"/>
          <w:szCs w:val="20"/>
        </w:rPr>
        <w:t xml:space="preserve">DPP4 </w:t>
      </w:r>
      <w:r w:rsidR="001D57A7">
        <w:rPr>
          <w:rFonts w:asciiTheme="minorHAnsi" w:hAnsiTheme="minorHAnsi" w:cstheme="minorHAnsi"/>
          <w:sz w:val="20"/>
          <w:szCs w:val="20"/>
        </w:rPr>
        <w:t xml:space="preserve">inhibitor </w:t>
      </w:r>
      <w:r w:rsidRPr="001D57A7">
        <w:rPr>
          <w:rFonts w:asciiTheme="minorHAnsi" w:hAnsiTheme="minorHAnsi" w:cstheme="minorHAnsi"/>
          <w:sz w:val="20"/>
          <w:szCs w:val="20"/>
        </w:rPr>
        <w:t>and SGLT2</w:t>
      </w:r>
      <w:r w:rsidR="001D57A7">
        <w:rPr>
          <w:rFonts w:asciiTheme="minorHAnsi" w:hAnsiTheme="minorHAnsi" w:cstheme="minorHAnsi"/>
          <w:sz w:val="20"/>
          <w:szCs w:val="20"/>
        </w:rPr>
        <w:t xml:space="preserve"> inhibitor</w:t>
      </w:r>
      <w:r w:rsidRPr="001D57A7">
        <w:rPr>
          <w:rFonts w:asciiTheme="minorHAnsi" w:hAnsiTheme="minorHAnsi" w:cstheme="minorHAnsi"/>
          <w:sz w:val="20"/>
          <w:szCs w:val="20"/>
        </w:rPr>
        <w:t xml:space="preserve"> include numbers for FDC</w:t>
      </w:r>
      <w:r w:rsidR="001D57A7">
        <w:rPr>
          <w:rFonts w:asciiTheme="minorHAnsi" w:hAnsiTheme="minorHAnsi" w:cstheme="minorHAnsi"/>
          <w:sz w:val="20"/>
          <w:szCs w:val="20"/>
        </w:rPr>
        <w:t>s</w:t>
      </w:r>
      <w:r w:rsidRPr="001D57A7">
        <w:rPr>
          <w:rFonts w:asciiTheme="minorHAnsi" w:hAnsiTheme="minorHAnsi" w:cstheme="minorHAnsi"/>
          <w:sz w:val="20"/>
          <w:szCs w:val="20"/>
        </w:rPr>
        <w:t xml:space="preserve"> with metformin</w:t>
      </w:r>
      <w:r w:rsidR="001D57A7">
        <w:rPr>
          <w:rFonts w:asciiTheme="minorHAnsi" w:hAnsiTheme="minorHAnsi" w:cstheme="minorHAnsi"/>
          <w:sz w:val="20"/>
          <w:szCs w:val="20"/>
        </w:rPr>
        <w:t>.</w:t>
      </w:r>
    </w:p>
    <w:p w14:paraId="28D39165" w14:textId="77777777" w:rsidR="001D57A7" w:rsidRDefault="005F7FBC">
      <w:pPr>
        <w:pStyle w:val="ListParagraph"/>
        <w:keepNext/>
        <w:keepLines/>
        <w:numPr>
          <w:ilvl w:val="0"/>
          <w:numId w:val="26"/>
        </w:numPr>
        <w:spacing w:after="0" w:line="240" w:lineRule="auto"/>
        <w:rPr>
          <w:rFonts w:asciiTheme="minorHAnsi" w:hAnsiTheme="minorHAnsi" w:cstheme="minorHAnsi"/>
          <w:sz w:val="20"/>
          <w:szCs w:val="20"/>
        </w:rPr>
      </w:pPr>
      <w:r w:rsidRPr="001D57A7">
        <w:rPr>
          <w:rFonts w:asciiTheme="minorHAnsi" w:hAnsiTheme="minorHAnsi" w:cstheme="minorHAnsi"/>
          <w:sz w:val="20"/>
          <w:szCs w:val="20"/>
        </w:rPr>
        <w:t>First FDC of SGLT2</w:t>
      </w:r>
      <w:r w:rsidR="001D57A7">
        <w:rPr>
          <w:rFonts w:asciiTheme="minorHAnsi" w:hAnsiTheme="minorHAnsi" w:cstheme="minorHAnsi"/>
          <w:sz w:val="20"/>
          <w:szCs w:val="20"/>
        </w:rPr>
        <w:t xml:space="preserve"> inhibitor </w:t>
      </w:r>
      <w:r w:rsidRPr="001D57A7">
        <w:rPr>
          <w:rFonts w:asciiTheme="minorHAnsi" w:hAnsiTheme="minorHAnsi" w:cstheme="minorHAnsi"/>
          <w:sz w:val="20"/>
          <w:szCs w:val="20"/>
        </w:rPr>
        <w:t>+</w:t>
      </w:r>
      <w:r w:rsidR="001D57A7">
        <w:rPr>
          <w:rFonts w:asciiTheme="minorHAnsi" w:hAnsiTheme="minorHAnsi" w:cstheme="minorHAnsi"/>
          <w:sz w:val="20"/>
          <w:szCs w:val="20"/>
        </w:rPr>
        <w:t xml:space="preserve"> </w:t>
      </w:r>
      <w:r w:rsidRPr="001D57A7">
        <w:rPr>
          <w:rFonts w:asciiTheme="minorHAnsi" w:hAnsiTheme="minorHAnsi" w:cstheme="minorHAnsi"/>
          <w:sz w:val="20"/>
          <w:szCs w:val="20"/>
        </w:rPr>
        <w:t xml:space="preserve">DPP4 </w:t>
      </w:r>
      <w:r w:rsidR="001D57A7">
        <w:rPr>
          <w:rFonts w:asciiTheme="minorHAnsi" w:hAnsiTheme="minorHAnsi" w:cstheme="minorHAnsi"/>
          <w:sz w:val="20"/>
          <w:szCs w:val="20"/>
        </w:rPr>
        <w:t xml:space="preserve">inhibitor </w:t>
      </w:r>
      <w:r w:rsidRPr="001D57A7">
        <w:rPr>
          <w:rFonts w:asciiTheme="minorHAnsi" w:hAnsiTheme="minorHAnsi" w:cstheme="minorHAnsi"/>
          <w:sz w:val="20"/>
          <w:szCs w:val="20"/>
        </w:rPr>
        <w:t xml:space="preserve">not listed </w:t>
      </w:r>
      <w:r w:rsidR="001D57A7">
        <w:rPr>
          <w:rFonts w:asciiTheme="minorHAnsi" w:hAnsiTheme="minorHAnsi" w:cstheme="minorHAnsi"/>
          <w:sz w:val="20"/>
          <w:szCs w:val="20"/>
        </w:rPr>
        <w:t>until the</w:t>
      </w:r>
      <w:r w:rsidRPr="001D57A7">
        <w:rPr>
          <w:rFonts w:asciiTheme="minorHAnsi" w:hAnsiTheme="minorHAnsi" w:cstheme="minorHAnsi"/>
          <w:sz w:val="20"/>
          <w:szCs w:val="20"/>
        </w:rPr>
        <w:t xml:space="preserve"> third quarter </w:t>
      </w:r>
      <w:r w:rsidR="001D57A7">
        <w:rPr>
          <w:rFonts w:asciiTheme="minorHAnsi" w:hAnsiTheme="minorHAnsi" w:cstheme="minorHAnsi"/>
          <w:sz w:val="20"/>
          <w:szCs w:val="20"/>
        </w:rPr>
        <w:t xml:space="preserve">of </w:t>
      </w:r>
      <w:r w:rsidRPr="001D57A7">
        <w:rPr>
          <w:rFonts w:asciiTheme="minorHAnsi" w:hAnsiTheme="minorHAnsi" w:cstheme="minorHAnsi"/>
          <w:sz w:val="20"/>
          <w:szCs w:val="20"/>
        </w:rPr>
        <w:t>2018</w:t>
      </w:r>
      <w:r w:rsidR="001D57A7">
        <w:rPr>
          <w:rFonts w:asciiTheme="minorHAnsi" w:hAnsiTheme="minorHAnsi" w:cstheme="minorHAnsi"/>
          <w:sz w:val="20"/>
          <w:szCs w:val="20"/>
        </w:rPr>
        <w:t>.</w:t>
      </w:r>
    </w:p>
    <w:p w14:paraId="3B660DCD" w14:textId="5A2189C7" w:rsidR="007F234D" w:rsidRPr="001D57A7" w:rsidRDefault="005F7FBC">
      <w:pPr>
        <w:pStyle w:val="ListParagraph"/>
        <w:keepNext/>
        <w:keepLines/>
        <w:numPr>
          <w:ilvl w:val="0"/>
          <w:numId w:val="26"/>
        </w:numPr>
        <w:spacing w:after="0" w:line="240" w:lineRule="auto"/>
        <w:rPr>
          <w:rFonts w:asciiTheme="minorHAnsi" w:hAnsiTheme="minorHAnsi" w:cstheme="minorHAnsi"/>
          <w:sz w:val="20"/>
          <w:szCs w:val="20"/>
        </w:rPr>
      </w:pPr>
      <w:r w:rsidRPr="001D57A7">
        <w:rPr>
          <w:rFonts w:asciiTheme="minorHAnsi" w:hAnsiTheme="minorHAnsi" w:cstheme="minorHAnsi"/>
          <w:sz w:val="20"/>
          <w:szCs w:val="20"/>
        </w:rPr>
        <w:t xml:space="preserve">Data from 2022 only </w:t>
      </w:r>
      <w:r w:rsidR="001D57A7">
        <w:rPr>
          <w:rFonts w:asciiTheme="minorHAnsi" w:hAnsiTheme="minorHAnsi" w:cstheme="minorHAnsi"/>
          <w:sz w:val="20"/>
          <w:szCs w:val="20"/>
        </w:rPr>
        <w:t xml:space="preserve">available </w:t>
      </w:r>
      <w:r w:rsidRPr="001D57A7">
        <w:rPr>
          <w:rFonts w:asciiTheme="minorHAnsi" w:hAnsiTheme="minorHAnsi" w:cstheme="minorHAnsi"/>
          <w:sz w:val="20"/>
          <w:szCs w:val="20"/>
        </w:rPr>
        <w:t>until end of June</w:t>
      </w:r>
      <w:r w:rsidR="001D57A7">
        <w:rPr>
          <w:rFonts w:asciiTheme="minorHAnsi" w:hAnsiTheme="minorHAnsi" w:cstheme="minorHAnsi"/>
          <w:sz w:val="20"/>
          <w:szCs w:val="20"/>
        </w:rPr>
        <w:t>.</w:t>
      </w:r>
    </w:p>
    <w:p w14:paraId="05CA528A" w14:textId="77777777" w:rsidR="001D57A7" w:rsidRDefault="001D57A7" w:rsidP="00FF3F62">
      <w:pPr>
        <w:keepNext/>
        <w:keepLines/>
        <w:spacing w:line="240" w:lineRule="auto"/>
      </w:pPr>
    </w:p>
    <w:p w14:paraId="56D72828" w14:textId="577D87A9" w:rsidR="005F7FBC" w:rsidRDefault="007F234D" w:rsidP="00FF3F62">
      <w:pPr>
        <w:keepNext/>
        <w:keepLines/>
        <w:spacing w:line="240" w:lineRule="auto"/>
      </w:pPr>
      <w:r>
        <w:t>Figure 5 shows the number of patients initiating T2DM therapy by medicine class between Q1 2017 and Q2 2022, excluding metformin</w:t>
      </w:r>
      <w:r w:rsidR="00FF3F62">
        <w:t>,</w:t>
      </w:r>
      <w:r>
        <w:t xml:space="preserve"> which was the most common medicine for therapy initiation throughout the entire period (at around 35,000 patients per quarter in 2022). A two-year lookback period (2015-2016) </w:t>
      </w:r>
      <w:proofErr w:type="gramStart"/>
      <w:r>
        <w:t>was used</w:t>
      </w:r>
      <w:proofErr w:type="gramEnd"/>
      <w:r>
        <w:t xml:space="preserve"> to identify patients initiating T2DM therapy. Until 2021, excluding metformin, patients most commonly initiated T2DM therapy with a SU, insulin or DPP4 inhibitor + metformin FDC. In 2022, excluding metformin, patients most commonly initiated T2DM therapy with an SGLT2 inhibitor or a GLP-1 RA. </w:t>
      </w:r>
      <w:bookmarkStart w:id="3" w:name="_Hlk112423281"/>
    </w:p>
    <w:p w14:paraId="1E0CFCEF" w14:textId="77777777" w:rsidR="00FF3F62" w:rsidRPr="00973208" w:rsidRDefault="00FF3F62" w:rsidP="00FF3F62">
      <w:pPr>
        <w:keepNext/>
        <w:keepLines/>
        <w:spacing w:line="240" w:lineRule="auto"/>
      </w:pPr>
    </w:p>
    <w:p w14:paraId="78870FD9" w14:textId="36542566" w:rsidR="00FA3206" w:rsidRDefault="001E6EA4" w:rsidP="00C7336E">
      <w:pPr>
        <w:spacing w:line="240" w:lineRule="auto"/>
      </w:pPr>
      <w:r>
        <w:rPr>
          <w:noProof/>
        </w:rPr>
        <w:lastRenderedPageBreak/>
        <w:drawing>
          <wp:inline distT="0" distB="0" distL="0" distR="0" wp14:anchorId="552B9577" wp14:editId="3394D551">
            <wp:extent cx="5731510" cy="4743450"/>
            <wp:effectExtent l="0" t="0" r="2540" b="0"/>
            <wp:docPr id="8" name="Chart 8" descr="Graph showing the medicine class (excluding metformin) for patients initiating T2DM therapy by quarter between 2017 and mid-2022, and by number of initiating patients. The number of patients initiating T2DM therapy with a GLP-1 RA or SGLT2 inhibitor has increased rapidly from 2021, while there has been a slow decline during the period of patients initiating therapy with a sulfonylurea or insulin. &#10;">
              <a:extLst xmlns:a="http://schemas.openxmlformats.org/drawingml/2006/main">
                <a:ext uri="{FF2B5EF4-FFF2-40B4-BE49-F238E27FC236}">
                  <a16:creationId xmlns:a16="http://schemas.microsoft.com/office/drawing/2014/main" id="{70239D71-464D-434B-98BC-77018B33F8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EA484CA" w14:textId="3BEFE44E" w:rsidR="00FA3206" w:rsidRPr="00411D5E" w:rsidRDefault="00FA3206" w:rsidP="00C7336E">
      <w:pPr>
        <w:spacing w:before="60" w:after="60" w:line="240" w:lineRule="auto"/>
        <w:rPr>
          <w:rFonts w:asciiTheme="minorHAnsi" w:hAnsiTheme="minorHAnsi" w:cstheme="minorHAnsi"/>
          <w:b/>
          <w:bCs/>
        </w:rPr>
      </w:pPr>
      <w:r w:rsidRPr="00731BA4">
        <w:rPr>
          <w:rFonts w:asciiTheme="minorHAnsi" w:hAnsiTheme="minorHAnsi" w:cstheme="minorHAnsi"/>
          <w:b/>
          <w:bCs/>
        </w:rPr>
        <w:t xml:space="preserve">Figure </w:t>
      </w:r>
      <w:r>
        <w:rPr>
          <w:rFonts w:asciiTheme="minorHAnsi" w:hAnsiTheme="minorHAnsi" w:cstheme="minorHAnsi"/>
          <w:b/>
          <w:bCs/>
        </w:rPr>
        <w:t>5</w:t>
      </w:r>
      <w:r w:rsidRPr="00731BA4">
        <w:rPr>
          <w:rFonts w:asciiTheme="minorHAnsi" w:hAnsiTheme="minorHAnsi" w:cstheme="minorHAnsi"/>
          <w:b/>
          <w:bCs/>
        </w:rPr>
        <w:t xml:space="preserve">: </w:t>
      </w:r>
      <w:r>
        <w:rPr>
          <w:rFonts w:asciiTheme="minorHAnsi" w:hAnsiTheme="minorHAnsi" w:cstheme="minorHAnsi"/>
          <w:b/>
          <w:bCs/>
        </w:rPr>
        <w:t>N</w:t>
      </w:r>
      <w:r w:rsidRPr="00731BA4">
        <w:rPr>
          <w:rFonts w:asciiTheme="minorHAnsi" w:hAnsiTheme="minorHAnsi" w:cstheme="minorHAnsi"/>
          <w:b/>
          <w:bCs/>
        </w:rPr>
        <w:t xml:space="preserve">umber of initiating patients (excluding metformin) for T2DM medicines by class </w:t>
      </w:r>
      <w:r>
        <w:rPr>
          <w:rFonts w:asciiTheme="minorHAnsi" w:hAnsiTheme="minorHAnsi" w:cstheme="minorHAnsi"/>
          <w:b/>
          <w:bCs/>
        </w:rPr>
        <w:t>(Q1 2017 to Q2 2022)</w:t>
      </w:r>
    </w:p>
    <w:p w14:paraId="572C2C3E" w14:textId="77777777" w:rsidR="00FF3F62" w:rsidRDefault="00FF3F62" w:rsidP="00C7336E">
      <w:pPr>
        <w:spacing w:line="240" w:lineRule="auto"/>
      </w:pPr>
    </w:p>
    <w:p w14:paraId="55820839" w14:textId="77777777" w:rsidR="00FF3F62" w:rsidRDefault="00EB4AE0" w:rsidP="00C7336E">
      <w:pPr>
        <w:spacing w:line="240" w:lineRule="auto"/>
      </w:pPr>
      <w:r>
        <w:t xml:space="preserve">In 2022, the most commonly supplied GLP-1 RA was semaglutide (Figure </w:t>
      </w:r>
      <w:r w:rsidR="00FA3206">
        <w:t>6</w:t>
      </w:r>
      <w:r>
        <w:t>). Use of exenatide has declined since 2018 and in 2022 represent</w:t>
      </w:r>
      <w:r w:rsidR="00FA3206">
        <w:t>ed</w:t>
      </w:r>
      <w:r>
        <w:t xml:space="preserve"> only 1% of </w:t>
      </w:r>
      <w:r w:rsidR="00FF3F62">
        <w:t>R/</w:t>
      </w:r>
      <w:r>
        <w:t>PBS expenditure on GLP-1 RAs</w:t>
      </w:r>
      <w:r w:rsidR="00FA3206">
        <w:t xml:space="preserve"> (Table </w:t>
      </w:r>
      <w:r w:rsidR="000F4A60">
        <w:t>6</w:t>
      </w:r>
      <w:r w:rsidR="00FA3206">
        <w:t>)</w:t>
      </w:r>
      <w:r>
        <w:t>.</w:t>
      </w:r>
      <w:r w:rsidR="00FA3206">
        <w:t xml:space="preserve"> </w:t>
      </w:r>
      <w:r w:rsidR="00FF3F62">
        <w:t xml:space="preserve">The once-weekly formulation of exenatide </w:t>
      </w:r>
      <w:proofErr w:type="gramStart"/>
      <w:r w:rsidR="00FF3F62">
        <w:t>was delisted</w:t>
      </w:r>
      <w:proofErr w:type="gramEnd"/>
      <w:r w:rsidR="00FF3F62">
        <w:t xml:space="preserve"> from the PBS in February 2022. </w:t>
      </w:r>
    </w:p>
    <w:p w14:paraId="44C57508" w14:textId="7F435788" w:rsidR="00EB4AE0" w:rsidRDefault="00FA3206" w:rsidP="00C7336E">
      <w:pPr>
        <w:spacing w:line="240" w:lineRule="auto"/>
      </w:pPr>
      <w:r>
        <w:t>The most commonly supplied SGLT2 inhibitor in 2022 was empagliflozin, and the most commonly supplied DPP4 inhibitors were sitagliptin, followed by linagliptin (including FDCs with metformin) (data not shown).</w:t>
      </w:r>
    </w:p>
    <w:p w14:paraId="6096A1CB" w14:textId="77777777" w:rsidR="00973208" w:rsidRPr="008C7D49" w:rsidRDefault="00973208" w:rsidP="00C7336E">
      <w:pPr>
        <w:spacing w:line="240" w:lineRule="auto"/>
        <w:rPr>
          <w:rFonts w:asciiTheme="minorHAnsi" w:hAnsiTheme="minorHAnsi" w:cstheme="minorHAnsi"/>
          <w:sz w:val="20"/>
          <w:szCs w:val="20"/>
        </w:rPr>
      </w:pPr>
    </w:p>
    <w:bookmarkEnd w:id="3"/>
    <w:p w14:paraId="73FEB8BE" w14:textId="549F0613" w:rsidR="00D6230F" w:rsidRDefault="007F234D" w:rsidP="00C7336E">
      <w:pPr>
        <w:spacing w:line="240" w:lineRule="auto"/>
        <w:rPr>
          <w:b/>
          <w:bCs/>
        </w:rPr>
      </w:pPr>
      <w:r>
        <w:rPr>
          <w:noProof/>
        </w:rPr>
        <w:lastRenderedPageBreak/>
        <w:drawing>
          <wp:inline distT="0" distB="0" distL="0" distR="0" wp14:anchorId="73B8E4A3" wp14:editId="2747F0C5">
            <wp:extent cx="5656521" cy="3221665"/>
            <wp:effectExtent l="0" t="0" r="1905" b="17145"/>
            <wp:docPr id="14" name="Chart 14" descr="Graph showing quarterly R/PBS prescriptions supplied for GLP-1 RAs by drug between 2017 and mid-2022. In 2022, semaglutide surpassed dulaglutide as the most commonly supplied GLP-1 RA through the R/PBS.">
              <a:extLst xmlns:a="http://schemas.openxmlformats.org/drawingml/2006/main">
                <a:ext uri="{FF2B5EF4-FFF2-40B4-BE49-F238E27FC236}">
                  <a16:creationId xmlns:a16="http://schemas.microsoft.com/office/drawing/2014/main" id="{314E485C-6186-4AE0-B130-7D5B4E5720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8A483C6" w14:textId="6A205937" w:rsidR="008764D7" w:rsidRDefault="00D6230F" w:rsidP="00C7336E">
      <w:pPr>
        <w:spacing w:before="60" w:after="60" w:line="240" w:lineRule="auto"/>
        <w:rPr>
          <w:b/>
          <w:bCs/>
        </w:rPr>
      </w:pPr>
      <w:r>
        <w:rPr>
          <w:b/>
          <w:bCs/>
        </w:rPr>
        <w:t xml:space="preserve">Figure </w:t>
      </w:r>
      <w:r w:rsidR="00FA3206">
        <w:rPr>
          <w:b/>
          <w:bCs/>
        </w:rPr>
        <w:t>6</w:t>
      </w:r>
      <w:r>
        <w:rPr>
          <w:b/>
          <w:bCs/>
        </w:rPr>
        <w:t xml:space="preserve">: </w:t>
      </w:r>
      <w:r w:rsidR="00FF3F62">
        <w:rPr>
          <w:b/>
          <w:bCs/>
        </w:rPr>
        <w:t>R/PBS p</w:t>
      </w:r>
      <w:r w:rsidR="00EB4AE0">
        <w:rPr>
          <w:b/>
          <w:bCs/>
        </w:rPr>
        <w:t>rescriptions supplied for GLP-1 RAs by drug (Q1 2017 to Q2 2022)</w:t>
      </w:r>
    </w:p>
    <w:p w14:paraId="441E867F" w14:textId="77777777" w:rsidR="00FA3206" w:rsidRDefault="00FA3206" w:rsidP="00C7336E">
      <w:pPr>
        <w:spacing w:line="240" w:lineRule="auto"/>
      </w:pPr>
    </w:p>
    <w:p w14:paraId="12A26D07" w14:textId="7A8959E4" w:rsidR="00EB4AE0" w:rsidRPr="001112B1" w:rsidRDefault="00EB4AE0" w:rsidP="00C7336E">
      <w:pPr>
        <w:pStyle w:val="Tableheading"/>
        <w:rPr>
          <w:vertAlign w:val="superscript"/>
        </w:rPr>
      </w:pPr>
      <w:r w:rsidRPr="001112B1">
        <w:t xml:space="preserve">Table </w:t>
      </w:r>
      <w:r w:rsidR="000F4A60">
        <w:t>6</w:t>
      </w:r>
      <w:r w:rsidRPr="001112B1">
        <w:t xml:space="preserve">: </w:t>
      </w:r>
      <w:r>
        <w:t>R/PBS b</w:t>
      </w:r>
      <w:r w:rsidRPr="001112B1">
        <w:t>enefits paid for GLP-1 RAs by drug for T2DM from 2017</w:t>
      </w:r>
      <w:r w:rsidR="00FA3206">
        <w:t xml:space="preserve"> to </w:t>
      </w:r>
      <w:r w:rsidRPr="001112B1">
        <w:t>2022</w:t>
      </w:r>
      <w:r w:rsidR="000E2A16">
        <w:rPr>
          <w:vertAlign w:val="superscript"/>
        </w:rPr>
        <w:t>1</w:t>
      </w:r>
    </w:p>
    <w:tbl>
      <w:tblPr>
        <w:tblStyle w:val="TableGrid"/>
        <w:tblW w:w="0" w:type="auto"/>
        <w:tblLook w:val="04A0" w:firstRow="1" w:lastRow="0" w:firstColumn="1" w:lastColumn="0" w:noHBand="0" w:noVBand="1"/>
      </w:tblPr>
      <w:tblGrid>
        <w:gridCol w:w="1803"/>
        <w:gridCol w:w="1803"/>
        <w:gridCol w:w="1803"/>
        <w:gridCol w:w="1803"/>
        <w:gridCol w:w="1804"/>
      </w:tblGrid>
      <w:tr w:rsidR="00EB4AE0" w:rsidRPr="001112B1" w14:paraId="3CC15A76" w14:textId="77777777" w:rsidTr="00A76176">
        <w:tc>
          <w:tcPr>
            <w:tcW w:w="1803" w:type="dxa"/>
            <w:shd w:val="clear" w:color="auto" w:fill="D0CECE" w:themeFill="background2" w:themeFillShade="E6"/>
          </w:tcPr>
          <w:p w14:paraId="5A673126" w14:textId="59D9AEB4" w:rsidR="00EB4AE0" w:rsidRPr="00973208" w:rsidRDefault="00EB4AE0" w:rsidP="00C7336E">
            <w:pPr>
              <w:pStyle w:val="TableText"/>
              <w:rPr>
                <w:b/>
                <w:bCs/>
              </w:rPr>
            </w:pPr>
            <w:r w:rsidRPr="00973208">
              <w:rPr>
                <w:b/>
                <w:bCs/>
              </w:rPr>
              <w:t>Year</w:t>
            </w:r>
          </w:p>
        </w:tc>
        <w:tc>
          <w:tcPr>
            <w:tcW w:w="1803" w:type="dxa"/>
            <w:shd w:val="clear" w:color="auto" w:fill="D0CECE" w:themeFill="background2" w:themeFillShade="E6"/>
          </w:tcPr>
          <w:p w14:paraId="43D562D6" w14:textId="77777777" w:rsidR="00EB4AE0" w:rsidRPr="00973208" w:rsidRDefault="00EB4AE0" w:rsidP="00C7336E">
            <w:pPr>
              <w:pStyle w:val="TableText"/>
              <w:rPr>
                <w:b/>
                <w:bCs/>
              </w:rPr>
            </w:pPr>
            <w:r w:rsidRPr="00973208">
              <w:rPr>
                <w:b/>
                <w:bCs/>
              </w:rPr>
              <w:t>Exenatide</w:t>
            </w:r>
          </w:p>
        </w:tc>
        <w:tc>
          <w:tcPr>
            <w:tcW w:w="1803" w:type="dxa"/>
            <w:shd w:val="clear" w:color="auto" w:fill="D0CECE" w:themeFill="background2" w:themeFillShade="E6"/>
          </w:tcPr>
          <w:p w14:paraId="6C3D7206" w14:textId="60EAF5A2" w:rsidR="00EB4AE0" w:rsidRPr="00973208" w:rsidRDefault="00EB4AE0" w:rsidP="00C7336E">
            <w:pPr>
              <w:pStyle w:val="TableText"/>
              <w:rPr>
                <w:b/>
                <w:bCs/>
              </w:rPr>
            </w:pPr>
            <w:r w:rsidRPr="00973208">
              <w:rPr>
                <w:b/>
                <w:bCs/>
              </w:rPr>
              <w:t>Dulaglutide</w:t>
            </w:r>
            <w:r w:rsidR="000E2A16" w:rsidRPr="000E2A16">
              <w:rPr>
                <w:b/>
                <w:bCs/>
                <w:vertAlign w:val="superscript"/>
              </w:rPr>
              <w:t>2</w:t>
            </w:r>
          </w:p>
        </w:tc>
        <w:tc>
          <w:tcPr>
            <w:tcW w:w="1803" w:type="dxa"/>
            <w:shd w:val="clear" w:color="auto" w:fill="D0CECE" w:themeFill="background2" w:themeFillShade="E6"/>
          </w:tcPr>
          <w:p w14:paraId="0C4C388F" w14:textId="04F6E212" w:rsidR="00EB4AE0" w:rsidRPr="00973208" w:rsidRDefault="00EB4AE0" w:rsidP="00C7336E">
            <w:pPr>
              <w:pStyle w:val="TableText"/>
              <w:rPr>
                <w:b/>
                <w:bCs/>
              </w:rPr>
            </w:pPr>
            <w:r w:rsidRPr="00973208">
              <w:rPr>
                <w:b/>
                <w:bCs/>
              </w:rPr>
              <w:t>Semaglutide</w:t>
            </w:r>
            <w:r w:rsidR="000E2A16" w:rsidRPr="000E2A16">
              <w:rPr>
                <w:b/>
                <w:bCs/>
                <w:vertAlign w:val="superscript"/>
              </w:rPr>
              <w:t>3</w:t>
            </w:r>
          </w:p>
        </w:tc>
        <w:tc>
          <w:tcPr>
            <w:tcW w:w="1804" w:type="dxa"/>
            <w:shd w:val="clear" w:color="auto" w:fill="D0CECE" w:themeFill="background2" w:themeFillShade="E6"/>
          </w:tcPr>
          <w:p w14:paraId="63227A79" w14:textId="77777777" w:rsidR="00EB4AE0" w:rsidRPr="00973208" w:rsidRDefault="00EB4AE0" w:rsidP="00C7336E">
            <w:pPr>
              <w:pStyle w:val="TableText"/>
              <w:rPr>
                <w:b/>
                <w:bCs/>
              </w:rPr>
            </w:pPr>
            <w:r w:rsidRPr="00973208">
              <w:rPr>
                <w:b/>
                <w:bCs/>
              </w:rPr>
              <w:t>Total</w:t>
            </w:r>
          </w:p>
        </w:tc>
      </w:tr>
      <w:tr w:rsidR="00EB4AE0" w:rsidRPr="001112B1" w14:paraId="65983B45" w14:textId="77777777" w:rsidTr="00A76176">
        <w:tc>
          <w:tcPr>
            <w:tcW w:w="1803" w:type="dxa"/>
          </w:tcPr>
          <w:p w14:paraId="60B826EC" w14:textId="77777777" w:rsidR="00EB4AE0" w:rsidRPr="00973208" w:rsidRDefault="00EB4AE0" w:rsidP="00C7336E">
            <w:pPr>
              <w:pStyle w:val="TableText"/>
              <w:rPr>
                <w:b/>
                <w:bCs/>
              </w:rPr>
            </w:pPr>
            <w:r w:rsidRPr="00973208">
              <w:rPr>
                <w:b/>
                <w:bCs/>
              </w:rPr>
              <w:t>2017</w:t>
            </w:r>
          </w:p>
        </w:tc>
        <w:tc>
          <w:tcPr>
            <w:tcW w:w="1803" w:type="dxa"/>
          </w:tcPr>
          <w:p w14:paraId="13BA2592" w14:textId="77777777" w:rsidR="00EB4AE0" w:rsidRPr="001112B1" w:rsidRDefault="00EB4AE0" w:rsidP="00C7336E">
            <w:pPr>
              <w:pStyle w:val="TableText"/>
            </w:pPr>
            <w:r w:rsidRPr="001112B1">
              <w:t>$33,419,834</w:t>
            </w:r>
          </w:p>
        </w:tc>
        <w:tc>
          <w:tcPr>
            <w:tcW w:w="1803" w:type="dxa"/>
          </w:tcPr>
          <w:p w14:paraId="674012DA" w14:textId="308298A4" w:rsidR="00EB4AE0" w:rsidRPr="001112B1" w:rsidRDefault="00FF3F62" w:rsidP="00C7336E">
            <w:pPr>
              <w:pStyle w:val="TableText"/>
            </w:pPr>
            <w:r>
              <w:t>NA</w:t>
            </w:r>
          </w:p>
        </w:tc>
        <w:tc>
          <w:tcPr>
            <w:tcW w:w="1803" w:type="dxa"/>
          </w:tcPr>
          <w:p w14:paraId="2020139B" w14:textId="6E379074" w:rsidR="00EB4AE0" w:rsidRPr="001112B1" w:rsidRDefault="00FF3F62" w:rsidP="00C7336E">
            <w:pPr>
              <w:pStyle w:val="TableText"/>
            </w:pPr>
            <w:r>
              <w:t>NA</w:t>
            </w:r>
          </w:p>
        </w:tc>
        <w:tc>
          <w:tcPr>
            <w:tcW w:w="1804" w:type="dxa"/>
          </w:tcPr>
          <w:p w14:paraId="099CF60E" w14:textId="77777777" w:rsidR="00EB4AE0" w:rsidRPr="000E2A16" w:rsidRDefault="00EB4AE0" w:rsidP="00C7336E">
            <w:pPr>
              <w:pStyle w:val="TableText"/>
            </w:pPr>
            <w:r w:rsidRPr="000E2A16">
              <w:t>$33,419,834</w:t>
            </w:r>
          </w:p>
        </w:tc>
      </w:tr>
      <w:tr w:rsidR="00FF3F62" w:rsidRPr="001112B1" w14:paraId="4E2792C0" w14:textId="77777777" w:rsidTr="00A76176">
        <w:tc>
          <w:tcPr>
            <w:tcW w:w="1803" w:type="dxa"/>
            <w:shd w:val="clear" w:color="auto" w:fill="D9E2F3" w:themeFill="accent1" w:themeFillTint="33"/>
          </w:tcPr>
          <w:p w14:paraId="1C26AB26" w14:textId="77777777" w:rsidR="00FF3F62" w:rsidRPr="00973208" w:rsidRDefault="00FF3F62" w:rsidP="00FF3F62">
            <w:pPr>
              <w:pStyle w:val="TableText"/>
              <w:rPr>
                <w:b/>
                <w:bCs/>
              </w:rPr>
            </w:pPr>
            <w:r w:rsidRPr="00973208">
              <w:rPr>
                <w:b/>
                <w:bCs/>
              </w:rPr>
              <w:t>% of total</w:t>
            </w:r>
          </w:p>
        </w:tc>
        <w:tc>
          <w:tcPr>
            <w:tcW w:w="1803" w:type="dxa"/>
            <w:shd w:val="clear" w:color="auto" w:fill="D9E2F3" w:themeFill="accent1" w:themeFillTint="33"/>
          </w:tcPr>
          <w:p w14:paraId="1280858F" w14:textId="77777777" w:rsidR="00FF3F62" w:rsidRPr="001112B1" w:rsidRDefault="00FF3F62" w:rsidP="00FF3F62">
            <w:pPr>
              <w:pStyle w:val="TableText"/>
            </w:pPr>
            <w:r w:rsidRPr="001112B1">
              <w:t>100%</w:t>
            </w:r>
          </w:p>
        </w:tc>
        <w:tc>
          <w:tcPr>
            <w:tcW w:w="1803" w:type="dxa"/>
            <w:shd w:val="clear" w:color="auto" w:fill="D9E2F3" w:themeFill="accent1" w:themeFillTint="33"/>
          </w:tcPr>
          <w:p w14:paraId="67906DA1" w14:textId="3F46B13A" w:rsidR="00FF3F62" w:rsidRPr="001112B1" w:rsidRDefault="00FF3F62" w:rsidP="00FF3F62">
            <w:pPr>
              <w:pStyle w:val="TableText"/>
            </w:pPr>
            <w:r>
              <w:t>NA</w:t>
            </w:r>
          </w:p>
        </w:tc>
        <w:tc>
          <w:tcPr>
            <w:tcW w:w="1803" w:type="dxa"/>
            <w:shd w:val="clear" w:color="auto" w:fill="D9E2F3" w:themeFill="accent1" w:themeFillTint="33"/>
          </w:tcPr>
          <w:p w14:paraId="2ACA998C" w14:textId="1609D0DE" w:rsidR="00FF3F62" w:rsidRPr="001112B1" w:rsidRDefault="00FF3F62" w:rsidP="00FF3F62">
            <w:pPr>
              <w:pStyle w:val="TableText"/>
            </w:pPr>
            <w:r>
              <w:t>NA</w:t>
            </w:r>
          </w:p>
        </w:tc>
        <w:tc>
          <w:tcPr>
            <w:tcW w:w="1804" w:type="dxa"/>
            <w:shd w:val="clear" w:color="auto" w:fill="D9E2F3" w:themeFill="accent1" w:themeFillTint="33"/>
          </w:tcPr>
          <w:p w14:paraId="39716474" w14:textId="77777777" w:rsidR="00FF3F62" w:rsidRPr="000E2A16" w:rsidRDefault="00FF3F62" w:rsidP="00FF3F62">
            <w:pPr>
              <w:pStyle w:val="TableText"/>
            </w:pPr>
            <w:r w:rsidRPr="000E2A16">
              <w:t>100%</w:t>
            </w:r>
          </w:p>
        </w:tc>
      </w:tr>
      <w:tr w:rsidR="00FF3F62" w:rsidRPr="001112B1" w14:paraId="0E12CD7A" w14:textId="77777777" w:rsidTr="00A76176">
        <w:tc>
          <w:tcPr>
            <w:tcW w:w="1803" w:type="dxa"/>
          </w:tcPr>
          <w:p w14:paraId="5F35BD12" w14:textId="77777777" w:rsidR="00FF3F62" w:rsidRPr="00973208" w:rsidRDefault="00FF3F62" w:rsidP="00FF3F62">
            <w:pPr>
              <w:pStyle w:val="TableText"/>
              <w:rPr>
                <w:b/>
                <w:bCs/>
              </w:rPr>
            </w:pPr>
            <w:r w:rsidRPr="00973208">
              <w:rPr>
                <w:b/>
                <w:bCs/>
              </w:rPr>
              <w:t>2018</w:t>
            </w:r>
          </w:p>
        </w:tc>
        <w:tc>
          <w:tcPr>
            <w:tcW w:w="1803" w:type="dxa"/>
          </w:tcPr>
          <w:p w14:paraId="2BA335E7" w14:textId="77777777" w:rsidR="00FF3F62" w:rsidRPr="001112B1" w:rsidRDefault="00FF3F62" w:rsidP="00FF3F62">
            <w:pPr>
              <w:pStyle w:val="TableText"/>
            </w:pPr>
            <w:r w:rsidRPr="001112B1">
              <w:t>$37,679,542</w:t>
            </w:r>
          </w:p>
        </w:tc>
        <w:tc>
          <w:tcPr>
            <w:tcW w:w="1803" w:type="dxa"/>
          </w:tcPr>
          <w:p w14:paraId="2F57BB02" w14:textId="77777777" w:rsidR="00FF3F62" w:rsidRPr="001112B1" w:rsidRDefault="00FF3F62" w:rsidP="00FF3F62">
            <w:pPr>
              <w:pStyle w:val="TableText"/>
            </w:pPr>
            <w:r w:rsidRPr="001112B1">
              <w:t>$5,899,547</w:t>
            </w:r>
          </w:p>
        </w:tc>
        <w:tc>
          <w:tcPr>
            <w:tcW w:w="1803" w:type="dxa"/>
          </w:tcPr>
          <w:p w14:paraId="53ADF845" w14:textId="0DF23619" w:rsidR="00FF3F62" w:rsidRPr="001112B1" w:rsidRDefault="00FF3F62" w:rsidP="00FF3F62">
            <w:pPr>
              <w:pStyle w:val="TableText"/>
            </w:pPr>
            <w:r>
              <w:t>NA</w:t>
            </w:r>
          </w:p>
        </w:tc>
        <w:tc>
          <w:tcPr>
            <w:tcW w:w="1804" w:type="dxa"/>
          </w:tcPr>
          <w:p w14:paraId="541A3FEA" w14:textId="77777777" w:rsidR="00FF3F62" w:rsidRPr="000E2A16" w:rsidRDefault="00FF3F62" w:rsidP="00FF3F62">
            <w:pPr>
              <w:pStyle w:val="TableText"/>
            </w:pPr>
            <w:r w:rsidRPr="000E2A16">
              <w:t>$43,579,089</w:t>
            </w:r>
          </w:p>
        </w:tc>
      </w:tr>
      <w:tr w:rsidR="00FF3F62" w:rsidRPr="001112B1" w14:paraId="07AFAE1A" w14:textId="77777777" w:rsidTr="00A76176">
        <w:tc>
          <w:tcPr>
            <w:tcW w:w="1803" w:type="dxa"/>
            <w:shd w:val="clear" w:color="auto" w:fill="D9E2F3" w:themeFill="accent1" w:themeFillTint="33"/>
          </w:tcPr>
          <w:p w14:paraId="02617028" w14:textId="77777777" w:rsidR="00FF3F62" w:rsidRPr="00973208" w:rsidRDefault="00FF3F62" w:rsidP="00FF3F62">
            <w:pPr>
              <w:pStyle w:val="TableText"/>
              <w:rPr>
                <w:b/>
                <w:bCs/>
              </w:rPr>
            </w:pPr>
            <w:r w:rsidRPr="00973208">
              <w:rPr>
                <w:b/>
                <w:bCs/>
              </w:rPr>
              <w:t>% of total</w:t>
            </w:r>
          </w:p>
        </w:tc>
        <w:tc>
          <w:tcPr>
            <w:tcW w:w="1803" w:type="dxa"/>
            <w:shd w:val="clear" w:color="auto" w:fill="D9E2F3" w:themeFill="accent1" w:themeFillTint="33"/>
          </w:tcPr>
          <w:p w14:paraId="6F184FCC" w14:textId="77777777" w:rsidR="00FF3F62" w:rsidRPr="001112B1" w:rsidRDefault="00FF3F62" w:rsidP="00FF3F62">
            <w:pPr>
              <w:pStyle w:val="TableText"/>
            </w:pPr>
            <w:r w:rsidRPr="001112B1">
              <w:t>86%</w:t>
            </w:r>
          </w:p>
        </w:tc>
        <w:tc>
          <w:tcPr>
            <w:tcW w:w="1803" w:type="dxa"/>
            <w:shd w:val="clear" w:color="auto" w:fill="D9E2F3" w:themeFill="accent1" w:themeFillTint="33"/>
          </w:tcPr>
          <w:p w14:paraId="12BA37D4" w14:textId="77777777" w:rsidR="00FF3F62" w:rsidRPr="001112B1" w:rsidRDefault="00FF3F62" w:rsidP="00FF3F62">
            <w:pPr>
              <w:pStyle w:val="TableText"/>
            </w:pPr>
            <w:r w:rsidRPr="001112B1">
              <w:t>14%</w:t>
            </w:r>
          </w:p>
        </w:tc>
        <w:tc>
          <w:tcPr>
            <w:tcW w:w="1803" w:type="dxa"/>
            <w:shd w:val="clear" w:color="auto" w:fill="D9E2F3" w:themeFill="accent1" w:themeFillTint="33"/>
          </w:tcPr>
          <w:p w14:paraId="0CFC8E05" w14:textId="6ECD3E3B" w:rsidR="00FF3F62" w:rsidRPr="001112B1" w:rsidRDefault="00FF3F62" w:rsidP="00FF3F62">
            <w:pPr>
              <w:pStyle w:val="TableText"/>
            </w:pPr>
            <w:r>
              <w:t>NA</w:t>
            </w:r>
          </w:p>
        </w:tc>
        <w:tc>
          <w:tcPr>
            <w:tcW w:w="1804" w:type="dxa"/>
            <w:shd w:val="clear" w:color="auto" w:fill="D9E2F3" w:themeFill="accent1" w:themeFillTint="33"/>
          </w:tcPr>
          <w:p w14:paraId="4FE10CAA" w14:textId="77777777" w:rsidR="00FF3F62" w:rsidRPr="000E2A16" w:rsidRDefault="00FF3F62" w:rsidP="00FF3F62">
            <w:pPr>
              <w:pStyle w:val="TableText"/>
            </w:pPr>
            <w:r w:rsidRPr="000E2A16">
              <w:t>100%</w:t>
            </w:r>
          </w:p>
        </w:tc>
      </w:tr>
      <w:tr w:rsidR="00FF3F62" w:rsidRPr="001112B1" w14:paraId="25183531" w14:textId="77777777" w:rsidTr="00A76176">
        <w:tc>
          <w:tcPr>
            <w:tcW w:w="1803" w:type="dxa"/>
          </w:tcPr>
          <w:p w14:paraId="79B6D4D6" w14:textId="77777777" w:rsidR="00FF3F62" w:rsidRPr="00973208" w:rsidRDefault="00FF3F62" w:rsidP="00FF3F62">
            <w:pPr>
              <w:pStyle w:val="TableText"/>
              <w:rPr>
                <w:b/>
                <w:bCs/>
              </w:rPr>
            </w:pPr>
            <w:r w:rsidRPr="00973208">
              <w:rPr>
                <w:b/>
                <w:bCs/>
              </w:rPr>
              <w:t>2019</w:t>
            </w:r>
          </w:p>
        </w:tc>
        <w:tc>
          <w:tcPr>
            <w:tcW w:w="1803" w:type="dxa"/>
          </w:tcPr>
          <w:p w14:paraId="76101B30" w14:textId="77777777" w:rsidR="00FF3F62" w:rsidRPr="001112B1" w:rsidRDefault="00FF3F62" w:rsidP="00FF3F62">
            <w:pPr>
              <w:pStyle w:val="TableText"/>
            </w:pPr>
            <w:r w:rsidRPr="001112B1">
              <w:t>$29,490,485</w:t>
            </w:r>
          </w:p>
        </w:tc>
        <w:tc>
          <w:tcPr>
            <w:tcW w:w="1803" w:type="dxa"/>
          </w:tcPr>
          <w:p w14:paraId="62EFED9B" w14:textId="77777777" w:rsidR="00FF3F62" w:rsidRPr="001112B1" w:rsidRDefault="00FF3F62" w:rsidP="00FF3F62">
            <w:pPr>
              <w:pStyle w:val="TableText"/>
            </w:pPr>
            <w:r w:rsidRPr="001112B1">
              <w:t>$31,596,521</w:t>
            </w:r>
          </w:p>
        </w:tc>
        <w:tc>
          <w:tcPr>
            <w:tcW w:w="1803" w:type="dxa"/>
          </w:tcPr>
          <w:p w14:paraId="297B462D" w14:textId="78A4DF7A" w:rsidR="00FF3F62" w:rsidRPr="001112B1" w:rsidRDefault="00FF3F62" w:rsidP="00FF3F62">
            <w:pPr>
              <w:pStyle w:val="TableText"/>
            </w:pPr>
            <w:r>
              <w:t>NA</w:t>
            </w:r>
          </w:p>
        </w:tc>
        <w:tc>
          <w:tcPr>
            <w:tcW w:w="1804" w:type="dxa"/>
          </w:tcPr>
          <w:p w14:paraId="793FF147" w14:textId="77777777" w:rsidR="00FF3F62" w:rsidRPr="000E2A16" w:rsidRDefault="00FF3F62" w:rsidP="00FF3F62">
            <w:pPr>
              <w:pStyle w:val="TableText"/>
            </w:pPr>
            <w:r w:rsidRPr="000E2A16">
              <w:t>$61,087,006</w:t>
            </w:r>
          </w:p>
        </w:tc>
      </w:tr>
      <w:tr w:rsidR="00FF3F62" w:rsidRPr="001112B1" w14:paraId="3EB39677" w14:textId="77777777" w:rsidTr="00A76176">
        <w:tc>
          <w:tcPr>
            <w:tcW w:w="1803" w:type="dxa"/>
            <w:shd w:val="clear" w:color="auto" w:fill="D9E2F3" w:themeFill="accent1" w:themeFillTint="33"/>
          </w:tcPr>
          <w:p w14:paraId="2CBD7125" w14:textId="77777777" w:rsidR="00FF3F62" w:rsidRPr="00973208" w:rsidRDefault="00FF3F62" w:rsidP="00FF3F62">
            <w:pPr>
              <w:pStyle w:val="TableText"/>
              <w:rPr>
                <w:b/>
                <w:bCs/>
              </w:rPr>
            </w:pPr>
            <w:r w:rsidRPr="00973208">
              <w:rPr>
                <w:b/>
                <w:bCs/>
              </w:rPr>
              <w:t>% of total</w:t>
            </w:r>
          </w:p>
        </w:tc>
        <w:tc>
          <w:tcPr>
            <w:tcW w:w="1803" w:type="dxa"/>
            <w:shd w:val="clear" w:color="auto" w:fill="D9E2F3" w:themeFill="accent1" w:themeFillTint="33"/>
          </w:tcPr>
          <w:p w14:paraId="7AAA51D5" w14:textId="77777777" w:rsidR="00FF3F62" w:rsidRPr="001112B1" w:rsidRDefault="00FF3F62" w:rsidP="00FF3F62">
            <w:pPr>
              <w:pStyle w:val="TableText"/>
            </w:pPr>
            <w:r w:rsidRPr="001112B1">
              <w:t>48%</w:t>
            </w:r>
          </w:p>
        </w:tc>
        <w:tc>
          <w:tcPr>
            <w:tcW w:w="1803" w:type="dxa"/>
            <w:shd w:val="clear" w:color="auto" w:fill="D9E2F3" w:themeFill="accent1" w:themeFillTint="33"/>
          </w:tcPr>
          <w:p w14:paraId="73125DD3" w14:textId="77777777" w:rsidR="00FF3F62" w:rsidRPr="001112B1" w:rsidRDefault="00FF3F62" w:rsidP="00FF3F62">
            <w:pPr>
              <w:pStyle w:val="TableText"/>
            </w:pPr>
            <w:r w:rsidRPr="001112B1">
              <w:t>52%</w:t>
            </w:r>
          </w:p>
        </w:tc>
        <w:tc>
          <w:tcPr>
            <w:tcW w:w="1803" w:type="dxa"/>
            <w:shd w:val="clear" w:color="auto" w:fill="D9E2F3" w:themeFill="accent1" w:themeFillTint="33"/>
          </w:tcPr>
          <w:p w14:paraId="22A654D3" w14:textId="6D4CC51C" w:rsidR="00FF3F62" w:rsidRPr="001112B1" w:rsidRDefault="00FF3F62" w:rsidP="00FF3F62">
            <w:pPr>
              <w:pStyle w:val="TableText"/>
            </w:pPr>
            <w:r>
              <w:t>NA</w:t>
            </w:r>
          </w:p>
        </w:tc>
        <w:tc>
          <w:tcPr>
            <w:tcW w:w="1804" w:type="dxa"/>
            <w:shd w:val="clear" w:color="auto" w:fill="D9E2F3" w:themeFill="accent1" w:themeFillTint="33"/>
          </w:tcPr>
          <w:p w14:paraId="6210EF27" w14:textId="77777777" w:rsidR="00FF3F62" w:rsidRPr="000E2A16" w:rsidRDefault="00FF3F62" w:rsidP="00FF3F62">
            <w:pPr>
              <w:pStyle w:val="TableText"/>
            </w:pPr>
            <w:r w:rsidRPr="000E2A16">
              <w:t>100%</w:t>
            </w:r>
          </w:p>
        </w:tc>
      </w:tr>
      <w:tr w:rsidR="00FF3F62" w:rsidRPr="001112B1" w14:paraId="5F59896E" w14:textId="77777777" w:rsidTr="00A76176">
        <w:tc>
          <w:tcPr>
            <w:tcW w:w="1803" w:type="dxa"/>
          </w:tcPr>
          <w:p w14:paraId="0AA03145" w14:textId="77777777" w:rsidR="00FF3F62" w:rsidRPr="00973208" w:rsidRDefault="00FF3F62" w:rsidP="00FF3F62">
            <w:pPr>
              <w:pStyle w:val="TableText"/>
              <w:rPr>
                <w:b/>
                <w:bCs/>
              </w:rPr>
            </w:pPr>
            <w:r w:rsidRPr="00973208">
              <w:rPr>
                <w:b/>
                <w:bCs/>
              </w:rPr>
              <w:t>2020</w:t>
            </w:r>
          </w:p>
        </w:tc>
        <w:tc>
          <w:tcPr>
            <w:tcW w:w="1803" w:type="dxa"/>
          </w:tcPr>
          <w:p w14:paraId="3E8ED5F8" w14:textId="77777777" w:rsidR="00FF3F62" w:rsidRPr="001112B1" w:rsidRDefault="00FF3F62" w:rsidP="00FF3F62">
            <w:pPr>
              <w:pStyle w:val="TableText"/>
            </w:pPr>
            <w:r w:rsidRPr="001112B1">
              <w:t>$38,859,747</w:t>
            </w:r>
          </w:p>
        </w:tc>
        <w:tc>
          <w:tcPr>
            <w:tcW w:w="1803" w:type="dxa"/>
          </w:tcPr>
          <w:p w14:paraId="08B363E3" w14:textId="77777777" w:rsidR="00FF3F62" w:rsidRPr="001112B1" w:rsidRDefault="00FF3F62" w:rsidP="00FF3F62">
            <w:pPr>
              <w:pStyle w:val="TableText"/>
            </w:pPr>
            <w:r w:rsidRPr="001112B1">
              <w:t>$55,404,070</w:t>
            </w:r>
          </w:p>
        </w:tc>
        <w:tc>
          <w:tcPr>
            <w:tcW w:w="1803" w:type="dxa"/>
          </w:tcPr>
          <w:p w14:paraId="650BB84E" w14:textId="77777777" w:rsidR="00FF3F62" w:rsidRPr="001112B1" w:rsidRDefault="00FF3F62" w:rsidP="00FF3F62">
            <w:pPr>
              <w:pStyle w:val="TableText"/>
            </w:pPr>
            <w:r w:rsidRPr="001112B1">
              <w:t>$5,427,159</w:t>
            </w:r>
          </w:p>
        </w:tc>
        <w:tc>
          <w:tcPr>
            <w:tcW w:w="1804" w:type="dxa"/>
          </w:tcPr>
          <w:p w14:paraId="0DAA750F" w14:textId="77777777" w:rsidR="00FF3F62" w:rsidRPr="000E2A16" w:rsidRDefault="00FF3F62" w:rsidP="00FF3F62">
            <w:pPr>
              <w:pStyle w:val="TableText"/>
            </w:pPr>
            <w:r w:rsidRPr="000E2A16">
              <w:t>$99,690,976</w:t>
            </w:r>
          </w:p>
        </w:tc>
      </w:tr>
      <w:tr w:rsidR="00FF3F62" w:rsidRPr="001112B1" w14:paraId="2A6DA07B" w14:textId="77777777" w:rsidTr="00A76176">
        <w:tc>
          <w:tcPr>
            <w:tcW w:w="1803" w:type="dxa"/>
            <w:shd w:val="clear" w:color="auto" w:fill="D9E2F3" w:themeFill="accent1" w:themeFillTint="33"/>
          </w:tcPr>
          <w:p w14:paraId="08FA17A8" w14:textId="77777777" w:rsidR="00FF3F62" w:rsidRPr="00973208" w:rsidRDefault="00FF3F62" w:rsidP="00FF3F62">
            <w:pPr>
              <w:pStyle w:val="TableText"/>
              <w:rPr>
                <w:b/>
                <w:bCs/>
              </w:rPr>
            </w:pPr>
            <w:r w:rsidRPr="00973208">
              <w:rPr>
                <w:b/>
                <w:bCs/>
              </w:rPr>
              <w:t>% of total</w:t>
            </w:r>
          </w:p>
        </w:tc>
        <w:tc>
          <w:tcPr>
            <w:tcW w:w="1803" w:type="dxa"/>
            <w:shd w:val="clear" w:color="auto" w:fill="D9E2F3" w:themeFill="accent1" w:themeFillTint="33"/>
          </w:tcPr>
          <w:p w14:paraId="7D6A4193" w14:textId="77777777" w:rsidR="00FF3F62" w:rsidRPr="001112B1" w:rsidRDefault="00FF3F62" w:rsidP="00FF3F62">
            <w:pPr>
              <w:pStyle w:val="TableText"/>
            </w:pPr>
            <w:r w:rsidRPr="001112B1">
              <w:t>39%</w:t>
            </w:r>
          </w:p>
        </w:tc>
        <w:tc>
          <w:tcPr>
            <w:tcW w:w="1803" w:type="dxa"/>
            <w:shd w:val="clear" w:color="auto" w:fill="D9E2F3" w:themeFill="accent1" w:themeFillTint="33"/>
          </w:tcPr>
          <w:p w14:paraId="7062916C" w14:textId="77777777" w:rsidR="00FF3F62" w:rsidRPr="001112B1" w:rsidRDefault="00FF3F62" w:rsidP="00FF3F62">
            <w:pPr>
              <w:pStyle w:val="TableText"/>
            </w:pPr>
            <w:r w:rsidRPr="001112B1">
              <w:t>56%</w:t>
            </w:r>
          </w:p>
        </w:tc>
        <w:tc>
          <w:tcPr>
            <w:tcW w:w="1803" w:type="dxa"/>
            <w:shd w:val="clear" w:color="auto" w:fill="D9E2F3" w:themeFill="accent1" w:themeFillTint="33"/>
          </w:tcPr>
          <w:p w14:paraId="1071C12B" w14:textId="77777777" w:rsidR="00FF3F62" w:rsidRPr="001112B1" w:rsidRDefault="00FF3F62" w:rsidP="00FF3F62">
            <w:pPr>
              <w:pStyle w:val="TableText"/>
            </w:pPr>
            <w:r w:rsidRPr="001112B1">
              <w:t>5%</w:t>
            </w:r>
          </w:p>
        </w:tc>
        <w:tc>
          <w:tcPr>
            <w:tcW w:w="1804" w:type="dxa"/>
            <w:shd w:val="clear" w:color="auto" w:fill="D9E2F3" w:themeFill="accent1" w:themeFillTint="33"/>
          </w:tcPr>
          <w:p w14:paraId="770C3581" w14:textId="77777777" w:rsidR="00FF3F62" w:rsidRPr="000E2A16" w:rsidRDefault="00FF3F62" w:rsidP="00FF3F62">
            <w:pPr>
              <w:pStyle w:val="TableText"/>
            </w:pPr>
            <w:r w:rsidRPr="000E2A16">
              <w:t>100%</w:t>
            </w:r>
          </w:p>
        </w:tc>
      </w:tr>
      <w:tr w:rsidR="00FF3F62" w:rsidRPr="001112B1" w14:paraId="425A5B30" w14:textId="77777777" w:rsidTr="00A76176">
        <w:tc>
          <w:tcPr>
            <w:tcW w:w="1803" w:type="dxa"/>
          </w:tcPr>
          <w:p w14:paraId="4AB26A05" w14:textId="77777777" w:rsidR="00FF3F62" w:rsidRPr="00973208" w:rsidRDefault="00FF3F62" w:rsidP="00FF3F62">
            <w:pPr>
              <w:pStyle w:val="TableText"/>
              <w:rPr>
                <w:b/>
                <w:bCs/>
              </w:rPr>
            </w:pPr>
            <w:r w:rsidRPr="00973208">
              <w:rPr>
                <w:b/>
                <w:bCs/>
              </w:rPr>
              <w:t>2021</w:t>
            </w:r>
          </w:p>
        </w:tc>
        <w:tc>
          <w:tcPr>
            <w:tcW w:w="1803" w:type="dxa"/>
          </w:tcPr>
          <w:p w14:paraId="399A2BC4" w14:textId="77777777" w:rsidR="00FF3F62" w:rsidRPr="001112B1" w:rsidRDefault="00FF3F62" w:rsidP="00FF3F62">
            <w:pPr>
              <w:pStyle w:val="TableText"/>
            </w:pPr>
            <w:r w:rsidRPr="001112B1">
              <w:t>$12,486,294</w:t>
            </w:r>
          </w:p>
        </w:tc>
        <w:tc>
          <w:tcPr>
            <w:tcW w:w="1803" w:type="dxa"/>
          </w:tcPr>
          <w:p w14:paraId="6A8DD1E5" w14:textId="77777777" w:rsidR="00FF3F62" w:rsidRPr="001112B1" w:rsidRDefault="00FF3F62" w:rsidP="00FF3F62">
            <w:pPr>
              <w:pStyle w:val="TableText"/>
            </w:pPr>
            <w:r w:rsidRPr="001112B1">
              <w:t>$77,015,502</w:t>
            </w:r>
          </w:p>
        </w:tc>
        <w:tc>
          <w:tcPr>
            <w:tcW w:w="1803" w:type="dxa"/>
          </w:tcPr>
          <w:p w14:paraId="5DBA3A45" w14:textId="77777777" w:rsidR="00FF3F62" w:rsidRPr="001112B1" w:rsidRDefault="00FF3F62" w:rsidP="00FF3F62">
            <w:pPr>
              <w:pStyle w:val="TableText"/>
            </w:pPr>
            <w:r w:rsidRPr="001112B1">
              <w:t>$56,235,487</w:t>
            </w:r>
          </w:p>
        </w:tc>
        <w:tc>
          <w:tcPr>
            <w:tcW w:w="1804" w:type="dxa"/>
          </w:tcPr>
          <w:p w14:paraId="4C5A617A" w14:textId="77777777" w:rsidR="00FF3F62" w:rsidRPr="000E2A16" w:rsidRDefault="00FF3F62" w:rsidP="00FF3F62">
            <w:pPr>
              <w:pStyle w:val="TableText"/>
            </w:pPr>
            <w:r w:rsidRPr="000E2A16">
              <w:t>$145,737,283</w:t>
            </w:r>
          </w:p>
        </w:tc>
      </w:tr>
      <w:tr w:rsidR="00FF3F62" w:rsidRPr="001112B1" w14:paraId="34F8DB10" w14:textId="77777777" w:rsidTr="00A76176">
        <w:tc>
          <w:tcPr>
            <w:tcW w:w="1803" w:type="dxa"/>
            <w:shd w:val="clear" w:color="auto" w:fill="D9E2F3" w:themeFill="accent1" w:themeFillTint="33"/>
          </w:tcPr>
          <w:p w14:paraId="1F69206C" w14:textId="77777777" w:rsidR="00FF3F62" w:rsidRPr="00973208" w:rsidRDefault="00FF3F62" w:rsidP="00FF3F62">
            <w:pPr>
              <w:pStyle w:val="TableText"/>
              <w:rPr>
                <w:b/>
                <w:bCs/>
              </w:rPr>
            </w:pPr>
            <w:r w:rsidRPr="00973208">
              <w:rPr>
                <w:b/>
                <w:bCs/>
              </w:rPr>
              <w:t>% of total</w:t>
            </w:r>
          </w:p>
        </w:tc>
        <w:tc>
          <w:tcPr>
            <w:tcW w:w="1803" w:type="dxa"/>
            <w:shd w:val="clear" w:color="auto" w:fill="D9E2F3" w:themeFill="accent1" w:themeFillTint="33"/>
          </w:tcPr>
          <w:p w14:paraId="1F0D9CDD" w14:textId="77777777" w:rsidR="00FF3F62" w:rsidRPr="001112B1" w:rsidRDefault="00FF3F62" w:rsidP="00FF3F62">
            <w:pPr>
              <w:pStyle w:val="TableText"/>
            </w:pPr>
            <w:r w:rsidRPr="001112B1">
              <w:t>9%</w:t>
            </w:r>
          </w:p>
        </w:tc>
        <w:tc>
          <w:tcPr>
            <w:tcW w:w="1803" w:type="dxa"/>
            <w:shd w:val="clear" w:color="auto" w:fill="D9E2F3" w:themeFill="accent1" w:themeFillTint="33"/>
          </w:tcPr>
          <w:p w14:paraId="684784A7" w14:textId="77777777" w:rsidR="00FF3F62" w:rsidRPr="001112B1" w:rsidRDefault="00FF3F62" w:rsidP="00FF3F62">
            <w:pPr>
              <w:pStyle w:val="TableText"/>
            </w:pPr>
            <w:r w:rsidRPr="001112B1">
              <w:t>52%</w:t>
            </w:r>
          </w:p>
        </w:tc>
        <w:tc>
          <w:tcPr>
            <w:tcW w:w="1803" w:type="dxa"/>
            <w:shd w:val="clear" w:color="auto" w:fill="D9E2F3" w:themeFill="accent1" w:themeFillTint="33"/>
          </w:tcPr>
          <w:p w14:paraId="1AB8E79E" w14:textId="77777777" w:rsidR="00FF3F62" w:rsidRPr="001112B1" w:rsidRDefault="00FF3F62" w:rsidP="00FF3F62">
            <w:pPr>
              <w:pStyle w:val="TableText"/>
            </w:pPr>
            <w:r w:rsidRPr="001112B1">
              <w:t>39%</w:t>
            </w:r>
          </w:p>
        </w:tc>
        <w:tc>
          <w:tcPr>
            <w:tcW w:w="1804" w:type="dxa"/>
            <w:shd w:val="clear" w:color="auto" w:fill="D9E2F3" w:themeFill="accent1" w:themeFillTint="33"/>
          </w:tcPr>
          <w:p w14:paraId="429A4FEC" w14:textId="1EF39373" w:rsidR="00FF3F62" w:rsidRPr="000E2A16" w:rsidRDefault="00FF3F62" w:rsidP="00FF3F62">
            <w:pPr>
              <w:pStyle w:val="TableText"/>
            </w:pPr>
            <w:r w:rsidRPr="000E2A16">
              <w:t>100%</w:t>
            </w:r>
          </w:p>
        </w:tc>
      </w:tr>
      <w:tr w:rsidR="00FF3F62" w:rsidRPr="001112B1" w14:paraId="135100A2" w14:textId="77777777" w:rsidTr="00A76176">
        <w:tc>
          <w:tcPr>
            <w:tcW w:w="1803" w:type="dxa"/>
          </w:tcPr>
          <w:p w14:paraId="49F8D5D8" w14:textId="005216E5" w:rsidR="00FF3F62" w:rsidRPr="00973208" w:rsidRDefault="00FF3F62" w:rsidP="00FF3F62">
            <w:pPr>
              <w:pStyle w:val="TableText"/>
              <w:rPr>
                <w:b/>
                <w:bCs/>
                <w:vertAlign w:val="superscript"/>
              </w:rPr>
            </w:pPr>
            <w:r w:rsidRPr="00973208">
              <w:rPr>
                <w:b/>
                <w:bCs/>
              </w:rPr>
              <w:t>2022</w:t>
            </w:r>
            <w:r w:rsidR="000E2A16" w:rsidRPr="000E2A16">
              <w:rPr>
                <w:b/>
                <w:bCs/>
                <w:vertAlign w:val="superscript"/>
              </w:rPr>
              <w:t>1</w:t>
            </w:r>
          </w:p>
        </w:tc>
        <w:tc>
          <w:tcPr>
            <w:tcW w:w="1803" w:type="dxa"/>
          </w:tcPr>
          <w:p w14:paraId="6A30A1EC" w14:textId="77777777" w:rsidR="00FF3F62" w:rsidRPr="001112B1" w:rsidRDefault="00FF3F62" w:rsidP="00FF3F62">
            <w:pPr>
              <w:pStyle w:val="TableText"/>
            </w:pPr>
            <w:r w:rsidRPr="001112B1">
              <w:t>$1,439,995</w:t>
            </w:r>
          </w:p>
        </w:tc>
        <w:tc>
          <w:tcPr>
            <w:tcW w:w="1803" w:type="dxa"/>
          </w:tcPr>
          <w:p w14:paraId="66C0CE7F" w14:textId="77777777" w:rsidR="00FF3F62" w:rsidRPr="001112B1" w:rsidRDefault="00FF3F62" w:rsidP="00FF3F62">
            <w:pPr>
              <w:pStyle w:val="TableText"/>
            </w:pPr>
            <w:r w:rsidRPr="001112B1">
              <w:t>$44,731,317</w:t>
            </w:r>
          </w:p>
        </w:tc>
        <w:tc>
          <w:tcPr>
            <w:tcW w:w="1803" w:type="dxa"/>
          </w:tcPr>
          <w:p w14:paraId="0DBED055" w14:textId="77777777" w:rsidR="00FF3F62" w:rsidRPr="001112B1" w:rsidRDefault="00FF3F62" w:rsidP="00FF3F62">
            <w:pPr>
              <w:pStyle w:val="TableText"/>
            </w:pPr>
            <w:r w:rsidRPr="001112B1">
              <w:t>$58,002,301</w:t>
            </w:r>
          </w:p>
        </w:tc>
        <w:tc>
          <w:tcPr>
            <w:tcW w:w="1804" w:type="dxa"/>
          </w:tcPr>
          <w:p w14:paraId="6C4AF975" w14:textId="568FF653" w:rsidR="00FF3F62" w:rsidRPr="000E2A16" w:rsidRDefault="00FF3F62" w:rsidP="00FF3F62">
            <w:pPr>
              <w:pStyle w:val="TableText"/>
            </w:pPr>
            <w:r w:rsidRPr="000E2A16">
              <w:t>$104,173,613</w:t>
            </w:r>
          </w:p>
        </w:tc>
      </w:tr>
      <w:tr w:rsidR="00FF3F62" w:rsidRPr="001112B1" w14:paraId="2726F485" w14:textId="77777777" w:rsidTr="00A76176">
        <w:tc>
          <w:tcPr>
            <w:tcW w:w="1803" w:type="dxa"/>
            <w:shd w:val="clear" w:color="auto" w:fill="D9E2F3" w:themeFill="accent1" w:themeFillTint="33"/>
          </w:tcPr>
          <w:p w14:paraId="2591F589" w14:textId="77777777" w:rsidR="00FF3F62" w:rsidRPr="00973208" w:rsidRDefault="00FF3F62" w:rsidP="00FF3F62">
            <w:pPr>
              <w:pStyle w:val="TableText"/>
              <w:rPr>
                <w:b/>
                <w:bCs/>
              </w:rPr>
            </w:pPr>
            <w:r w:rsidRPr="00973208">
              <w:rPr>
                <w:b/>
                <w:bCs/>
              </w:rPr>
              <w:t>% of total</w:t>
            </w:r>
          </w:p>
        </w:tc>
        <w:tc>
          <w:tcPr>
            <w:tcW w:w="1803" w:type="dxa"/>
            <w:shd w:val="clear" w:color="auto" w:fill="D9E2F3" w:themeFill="accent1" w:themeFillTint="33"/>
          </w:tcPr>
          <w:p w14:paraId="6B854276" w14:textId="77777777" w:rsidR="00FF3F62" w:rsidRPr="001112B1" w:rsidRDefault="00FF3F62" w:rsidP="00FF3F62">
            <w:pPr>
              <w:pStyle w:val="TableText"/>
            </w:pPr>
            <w:r w:rsidRPr="001112B1">
              <w:t>1%</w:t>
            </w:r>
          </w:p>
        </w:tc>
        <w:tc>
          <w:tcPr>
            <w:tcW w:w="1803" w:type="dxa"/>
            <w:shd w:val="clear" w:color="auto" w:fill="D9E2F3" w:themeFill="accent1" w:themeFillTint="33"/>
          </w:tcPr>
          <w:p w14:paraId="7253A3D2" w14:textId="77777777" w:rsidR="00FF3F62" w:rsidRPr="001112B1" w:rsidRDefault="00FF3F62" w:rsidP="00FF3F62">
            <w:pPr>
              <w:pStyle w:val="TableText"/>
            </w:pPr>
            <w:r w:rsidRPr="001112B1">
              <w:t>43%</w:t>
            </w:r>
          </w:p>
        </w:tc>
        <w:tc>
          <w:tcPr>
            <w:tcW w:w="1803" w:type="dxa"/>
            <w:shd w:val="clear" w:color="auto" w:fill="D9E2F3" w:themeFill="accent1" w:themeFillTint="33"/>
          </w:tcPr>
          <w:p w14:paraId="0DC0B258" w14:textId="77777777" w:rsidR="00FF3F62" w:rsidRPr="001112B1" w:rsidRDefault="00FF3F62" w:rsidP="00FF3F62">
            <w:pPr>
              <w:pStyle w:val="TableText"/>
            </w:pPr>
            <w:r w:rsidRPr="001112B1">
              <w:t>56%</w:t>
            </w:r>
          </w:p>
        </w:tc>
        <w:tc>
          <w:tcPr>
            <w:tcW w:w="1804" w:type="dxa"/>
            <w:shd w:val="clear" w:color="auto" w:fill="D9E2F3" w:themeFill="accent1" w:themeFillTint="33"/>
          </w:tcPr>
          <w:p w14:paraId="3486819B" w14:textId="77777777" w:rsidR="00FF3F62" w:rsidRPr="000E2A16" w:rsidRDefault="00FF3F62" w:rsidP="00FF3F62">
            <w:pPr>
              <w:pStyle w:val="TableText"/>
            </w:pPr>
            <w:r w:rsidRPr="000E2A16">
              <w:t>100%</w:t>
            </w:r>
          </w:p>
        </w:tc>
      </w:tr>
    </w:tbl>
    <w:p w14:paraId="203E04AD" w14:textId="77777777" w:rsidR="00BC5DAA" w:rsidRDefault="000E2A16" w:rsidP="00C7336E">
      <w:pPr>
        <w:spacing w:after="0" w:line="240" w:lineRule="auto"/>
        <w:rPr>
          <w:rFonts w:asciiTheme="minorHAnsi" w:hAnsiTheme="minorHAnsi" w:cstheme="minorHAnsi"/>
          <w:sz w:val="20"/>
          <w:szCs w:val="20"/>
        </w:rPr>
      </w:pPr>
      <w:r>
        <w:rPr>
          <w:rFonts w:asciiTheme="minorHAnsi" w:hAnsiTheme="minorHAnsi" w:cstheme="minorHAnsi"/>
          <w:sz w:val="20"/>
          <w:szCs w:val="20"/>
        </w:rPr>
        <w:t>Notes:</w:t>
      </w:r>
    </w:p>
    <w:p w14:paraId="310A21F8" w14:textId="1E0E28C0" w:rsidR="000E2A16" w:rsidRDefault="00B7068B" w:rsidP="00C7336E">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B82BBF">
        <w:rPr>
          <w:rFonts w:eastAsia="Times New Roman"/>
          <w:color w:val="000000"/>
          <w:sz w:val="20"/>
          <w:szCs w:val="20"/>
          <w:lang w:eastAsia="en-AU"/>
        </w:rPr>
        <w:t>R/PBS benefits paid based on published list prices.</w:t>
      </w:r>
    </w:p>
    <w:p w14:paraId="74393FB0" w14:textId="7D68F5F2" w:rsidR="00EB4AE0" w:rsidRPr="000E2A16" w:rsidRDefault="000E2A16">
      <w:pPr>
        <w:pStyle w:val="ListParagraph"/>
        <w:numPr>
          <w:ilvl w:val="0"/>
          <w:numId w:val="27"/>
        </w:numPr>
        <w:spacing w:after="0" w:line="240" w:lineRule="auto"/>
        <w:rPr>
          <w:rFonts w:asciiTheme="minorHAnsi" w:hAnsiTheme="minorHAnsi" w:cstheme="minorHAnsi"/>
          <w:sz w:val="20"/>
          <w:szCs w:val="20"/>
        </w:rPr>
      </w:pPr>
      <w:r w:rsidRPr="000E2A16">
        <w:rPr>
          <w:rFonts w:asciiTheme="minorHAnsi" w:hAnsiTheme="minorHAnsi" w:cstheme="minorHAnsi"/>
          <w:sz w:val="20"/>
          <w:szCs w:val="20"/>
        </w:rPr>
        <w:t>D</w:t>
      </w:r>
      <w:r w:rsidR="00EB4AE0" w:rsidRPr="000E2A16">
        <w:rPr>
          <w:rFonts w:asciiTheme="minorHAnsi" w:hAnsiTheme="minorHAnsi" w:cstheme="minorHAnsi"/>
          <w:sz w:val="20"/>
          <w:szCs w:val="20"/>
        </w:rPr>
        <w:t>ata from 2022 only until end of June</w:t>
      </w:r>
      <w:r w:rsidR="001E6EA4" w:rsidRPr="000E2A16">
        <w:rPr>
          <w:rFonts w:asciiTheme="minorHAnsi" w:hAnsiTheme="minorHAnsi" w:cstheme="minorHAnsi"/>
          <w:sz w:val="20"/>
          <w:szCs w:val="20"/>
        </w:rPr>
        <w:t>.</w:t>
      </w:r>
      <w:r w:rsidR="00B7068B">
        <w:rPr>
          <w:rFonts w:asciiTheme="minorHAnsi" w:hAnsiTheme="minorHAnsi" w:cstheme="minorHAnsi"/>
          <w:sz w:val="20"/>
          <w:szCs w:val="20"/>
        </w:rPr>
        <w:t xml:space="preserve"> </w:t>
      </w:r>
    </w:p>
    <w:p w14:paraId="4881D4EF" w14:textId="7D0EBAD0" w:rsidR="000E2A16" w:rsidRPr="000E2A16" w:rsidRDefault="00EB4AE0">
      <w:pPr>
        <w:pStyle w:val="ListParagraph"/>
        <w:numPr>
          <w:ilvl w:val="0"/>
          <w:numId w:val="27"/>
        </w:numPr>
        <w:spacing w:after="0" w:line="240" w:lineRule="auto"/>
        <w:rPr>
          <w:rFonts w:asciiTheme="minorHAnsi" w:hAnsiTheme="minorHAnsi" w:cstheme="minorHAnsi"/>
          <w:sz w:val="20"/>
          <w:szCs w:val="20"/>
        </w:rPr>
      </w:pPr>
      <w:r w:rsidRPr="000E2A16">
        <w:rPr>
          <w:rFonts w:asciiTheme="minorHAnsi" w:hAnsiTheme="minorHAnsi" w:cstheme="minorHAnsi"/>
          <w:sz w:val="20"/>
          <w:szCs w:val="20"/>
        </w:rPr>
        <w:t>Dulaglutide first listed June 2018</w:t>
      </w:r>
      <w:r w:rsidR="001E6EA4" w:rsidRPr="000E2A16">
        <w:rPr>
          <w:rFonts w:asciiTheme="minorHAnsi" w:hAnsiTheme="minorHAnsi" w:cstheme="minorHAnsi"/>
          <w:sz w:val="20"/>
          <w:szCs w:val="20"/>
        </w:rPr>
        <w:t>. Special pricing arrangements in place.</w:t>
      </w:r>
      <w:r w:rsidRPr="000E2A16">
        <w:rPr>
          <w:rFonts w:asciiTheme="minorHAnsi" w:hAnsiTheme="minorHAnsi" w:cstheme="minorHAnsi"/>
          <w:sz w:val="20"/>
          <w:szCs w:val="20"/>
        </w:rPr>
        <w:t xml:space="preserve"> </w:t>
      </w:r>
    </w:p>
    <w:p w14:paraId="0AAC49F7" w14:textId="6E84A674" w:rsidR="008D6962" w:rsidRPr="000E2A16" w:rsidRDefault="000E2A16">
      <w:pPr>
        <w:pStyle w:val="ListParagraph"/>
        <w:numPr>
          <w:ilvl w:val="0"/>
          <w:numId w:val="27"/>
        </w:numPr>
        <w:spacing w:after="0" w:line="240" w:lineRule="auto"/>
        <w:rPr>
          <w:rFonts w:asciiTheme="minorHAnsi" w:hAnsiTheme="minorHAnsi" w:cstheme="minorHAnsi"/>
          <w:sz w:val="20"/>
          <w:szCs w:val="20"/>
        </w:rPr>
      </w:pPr>
      <w:r>
        <w:rPr>
          <w:rFonts w:asciiTheme="minorHAnsi" w:hAnsiTheme="minorHAnsi" w:cstheme="minorHAnsi"/>
          <w:sz w:val="20"/>
          <w:szCs w:val="20"/>
        </w:rPr>
        <w:t>S</w:t>
      </w:r>
      <w:r w:rsidR="00EB4AE0" w:rsidRPr="000E2A16">
        <w:rPr>
          <w:rFonts w:asciiTheme="minorHAnsi" w:hAnsiTheme="minorHAnsi" w:cstheme="minorHAnsi"/>
          <w:sz w:val="20"/>
          <w:szCs w:val="20"/>
        </w:rPr>
        <w:t>emaglutide first listed 1 July 2020</w:t>
      </w:r>
      <w:r w:rsidR="001E6EA4" w:rsidRPr="000E2A16">
        <w:rPr>
          <w:rFonts w:asciiTheme="minorHAnsi" w:hAnsiTheme="minorHAnsi" w:cstheme="minorHAnsi"/>
          <w:sz w:val="20"/>
          <w:szCs w:val="20"/>
        </w:rPr>
        <w:t>. Special pricing arrangements in place.</w:t>
      </w:r>
    </w:p>
    <w:p w14:paraId="1CBC22E4" w14:textId="77777777" w:rsidR="00215C37" w:rsidRDefault="00215C37" w:rsidP="00C7336E">
      <w:pPr>
        <w:spacing w:line="240" w:lineRule="auto"/>
        <w:rPr>
          <w:b/>
          <w:bCs/>
        </w:rPr>
      </w:pPr>
    </w:p>
    <w:p w14:paraId="09878A12" w14:textId="77777777" w:rsidR="00215C37" w:rsidRPr="008C684C" w:rsidRDefault="00215C37" w:rsidP="00C7336E">
      <w:pPr>
        <w:pStyle w:val="Heading3"/>
      </w:pPr>
      <w:r w:rsidRPr="008C684C">
        <w:lastRenderedPageBreak/>
        <w:t xml:space="preserve">Prior use of metformin, </w:t>
      </w:r>
      <w:r>
        <w:t xml:space="preserve">SU </w:t>
      </w:r>
      <w:r w:rsidRPr="008C684C">
        <w:t>and</w:t>
      </w:r>
      <w:r>
        <w:t>/or</w:t>
      </w:r>
      <w:r w:rsidRPr="008C684C">
        <w:t xml:space="preserve"> insulin</w:t>
      </w:r>
      <w:r>
        <w:t xml:space="preserve"> in patients initiating a GLP-1 RA</w:t>
      </w:r>
    </w:p>
    <w:p w14:paraId="3CCD1C2C" w14:textId="0FE093FC" w:rsidR="00215C37" w:rsidRDefault="00215C37" w:rsidP="00C7336E">
      <w:pPr>
        <w:keepNext/>
        <w:keepLines/>
        <w:spacing w:line="240" w:lineRule="auto"/>
      </w:pPr>
      <w:r>
        <w:t>The PBS restrictions for GLP-1 RAs</w:t>
      </w:r>
      <w:r w:rsidR="009D4B07">
        <w:t xml:space="preserve"> allow use in the following circumstances</w:t>
      </w:r>
      <w:r>
        <w:t>:</w:t>
      </w:r>
    </w:p>
    <w:p w14:paraId="7719AD6B" w14:textId="1130D190" w:rsidR="00215C37" w:rsidRDefault="00215C37">
      <w:pPr>
        <w:pStyle w:val="ListParagraph"/>
        <w:keepNext/>
        <w:keepLines/>
        <w:numPr>
          <w:ilvl w:val="0"/>
          <w:numId w:val="7"/>
        </w:numPr>
        <w:spacing w:line="240" w:lineRule="auto"/>
      </w:pPr>
      <w:r>
        <w:t xml:space="preserve">Dual therapy with metformin (or SU for exenatide and semaglutide): Patient is contraindicated/intolerant to a combination </w:t>
      </w:r>
      <w:r w:rsidR="000417BD">
        <w:t>of</w:t>
      </w:r>
      <w:r>
        <w:t xml:space="preserve"> metformin + SU. </w:t>
      </w:r>
    </w:p>
    <w:p w14:paraId="5D33E891" w14:textId="77777777" w:rsidR="00215C37" w:rsidRDefault="00215C37">
      <w:pPr>
        <w:pStyle w:val="ListParagraph"/>
        <w:numPr>
          <w:ilvl w:val="0"/>
          <w:numId w:val="7"/>
        </w:numPr>
        <w:spacing w:line="240" w:lineRule="auto"/>
      </w:pPr>
      <w:r>
        <w:t>Dual therapy with insulin: Patient is contraindicated/intolerant to metformin.</w:t>
      </w:r>
    </w:p>
    <w:p w14:paraId="3B382800" w14:textId="7B1289FA" w:rsidR="00215C37" w:rsidRDefault="00215C37">
      <w:pPr>
        <w:pStyle w:val="ListParagraph"/>
        <w:numPr>
          <w:ilvl w:val="0"/>
          <w:numId w:val="7"/>
        </w:numPr>
        <w:spacing w:line="240" w:lineRule="auto"/>
      </w:pPr>
      <w:r>
        <w:t xml:space="preserve">Triple therapy with metformin </w:t>
      </w:r>
      <w:r w:rsidR="000417BD">
        <w:t>+</w:t>
      </w:r>
      <w:r>
        <w:t xml:space="preserve"> SU</w:t>
      </w:r>
      <w:r w:rsidR="000417BD">
        <w:t>, or metformin + insulin.</w:t>
      </w:r>
    </w:p>
    <w:p w14:paraId="7713EBA1" w14:textId="7AE43F36" w:rsidR="009D4B07" w:rsidRDefault="009D4B07" w:rsidP="00C7336E">
      <w:pPr>
        <w:spacing w:line="240" w:lineRule="auto"/>
      </w:pPr>
      <w:r>
        <w:t xml:space="preserve">Therefore, most patients initiating therapy with a GLP-1 RA should have </w:t>
      </w:r>
      <w:proofErr w:type="gramStart"/>
      <w:r>
        <w:t>been supplied</w:t>
      </w:r>
      <w:proofErr w:type="gramEnd"/>
      <w:r>
        <w:t xml:space="preserve"> metformin and a SU, or metformin and insulin, prior to initiating a GLP-1 RA. In a small number of cases patients contraindicated to treatment with metformin may have initiated treatment with insulin or a SU only prior to GLP-1 RA therapy, or patients contraindicated to a SU may have initiated therapy with metformin alone</w:t>
      </w:r>
      <w:proofErr w:type="gramStart"/>
      <w:r>
        <w:t xml:space="preserve">.  </w:t>
      </w:r>
      <w:proofErr w:type="gramEnd"/>
    </w:p>
    <w:p w14:paraId="2FC88432" w14:textId="3B58FBCD" w:rsidR="00215C37" w:rsidRDefault="009D4B07" w:rsidP="00C7336E">
      <w:pPr>
        <w:spacing w:line="240" w:lineRule="auto"/>
      </w:pPr>
      <w:r>
        <w:t>This analysis considered patients initiating a GLP</w:t>
      </w:r>
      <w:r>
        <w:noBreakHyphen/>
        <w:t>1 RA from 1 January 2017</w:t>
      </w:r>
      <w:r w:rsidR="000417BD">
        <w:t xml:space="preserve"> to 30 June 2022 </w:t>
      </w:r>
      <w:r w:rsidR="000E2A16">
        <w:t>inclusive and</w:t>
      </w:r>
      <w:r>
        <w:t xml:space="preserve"> used a </w:t>
      </w:r>
      <w:r w:rsidR="00215C37">
        <w:t xml:space="preserve">two-year lookback (2015 and 2016) to identify </w:t>
      </w:r>
      <w:r>
        <w:t xml:space="preserve">initiating </w:t>
      </w:r>
      <w:r w:rsidR="00215C37">
        <w:t xml:space="preserve">patients. Patients initiating a GLP-1 RA </w:t>
      </w:r>
      <w:proofErr w:type="gramStart"/>
      <w:r w:rsidR="00215C37">
        <w:t>were then examined</w:t>
      </w:r>
      <w:proofErr w:type="gramEnd"/>
      <w:r w:rsidR="00215C37">
        <w:t xml:space="preserve"> to determine if they had been supplied metformin (alone or in a</w:t>
      </w:r>
      <w:r w:rsidR="007F234D">
        <w:t>n</w:t>
      </w:r>
      <w:r w:rsidR="00215C37">
        <w:t xml:space="preserve"> FDC), SU, and/or insulin prior to supply of the GLP-1 RA. </w:t>
      </w:r>
      <w:r w:rsidR="003F4218">
        <w:t xml:space="preserve">Prior supply of medicines other than metformin, SU or insulin were not considered. </w:t>
      </w:r>
      <w:r>
        <w:t>Although the PBS restrictions require patients to be stabilised on therapy with insulin and other oral agents prior to commencing GLP-1 RA therapy, p</w:t>
      </w:r>
      <w:r w:rsidR="00215C37">
        <w:t>rior use included same</w:t>
      </w:r>
      <w:r w:rsidR="007F234D">
        <w:t>-</w:t>
      </w:r>
      <w:r w:rsidR="00215C37">
        <w:t>day supply</w:t>
      </w:r>
      <w:r>
        <w:t xml:space="preserve"> in this analysis</w:t>
      </w:r>
      <w:r w:rsidR="00215C37">
        <w:t>.</w:t>
      </w:r>
    </w:p>
    <w:p w14:paraId="18649440" w14:textId="5C51A9AF" w:rsidR="003F4218" w:rsidRDefault="00846828" w:rsidP="00C7336E">
      <w:pPr>
        <w:spacing w:line="240" w:lineRule="auto"/>
      </w:pPr>
      <w:r>
        <w:t xml:space="preserve">From 2017 to mid-2022, only 26% of patients had </w:t>
      </w:r>
      <w:proofErr w:type="gramStart"/>
      <w:r>
        <w:t>be</w:t>
      </w:r>
      <w:r w:rsidR="00012F38">
        <w:t>e</w:t>
      </w:r>
      <w:r>
        <w:t>n supplied</w:t>
      </w:r>
      <w:proofErr w:type="gramEnd"/>
      <w:r>
        <w:t xml:space="preserve"> metformin and SU (15%), metformin and insulin (8%), or metformin, SU and insulin (3%)</w:t>
      </w:r>
      <w:r w:rsidR="00012F38">
        <w:t>, prior to initiating a GLP</w:t>
      </w:r>
      <w:r w:rsidR="00012F38">
        <w:noBreakHyphen/>
        <w:t>1 RA</w:t>
      </w:r>
      <w:r w:rsidR="003F4218">
        <w:t>, as required by the PBS restrictions</w:t>
      </w:r>
      <w:r w:rsidR="00012F38">
        <w:t xml:space="preserve"> </w:t>
      </w:r>
      <w:r>
        <w:t xml:space="preserve">(Table </w:t>
      </w:r>
      <w:r w:rsidR="000F4A60">
        <w:t>7</w:t>
      </w:r>
      <w:r>
        <w:t>). Eighteen per cent of patients supplied a GLP</w:t>
      </w:r>
      <w:r w:rsidR="000417BD">
        <w:noBreakHyphen/>
      </w:r>
      <w:r w:rsidRPr="000417BD">
        <w:t>1</w:t>
      </w:r>
      <w:r w:rsidR="000417BD">
        <w:t> </w:t>
      </w:r>
      <w:r w:rsidRPr="000417BD">
        <w:t>RA</w:t>
      </w:r>
      <w:r>
        <w:t xml:space="preserve"> during this period, </w:t>
      </w:r>
      <w:proofErr w:type="gramStart"/>
      <w:r>
        <w:t>were not supplied</w:t>
      </w:r>
      <w:proofErr w:type="gramEnd"/>
      <w:r>
        <w:t xml:space="preserve"> metformin, SU or insulin prior to initiation</w:t>
      </w:r>
      <w:r w:rsidR="00012F38">
        <w:t>, indicating clear use outside of the PBS restrictions</w:t>
      </w:r>
      <w:r>
        <w:t xml:space="preserve">. Further, </w:t>
      </w:r>
      <w:r w:rsidR="00012F38">
        <w:t xml:space="preserve">57% </w:t>
      </w:r>
      <w:proofErr w:type="gramStart"/>
      <w:r w:rsidR="00012F38">
        <w:t>were supplied</w:t>
      </w:r>
      <w:proofErr w:type="gramEnd"/>
      <w:r>
        <w:t xml:space="preserve"> only insulin</w:t>
      </w:r>
      <w:r w:rsidR="00012F38">
        <w:t xml:space="preserve"> (1%)</w:t>
      </w:r>
      <w:r>
        <w:t>, a SU</w:t>
      </w:r>
      <w:r w:rsidR="00012F38">
        <w:t xml:space="preserve"> (1%)</w:t>
      </w:r>
      <w:r>
        <w:t xml:space="preserve">, </w:t>
      </w:r>
      <w:r w:rsidR="00012F38">
        <w:t>or metformin</w:t>
      </w:r>
      <w:r>
        <w:t xml:space="preserve"> </w:t>
      </w:r>
      <w:r w:rsidR="00012F38">
        <w:t>(</w:t>
      </w:r>
      <w:r>
        <w:t>55%</w:t>
      </w:r>
      <w:r w:rsidR="00012F38">
        <w:t>)</w:t>
      </w:r>
      <w:r>
        <w:t xml:space="preserve"> prior to initiation of a GLP-1 RA</w:t>
      </w:r>
      <w:r w:rsidR="00012F38">
        <w:t>, indicating possible use outside of the PBS restrictions</w:t>
      </w:r>
      <w:r>
        <w:t xml:space="preserve">. </w:t>
      </w:r>
    </w:p>
    <w:p w14:paraId="10B5CB3A" w14:textId="011B27DC" w:rsidR="00C2166D" w:rsidRDefault="00012F38" w:rsidP="00C7336E">
      <w:pPr>
        <w:spacing w:line="240" w:lineRule="auto"/>
      </w:pPr>
      <w:r>
        <w:t>Th</w:t>
      </w:r>
      <w:r w:rsidR="003F4218">
        <w:t>ese results</w:t>
      </w:r>
      <w:r>
        <w:t xml:space="preserve"> indicate that contraindication to a SU may be </w:t>
      </w:r>
      <w:proofErr w:type="gramStart"/>
      <w:r>
        <w:t>being interpreted</w:t>
      </w:r>
      <w:proofErr w:type="gramEnd"/>
      <w:r>
        <w:t xml:space="preserve"> more broadly in clinical practice than was intended at the time of PBS listing of GLP-1 RAs.</w:t>
      </w:r>
      <w:r w:rsidR="00C2166D">
        <w:t xml:space="preserve"> </w:t>
      </w:r>
      <w:r w:rsidR="00614BDC">
        <w:t xml:space="preserve">Contraindications for gliclazide, the most used SU in Australia, </w:t>
      </w:r>
      <w:r w:rsidR="000E2A16">
        <w:t>include</w:t>
      </w:r>
      <w:r w:rsidR="00614BDC">
        <w:t xml:space="preserve"> hypersensitivity to sulfonamides; severe renal or hepatic insufficiency; acidosis, ketosis or coma</w:t>
      </w:r>
      <w:r w:rsidR="00C2166D">
        <w:t>,</w:t>
      </w:r>
      <w:r w:rsidR="00614BDC">
        <w:t xml:space="preserve"> or repeated episodes of ketoacidosis or coma; pregnancy</w:t>
      </w:r>
      <w:r w:rsidR="00C2166D">
        <w:t xml:space="preserve">; </w:t>
      </w:r>
      <w:r w:rsidR="00614BDC">
        <w:t>lactation</w:t>
      </w:r>
      <w:r w:rsidR="00C2166D">
        <w:t>; and treatment with miconazole</w:t>
      </w:r>
      <w:r w:rsidR="00614BDC">
        <w:t>.</w:t>
      </w:r>
      <w:r w:rsidR="00C2166D">
        <w:t xml:space="preserve"> </w:t>
      </w:r>
      <w:proofErr w:type="gramStart"/>
      <w:r w:rsidR="00C2166D">
        <w:t>Some</w:t>
      </w:r>
      <w:proofErr w:type="gramEnd"/>
      <w:r w:rsidR="00C2166D">
        <w:t xml:space="preserve"> endocrine disorders, alcoholism, and malnutrition/fasting/irregular or skipped meals may increase sensitivity to SUs and risk of hypoglycaemia.</w:t>
      </w:r>
      <w:r w:rsidR="00C2166D">
        <w:rPr>
          <w:rStyle w:val="FootnoteReference"/>
        </w:rPr>
        <w:footnoteReference w:id="16"/>
      </w:r>
      <w:r w:rsidR="00C2166D">
        <w:t xml:space="preserve"> </w:t>
      </w:r>
    </w:p>
    <w:p w14:paraId="254EA14B" w14:textId="08F74243" w:rsidR="00846828" w:rsidRDefault="00A76176" w:rsidP="00C7336E">
      <w:pPr>
        <w:spacing w:line="240" w:lineRule="auto"/>
      </w:pPr>
      <w:r w:rsidRPr="00E850A7">
        <w:t xml:space="preserve">In March 2017, </w:t>
      </w:r>
      <w:r>
        <w:t xml:space="preserve">when considering the listing of </w:t>
      </w:r>
      <w:r w:rsidRPr="00E850A7">
        <w:t>empagliflozin</w:t>
      </w:r>
      <w:r>
        <w:t xml:space="preserve"> +</w:t>
      </w:r>
      <w:r w:rsidRPr="00E850A7">
        <w:t xml:space="preserve"> linagliptin FDC</w:t>
      </w:r>
      <w:r>
        <w:t>,</w:t>
      </w:r>
      <w:r w:rsidRPr="00E850A7">
        <w:t xml:space="preserve"> the PBAC noted that the requested listing for </w:t>
      </w:r>
      <w:r>
        <w:t xml:space="preserve">T2DM </w:t>
      </w:r>
      <w:r w:rsidRPr="00E850A7">
        <w:t xml:space="preserve">in patients intolerant or with contraindication to a </w:t>
      </w:r>
      <w:r>
        <w:t>SU</w:t>
      </w:r>
      <w:r w:rsidRPr="00E850A7">
        <w:t xml:space="preserve"> was both administratively unworkable and unlikely to be adhered to in practice, and that </w:t>
      </w:r>
      <w:r w:rsidRPr="00E850A7">
        <w:lastRenderedPageBreak/>
        <w:t xml:space="preserve">similar requirements for second-line listings of SGLT2 and DPP4 inhibitors had previously </w:t>
      </w:r>
      <w:proofErr w:type="gramStart"/>
      <w:r w:rsidRPr="00E850A7">
        <w:t>been interpreted</w:t>
      </w:r>
      <w:proofErr w:type="gramEnd"/>
      <w:r w:rsidRPr="00E850A7">
        <w:t xml:space="preserve"> less strictly in practice than intended and had proven impractical</w:t>
      </w:r>
      <w:r>
        <w:t>.</w:t>
      </w:r>
      <w:r>
        <w:rPr>
          <w:rStyle w:val="FootnoteReference"/>
        </w:rPr>
        <w:footnoteReference w:id="17"/>
      </w:r>
      <w:r w:rsidRPr="00E850A7">
        <w:t xml:space="preserve"> </w:t>
      </w:r>
    </w:p>
    <w:p w14:paraId="4A18EA48" w14:textId="46B5C573" w:rsidR="00A76176" w:rsidRDefault="00C2166D" w:rsidP="00C7336E">
      <w:pPr>
        <w:spacing w:line="240" w:lineRule="auto"/>
      </w:pPr>
      <w:r>
        <w:t>T</w:t>
      </w:r>
      <w:r w:rsidR="00157773">
        <w:t xml:space="preserve">he </w:t>
      </w:r>
      <w:r w:rsidR="00157773">
        <w:rPr>
          <w:lang w:eastAsia="en-AU"/>
        </w:rPr>
        <w:t>contraindication rate to metformin</w:t>
      </w:r>
      <w:r w:rsidR="00157773" w:rsidRPr="0075277A">
        <w:rPr>
          <w:lang w:eastAsia="en-AU"/>
        </w:rPr>
        <w:t xml:space="preserve"> </w:t>
      </w:r>
      <w:r w:rsidR="00157773">
        <w:t>among</w:t>
      </w:r>
      <w:r w:rsidR="00157773" w:rsidRPr="0075277A">
        <w:rPr>
          <w:lang w:eastAsia="en-AU"/>
        </w:rPr>
        <w:t xml:space="preserve"> all people with </w:t>
      </w:r>
      <w:r w:rsidR="00157773">
        <w:rPr>
          <w:lang w:eastAsia="en-AU"/>
        </w:rPr>
        <w:t>T2DM</w:t>
      </w:r>
      <w:r>
        <w:rPr>
          <w:lang w:eastAsia="en-AU"/>
        </w:rPr>
        <w:t xml:space="preserve"> has </w:t>
      </w:r>
      <w:proofErr w:type="gramStart"/>
      <w:r>
        <w:rPr>
          <w:lang w:eastAsia="en-AU"/>
        </w:rPr>
        <w:t>been reported</w:t>
      </w:r>
      <w:proofErr w:type="gramEnd"/>
      <w:r w:rsidR="00157773">
        <w:rPr>
          <w:lang w:eastAsia="en-AU"/>
        </w:rPr>
        <w:t xml:space="preserve"> as 6.4%.</w:t>
      </w:r>
      <w:r w:rsidR="00157773">
        <w:rPr>
          <w:rStyle w:val="FootnoteReference"/>
          <w:lang w:eastAsia="en-AU"/>
        </w:rPr>
        <w:footnoteReference w:id="18"/>
      </w:r>
      <w:r w:rsidR="00157773" w:rsidRPr="0075277A">
        <w:rPr>
          <w:lang w:eastAsia="en-AU"/>
        </w:rPr>
        <w:t xml:space="preserve"> </w:t>
      </w:r>
      <w:r w:rsidR="002E70EB">
        <w:rPr>
          <w:lang w:eastAsia="en-AU"/>
        </w:rPr>
        <w:t xml:space="preserve">In contrast, between 2017 to mid-2022, 20% of people had not trialled metformin prior to initiating therapy with a GLP-1 RA, using a minimum two-year lookback period. </w:t>
      </w:r>
      <w:r>
        <w:t xml:space="preserve">Regarding </w:t>
      </w:r>
      <w:r w:rsidR="00157773">
        <w:t>intolerance to metformin, a</w:t>
      </w:r>
      <w:r w:rsidR="00157773" w:rsidRPr="0075277A">
        <w:t xml:space="preserve"> review of four trials and two observational studies concluded that between 1.2% to 5% of people receiving metformin discontinued it because of </w:t>
      </w:r>
      <w:r>
        <w:t xml:space="preserve">a </w:t>
      </w:r>
      <w:r w:rsidR="00157773" w:rsidRPr="0075277A">
        <w:t>metformin-associated adverse events</w:t>
      </w:r>
      <w:r w:rsidR="00157773">
        <w:t>.</w:t>
      </w:r>
      <w:r w:rsidR="00157773">
        <w:rPr>
          <w:rStyle w:val="FootnoteReference"/>
        </w:rPr>
        <w:footnoteReference w:id="19"/>
      </w:r>
    </w:p>
    <w:p w14:paraId="796FE733" w14:textId="2D5335E2" w:rsidR="003F4218" w:rsidRDefault="003F4218" w:rsidP="00C7336E">
      <w:pPr>
        <w:pStyle w:val="Tableheading"/>
      </w:pPr>
      <w:r>
        <w:t xml:space="preserve">Table </w:t>
      </w:r>
      <w:r w:rsidR="000F4A60">
        <w:t>7</w:t>
      </w:r>
      <w:r>
        <w:t>: Prior therapy for patients initiating a GLP-1 RA between 2017 and mid-2022</w:t>
      </w:r>
    </w:p>
    <w:tbl>
      <w:tblPr>
        <w:tblW w:w="0" w:type="auto"/>
        <w:tblCellMar>
          <w:left w:w="0" w:type="dxa"/>
          <w:right w:w="0" w:type="dxa"/>
        </w:tblCellMar>
        <w:tblLook w:val="04A0" w:firstRow="1" w:lastRow="0" w:firstColumn="1" w:lastColumn="0" w:noHBand="0" w:noVBand="1"/>
      </w:tblPr>
      <w:tblGrid>
        <w:gridCol w:w="2789"/>
        <w:gridCol w:w="2789"/>
        <w:gridCol w:w="2790"/>
      </w:tblGrid>
      <w:tr w:rsidR="003F4218" w14:paraId="7925E6A4" w14:textId="77777777" w:rsidTr="003F4218">
        <w:tc>
          <w:tcPr>
            <w:tcW w:w="278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5058FF4" w14:textId="77777777" w:rsidR="003F4218" w:rsidRPr="00973208" w:rsidRDefault="003F4218" w:rsidP="00C7336E">
            <w:pPr>
              <w:pStyle w:val="TableText"/>
              <w:rPr>
                <w:b/>
                <w:bCs/>
              </w:rPr>
            </w:pPr>
            <w:r w:rsidRPr="00973208">
              <w:rPr>
                <w:b/>
                <w:bCs/>
              </w:rPr>
              <w:t>Type of prior therapy</w:t>
            </w:r>
          </w:p>
        </w:tc>
        <w:tc>
          <w:tcPr>
            <w:tcW w:w="2789"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1706A5E" w14:textId="77777777" w:rsidR="003F4218" w:rsidRPr="00973208" w:rsidRDefault="003F4218" w:rsidP="00C7336E">
            <w:pPr>
              <w:pStyle w:val="TableText"/>
              <w:rPr>
                <w:b/>
                <w:bCs/>
              </w:rPr>
            </w:pPr>
            <w:r w:rsidRPr="00973208">
              <w:rPr>
                <w:b/>
                <w:bCs/>
                <w:color w:val="000000"/>
              </w:rPr>
              <w:t>Number of initiating patients</w:t>
            </w:r>
          </w:p>
        </w:tc>
        <w:tc>
          <w:tcPr>
            <w:tcW w:w="279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0AD731C" w14:textId="77777777" w:rsidR="003F4218" w:rsidRPr="00973208" w:rsidRDefault="003F4218" w:rsidP="00C7336E">
            <w:pPr>
              <w:pStyle w:val="TableText"/>
              <w:rPr>
                <w:b/>
                <w:bCs/>
              </w:rPr>
            </w:pPr>
            <w:r w:rsidRPr="00973208">
              <w:rPr>
                <w:b/>
                <w:bCs/>
                <w:color w:val="000000"/>
              </w:rPr>
              <w:t>Percentage</w:t>
            </w:r>
          </w:p>
        </w:tc>
      </w:tr>
      <w:tr w:rsidR="003F4218" w14:paraId="329833D3" w14:textId="77777777" w:rsidTr="003F4218">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E09E1" w14:textId="77777777" w:rsidR="003F4218" w:rsidRPr="003F4218" w:rsidRDefault="003F4218" w:rsidP="00C7336E">
            <w:pPr>
              <w:pStyle w:val="TableText"/>
            </w:pPr>
            <w:r w:rsidRPr="003F4218">
              <w:rPr>
                <w:u w:val="single"/>
              </w:rPr>
              <w:t>No prior</w:t>
            </w:r>
            <w:r w:rsidRPr="003F4218">
              <w:t xml:space="preserve"> met, sulf or insulin</w:t>
            </w: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3B9DD095" w14:textId="77777777" w:rsidR="003F4218" w:rsidRPr="003F4218" w:rsidRDefault="003F4218" w:rsidP="00C7336E">
            <w:pPr>
              <w:pStyle w:val="TableText"/>
            </w:pPr>
            <w:r w:rsidRPr="003F4218">
              <w:t>12,729</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057C7C9" w14:textId="77777777" w:rsidR="003F4218" w:rsidRPr="003F4218" w:rsidRDefault="003F4218" w:rsidP="00C7336E">
            <w:pPr>
              <w:pStyle w:val="TableText"/>
            </w:pPr>
            <w:r w:rsidRPr="003F4218">
              <w:t>18%</w:t>
            </w:r>
          </w:p>
        </w:tc>
      </w:tr>
      <w:tr w:rsidR="003F4218" w14:paraId="30FD3058" w14:textId="77777777" w:rsidTr="003F4218">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8FC46" w14:textId="3E154342" w:rsidR="003F4218" w:rsidRPr="003F4218" w:rsidRDefault="003F4218" w:rsidP="00C7336E">
            <w:pPr>
              <w:pStyle w:val="TableText"/>
            </w:pPr>
            <w:r w:rsidRPr="003F4218">
              <w:t>Prior insulin only</w:t>
            </w: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37C2BC02" w14:textId="77777777" w:rsidR="003F4218" w:rsidRPr="003F4218" w:rsidRDefault="003F4218" w:rsidP="00C7336E">
            <w:pPr>
              <w:pStyle w:val="TableText"/>
            </w:pPr>
            <w:r w:rsidRPr="003F4218">
              <w:t>524</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44B36381" w14:textId="77777777" w:rsidR="003F4218" w:rsidRPr="003F4218" w:rsidRDefault="003F4218" w:rsidP="00C7336E">
            <w:pPr>
              <w:pStyle w:val="TableText"/>
            </w:pPr>
            <w:r w:rsidRPr="003F4218">
              <w:t>1%</w:t>
            </w:r>
          </w:p>
        </w:tc>
      </w:tr>
      <w:tr w:rsidR="003F4218" w14:paraId="16E5D8ED" w14:textId="77777777" w:rsidTr="003F4218">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469B2" w14:textId="1954BA53" w:rsidR="003F4218" w:rsidRPr="003F4218" w:rsidRDefault="003F4218" w:rsidP="00C7336E">
            <w:pPr>
              <w:pStyle w:val="TableText"/>
            </w:pPr>
            <w:r w:rsidRPr="003F4218">
              <w:t>Prior sulf only</w:t>
            </w: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01C7C7AE" w14:textId="77777777" w:rsidR="003F4218" w:rsidRPr="003F4218" w:rsidRDefault="003F4218" w:rsidP="00C7336E">
            <w:pPr>
              <w:pStyle w:val="TableText"/>
            </w:pPr>
            <w:r w:rsidRPr="003F4218">
              <w:t>458</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84414FB" w14:textId="77777777" w:rsidR="003F4218" w:rsidRPr="003F4218" w:rsidRDefault="003F4218" w:rsidP="00C7336E">
            <w:pPr>
              <w:pStyle w:val="TableText"/>
            </w:pPr>
            <w:r w:rsidRPr="003F4218">
              <w:t>1%</w:t>
            </w:r>
          </w:p>
        </w:tc>
      </w:tr>
      <w:tr w:rsidR="003F4218" w14:paraId="7D154339" w14:textId="77777777" w:rsidTr="003F4218">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FAA42" w14:textId="5F1A0CE0" w:rsidR="003F4218" w:rsidRPr="003F4218" w:rsidRDefault="003F4218" w:rsidP="00C7336E">
            <w:pPr>
              <w:pStyle w:val="TableText"/>
            </w:pPr>
            <w:r w:rsidRPr="003F4218">
              <w:t>Prior sulf and insulin only</w:t>
            </w: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75F35541" w14:textId="77777777" w:rsidR="003F4218" w:rsidRPr="003F4218" w:rsidRDefault="003F4218" w:rsidP="00C7336E">
            <w:pPr>
              <w:pStyle w:val="TableText"/>
            </w:pPr>
            <w:r w:rsidRPr="003F4218">
              <w:t>104</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131A900F" w14:textId="77777777" w:rsidR="003F4218" w:rsidRPr="003F4218" w:rsidRDefault="003F4218" w:rsidP="00C7336E">
            <w:pPr>
              <w:pStyle w:val="TableText"/>
            </w:pPr>
            <w:r w:rsidRPr="003F4218">
              <w:t>0%</w:t>
            </w:r>
          </w:p>
        </w:tc>
      </w:tr>
      <w:tr w:rsidR="003F4218" w14:paraId="4FCD7E71" w14:textId="77777777" w:rsidTr="003F4218">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0CF41" w14:textId="7EDE0C9B" w:rsidR="003F4218" w:rsidRPr="003F4218" w:rsidRDefault="003F4218" w:rsidP="00C7336E">
            <w:pPr>
              <w:pStyle w:val="TableText"/>
            </w:pPr>
            <w:r w:rsidRPr="003F4218">
              <w:t>Prior met only</w:t>
            </w: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06DBB9AC" w14:textId="77777777" w:rsidR="003F4218" w:rsidRPr="003F4218" w:rsidRDefault="003F4218" w:rsidP="00C7336E">
            <w:pPr>
              <w:pStyle w:val="TableText"/>
            </w:pPr>
            <w:r w:rsidRPr="003F4218">
              <w:t>39,583</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66EB2C8" w14:textId="77777777" w:rsidR="003F4218" w:rsidRPr="003F4218" w:rsidRDefault="003F4218" w:rsidP="00C7336E">
            <w:pPr>
              <w:pStyle w:val="TableText"/>
            </w:pPr>
            <w:r w:rsidRPr="003F4218">
              <w:t>55%</w:t>
            </w:r>
          </w:p>
        </w:tc>
      </w:tr>
      <w:tr w:rsidR="003F4218" w14:paraId="57E3EAF9" w14:textId="77777777" w:rsidTr="003F4218">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A273" w14:textId="4B0C0BF9" w:rsidR="003F4218" w:rsidRPr="003F4218" w:rsidRDefault="003F4218" w:rsidP="00C7336E">
            <w:pPr>
              <w:pStyle w:val="TableText"/>
            </w:pPr>
            <w:r w:rsidRPr="003F4218">
              <w:t>Prior met and insulin only</w:t>
            </w: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43FCD0BF" w14:textId="77777777" w:rsidR="003F4218" w:rsidRPr="003F4218" w:rsidRDefault="003F4218" w:rsidP="00C7336E">
            <w:pPr>
              <w:pStyle w:val="TableText"/>
            </w:pPr>
            <w:r w:rsidRPr="003F4218">
              <w:t>5,616</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54E1075A" w14:textId="77777777" w:rsidR="003F4218" w:rsidRPr="003F4218" w:rsidRDefault="003F4218" w:rsidP="00C7336E">
            <w:pPr>
              <w:pStyle w:val="TableText"/>
            </w:pPr>
            <w:r w:rsidRPr="003F4218">
              <w:t>8%</w:t>
            </w:r>
          </w:p>
        </w:tc>
      </w:tr>
      <w:tr w:rsidR="003F4218" w14:paraId="21E78F0B" w14:textId="77777777" w:rsidTr="003F4218">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A4625" w14:textId="5A08DAD5" w:rsidR="003F4218" w:rsidRPr="003F4218" w:rsidRDefault="003F4218" w:rsidP="00C7336E">
            <w:pPr>
              <w:pStyle w:val="TableText"/>
            </w:pPr>
            <w:r w:rsidRPr="003F4218">
              <w:t>Prior met and sulf only</w:t>
            </w: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4E21E4AA" w14:textId="77777777" w:rsidR="003F4218" w:rsidRPr="003F4218" w:rsidRDefault="003F4218" w:rsidP="00C7336E">
            <w:pPr>
              <w:pStyle w:val="TableText"/>
            </w:pPr>
            <w:r w:rsidRPr="003F4218">
              <w:t>10,401</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54E24D4" w14:textId="77777777" w:rsidR="003F4218" w:rsidRPr="003F4218" w:rsidRDefault="003F4218" w:rsidP="00C7336E">
            <w:pPr>
              <w:pStyle w:val="TableText"/>
            </w:pPr>
            <w:r w:rsidRPr="003F4218">
              <w:t>15%</w:t>
            </w:r>
          </w:p>
        </w:tc>
      </w:tr>
      <w:tr w:rsidR="003F4218" w14:paraId="78014E1C" w14:textId="77777777" w:rsidTr="003F4218">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4B0C" w14:textId="77777777" w:rsidR="003F4218" w:rsidRPr="003F4218" w:rsidRDefault="003F4218" w:rsidP="00C7336E">
            <w:pPr>
              <w:pStyle w:val="TableText"/>
            </w:pPr>
            <w:r w:rsidRPr="003F4218">
              <w:t>Prior met, sulf and insulin</w:t>
            </w: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54B6F216" w14:textId="77777777" w:rsidR="003F4218" w:rsidRPr="003F4218" w:rsidRDefault="003F4218" w:rsidP="00C7336E">
            <w:pPr>
              <w:pStyle w:val="TableText"/>
            </w:pPr>
            <w:r w:rsidRPr="003F4218">
              <w:t>2,215</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97210F5" w14:textId="77777777" w:rsidR="003F4218" w:rsidRPr="003F4218" w:rsidRDefault="003F4218" w:rsidP="00C7336E">
            <w:pPr>
              <w:pStyle w:val="TableText"/>
            </w:pPr>
            <w:r w:rsidRPr="003F4218">
              <w:t>3%</w:t>
            </w:r>
          </w:p>
        </w:tc>
      </w:tr>
      <w:tr w:rsidR="003F4218" w14:paraId="7558F4CA" w14:textId="77777777" w:rsidTr="003F4218">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E7078" w14:textId="77777777" w:rsidR="003F4218" w:rsidRPr="00CE6C1B" w:rsidRDefault="003F4218" w:rsidP="00C7336E">
            <w:pPr>
              <w:pStyle w:val="TableText"/>
              <w:rPr>
                <w:b/>
                <w:bCs/>
              </w:rPr>
            </w:pPr>
            <w:r w:rsidRPr="00CE6C1B">
              <w:rPr>
                <w:b/>
                <w:bCs/>
              </w:rPr>
              <w:t>Total</w:t>
            </w: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5BCDA5CD" w14:textId="77777777" w:rsidR="003F4218" w:rsidRPr="00CE6C1B" w:rsidRDefault="003F4218" w:rsidP="00C7336E">
            <w:pPr>
              <w:pStyle w:val="TableText"/>
              <w:rPr>
                <w:b/>
                <w:bCs/>
              </w:rPr>
            </w:pPr>
            <w:r w:rsidRPr="00CE6C1B">
              <w:rPr>
                <w:b/>
                <w:bCs/>
              </w:rPr>
              <w:t>71,630</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7B5E8D20" w14:textId="77777777" w:rsidR="003F4218" w:rsidRPr="00CE6C1B" w:rsidRDefault="003F4218" w:rsidP="00C7336E">
            <w:pPr>
              <w:pStyle w:val="TableText"/>
              <w:rPr>
                <w:b/>
                <w:bCs/>
              </w:rPr>
            </w:pPr>
            <w:r w:rsidRPr="00CE6C1B">
              <w:rPr>
                <w:b/>
                <w:bCs/>
              </w:rPr>
              <w:t>100%</w:t>
            </w:r>
          </w:p>
        </w:tc>
      </w:tr>
    </w:tbl>
    <w:p w14:paraId="41F3540E" w14:textId="77777777" w:rsidR="00C2166D" w:rsidRDefault="00C2166D" w:rsidP="00092711"/>
    <w:p w14:paraId="7DA73396" w14:textId="1E6FCC0A" w:rsidR="00215C37" w:rsidRDefault="00215C37" w:rsidP="00C7336E">
      <w:pPr>
        <w:pStyle w:val="Heading3"/>
      </w:pPr>
      <w:r>
        <w:t>Combination use of GLP-1 RAs with GLP-1 RAs, DPP4 inhibitors or SGLT2 inhibitors</w:t>
      </w:r>
    </w:p>
    <w:p w14:paraId="52CD4637" w14:textId="4C2C8470" w:rsidR="00A76176" w:rsidRDefault="00725375" w:rsidP="00C7336E">
      <w:pPr>
        <w:spacing w:line="240" w:lineRule="auto"/>
      </w:pPr>
      <w:r>
        <w:t xml:space="preserve">The PBS restrictions state that GLP-1 RAs are not subsidised for use with another GLP-1 RA, a DPP4 inhibitor or an SGLT2 inhibitor. </w:t>
      </w:r>
      <w:r w:rsidR="00215C37">
        <w:t xml:space="preserve">This analysis </w:t>
      </w:r>
      <w:r>
        <w:t xml:space="preserve">aimed to quantify the amount of combination use of GLP-1 RAs with </w:t>
      </w:r>
      <w:r w:rsidR="003F4218">
        <w:t xml:space="preserve">other </w:t>
      </w:r>
      <w:r w:rsidR="00A76176">
        <w:t>newer</w:t>
      </w:r>
      <w:r>
        <w:t xml:space="preserve"> classes of </w:t>
      </w:r>
      <w:r w:rsidR="00A76176">
        <w:t xml:space="preserve">T2DM </w:t>
      </w:r>
      <w:r>
        <w:t xml:space="preserve">medicines. </w:t>
      </w:r>
      <w:r w:rsidR="00A76176">
        <w:t xml:space="preserve">Due to low utilisation of pioglitazone </w:t>
      </w:r>
      <w:r w:rsidR="003044FB">
        <w:t xml:space="preserve">its use </w:t>
      </w:r>
      <w:proofErr w:type="gramStart"/>
      <w:r w:rsidR="00A76176">
        <w:t>was excluded</w:t>
      </w:r>
      <w:proofErr w:type="gramEnd"/>
      <w:r w:rsidR="00A76176">
        <w:t xml:space="preserve"> from this analysis</w:t>
      </w:r>
      <w:r w:rsidR="003044FB">
        <w:t>, although use of pioglitazone with GLP-1 RAs is also prohibited in the PBS restrictions</w:t>
      </w:r>
      <w:r w:rsidR="00A76176">
        <w:t xml:space="preserve">. </w:t>
      </w:r>
    </w:p>
    <w:p w14:paraId="68405C59" w14:textId="66D8BB71" w:rsidR="00215C37" w:rsidRDefault="00725375" w:rsidP="00C7336E">
      <w:pPr>
        <w:spacing w:line="240" w:lineRule="auto"/>
      </w:pPr>
      <w:r>
        <w:t xml:space="preserve">The analysis </w:t>
      </w:r>
      <w:r w:rsidR="00215C37">
        <w:t>considered patients supplied a GLP-1 R</w:t>
      </w:r>
      <w:r w:rsidR="00A76176">
        <w:t>A in 2021</w:t>
      </w:r>
      <w:r w:rsidR="00215C37">
        <w:t xml:space="preserve">. </w:t>
      </w:r>
      <w:r w:rsidR="00A76176">
        <w:t>Of the approximately 1.43</w:t>
      </w:r>
      <w:r w:rsidR="00791E57">
        <w:t> </w:t>
      </w:r>
      <w:r w:rsidR="00A76176">
        <w:t xml:space="preserve">million people supplied a medicine for the treatment of T2DM in 2021, around </w:t>
      </w:r>
      <w:r w:rsidR="003044FB">
        <w:t>12</w:t>
      </w:r>
      <w:r w:rsidR="00A76176">
        <w:t>% (</w:t>
      </w:r>
      <w:r w:rsidR="003044FB">
        <w:t>172,051</w:t>
      </w:r>
      <w:r w:rsidR="00791E57">
        <w:t xml:space="preserve">) </w:t>
      </w:r>
      <w:proofErr w:type="gramStart"/>
      <w:r w:rsidR="00791E57">
        <w:t>were supplied</w:t>
      </w:r>
      <w:proofErr w:type="gramEnd"/>
      <w:r w:rsidR="00791E57">
        <w:t xml:space="preserve"> a GLP-1 RA. </w:t>
      </w:r>
      <w:r w:rsidR="003044FB">
        <w:t>Of these, 42</w:t>
      </w:r>
      <w:r w:rsidR="00791E57">
        <w:t>%</w:t>
      </w:r>
      <w:r w:rsidR="002C2B9D">
        <w:t xml:space="preserve"> </w:t>
      </w:r>
      <w:proofErr w:type="gramStart"/>
      <w:r w:rsidR="002C2B9D">
        <w:t>were supplied</w:t>
      </w:r>
      <w:proofErr w:type="gramEnd"/>
      <w:r w:rsidR="002C2B9D">
        <w:t xml:space="preserve"> a GLP-1 RA in combination with</w:t>
      </w:r>
      <w:r w:rsidR="00F210BD">
        <w:t xml:space="preserve"> either</w:t>
      </w:r>
      <w:r w:rsidR="002C2B9D">
        <w:t xml:space="preserve"> another GLP</w:t>
      </w:r>
      <w:r w:rsidR="00A76176">
        <w:noBreakHyphen/>
      </w:r>
      <w:r w:rsidR="002C2B9D">
        <w:t>1</w:t>
      </w:r>
      <w:r w:rsidR="00A76176">
        <w:t> </w:t>
      </w:r>
      <w:r w:rsidR="002C2B9D">
        <w:t>RA</w:t>
      </w:r>
      <w:r w:rsidR="00CB3DF2">
        <w:t xml:space="preserve"> (0.6%)</w:t>
      </w:r>
      <w:r w:rsidR="002C2B9D">
        <w:t>, a DPP4 inhibitor</w:t>
      </w:r>
      <w:r w:rsidR="00CB3DF2">
        <w:t xml:space="preserve"> (10%)</w:t>
      </w:r>
      <w:r w:rsidR="00A6360D">
        <w:t xml:space="preserve">, </w:t>
      </w:r>
      <w:r w:rsidR="002C2B9D">
        <w:t>an SGLT2 inhibitor</w:t>
      </w:r>
      <w:r w:rsidR="00CB3DF2">
        <w:t xml:space="preserve"> (24%),</w:t>
      </w:r>
      <w:r w:rsidR="00A6360D">
        <w:t xml:space="preserve"> or a </w:t>
      </w:r>
      <w:r w:rsidR="00CB3DF2">
        <w:t>DPP4 inhibitor and an SGLT2 inhibitor (8%)</w:t>
      </w:r>
      <w:r w:rsidR="00895D1E">
        <w:t>.</w:t>
      </w:r>
      <w:r w:rsidR="003044FB">
        <w:t xml:space="preserve"> </w:t>
      </w:r>
      <w:r w:rsidR="00895D1E">
        <w:t>W</w:t>
      </w:r>
      <w:r w:rsidR="003044FB">
        <w:t>hen only considering patients supplied these medicines on the same day</w:t>
      </w:r>
      <w:r w:rsidR="00895D1E">
        <w:t xml:space="preserve">, 35% of patients supplied a GLP-1 RA </w:t>
      </w:r>
      <w:proofErr w:type="gramStart"/>
      <w:r w:rsidR="00895D1E">
        <w:t>were supplied</w:t>
      </w:r>
      <w:proofErr w:type="gramEnd"/>
      <w:r w:rsidR="00895D1E">
        <w:t xml:space="preserve"> this </w:t>
      </w:r>
      <w:r w:rsidR="00895D1E">
        <w:lastRenderedPageBreak/>
        <w:t>medicine in combination with another GLP</w:t>
      </w:r>
      <w:r w:rsidR="00895D1E">
        <w:noBreakHyphen/>
        <w:t>1 RA, a DPP4 inhibitor, an SGLT2 inhibitor, or a combination of these medicines</w:t>
      </w:r>
      <w:r w:rsidR="003044FB">
        <w:t>.</w:t>
      </w:r>
    </w:p>
    <w:p w14:paraId="0EFF4BBB" w14:textId="330FD1EC" w:rsidR="007E44E9" w:rsidRDefault="007E44E9" w:rsidP="00C7336E">
      <w:pPr>
        <w:spacing w:line="240" w:lineRule="auto"/>
      </w:pPr>
      <w:r>
        <w:t xml:space="preserve">In 2021, </w:t>
      </w:r>
      <w:r w:rsidR="00C32054">
        <w:t>14</w:t>
      </w:r>
      <w:r>
        <w:t xml:space="preserve">% of people supplied an SGLT2 inhibitor and </w:t>
      </w:r>
      <w:r w:rsidR="00C32054">
        <w:t>7</w:t>
      </w:r>
      <w:r>
        <w:t xml:space="preserve">% of people supplied a DPP4 inhibitor </w:t>
      </w:r>
      <w:proofErr w:type="gramStart"/>
      <w:r>
        <w:t>were supplied</w:t>
      </w:r>
      <w:proofErr w:type="gramEnd"/>
      <w:r>
        <w:t xml:space="preserve"> th</w:t>
      </w:r>
      <w:r w:rsidR="00A20E8A">
        <w:t>ese</w:t>
      </w:r>
      <w:r>
        <w:t xml:space="preserve"> medicine</w:t>
      </w:r>
      <w:r w:rsidR="00A20E8A">
        <w:t>s</w:t>
      </w:r>
      <w:r>
        <w:t xml:space="preserve"> in combination with a GLP-1 RA</w:t>
      </w:r>
      <w:r w:rsidR="00CB3DF2">
        <w:t>, outside of the PBS restrictions</w:t>
      </w:r>
      <w:r>
        <w:t xml:space="preserve">. </w:t>
      </w:r>
    </w:p>
    <w:p w14:paraId="0823B2A7" w14:textId="2EEC6E4F" w:rsidR="00215C37" w:rsidRDefault="00215C37" w:rsidP="00C7336E">
      <w:pPr>
        <w:pStyle w:val="Heading3"/>
      </w:pPr>
      <w:r>
        <w:t>Use of GLP-1 RAs, DPP4 inhibitors and SGLT2 inhibitors without metformin, SU or insulin</w:t>
      </w:r>
    </w:p>
    <w:p w14:paraId="4CA858BD" w14:textId="760BBBFC" w:rsidR="002C2B9D" w:rsidRDefault="002C2B9D" w:rsidP="00C7336E">
      <w:pPr>
        <w:spacing w:line="240" w:lineRule="auto"/>
      </w:pPr>
      <w:r>
        <w:t>The PBS restrictions for GLP-1 RAs, DPP4 inhibitors and SGLT2 inhibitors require use to be concomitant with at least insulin, metformin or a SU. Th</w:t>
      </w:r>
      <w:r w:rsidR="004B2C23">
        <w:t>is</w:t>
      </w:r>
      <w:r>
        <w:t xml:space="preserve"> analysis considered patients supplied a GLP-1 RA, SGLT2 inhibitor or DPP4 inhibitor</w:t>
      </w:r>
      <w:r w:rsidR="003044FB">
        <w:t xml:space="preserve"> in 2021</w:t>
      </w:r>
      <w:r>
        <w:t xml:space="preserve">. The number of supplies of GLP-1 RA, SGLT2 inhibitor or DPP4 inhibitor in a row, without supplies of metformin, SU or insulin, </w:t>
      </w:r>
      <w:proofErr w:type="gramStart"/>
      <w:r>
        <w:t>were counted</w:t>
      </w:r>
      <w:proofErr w:type="gramEnd"/>
      <w:r>
        <w:t xml:space="preserve"> for each patient. Patients with </w:t>
      </w:r>
      <w:r w:rsidR="003044FB">
        <w:t>three</w:t>
      </w:r>
      <w:r>
        <w:t xml:space="preserve"> or more supplies of a GLP-1 RA, SGLT2 inhibitor or DPP4 inhibitor in a row were considered to be using the medicine without metformin or SU, and patients with </w:t>
      </w:r>
      <w:r w:rsidR="003044FB">
        <w:t>five</w:t>
      </w:r>
      <w:r>
        <w:t xml:space="preserve"> or more supplies of a GLP</w:t>
      </w:r>
      <w:r>
        <w:noBreakHyphen/>
        <w:t>1 RA, SGLT2 inhibitor or DPP4 inhibitor in a row were considered to be using the medicine without concomitant insulin.</w:t>
      </w:r>
    </w:p>
    <w:p w14:paraId="5408E8AB" w14:textId="4CF625B8" w:rsidR="003044FB" w:rsidRDefault="003044FB" w:rsidP="00C7336E">
      <w:pPr>
        <w:spacing w:line="240" w:lineRule="auto"/>
      </w:pPr>
      <w:r>
        <w:t>The percentage of patients supplied a DPP4 inhibitor, SGLT2 inhibitor or GLP-1 RA without concomitant metformin, SU or insulin was:</w:t>
      </w:r>
    </w:p>
    <w:p w14:paraId="36314E54" w14:textId="3C669FAC" w:rsidR="003044FB" w:rsidRDefault="003044FB">
      <w:pPr>
        <w:pStyle w:val="ListParagraph"/>
        <w:numPr>
          <w:ilvl w:val="0"/>
          <w:numId w:val="23"/>
        </w:numPr>
        <w:spacing w:line="240" w:lineRule="auto"/>
      </w:pPr>
      <w:r>
        <w:t>GLP-1 RAs: 27% (</w:t>
      </w:r>
      <w:r w:rsidR="003C532B">
        <w:t>47,113 out of 172,051)</w:t>
      </w:r>
    </w:p>
    <w:p w14:paraId="17618C63" w14:textId="18774811" w:rsidR="003044FB" w:rsidRDefault="003044FB">
      <w:pPr>
        <w:pStyle w:val="ListParagraph"/>
        <w:numPr>
          <w:ilvl w:val="0"/>
          <w:numId w:val="23"/>
        </w:numPr>
        <w:spacing w:line="240" w:lineRule="auto"/>
      </w:pPr>
      <w:r>
        <w:t xml:space="preserve">SGLT2 </w:t>
      </w:r>
      <w:r w:rsidR="003C532B">
        <w:t>inhibitors</w:t>
      </w:r>
      <w:r>
        <w:t>: 15%</w:t>
      </w:r>
      <w:r w:rsidR="003C532B">
        <w:t xml:space="preserve"> (58,934 out of 383,153)</w:t>
      </w:r>
    </w:p>
    <w:p w14:paraId="51BEDAC1" w14:textId="10654791" w:rsidR="003044FB" w:rsidRDefault="003044FB">
      <w:pPr>
        <w:pStyle w:val="ListParagraph"/>
        <w:numPr>
          <w:ilvl w:val="0"/>
          <w:numId w:val="23"/>
        </w:numPr>
        <w:spacing w:line="240" w:lineRule="auto"/>
      </w:pPr>
      <w:r>
        <w:t xml:space="preserve">DPP4 </w:t>
      </w:r>
      <w:r w:rsidR="003C532B">
        <w:t>inhibitors</w:t>
      </w:r>
      <w:r>
        <w:t>: 16%</w:t>
      </w:r>
      <w:r w:rsidR="003C532B">
        <w:t xml:space="preserve"> (69,821 out of 424,906)</w:t>
      </w:r>
      <w:r>
        <w:t>.</w:t>
      </w:r>
    </w:p>
    <w:p w14:paraId="32B56C8D" w14:textId="6DC7F405" w:rsidR="00A6360D" w:rsidRDefault="006D552C" w:rsidP="003044FB">
      <w:pPr>
        <w:spacing w:line="240" w:lineRule="auto"/>
      </w:pPr>
      <w:r>
        <w:t xml:space="preserve">As </w:t>
      </w:r>
      <w:proofErr w:type="gramStart"/>
      <w:r>
        <w:t>some</w:t>
      </w:r>
      <w:proofErr w:type="gramEnd"/>
      <w:r>
        <w:t xml:space="preserve"> patients </w:t>
      </w:r>
      <w:r w:rsidR="00A6360D">
        <w:t xml:space="preserve">may be using these </w:t>
      </w:r>
      <w:r>
        <w:t xml:space="preserve">newer classes of T2DM medicines in combination, </w:t>
      </w:r>
      <w:r w:rsidR="00BC70D4">
        <w:t>e.g.</w:t>
      </w:r>
      <w:r w:rsidR="00A6360D">
        <w:t xml:space="preserve">, </w:t>
      </w:r>
      <w:r w:rsidR="00BC70D4">
        <w:t>an SGLT2 inhibitor with a GLP-1 RA,</w:t>
      </w:r>
      <w:r w:rsidR="003C532B">
        <w:t xml:space="preserve"> some patients may be counted twice in this analysis</w:t>
      </w:r>
      <w:r>
        <w:t>.</w:t>
      </w:r>
      <w:r w:rsidR="00A6360D">
        <w:t xml:space="preserve"> When combined with the previous analysis, 9.5% (16,384) of patients using a GLP-1 RA in 2021 were using this medicine in combination with another GLP-1 RA, an SGLT2 inhibitor, a DPP4 inhibitor, or a combination of these, and without metformin, a SU or insulin.</w:t>
      </w:r>
    </w:p>
    <w:p w14:paraId="4C5F3695" w14:textId="2592E130" w:rsidR="008764D7" w:rsidRPr="002C2B9D" w:rsidRDefault="00BC70D4" w:rsidP="00C7336E">
      <w:pPr>
        <w:spacing w:line="240" w:lineRule="auto"/>
      </w:pPr>
      <w:r>
        <w:t>The SCD or median time to resupply for GLP</w:t>
      </w:r>
      <w:r>
        <w:noBreakHyphen/>
        <w:t>1 RAs, SGLT2 inhibitors, DPP4 inhibitors, metformin and SUs is approximately 30 days, while for insulins it is approximately 90 days</w:t>
      </w:r>
      <w:r w:rsidR="00B36487">
        <w:t xml:space="preserve"> (refer to Appendix A, Table A.2)</w:t>
      </w:r>
      <w:r>
        <w:t>. Therefore, three supplies in a row of a GLP</w:t>
      </w:r>
      <w:r>
        <w:noBreakHyphen/>
        <w:t xml:space="preserve">1 RA, SGLT2 inhibitor or DPP4 inhibitor would be approximately 60 days (30 days more than the SCD for metformin and SU), and five supplies in a row would be approximately 120 days (30 days more than the SCD for insulin). There may be some patients who are using </w:t>
      </w:r>
      <w:r w:rsidR="00B36487">
        <w:t xml:space="preserve">concomitant insulin at </w:t>
      </w:r>
      <w:proofErr w:type="gramStart"/>
      <w:r w:rsidR="00B36487">
        <w:t>very low</w:t>
      </w:r>
      <w:proofErr w:type="gramEnd"/>
      <w:r w:rsidR="00B36487">
        <w:t xml:space="preserve"> doses, without metformin, who are misclassified in this analysis.</w:t>
      </w:r>
    </w:p>
    <w:p w14:paraId="3969903C" w14:textId="2DA34C1E" w:rsidR="008764D7" w:rsidRDefault="00DA5C02" w:rsidP="00C7336E">
      <w:pPr>
        <w:pStyle w:val="Heading1"/>
        <w:rPr>
          <w:bCs/>
        </w:rPr>
      </w:pPr>
      <w:r>
        <w:t>D</w:t>
      </w:r>
      <w:r w:rsidRPr="005E22C2">
        <w:t>iscussion</w:t>
      </w:r>
    </w:p>
    <w:p w14:paraId="43AB8864" w14:textId="5DEF437B" w:rsidR="00DA5C02" w:rsidRPr="000E595F" w:rsidRDefault="00DA5C02">
      <w:pPr>
        <w:pStyle w:val="ListParagraph"/>
        <w:numPr>
          <w:ilvl w:val="0"/>
          <w:numId w:val="9"/>
        </w:numPr>
        <w:spacing w:line="240" w:lineRule="auto"/>
        <w:ind w:left="357" w:hanging="357"/>
        <w:rPr>
          <w:b/>
          <w:bCs/>
        </w:rPr>
      </w:pPr>
      <w:r>
        <w:t xml:space="preserve">In 2021, the total number of people supplied a medicine for the treatment of T2DM through the PBS was around 1.42 million, of which </w:t>
      </w:r>
      <w:r w:rsidR="003C532B">
        <w:t xml:space="preserve">around 12% </w:t>
      </w:r>
      <w:proofErr w:type="gramStart"/>
      <w:r>
        <w:t>were supplied</w:t>
      </w:r>
      <w:proofErr w:type="gramEnd"/>
      <w:r>
        <w:t xml:space="preserve"> a GLP</w:t>
      </w:r>
      <w:r w:rsidR="003C532B">
        <w:noBreakHyphen/>
      </w:r>
      <w:r>
        <w:t>1</w:t>
      </w:r>
      <w:r w:rsidR="003C532B">
        <w:t> </w:t>
      </w:r>
      <w:r>
        <w:t>RA.</w:t>
      </w:r>
    </w:p>
    <w:p w14:paraId="290FDF8C" w14:textId="063DE21B" w:rsidR="00DA5C02" w:rsidRDefault="00DA5C02">
      <w:pPr>
        <w:pStyle w:val="ListParagraph"/>
        <w:numPr>
          <w:ilvl w:val="0"/>
          <w:numId w:val="9"/>
        </w:numPr>
        <w:spacing w:line="240" w:lineRule="auto"/>
        <w:ind w:left="357" w:hanging="357"/>
      </w:pPr>
      <w:r>
        <w:t xml:space="preserve">Total </w:t>
      </w:r>
      <w:r w:rsidR="003C532B">
        <w:t xml:space="preserve">R/PBS </w:t>
      </w:r>
      <w:r>
        <w:t xml:space="preserve">expenditure on T2DM medicines </w:t>
      </w:r>
      <w:r w:rsidR="007D4AF4">
        <w:t xml:space="preserve">based on the published list prices </w:t>
      </w:r>
      <w:r>
        <w:t>has increased from around $516 million in 2017</w:t>
      </w:r>
      <w:r w:rsidR="003C532B">
        <w:noBreakHyphen/>
      </w:r>
      <w:r>
        <w:t xml:space="preserve">2018 to around $756 million in 2021-22. </w:t>
      </w:r>
      <w:r>
        <w:lastRenderedPageBreak/>
        <w:t>GLP</w:t>
      </w:r>
      <w:r>
        <w:noBreakHyphen/>
        <w:t>1 RAs are now the highest expenditure class of medicines for the treatment of T2DM representing 2</w:t>
      </w:r>
      <w:r w:rsidR="00C32054">
        <w:t>6</w:t>
      </w:r>
      <w:r>
        <w:t>% of expenditure in 2021-22 ($194 million)</w:t>
      </w:r>
      <w:r w:rsidR="00082451">
        <w:t xml:space="preserve"> (Table 4)</w:t>
      </w:r>
      <w:r>
        <w:t xml:space="preserve">. </w:t>
      </w:r>
    </w:p>
    <w:p w14:paraId="29D66B11" w14:textId="5DEE53C1" w:rsidR="00A6360D" w:rsidRDefault="003C532B">
      <w:pPr>
        <w:pStyle w:val="ListParagraph"/>
        <w:numPr>
          <w:ilvl w:val="0"/>
          <w:numId w:val="9"/>
        </w:numPr>
        <w:spacing w:line="240" w:lineRule="auto"/>
        <w:ind w:left="357" w:hanging="357"/>
      </w:pPr>
      <w:r>
        <w:t>While most patients initiate T2DM therapy with metformin, there has been a recent increase in the number of patients initiating therapy with a GLP-1 RA or an SGLT2 inhibitor</w:t>
      </w:r>
      <w:r w:rsidR="00082451">
        <w:t xml:space="preserve"> (Figure 5)</w:t>
      </w:r>
      <w:r>
        <w:t xml:space="preserve">. </w:t>
      </w:r>
    </w:p>
    <w:p w14:paraId="29CE75F7" w14:textId="77777777" w:rsidR="00082451" w:rsidRDefault="00082451">
      <w:pPr>
        <w:pStyle w:val="ListParagraph"/>
        <w:numPr>
          <w:ilvl w:val="0"/>
          <w:numId w:val="9"/>
        </w:numPr>
        <w:spacing w:line="240" w:lineRule="auto"/>
      </w:pPr>
      <w:r>
        <w:t xml:space="preserve">An analysis of medicines used prior to initiating GLP-1 RA therapy found that from </w:t>
      </w:r>
      <w:r w:rsidR="00C70811">
        <w:t xml:space="preserve">2017 to mid-2022, 18% of people initiating </w:t>
      </w:r>
      <w:r>
        <w:t xml:space="preserve">a </w:t>
      </w:r>
      <w:r w:rsidR="00C70811">
        <w:t xml:space="preserve">GLP-1 RA </w:t>
      </w:r>
      <w:proofErr w:type="gramStart"/>
      <w:r w:rsidR="00C70811">
        <w:t>were not supplied</w:t>
      </w:r>
      <w:proofErr w:type="gramEnd"/>
      <w:r w:rsidR="00C70811">
        <w:t xml:space="preserve"> metformin, a SU or insulin prior to or at initiation, indicating clear use outside of the PBS restrictions. A further 57%</w:t>
      </w:r>
      <w:r w:rsidR="00C70811" w:rsidRPr="00D83712">
        <w:t xml:space="preserve"> </w:t>
      </w:r>
      <w:proofErr w:type="gramStart"/>
      <w:r w:rsidR="00C70811">
        <w:t>were supplied</w:t>
      </w:r>
      <w:proofErr w:type="gramEnd"/>
      <w:r w:rsidR="00C70811">
        <w:t xml:space="preserve"> only insulin, a SU, or metformin prior to or at initiation of a GLP-1 RA, indicating possible use outside of the PBS restrictions.</w:t>
      </w:r>
    </w:p>
    <w:p w14:paraId="314B1A7F" w14:textId="77777777" w:rsidR="00082451" w:rsidRDefault="00C70811">
      <w:pPr>
        <w:pStyle w:val="ListParagraph"/>
        <w:numPr>
          <w:ilvl w:val="0"/>
          <w:numId w:val="9"/>
        </w:numPr>
        <w:spacing w:line="240" w:lineRule="auto"/>
      </w:pPr>
      <w:r>
        <w:t>In 2021, almost 60% of people supplied a GLP-1 RA received this medicine in a regimen that is inconsistent with the PBS restrictions</w:t>
      </w:r>
      <w:r w:rsidR="00082451">
        <w:t xml:space="preserve"> either: </w:t>
      </w:r>
      <w:r>
        <w:t>in combination with another GLP</w:t>
      </w:r>
      <w:r>
        <w:noBreakHyphen/>
        <w:t>1 RA, a DPP4 inhibitor, an SGLT2 inhibitor or a combination of these medicines</w:t>
      </w:r>
      <w:r w:rsidR="00082451">
        <w:t xml:space="preserve"> (32%); without </w:t>
      </w:r>
      <w:r>
        <w:t>concomitant use of metformin, SU or insulin</w:t>
      </w:r>
      <w:r w:rsidR="00082451">
        <w:t xml:space="preserve"> (17%); or both (9.5%)</w:t>
      </w:r>
      <w:r>
        <w:t>.</w:t>
      </w:r>
    </w:p>
    <w:p w14:paraId="56AB118B" w14:textId="75F67557" w:rsidR="00C32054" w:rsidRDefault="0013794B">
      <w:pPr>
        <w:pStyle w:val="ListParagraph"/>
        <w:numPr>
          <w:ilvl w:val="0"/>
          <w:numId w:val="9"/>
        </w:numPr>
        <w:spacing w:line="240" w:lineRule="auto"/>
      </w:pPr>
      <w:r>
        <w:t xml:space="preserve">In 2021, of people supplied an SGLT2 inhibitor </w:t>
      </w:r>
      <w:r w:rsidR="00EA5525">
        <w:t>around 15% received this medicine without concomitant use of metformin, SU or insulin, and 14% received the medicine in combination with a GLP</w:t>
      </w:r>
      <w:r w:rsidR="00EA5525">
        <w:noBreakHyphen/>
        <w:t xml:space="preserve">1 RA, regimens that are inconsistent with the PBS restrictions. It should </w:t>
      </w:r>
      <w:proofErr w:type="gramStart"/>
      <w:r w:rsidR="00EA5525">
        <w:t>be noted</w:t>
      </w:r>
      <w:proofErr w:type="gramEnd"/>
      <w:r w:rsidR="00EA5525">
        <w:t xml:space="preserve"> that these are not mutually exclusive categories.</w:t>
      </w:r>
    </w:p>
    <w:p w14:paraId="18254860" w14:textId="7D808FC5" w:rsidR="0013794B" w:rsidRDefault="00EA5525">
      <w:pPr>
        <w:pStyle w:val="ListParagraph"/>
        <w:numPr>
          <w:ilvl w:val="0"/>
          <w:numId w:val="9"/>
        </w:numPr>
        <w:spacing w:line="240" w:lineRule="auto"/>
      </w:pPr>
      <w:r>
        <w:t>In 2021, of people supplied a</w:t>
      </w:r>
      <w:r w:rsidR="0013794B">
        <w:t xml:space="preserve"> DPP4 inhibitor, around 1</w:t>
      </w:r>
      <w:r>
        <w:t>6</w:t>
      </w:r>
      <w:r w:rsidR="0013794B">
        <w:t xml:space="preserve">% received this medicine without concomitant use of metformin, SU or insulin, and around </w:t>
      </w:r>
      <w:r>
        <w:t>7</w:t>
      </w:r>
      <w:r w:rsidR="0013794B">
        <w:t>% received the medicine in combination with a GLP</w:t>
      </w:r>
      <w:r w:rsidR="0013794B">
        <w:noBreakHyphen/>
        <w:t>1 RA, regimens that are inconsistent with the PBS restrictions.</w:t>
      </w:r>
    </w:p>
    <w:p w14:paraId="339A5EDF" w14:textId="61834810" w:rsidR="00960BB5" w:rsidRDefault="00960BB5" w:rsidP="00C7336E">
      <w:pPr>
        <w:pStyle w:val="Heading1"/>
      </w:pPr>
      <w:r>
        <w:t>DUSC consideration</w:t>
      </w:r>
    </w:p>
    <w:p w14:paraId="47BD3323" w14:textId="77777777" w:rsidR="00892D60" w:rsidRPr="00892D60" w:rsidRDefault="00892D60" w:rsidP="00892D60">
      <w:pPr>
        <w:spacing w:after="0" w:line="240" w:lineRule="auto"/>
        <w:rPr>
          <w:rFonts w:asciiTheme="minorHAnsi" w:hAnsiTheme="minorHAnsi" w:cstheme="minorHAnsi"/>
        </w:rPr>
      </w:pPr>
      <w:r>
        <w:rPr>
          <w:rFonts w:asciiTheme="minorHAnsi" w:hAnsiTheme="minorHAnsi" w:cstheme="minorHAnsi"/>
        </w:rPr>
        <w:t xml:space="preserve">DUSC noted that there are </w:t>
      </w:r>
      <w:proofErr w:type="gramStart"/>
      <w:r>
        <w:rPr>
          <w:rFonts w:asciiTheme="minorHAnsi" w:hAnsiTheme="minorHAnsi" w:cstheme="minorHAnsi"/>
        </w:rPr>
        <w:t>several</w:t>
      </w:r>
      <w:proofErr w:type="gramEnd"/>
      <w:r>
        <w:rPr>
          <w:rFonts w:asciiTheme="minorHAnsi" w:hAnsiTheme="minorHAnsi" w:cstheme="minorHAnsi"/>
        </w:rPr>
        <w:t xml:space="preserve"> within-class inconsistencies in the PBS restrictions for T2DM medicines, particularly for DPP4 and SGLT2 inhibitors. </w:t>
      </w:r>
      <w:r w:rsidRPr="00892D60">
        <w:rPr>
          <w:rFonts w:asciiTheme="minorHAnsi" w:hAnsiTheme="minorHAnsi" w:cstheme="minorHAnsi"/>
        </w:rPr>
        <w:t xml:space="preserve">DUSC considered that this may create complexity for prescribers and noted that the inability to view </w:t>
      </w:r>
      <w:proofErr w:type="gramStart"/>
      <w:r w:rsidRPr="00892D60">
        <w:rPr>
          <w:rFonts w:asciiTheme="minorHAnsi" w:hAnsiTheme="minorHAnsi" w:cstheme="minorHAnsi"/>
        </w:rPr>
        <w:t>numerous</w:t>
      </w:r>
      <w:proofErr w:type="gramEnd"/>
      <w:r w:rsidRPr="00892D60">
        <w:rPr>
          <w:rFonts w:asciiTheme="minorHAnsi" w:hAnsiTheme="minorHAnsi" w:cstheme="minorHAnsi"/>
        </w:rPr>
        <w:t xml:space="preserve"> and complex restrictions in prescriber software has been an ongoing concern. </w:t>
      </w:r>
    </w:p>
    <w:p w14:paraId="405F94B1" w14:textId="77777777" w:rsidR="00892D60" w:rsidRPr="00974F7D" w:rsidRDefault="00892D60" w:rsidP="00892D60">
      <w:pPr>
        <w:spacing w:after="0" w:line="240" w:lineRule="auto"/>
        <w:rPr>
          <w:rFonts w:asciiTheme="minorHAnsi" w:hAnsiTheme="minorHAnsi" w:cstheme="minorHAnsi"/>
          <w:i/>
          <w:iCs/>
        </w:rPr>
      </w:pPr>
    </w:p>
    <w:p w14:paraId="2DD80F03" w14:textId="0CD66C87" w:rsidR="00892D60" w:rsidRPr="00553303" w:rsidRDefault="00892D60" w:rsidP="00892D60">
      <w:pPr>
        <w:spacing w:after="0" w:line="240" w:lineRule="auto"/>
        <w:rPr>
          <w:rFonts w:asciiTheme="minorHAnsi" w:hAnsiTheme="minorHAnsi" w:cstheme="minorHAnsi"/>
        </w:rPr>
      </w:pPr>
      <w:r w:rsidRPr="00974F7D">
        <w:rPr>
          <w:rFonts w:asciiTheme="minorHAnsi" w:hAnsiTheme="minorHAnsi" w:cstheme="minorHAnsi"/>
        </w:rPr>
        <w:t>DUSC noted that in mid-2022, biguanides (metformin) were the most supplied class of medicines for the treatment of T2DM, followed by (in order of most supplied), DPP4 inhibitor + metformin FDCs, GLP-1 RAs, SUs, and SGLT2 inhibitors</w:t>
      </w:r>
      <w:r>
        <w:rPr>
          <w:rFonts w:asciiTheme="minorHAnsi" w:hAnsiTheme="minorHAnsi" w:cstheme="minorHAnsi"/>
        </w:rPr>
        <w:t xml:space="preserve"> (refer to Figure 2)</w:t>
      </w:r>
      <w:r w:rsidRPr="00974F7D">
        <w:rPr>
          <w:rFonts w:asciiTheme="minorHAnsi" w:hAnsiTheme="minorHAnsi" w:cstheme="minorHAnsi"/>
        </w:rPr>
        <w:t>.</w:t>
      </w:r>
      <w:r>
        <w:rPr>
          <w:rFonts w:asciiTheme="minorHAnsi" w:hAnsiTheme="minorHAnsi" w:cstheme="minorHAnsi"/>
        </w:rPr>
        <w:t xml:space="preserve"> </w:t>
      </w:r>
      <w:r w:rsidRPr="00553303">
        <w:rPr>
          <w:rFonts w:asciiTheme="minorHAnsi" w:hAnsiTheme="minorHAnsi" w:cstheme="minorHAnsi"/>
        </w:rPr>
        <w:t xml:space="preserve">However, DUSC noted that SGLT2 and DPP4 inhibitors </w:t>
      </w:r>
      <w:proofErr w:type="gramStart"/>
      <w:r w:rsidRPr="00553303">
        <w:rPr>
          <w:rFonts w:asciiTheme="minorHAnsi" w:hAnsiTheme="minorHAnsi" w:cstheme="minorHAnsi"/>
        </w:rPr>
        <w:t>were more commonly supplied</w:t>
      </w:r>
      <w:proofErr w:type="gramEnd"/>
      <w:r w:rsidRPr="00553303">
        <w:rPr>
          <w:rFonts w:asciiTheme="minorHAnsi" w:hAnsiTheme="minorHAnsi" w:cstheme="minorHAnsi"/>
        </w:rPr>
        <w:t xml:space="preserve"> than GLP-1 RAs when the components of the classes were considered, due to the availability of FDCs of SGLT2 and DPP4 inhibitors. DUSC noted that in Q2 2022, there were around 984,000 prescriptions supplied that included a DPP4 inhibitor; 920,000 prescriptions supplied that included an SGLT2 inhibitor; and 498,000 prescriptions supplied for GLP-1 RAs.</w:t>
      </w:r>
    </w:p>
    <w:p w14:paraId="54C4AF38" w14:textId="77777777" w:rsidR="00892D60" w:rsidRPr="000E325C" w:rsidRDefault="00892D60" w:rsidP="00892D60">
      <w:pPr>
        <w:spacing w:after="0" w:line="240" w:lineRule="auto"/>
        <w:rPr>
          <w:rFonts w:asciiTheme="minorHAnsi" w:hAnsiTheme="minorHAnsi" w:cstheme="minorHAnsi"/>
        </w:rPr>
      </w:pPr>
    </w:p>
    <w:p w14:paraId="2DA70E08" w14:textId="7CCF7A24" w:rsidR="00892D60" w:rsidRPr="00553303" w:rsidRDefault="00892D60" w:rsidP="00892D60">
      <w:pPr>
        <w:spacing w:after="0" w:line="240" w:lineRule="auto"/>
        <w:rPr>
          <w:rFonts w:asciiTheme="minorHAnsi" w:hAnsiTheme="minorHAnsi" w:cstheme="minorHAnsi"/>
        </w:rPr>
      </w:pPr>
      <w:r>
        <w:rPr>
          <w:rFonts w:asciiTheme="minorHAnsi" w:hAnsiTheme="minorHAnsi" w:cstheme="minorHAnsi"/>
        </w:rPr>
        <w:t xml:space="preserve">DUSC noted that clinical guidelines generally recommend GLP-1 RAs as a first-line agent in dual therapy. DUSC noted the recent changes to the Australian Type 2 Diabetes Glycaemic </w:t>
      </w:r>
      <w:r>
        <w:rPr>
          <w:rFonts w:asciiTheme="minorHAnsi" w:hAnsiTheme="minorHAnsi" w:cstheme="minorHAnsi"/>
        </w:rPr>
        <w:lastRenderedPageBreak/>
        <w:t>Management Algorithm (August 2022)</w:t>
      </w:r>
      <w:r>
        <w:rPr>
          <w:rStyle w:val="FootnoteReference"/>
          <w:rFonts w:asciiTheme="minorHAnsi" w:hAnsiTheme="minorHAnsi" w:cstheme="minorHAnsi"/>
        </w:rPr>
        <w:footnoteReference w:id="20"/>
      </w:r>
      <w:r>
        <w:rPr>
          <w:rFonts w:asciiTheme="minorHAnsi" w:hAnsiTheme="minorHAnsi" w:cstheme="minorHAnsi"/>
        </w:rPr>
        <w:t xml:space="preserve">, which now contain a conditional recommendation against the use of SUs in dual therapy for T2DM management due to the risk of severe hypoglycaemia. </w:t>
      </w:r>
      <w:r w:rsidRPr="00553303">
        <w:rPr>
          <w:rFonts w:asciiTheme="minorHAnsi" w:hAnsiTheme="minorHAnsi" w:cstheme="minorHAnsi"/>
        </w:rPr>
        <w:t>DUSC considered that the PBS restrictions for GLP-1 RAs are not consistent with their place in therapy in T2DM clinical guidelines but noted that clinical guidelines do not consider cost-effectiveness.</w:t>
      </w:r>
    </w:p>
    <w:p w14:paraId="7CD226CA" w14:textId="77777777" w:rsidR="00892D60" w:rsidRDefault="00892D60" w:rsidP="00892D60">
      <w:pPr>
        <w:spacing w:after="0" w:line="240" w:lineRule="auto"/>
        <w:rPr>
          <w:rFonts w:asciiTheme="minorHAnsi" w:hAnsiTheme="minorHAnsi" w:cstheme="minorHAnsi"/>
        </w:rPr>
      </w:pPr>
    </w:p>
    <w:p w14:paraId="25270414" w14:textId="60B5116A" w:rsidR="00892D60" w:rsidRPr="00D03A07" w:rsidRDefault="00892D60" w:rsidP="00892D60">
      <w:pPr>
        <w:spacing w:after="0" w:line="240" w:lineRule="auto"/>
        <w:rPr>
          <w:rFonts w:asciiTheme="minorHAnsi" w:hAnsiTheme="minorHAnsi" w:cstheme="minorHAnsi"/>
        </w:rPr>
      </w:pPr>
      <w:r w:rsidRPr="00BD4B14">
        <w:rPr>
          <w:rFonts w:asciiTheme="minorHAnsi" w:hAnsiTheme="minorHAnsi" w:cstheme="minorHAnsi"/>
        </w:rPr>
        <w:t xml:space="preserve">DUSC noted that the February 2017 DUSC </w:t>
      </w:r>
      <w:r>
        <w:rPr>
          <w:rFonts w:asciiTheme="minorHAnsi" w:hAnsiTheme="minorHAnsi" w:cstheme="minorHAnsi"/>
        </w:rPr>
        <w:t>‘A</w:t>
      </w:r>
      <w:r w:rsidRPr="00BD4B14">
        <w:rPr>
          <w:rFonts w:asciiTheme="minorHAnsi" w:hAnsiTheme="minorHAnsi" w:cstheme="minorHAnsi"/>
        </w:rPr>
        <w:t>nalysis of diabetes medicines</w:t>
      </w:r>
      <w:r>
        <w:rPr>
          <w:rFonts w:asciiTheme="minorHAnsi" w:hAnsiTheme="minorHAnsi" w:cstheme="minorHAnsi"/>
        </w:rPr>
        <w:t>’</w:t>
      </w:r>
      <w:r w:rsidRPr="00BD4B14">
        <w:rPr>
          <w:rFonts w:asciiTheme="minorHAnsi" w:hAnsiTheme="minorHAnsi" w:cstheme="minorHAnsi"/>
        </w:rPr>
        <w:t xml:space="preserve"> indicated that there were around 900,000 patients supplied medicines for the treatment of diabetes in 2016 (based on the monthly point prevalence), and that the rate of growth between 2012 to 2016 appeared slow and stable</w:t>
      </w:r>
      <w:r>
        <w:rPr>
          <w:rFonts w:asciiTheme="minorHAnsi" w:hAnsiTheme="minorHAnsi" w:cstheme="minorHAnsi"/>
        </w:rPr>
        <w:t xml:space="preserve">. DUSC noted that the </w:t>
      </w:r>
      <w:r w:rsidRPr="00177604">
        <w:rPr>
          <w:rFonts w:asciiTheme="minorHAnsi" w:hAnsiTheme="minorHAnsi" w:cstheme="minorHAnsi"/>
        </w:rPr>
        <w:t xml:space="preserve">number of people receiving PBS medicines for the treatment of T2DM has increased </w:t>
      </w:r>
      <w:r>
        <w:rPr>
          <w:rFonts w:asciiTheme="minorHAnsi" w:hAnsiTheme="minorHAnsi" w:cstheme="minorHAnsi"/>
        </w:rPr>
        <w:t xml:space="preserve">from around 900,000 in Quarter 1 (Q1) 2017 to around </w:t>
      </w:r>
      <w:r w:rsidRPr="00177604">
        <w:rPr>
          <w:rFonts w:asciiTheme="minorHAnsi" w:hAnsiTheme="minorHAnsi" w:cstheme="minorHAnsi"/>
        </w:rPr>
        <w:t>1.2</w:t>
      </w:r>
      <w:r w:rsidR="00D03A07">
        <w:rPr>
          <w:rFonts w:asciiTheme="minorHAnsi" w:hAnsiTheme="minorHAnsi" w:cstheme="minorHAnsi"/>
        </w:rPr>
        <w:t>2</w:t>
      </w:r>
      <w:r w:rsidRPr="00177604">
        <w:rPr>
          <w:rFonts w:asciiTheme="minorHAnsi" w:hAnsiTheme="minorHAnsi" w:cstheme="minorHAnsi"/>
        </w:rPr>
        <w:t xml:space="preserve"> million people in Q2 2022</w:t>
      </w:r>
      <w:r>
        <w:rPr>
          <w:rFonts w:asciiTheme="minorHAnsi" w:hAnsiTheme="minorHAnsi" w:cstheme="minorHAnsi"/>
        </w:rPr>
        <w:t xml:space="preserve">. </w:t>
      </w:r>
      <w:r w:rsidRPr="00D03A07">
        <w:rPr>
          <w:rFonts w:asciiTheme="minorHAnsi" w:hAnsiTheme="minorHAnsi" w:cstheme="minorHAnsi"/>
        </w:rPr>
        <w:t xml:space="preserve">DUSC noted that over 1.26 million patients with T2DM </w:t>
      </w:r>
      <w:proofErr w:type="gramStart"/>
      <w:r w:rsidRPr="00D03A07">
        <w:rPr>
          <w:rFonts w:asciiTheme="minorHAnsi" w:hAnsiTheme="minorHAnsi" w:cstheme="minorHAnsi"/>
        </w:rPr>
        <w:t>were currently registered</w:t>
      </w:r>
      <w:proofErr w:type="gramEnd"/>
      <w:r w:rsidRPr="00D03A07">
        <w:rPr>
          <w:rFonts w:asciiTheme="minorHAnsi" w:hAnsiTheme="minorHAnsi" w:cstheme="minorHAnsi"/>
        </w:rPr>
        <w:t xml:space="preserve"> with the National Diabetes Services Scheme (NDSS), and that as NDSS registration is voluntary, this would be an underestimate of the prevalence of T2DM in Australia.</w:t>
      </w:r>
    </w:p>
    <w:p w14:paraId="64D42DEF" w14:textId="77777777" w:rsidR="00892D60" w:rsidRDefault="00892D60" w:rsidP="00892D60">
      <w:pPr>
        <w:spacing w:after="0" w:line="240" w:lineRule="auto"/>
        <w:rPr>
          <w:rFonts w:asciiTheme="minorHAnsi" w:hAnsiTheme="minorHAnsi" w:cstheme="minorHAnsi"/>
        </w:rPr>
      </w:pPr>
    </w:p>
    <w:p w14:paraId="3AF30C48" w14:textId="19AD4C3A" w:rsidR="00892D60" w:rsidRPr="00D03A07" w:rsidRDefault="00892D60" w:rsidP="00892D60">
      <w:pPr>
        <w:spacing w:after="0" w:line="240" w:lineRule="auto"/>
        <w:rPr>
          <w:rFonts w:asciiTheme="minorHAnsi" w:hAnsiTheme="minorHAnsi" w:cstheme="minorHAnsi"/>
        </w:rPr>
      </w:pPr>
      <w:r>
        <w:rPr>
          <w:rFonts w:asciiTheme="minorHAnsi" w:hAnsiTheme="minorHAnsi" w:cstheme="minorHAnsi"/>
        </w:rPr>
        <w:t>DUSC noted that the analysis of medications for T2DM therapy initiation between 2017 and mid-2022 showed that patients most commonly commenced therapy with metformin as recommended in clinical guidelines, but that in 2022 there was a marked increase in the number of patients initiating T2DM therapy with an SGLT2 inhibitor or a GLP-1 RA, outside of the PBS restrictions</w:t>
      </w:r>
      <w:proofErr w:type="gramStart"/>
      <w:r>
        <w:rPr>
          <w:rFonts w:asciiTheme="minorHAnsi" w:hAnsiTheme="minorHAnsi" w:cstheme="minorHAnsi"/>
        </w:rPr>
        <w:t xml:space="preserve">.  </w:t>
      </w:r>
      <w:proofErr w:type="gramEnd"/>
      <w:r w:rsidRPr="00D03A07">
        <w:rPr>
          <w:rFonts w:asciiTheme="minorHAnsi" w:hAnsiTheme="minorHAnsi" w:cstheme="minorHAnsi"/>
        </w:rPr>
        <w:t>DUSC considered that there was an increase in the rate of growth of the prevalent T2DM population from March 2020</w:t>
      </w:r>
      <w:r w:rsidR="00FD2450">
        <w:rPr>
          <w:rFonts w:asciiTheme="minorHAnsi" w:hAnsiTheme="minorHAnsi" w:cstheme="minorHAnsi"/>
        </w:rPr>
        <w:t xml:space="preserve"> based on prescription data</w:t>
      </w:r>
      <w:r w:rsidRPr="00D03A07">
        <w:rPr>
          <w:rFonts w:asciiTheme="minorHAnsi" w:hAnsiTheme="minorHAnsi" w:cstheme="minorHAnsi"/>
        </w:rPr>
        <w:t xml:space="preserve">, coinciding with an increase in prescriptions dispensed for GLP-1 RAs, particularly semaglutide. DUSC noted that there also appeared to be an increase in metformin prescriptions from 2020. DUSC considered that the listing of semaglutide on the PBS may have grown the T2DM market. DUSC considered that </w:t>
      </w:r>
      <w:proofErr w:type="gramStart"/>
      <w:r w:rsidRPr="00D03A07">
        <w:rPr>
          <w:rFonts w:asciiTheme="minorHAnsi" w:hAnsiTheme="minorHAnsi" w:cstheme="minorHAnsi"/>
        </w:rPr>
        <w:t>some of</w:t>
      </w:r>
      <w:proofErr w:type="gramEnd"/>
      <w:r w:rsidRPr="00D03A07">
        <w:rPr>
          <w:rFonts w:asciiTheme="minorHAnsi" w:hAnsiTheme="minorHAnsi" w:cstheme="minorHAnsi"/>
        </w:rPr>
        <w:t xml:space="preserve"> the growth may represent patients previously managed on diet and exercise therapy commencing pharmacotherapy due to the availability of medications with weight loss benefits and different side effect profiles. DUSC considered that an analysis of the time from commencing metformin therapy to commencement of GLP-1 RA therapy may be informative. DUSC considered that </w:t>
      </w:r>
      <w:proofErr w:type="gramStart"/>
      <w:r w:rsidRPr="00D03A07">
        <w:rPr>
          <w:rFonts w:asciiTheme="minorHAnsi" w:hAnsiTheme="minorHAnsi" w:cstheme="minorHAnsi"/>
        </w:rPr>
        <w:t>some of</w:t>
      </w:r>
      <w:proofErr w:type="gramEnd"/>
      <w:r w:rsidRPr="00D03A07">
        <w:rPr>
          <w:rFonts w:asciiTheme="minorHAnsi" w:hAnsiTheme="minorHAnsi" w:cstheme="minorHAnsi"/>
        </w:rPr>
        <w:t xml:space="preserve"> the growth in the T2DM market may also be a result of changing management of T2DM patients with a greater focus in recent years on patient-centred care, including individualised glycaemic targets and improved management of comorbidities, such as cardiovascular and renal risks. </w:t>
      </w:r>
    </w:p>
    <w:p w14:paraId="192AF38F" w14:textId="77777777" w:rsidR="00892D60" w:rsidRDefault="00892D60" w:rsidP="00892D60">
      <w:pPr>
        <w:spacing w:after="0" w:line="240" w:lineRule="auto"/>
        <w:rPr>
          <w:rFonts w:asciiTheme="minorHAnsi" w:hAnsiTheme="minorHAnsi" w:cstheme="minorHAnsi"/>
          <w:i/>
          <w:iCs/>
        </w:rPr>
      </w:pPr>
    </w:p>
    <w:p w14:paraId="1FCE80C7" w14:textId="77777777" w:rsidR="00892D60" w:rsidRPr="00D03A07" w:rsidRDefault="00892D60" w:rsidP="00892D60">
      <w:pPr>
        <w:spacing w:after="0" w:line="240" w:lineRule="auto"/>
        <w:rPr>
          <w:rFonts w:asciiTheme="minorHAnsi" w:hAnsiTheme="minorHAnsi" w:cstheme="minorHAnsi"/>
          <w:bCs/>
        </w:rPr>
      </w:pPr>
      <w:r>
        <w:rPr>
          <w:rFonts w:asciiTheme="minorHAnsi" w:hAnsiTheme="minorHAnsi" w:cstheme="minorHAnsi"/>
        </w:rPr>
        <w:t xml:space="preserve">DUSC noted that the analysis of patients initiating therapy with a GLP-1 RA between 2017 and mid-2022 indicated that 18% of patients were not previously, or at the time of initiation, supplied metformin, a SU or insulin, as required by the PBS restrictions. </w:t>
      </w:r>
      <w:r w:rsidRPr="00D03A07">
        <w:rPr>
          <w:rFonts w:asciiTheme="minorHAnsi" w:hAnsiTheme="minorHAnsi" w:cstheme="minorHAnsi"/>
        </w:rPr>
        <w:t>DUSC considered that this could represent use of GLP</w:t>
      </w:r>
      <w:r w:rsidRPr="00D03A07">
        <w:rPr>
          <w:rFonts w:asciiTheme="minorHAnsi" w:hAnsiTheme="minorHAnsi" w:cstheme="minorHAnsi"/>
        </w:rPr>
        <w:noBreakHyphen/>
        <w:t xml:space="preserve">1 RAs and SGLT2 inhibitors outside of the T2DM indication, including use for the management of chronic kidney disease (CKD), heart failure (HF), weight loss and pre-diabetes. DUSC noted that </w:t>
      </w:r>
      <w:proofErr w:type="gramStart"/>
      <w:r w:rsidRPr="00D03A07">
        <w:rPr>
          <w:rFonts w:asciiTheme="minorHAnsi" w:hAnsiTheme="minorHAnsi" w:cstheme="minorHAnsi"/>
        </w:rPr>
        <w:t>some</w:t>
      </w:r>
      <w:proofErr w:type="gramEnd"/>
      <w:r w:rsidRPr="00D03A07">
        <w:rPr>
          <w:rFonts w:asciiTheme="minorHAnsi" w:hAnsiTheme="minorHAnsi" w:cstheme="minorHAnsi"/>
        </w:rPr>
        <w:t xml:space="preserve"> SGLT2 inhibitors were PBS-listed for CKD and HF indications in 2022, but that the relevant item codes were removed from the analysis. Alternatively, patients initiating therapy with an SGLT2 inhibitor or a GLP</w:t>
      </w:r>
      <w:r w:rsidRPr="00D03A07">
        <w:rPr>
          <w:rFonts w:asciiTheme="minorHAnsi" w:hAnsiTheme="minorHAnsi" w:cstheme="minorHAnsi"/>
        </w:rPr>
        <w:noBreakHyphen/>
        <w:t xml:space="preserve">1 RA could represent use within the T2DM indication by patients not using </w:t>
      </w:r>
      <w:r w:rsidRPr="00D03A07">
        <w:rPr>
          <w:rFonts w:asciiTheme="minorHAnsi" w:hAnsiTheme="minorHAnsi" w:cstheme="minorHAnsi"/>
        </w:rPr>
        <w:lastRenderedPageBreak/>
        <w:t>recommended first-line monotherapies (e.g., metformin, SU, insulin or acarbose) due to contraindication/intolerance or the lack of weight loss benefits.</w:t>
      </w:r>
    </w:p>
    <w:p w14:paraId="502F253D" w14:textId="77777777" w:rsidR="00892D60" w:rsidRDefault="00892D60" w:rsidP="00892D60">
      <w:pPr>
        <w:spacing w:after="0" w:line="240" w:lineRule="auto"/>
        <w:rPr>
          <w:rFonts w:asciiTheme="minorHAnsi" w:hAnsiTheme="minorHAnsi" w:cstheme="minorHAnsi"/>
        </w:rPr>
      </w:pPr>
    </w:p>
    <w:p w14:paraId="3BB471EC" w14:textId="77777777" w:rsidR="00892D60" w:rsidRDefault="00892D60" w:rsidP="00892D60">
      <w:pPr>
        <w:spacing w:after="0" w:line="240" w:lineRule="auto"/>
        <w:rPr>
          <w:rFonts w:asciiTheme="minorHAnsi" w:hAnsiTheme="minorHAnsi" w:cstheme="minorHAnsi"/>
          <w:bCs/>
          <w:i/>
          <w:iCs/>
        </w:rPr>
      </w:pPr>
      <w:r>
        <w:rPr>
          <w:rFonts w:asciiTheme="minorHAnsi" w:hAnsiTheme="minorHAnsi" w:cstheme="minorHAnsi"/>
        </w:rPr>
        <w:t xml:space="preserve">DUSC noted that the analysis of patients initiating therapy with a GLP-1 RA between 2017 and mid-2022 further showed that 57% of patients </w:t>
      </w:r>
      <w:proofErr w:type="gramStart"/>
      <w:r>
        <w:rPr>
          <w:rFonts w:asciiTheme="minorHAnsi" w:hAnsiTheme="minorHAnsi" w:cstheme="minorHAnsi"/>
        </w:rPr>
        <w:t>were supplied</w:t>
      </w:r>
      <w:proofErr w:type="gramEnd"/>
      <w:r>
        <w:rPr>
          <w:rFonts w:asciiTheme="minorHAnsi" w:hAnsiTheme="minorHAnsi" w:cstheme="minorHAnsi"/>
        </w:rPr>
        <w:t xml:space="preserve"> only one of metformin, a SU or insulin, with 55% supplied only metformin, prior to commencing GLP-1 RA therapy, indicating possible use outside of the PBS restrictions. </w:t>
      </w:r>
      <w:r w:rsidRPr="00D03A07">
        <w:rPr>
          <w:rFonts w:asciiTheme="minorHAnsi" w:hAnsiTheme="minorHAnsi" w:cstheme="minorHAnsi"/>
        </w:rPr>
        <w:t>DUSC considered that prescribers may be unaware of the PBS restrictions due to the lack of information provided in clinical guidelines or may have a wider interpretation of contraindication to SU than anticipated.</w:t>
      </w:r>
      <w:r>
        <w:rPr>
          <w:rFonts w:asciiTheme="minorHAnsi" w:hAnsiTheme="minorHAnsi" w:cstheme="minorHAnsi"/>
        </w:rPr>
        <w:t xml:space="preserve"> </w:t>
      </w:r>
    </w:p>
    <w:p w14:paraId="14833FA2" w14:textId="77777777" w:rsidR="00892D60" w:rsidRDefault="00892D60" w:rsidP="00892D60">
      <w:pPr>
        <w:spacing w:after="0" w:line="240" w:lineRule="auto"/>
        <w:rPr>
          <w:rFonts w:asciiTheme="minorHAnsi" w:hAnsiTheme="minorHAnsi" w:cstheme="minorHAnsi"/>
          <w:bCs/>
          <w:i/>
          <w:iCs/>
        </w:rPr>
      </w:pPr>
    </w:p>
    <w:p w14:paraId="0A2CD59D" w14:textId="77777777" w:rsidR="00892D60" w:rsidRDefault="00892D60" w:rsidP="00892D60">
      <w:pPr>
        <w:spacing w:after="0" w:line="240" w:lineRule="auto"/>
        <w:rPr>
          <w:rFonts w:asciiTheme="minorHAnsi" w:hAnsiTheme="minorHAnsi" w:cstheme="minorHAnsi"/>
          <w:bCs/>
          <w:i/>
          <w:iCs/>
        </w:rPr>
      </w:pPr>
      <w:r>
        <w:rPr>
          <w:rFonts w:asciiTheme="minorHAnsi" w:hAnsiTheme="minorHAnsi" w:cstheme="minorHAnsi"/>
        </w:rPr>
        <w:t xml:space="preserve">DUSC noted the analysis of combination use of GLP-1 RAs, SGLT2 inhibitors and DPP4 inhibitors based on data from 2021, which showed that 42% of patients supplied a GLP-1 RA </w:t>
      </w:r>
      <w:proofErr w:type="gramStart"/>
      <w:r>
        <w:rPr>
          <w:rFonts w:asciiTheme="minorHAnsi" w:hAnsiTheme="minorHAnsi" w:cstheme="minorHAnsi"/>
        </w:rPr>
        <w:t>were supplied</w:t>
      </w:r>
      <w:proofErr w:type="gramEnd"/>
      <w:r>
        <w:rPr>
          <w:rFonts w:asciiTheme="minorHAnsi" w:hAnsiTheme="minorHAnsi" w:cstheme="minorHAnsi"/>
        </w:rPr>
        <w:t xml:space="preserve"> this medicine in combination with another GLP-1 RA, an SGLT2 inhibitor, a DPP4 inhibitor or a combination of these, outside of the PBS restrictions. </w:t>
      </w:r>
      <w:r w:rsidRPr="00D03A07">
        <w:rPr>
          <w:rFonts w:asciiTheme="minorHAnsi" w:hAnsiTheme="minorHAnsi" w:cstheme="minorHAnsi"/>
        </w:rPr>
        <w:t xml:space="preserve">DUSC considered that these results were unlikely to be due to misclassification due to switching, as the analysis of same-day dispensing showed 35% of supply was concomitant. DUSC noted that concomitant use of GLP-1 RA with a DPP4 inhibitor, SGLT2 inhibitor, or both, has not </w:t>
      </w:r>
      <w:proofErr w:type="gramStart"/>
      <w:r w:rsidRPr="00D03A07">
        <w:rPr>
          <w:rFonts w:asciiTheme="minorHAnsi" w:hAnsiTheme="minorHAnsi" w:cstheme="minorHAnsi"/>
        </w:rPr>
        <w:t>been assessed</w:t>
      </w:r>
      <w:proofErr w:type="gramEnd"/>
      <w:r w:rsidRPr="00D03A07">
        <w:rPr>
          <w:rFonts w:asciiTheme="minorHAnsi" w:hAnsiTheme="minorHAnsi" w:cstheme="minorHAnsi"/>
        </w:rPr>
        <w:t xml:space="preserve"> for cost-effectiveness. DUSC noted that </w:t>
      </w:r>
      <w:proofErr w:type="gramStart"/>
      <w:r w:rsidRPr="00D03A07">
        <w:rPr>
          <w:rFonts w:asciiTheme="minorHAnsi" w:hAnsiTheme="minorHAnsi" w:cstheme="minorHAnsi"/>
        </w:rPr>
        <w:t>some of</w:t>
      </w:r>
      <w:proofErr w:type="gramEnd"/>
      <w:r w:rsidRPr="00D03A07">
        <w:rPr>
          <w:rFonts w:asciiTheme="minorHAnsi" w:hAnsiTheme="minorHAnsi" w:cstheme="minorHAnsi"/>
        </w:rPr>
        <w:t xml:space="preserve"> the use outside of the PBS restrictions is in accordance with clinical guideline recommendations (e.g., use of a GLP-1 RA with an SGLT2 inhibitor), while other use may represent a quality use of medicines issue (e.g., use of a GLP-1 RA with another GLP-1 RA).</w:t>
      </w:r>
    </w:p>
    <w:p w14:paraId="750B9E81" w14:textId="77777777" w:rsidR="00892D60" w:rsidRDefault="00892D60" w:rsidP="00892D60">
      <w:pPr>
        <w:spacing w:after="0" w:line="240" w:lineRule="auto"/>
        <w:rPr>
          <w:rFonts w:asciiTheme="minorHAnsi" w:hAnsiTheme="minorHAnsi" w:cstheme="minorHAnsi"/>
          <w:bCs/>
          <w:i/>
          <w:iCs/>
        </w:rPr>
      </w:pPr>
    </w:p>
    <w:p w14:paraId="59CCBD16" w14:textId="77777777" w:rsidR="00892D60" w:rsidRPr="00D03A07" w:rsidRDefault="00892D60" w:rsidP="00892D60">
      <w:pPr>
        <w:spacing w:after="0" w:line="240" w:lineRule="auto"/>
        <w:rPr>
          <w:rFonts w:asciiTheme="minorHAnsi" w:hAnsiTheme="minorHAnsi" w:cstheme="minorHAnsi"/>
          <w:bCs/>
        </w:rPr>
      </w:pPr>
      <w:r>
        <w:rPr>
          <w:rFonts w:asciiTheme="minorHAnsi" w:hAnsiTheme="minorHAnsi" w:cstheme="minorHAnsi"/>
        </w:rPr>
        <w:t xml:space="preserve">DUSC noted the analysis indicated that 27% of patients supplied a GLP-1 RA </w:t>
      </w:r>
      <w:proofErr w:type="gramStart"/>
      <w:r>
        <w:rPr>
          <w:rFonts w:asciiTheme="minorHAnsi" w:hAnsiTheme="minorHAnsi" w:cstheme="minorHAnsi"/>
        </w:rPr>
        <w:t>were not supplied</w:t>
      </w:r>
      <w:proofErr w:type="gramEnd"/>
      <w:r>
        <w:rPr>
          <w:rFonts w:asciiTheme="minorHAnsi" w:hAnsiTheme="minorHAnsi" w:cstheme="minorHAnsi"/>
        </w:rPr>
        <w:t xml:space="preserve"> this medicine in combination with metformin, SU or insulin in 2021, and that overall, almost 60% of patients supplied a GLP-1 RA in 2021 were supplied this medicine in a regimen inconsistent with the PBS restrictions. </w:t>
      </w:r>
      <w:r w:rsidRPr="00D03A07">
        <w:rPr>
          <w:rFonts w:asciiTheme="minorHAnsi" w:hAnsiTheme="minorHAnsi" w:cstheme="minorHAnsi"/>
        </w:rPr>
        <w:t>DUSC considered that the analysis indicated that there was extensive use of GLP</w:t>
      </w:r>
      <w:r w:rsidRPr="00D03A07">
        <w:rPr>
          <w:rFonts w:asciiTheme="minorHAnsi" w:hAnsiTheme="minorHAnsi" w:cstheme="minorHAnsi"/>
        </w:rPr>
        <w:noBreakHyphen/>
        <w:t xml:space="preserve">1 RAs outside of the PBS restrictions. DUSC commented that there were </w:t>
      </w:r>
      <w:proofErr w:type="gramStart"/>
      <w:r w:rsidRPr="00D03A07">
        <w:rPr>
          <w:rFonts w:asciiTheme="minorHAnsi" w:hAnsiTheme="minorHAnsi" w:cstheme="minorHAnsi"/>
        </w:rPr>
        <w:t>several</w:t>
      </w:r>
      <w:proofErr w:type="gramEnd"/>
      <w:r w:rsidRPr="00D03A07">
        <w:rPr>
          <w:rFonts w:asciiTheme="minorHAnsi" w:hAnsiTheme="minorHAnsi" w:cstheme="minorHAnsi"/>
        </w:rPr>
        <w:t xml:space="preserve"> options that PBAC could consider to restore cost-effective use of GLP-1 RAs, including:</w:t>
      </w:r>
    </w:p>
    <w:p w14:paraId="1E7EE982" w14:textId="77777777" w:rsidR="00892D60" w:rsidRPr="00D03A07" w:rsidRDefault="00892D60">
      <w:pPr>
        <w:pStyle w:val="ListParagraph"/>
        <w:numPr>
          <w:ilvl w:val="0"/>
          <w:numId w:val="28"/>
        </w:numPr>
        <w:spacing w:after="0" w:line="240" w:lineRule="auto"/>
        <w:rPr>
          <w:rFonts w:asciiTheme="minorHAnsi" w:hAnsiTheme="minorHAnsi" w:cstheme="minorHAnsi"/>
        </w:rPr>
      </w:pPr>
      <w:r w:rsidRPr="00D03A07">
        <w:rPr>
          <w:rFonts w:asciiTheme="minorHAnsi" w:hAnsiTheme="minorHAnsi" w:cstheme="minorHAnsi"/>
        </w:rPr>
        <w:t>Increasing the restriction level to an online authority.</w:t>
      </w:r>
    </w:p>
    <w:p w14:paraId="05D0E504" w14:textId="77777777" w:rsidR="00892D60" w:rsidRPr="00D03A07" w:rsidRDefault="00892D60">
      <w:pPr>
        <w:pStyle w:val="ListParagraph"/>
        <w:numPr>
          <w:ilvl w:val="0"/>
          <w:numId w:val="28"/>
        </w:numPr>
        <w:spacing w:after="0" w:line="240" w:lineRule="auto"/>
        <w:rPr>
          <w:rFonts w:asciiTheme="minorHAnsi" w:hAnsiTheme="minorHAnsi" w:cstheme="minorHAnsi"/>
        </w:rPr>
      </w:pPr>
      <w:r w:rsidRPr="00D03A07">
        <w:rPr>
          <w:rFonts w:asciiTheme="minorHAnsi" w:hAnsiTheme="minorHAnsi" w:cstheme="minorHAnsi"/>
        </w:rPr>
        <w:t>Restricting use to the third-line setting, by adding the requirement for contraindication/intolerance to an SGLT2 inhibitor to the restriction for dual therapy use.</w:t>
      </w:r>
    </w:p>
    <w:p w14:paraId="39EE7430" w14:textId="77777777" w:rsidR="00892D60" w:rsidRPr="00D03A07" w:rsidRDefault="00892D60">
      <w:pPr>
        <w:pStyle w:val="ListParagraph"/>
        <w:numPr>
          <w:ilvl w:val="0"/>
          <w:numId w:val="28"/>
        </w:numPr>
        <w:spacing w:after="0" w:line="240" w:lineRule="auto"/>
        <w:rPr>
          <w:rFonts w:asciiTheme="minorHAnsi" w:hAnsiTheme="minorHAnsi" w:cstheme="minorHAnsi"/>
        </w:rPr>
      </w:pPr>
      <w:r w:rsidRPr="00D03A07">
        <w:rPr>
          <w:rFonts w:asciiTheme="minorHAnsi" w:hAnsiTheme="minorHAnsi" w:cstheme="minorHAnsi"/>
        </w:rPr>
        <w:t>Aligning the restrictions and prices with DPP4 and SGLT2 inhibitors by removing the requirement for contraindication/intolerance to a combination of metformin and a SU.</w:t>
      </w:r>
    </w:p>
    <w:p w14:paraId="0BEC35F3" w14:textId="77777777" w:rsidR="00892D60" w:rsidRPr="00D03A07" w:rsidRDefault="00892D60">
      <w:pPr>
        <w:pStyle w:val="ListParagraph"/>
        <w:numPr>
          <w:ilvl w:val="0"/>
          <w:numId w:val="28"/>
        </w:numPr>
        <w:spacing w:after="0" w:line="240" w:lineRule="auto"/>
        <w:rPr>
          <w:rFonts w:asciiTheme="minorHAnsi" w:hAnsiTheme="minorHAnsi" w:cstheme="minorHAnsi"/>
        </w:rPr>
      </w:pPr>
      <w:r w:rsidRPr="00D03A07">
        <w:rPr>
          <w:rFonts w:asciiTheme="minorHAnsi" w:hAnsiTheme="minorHAnsi" w:cstheme="minorHAnsi"/>
        </w:rPr>
        <w:t>Writing to Australian T2DM clinical guideline developers to ensure that guidelines accurately reflect the PBS restrictions.</w:t>
      </w:r>
    </w:p>
    <w:p w14:paraId="7FDE5CF4" w14:textId="77777777" w:rsidR="00892D60" w:rsidRDefault="00892D60" w:rsidP="00892D60">
      <w:pPr>
        <w:spacing w:after="0" w:line="240" w:lineRule="auto"/>
        <w:rPr>
          <w:rFonts w:asciiTheme="minorHAnsi" w:hAnsiTheme="minorHAnsi" w:cstheme="minorHAnsi"/>
          <w:bCs/>
        </w:rPr>
      </w:pPr>
    </w:p>
    <w:p w14:paraId="657D183E" w14:textId="62867F35" w:rsidR="00892D60" w:rsidRPr="00D03A07" w:rsidRDefault="00892D60" w:rsidP="00892D60">
      <w:pPr>
        <w:spacing w:line="240" w:lineRule="auto"/>
        <w:rPr>
          <w:rFonts w:asciiTheme="minorHAnsi" w:hAnsiTheme="minorHAnsi" w:cstheme="minorHAnsi"/>
        </w:rPr>
      </w:pPr>
      <w:r w:rsidRPr="0023065F">
        <w:rPr>
          <w:rFonts w:asciiTheme="minorHAnsi" w:hAnsiTheme="minorHAnsi" w:cstheme="minorHAnsi"/>
        </w:rPr>
        <w:t xml:space="preserve">DUSC noted that the analysis also demonstrated </w:t>
      </w:r>
      <w:r>
        <w:rPr>
          <w:rFonts w:asciiTheme="minorHAnsi" w:hAnsiTheme="minorHAnsi" w:cstheme="minorHAnsi"/>
        </w:rPr>
        <w:t>use of SGLT2</w:t>
      </w:r>
      <w:r w:rsidR="00FD2450">
        <w:rPr>
          <w:rFonts w:asciiTheme="minorHAnsi" w:hAnsiTheme="minorHAnsi" w:cstheme="minorHAnsi"/>
        </w:rPr>
        <w:t xml:space="preserve"> inhibitors</w:t>
      </w:r>
      <w:r>
        <w:rPr>
          <w:rFonts w:asciiTheme="minorHAnsi" w:hAnsiTheme="minorHAnsi" w:cstheme="minorHAnsi"/>
        </w:rPr>
        <w:t xml:space="preserve"> and DPP4 inhibitors that is inconsistent with the PBS restrictions, including that in 2021, </w:t>
      </w:r>
      <w:r w:rsidRPr="00C24DDA">
        <w:rPr>
          <w:rFonts w:asciiTheme="minorHAnsi" w:hAnsiTheme="minorHAnsi" w:cstheme="minorHAnsi"/>
        </w:rPr>
        <w:t xml:space="preserve">around 15% of people supplied </w:t>
      </w:r>
      <w:r>
        <w:rPr>
          <w:rFonts w:asciiTheme="minorHAnsi" w:hAnsiTheme="minorHAnsi" w:cstheme="minorHAnsi"/>
        </w:rPr>
        <w:t xml:space="preserve">these medicines </w:t>
      </w:r>
      <w:r w:rsidRPr="00C24DDA">
        <w:rPr>
          <w:rFonts w:asciiTheme="minorHAnsi" w:hAnsiTheme="minorHAnsi" w:cstheme="minorHAnsi"/>
        </w:rPr>
        <w:t xml:space="preserve">received </w:t>
      </w:r>
      <w:r>
        <w:rPr>
          <w:rFonts w:asciiTheme="minorHAnsi" w:hAnsiTheme="minorHAnsi" w:cstheme="minorHAnsi"/>
        </w:rPr>
        <w:t xml:space="preserve">them </w:t>
      </w:r>
      <w:r w:rsidRPr="00C24DDA">
        <w:rPr>
          <w:rFonts w:asciiTheme="minorHAnsi" w:hAnsiTheme="minorHAnsi" w:cstheme="minorHAnsi"/>
        </w:rPr>
        <w:t>without concomitant metformin, SU or insulin.</w:t>
      </w:r>
      <w:r>
        <w:rPr>
          <w:rFonts w:asciiTheme="minorHAnsi" w:hAnsiTheme="minorHAnsi" w:cstheme="minorHAnsi"/>
        </w:rPr>
        <w:t xml:space="preserve"> DUSC also noted that </w:t>
      </w:r>
      <w:r w:rsidRPr="00C24DDA">
        <w:rPr>
          <w:rFonts w:asciiTheme="minorHAnsi" w:hAnsiTheme="minorHAnsi" w:cstheme="minorHAnsi"/>
        </w:rPr>
        <w:t xml:space="preserve">around 14% of people supplied an SGLT2 inhibitor and 7% of people supplied a DPP4 inhibitor </w:t>
      </w:r>
      <w:r>
        <w:rPr>
          <w:rFonts w:asciiTheme="minorHAnsi" w:hAnsiTheme="minorHAnsi" w:cstheme="minorHAnsi"/>
        </w:rPr>
        <w:t xml:space="preserve">in 2021, </w:t>
      </w:r>
      <w:r w:rsidRPr="00C24DDA">
        <w:rPr>
          <w:rFonts w:asciiTheme="minorHAnsi" w:hAnsiTheme="minorHAnsi" w:cstheme="minorHAnsi"/>
        </w:rPr>
        <w:t>received these medicines in combination with a GLP</w:t>
      </w:r>
      <w:r w:rsidRPr="00C24DDA">
        <w:rPr>
          <w:rFonts w:asciiTheme="minorHAnsi" w:hAnsiTheme="minorHAnsi" w:cstheme="minorHAnsi"/>
        </w:rPr>
        <w:noBreakHyphen/>
        <w:t>1 RA</w:t>
      </w:r>
      <w:r>
        <w:rPr>
          <w:rFonts w:asciiTheme="minorHAnsi" w:hAnsiTheme="minorHAnsi" w:cstheme="minorHAnsi"/>
        </w:rPr>
        <w:t xml:space="preserve">. </w:t>
      </w:r>
      <w:r w:rsidRPr="00D03A07">
        <w:rPr>
          <w:rFonts w:asciiTheme="minorHAnsi" w:hAnsiTheme="minorHAnsi" w:cstheme="minorHAnsi"/>
        </w:rPr>
        <w:t xml:space="preserve">DUSC commented that </w:t>
      </w:r>
      <w:proofErr w:type="gramStart"/>
      <w:r w:rsidRPr="00D03A07">
        <w:rPr>
          <w:rFonts w:asciiTheme="minorHAnsi" w:hAnsiTheme="minorHAnsi" w:cstheme="minorHAnsi"/>
        </w:rPr>
        <w:t>some of</w:t>
      </w:r>
      <w:proofErr w:type="gramEnd"/>
      <w:r w:rsidRPr="00D03A07">
        <w:rPr>
          <w:rFonts w:asciiTheme="minorHAnsi" w:hAnsiTheme="minorHAnsi" w:cstheme="minorHAnsi"/>
        </w:rPr>
        <w:t xml:space="preserve"> the options to restore cost-effective use of GLP-1 RAs could </w:t>
      </w:r>
      <w:r w:rsidRPr="00D03A07">
        <w:rPr>
          <w:rFonts w:asciiTheme="minorHAnsi" w:hAnsiTheme="minorHAnsi" w:cstheme="minorHAnsi"/>
        </w:rPr>
        <w:lastRenderedPageBreak/>
        <w:t>also be considered by PBAC to restore cost-effective use of SGLT2 and DPP4 inhibitors, including:</w:t>
      </w:r>
    </w:p>
    <w:p w14:paraId="0B17F431" w14:textId="77777777" w:rsidR="00892D60" w:rsidRPr="00D03A07" w:rsidRDefault="00892D60">
      <w:pPr>
        <w:pStyle w:val="ListParagraph"/>
        <w:numPr>
          <w:ilvl w:val="0"/>
          <w:numId w:val="29"/>
        </w:numPr>
        <w:spacing w:after="0" w:line="240" w:lineRule="auto"/>
        <w:rPr>
          <w:rFonts w:asciiTheme="minorHAnsi" w:hAnsiTheme="minorHAnsi" w:cstheme="minorHAnsi"/>
        </w:rPr>
      </w:pPr>
      <w:r w:rsidRPr="00D03A07">
        <w:rPr>
          <w:rFonts w:asciiTheme="minorHAnsi" w:hAnsiTheme="minorHAnsi" w:cstheme="minorHAnsi"/>
        </w:rPr>
        <w:t>Increasing the restriction level to an online authority.</w:t>
      </w:r>
    </w:p>
    <w:p w14:paraId="30FFC455" w14:textId="77777777" w:rsidR="00892D60" w:rsidRPr="00D03A07" w:rsidRDefault="00892D60">
      <w:pPr>
        <w:pStyle w:val="ListParagraph"/>
        <w:numPr>
          <w:ilvl w:val="0"/>
          <w:numId w:val="29"/>
        </w:numPr>
        <w:spacing w:line="240" w:lineRule="auto"/>
        <w:rPr>
          <w:rFonts w:asciiTheme="minorHAnsi" w:hAnsiTheme="minorHAnsi" w:cstheme="minorHAnsi"/>
        </w:rPr>
      </w:pPr>
      <w:r w:rsidRPr="00D03A07">
        <w:rPr>
          <w:rFonts w:asciiTheme="minorHAnsi" w:hAnsiTheme="minorHAnsi" w:cstheme="minorHAnsi"/>
        </w:rPr>
        <w:t>Cost-minimising the proportion of use of SGLT2 and DPP4 inhibitors without metformin, SU or insulin to the cost of metformin or a SU (noting that patients using these medicines in combination with insulin alone would be contraindicated/intolerant to at least metformin).</w:t>
      </w:r>
    </w:p>
    <w:p w14:paraId="5F1BC41F" w14:textId="77777777" w:rsidR="00892D60" w:rsidRPr="00D03A07" w:rsidRDefault="00892D60">
      <w:pPr>
        <w:pStyle w:val="ListParagraph"/>
        <w:numPr>
          <w:ilvl w:val="0"/>
          <w:numId w:val="29"/>
        </w:numPr>
        <w:spacing w:line="240" w:lineRule="auto"/>
        <w:rPr>
          <w:rFonts w:asciiTheme="minorHAnsi" w:hAnsiTheme="minorHAnsi" w:cstheme="minorHAnsi"/>
        </w:rPr>
      </w:pPr>
      <w:r w:rsidRPr="00D03A07">
        <w:rPr>
          <w:rFonts w:asciiTheme="minorHAnsi" w:hAnsiTheme="minorHAnsi" w:cstheme="minorHAnsi"/>
        </w:rPr>
        <w:t xml:space="preserve">Cost-minimising the proportion of use of SGLT2 and DPP4 inhibitors with a GLP-1 RA to the cost of a SU or insulin, as the most likely medicines to have </w:t>
      </w:r>
      <w:proofErr w:type="gramStart"/>
      <w:r w:rsidRPr="00D03A07">
        <w:rPr>
          <w:rFonts w:asciiTheme="minorHAnsi" w:hAnsiTheme="minorHAnsi" w:cstheme="minorHAnsi"/>
        </w:rPr>
        <w:t>been substituted</w:t>
      </w:r>
      <w:proofErr w:type="gramEnd"/>
      <w:r w:rsidRPr="00D03A07">
        <w:rPr>
          <w:rFonts w:asciiTheme="minorHAnsi" w:hAnsiTheme="minorHAnsi" w:cstheme="minorHAnsi"/>
        </w:rPr>
        <w:t xml:space="preserve"> in these regimens. </w:t>
      </w:r>
    </w:p>
    <w:p w14:paraId="473FD1E5" w14:textId="77777777" w:rsidR="00892D60" w:rsidRPr="00D03A07" w:rsidRDefault="00892D60">
      <w:pPr>
        <w:pStyle w:val="ListParagraph"/>
        <w:numPr>
          <w:ilvl w:val="0"/>
          <w:numId w:val="29"/>
        </w:numPr>
        <w:spacing w:after="0" w:line="240" w:lineRule="auto"/>
        <w:rPr>
          <w:rFonts w:asciiTheme="minorHAnsi" w:hAnsiTheme="minorHAnsi" w:cstheme="minorHAnsi"/>
          <w:bCs/>
        </w:rPr>
      </w:pPr>
      <w:r w:rsidRPr="00D03A07">
        <w:rPr>
          <w:rFonts w:asciiTheme="minorHAnsi" w:hAnsiTheme="minorHAnsi" w:cstheme="minorHAnsi"/>
        </w:rPr>
        <w:t xml:space="preserve">Writing to Australian T2DM clinical guideline developers to ensure that guidelines accurately reflect the PBS restrictions. </w:t>
      </w:r>
    </w:p>
    <w:p w14:paraId="766428F6" w14:textId="77777777" w:rsidR="00892D60" w:rsidRDefault="00892D60" w:rsidP="00892D60">
      <w:pPr>
        <w:spacing w:after="0" w:line="240" w:lineRule="auto"/>
        <w:rPr>
          <w:rFonts w:asciiTheme="minorHAnsi" w:hAnsiTheme="minorHAnsi" w:cstheme="minorHAnsi"/>
          <w:bCs/>
        </w:rPr>
      </w:pPr>
    </w:p>
    <w:p w14:paraId="70DEC1A7" w14:textId="57814F39" w:rsidR="00892D60" w:rsidRPr="00FD2450" w:rsidRDefault="00892D60" w:rsidP="00892D60">
      <w:pPr>
        <w:spacing w:after="0" w:line="240" w:lineRule="auto"/>
        <w:rPr>
          <w:rFonts w:asciiTheme="minorHAnsi" w:hAnsiTheme="minorHAnsi" w:cstheme="minorHAnsi"/>
          <w:bCs/>
        </w:rPr>
      </w:pPr>
      <w:r>
        <w:rPr>
          <w:rFonts w:asciiTheme="minorHAnsi" w:hAnsiTheme="minorHAnsi" w:cstheme="minorHAnsi"/>
        </w:rPr>
        <w:t xml:space="preserve">DUSC noted that 71,630 was the </w:t>
      </w:r>
      <w:r w:rsidR="00982970">
        <w:rPr>
          <w:rFonts w:asciiTheme="minorHAnsi" w:hAnsiTheme="minorHAnsi" w:cstheme="minorHAnsi"/>
        </w:rPr>
        <w:t xml:space="preserve">GLP-1 RA </w:t>
      </w:r>
      <w:r>
        <w:rPr>
          <w:rFonts w:asciiTheme="minorHAnsi" w:hAnsiTheme="minorHAnsi" w:cstheme="minorHAnsi"/>
        </w:rPr>
        <w:t xml:space="preserve">initiating cohort between 2017 and mid-2022, while 172,051 was the number of patients supplied a GLP-1 RA in 2021. </w:t>
      </w:r>
      <w:r w:rsidRPr="00FD2450">
        <w:rPr>
          <w:rFonts w:asciiTheme="minorHAnsi" w:hAnsiTheme="minorHAnsi" w:cstheme="minorHAnsi"/>
        </w:rPr>
        <w:t xml:space="preserve">DUSC considered that the results may indicate that </w:t>
      </w:r>
      <w:proofErr w:type="gramStart"/>
      <w:r w:rsidRPr="00FD2450">
        <w:rPr>
          <w:rFonts w:asciiTheme="minorHAnsi" w:hAnsiTheme="minorHAnsi" w:cstheme="minorHAnsi"/>
        </w:rPr>
        <w:t>a large proportion</w:t>
      </w:r>
      <w:proofErr w:type="gramEnd"/>
      <w:r w:rsidRPr="00FD2450">
        <w:rPr>
          <w:rFonts w:asciiTheme="minorHAnsi" w:hAnsiTheme="minorHAnsi" w:cstheme="minorHAnsi"/>
        </w:rPr>
        <w:t xml:space="preserve"> of the patients supplied a GLP-1 RA in 2021 may have commenced or trialled GLP-1 RA therapy with exenatide prior to 2017. DUSC recalled that the February 2017 DUSC ‘Analysis of diabetes medicines’ indicated that by July 2016 there were around 24,000 patients on a regimen including exenatide (twice-daily formulation) and that the exenatide once-daily formulation </w:t>
      </w:r>
      <w:proofErr w:type="gramStart"/>
      <w:r w:rsidRPr="00FD2450">
        <w:rPr>
          <w:rFonts w:asciiTheme="minorHAnsi" w:hAnsiTheme="minorHAnsi" w:cstheme="minorHAnsi"/>
        </w:rPr>
        <w:t>was PBS-listed</w:t>
      </w:r>
      <w:proofErr w:type="gramEnd"/>
      <w:r w:rsidRPr="00FD2450">
        <w:rPr>
          <w:rFonts w:asciiTheme="minorHAnsi" w:hAnsiTheme="minorHAnsi" w:cstheme="minorHAnsi"/>
        </w:rPr>
        <w:t xml:space="preserve"> in September 2016.</w:t>
      </w:r>
    </w:p>
    <w:p w14:paraId="37AD01CB" w14:textId="3642A4E0" w:rsidR="00DA5C02" w:rsidRDefault="00D44731" w:rsidP="00C7336E">
      <w:pPr>
        <w:pStyle w:val="Heading1"/>
      </w:pPr>
      <w:r>
        <w:t>DUSC actions</w:t>
      </w:r>
    </w:p>
    <w:p w14:paraId="3A17D4B4" w14:textId="77777777" w:rsidR="00892D60" w:rsidRPr="00892D60" w:rsidRDefault="00892D60" w:rsidP="00892D60">
      <w:pPr>
        <w:spacing w:after="0" w:line="240" w:lineRule="auto"/>
        <w:rPr>
          <w:rFonts w:asciiTheme="minorHAnsi" w:hAnsiTheme="minorHAnsi" w:cstheme="minorHAnsi"/>
          <w:iCs/>
        </w:rPr>
      </w:pPr>
      <w:r w:rsidRPr="00892D60">
        <w:rPr>
          <w:rFonts w:cs="Calibri"/>
          <w:iCs/>
        </w:rPr>
        <w:t xml:space="preserve">DUSC requested that the report </w:t>
      </w:r>
      <w:proofErr w:type="gramStart"/>
      <w:r w:rsidRPr="00892D60">
        <w:rPr>
          <w:rFonts w:cs="Calibri"/>
          <w:iCs/>
        </w:rPr>
        <w:t>be provided</w:t>
      </w:r>
      <w:proofErr w:type="gramEnd"/>
      <w:r w:rsidRPr="00892D60">
        <w:rPr>
          <w:rFonts w:cs="Calibri"/>
          <w:iCs/>
        </w:rPr>
        <w:t xml:space="preserve"> to the PBAC for consideration. </w:t>
      </w:r>
    </w:p>
    <w:p w14:paraId="45F4F75B" w14:textId="4A76B927" w:rsidR="00D44731" w:rsidRDefault="00D44731" w:rsidP="00D44731">
      <w:pPr>
        <w:pStyle w:val="Heading1"/>
      </w:pPr>
      <w:r>
        <w:t>Context for analysis</w:t>
      </w:r>
    </w:p>
    <w:p w14:paraId="1E6FA7C3" w14:textId="77777777" w:rsidR="00D44731" w:rsidRDefault="00D44731" w:rsidP="00D44731">
      <w:pPr>
        <w:rPr>
          <w:rFonts w:asciiTheme="minorHAnsi" w:hAnsiTheme="minorHAnsi"/>
        </w:rPr>
      </w:pPr>
      <w:r>
        <w:t>The DUSC is a Sub Committee of the Pharmaceutical Benefits Advisory Committee (PBAC). The DUSC assesses estimates on projected usage and financial cost of medicines.</w:t>
      </w:r>
    </w:p>
    <w:p w14:paraId="3C839A50" w14:textId="77777777" w:rsidR="00D44731" w:rsidRDefault="00D44731" w:rsidP="00D44731">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1FC3CAED" w14:textId="60055D23" w:rsidR="00D44731" w:rsidRDefault="00D44731" w:rsidP="00D44731">
      <w:r>
        <w:t>The DUSC operates in accordance with the quality use of medicines objective of the National Medicines Policy and considers that the DUSC utilisation analyses will assist consumers and health professionals to better understand the costs, benefits</w:t>
      </w:r>
      <w:r w:rsidR="00484162">
        <w:t>,</w:t>
      </w:r>
      <w:r>
        <w:t xml:space="preserve"> and risks of medicines.</w:t>
      </w:r>
    </w:p>
    <w:p w14:paraId="354CB419" w14:textId="77777777" w:rsidR="00D44731" w:rsidRDefault="00D44731" w:rsidP="00D44731">
      <w:r>
        <w:t xml:space="preserve">The utilisation analysis report </w:t>
      </w:r>
      <w:proofErr w:type="gramStart"/>
      <w:r>
        <w:t>was provided</w:t>
      </w:r>
      <w:proofErr w:type="gramEnd"/>
      <w:r>
        <w:t xml:space="preserve"> to the pharmaceutical sponsors of each drug and comments on the report were provided to DUSC prior to its consideration of the analysis.</w:t>
      </w:r>
    </w:p>
    <w:p w14:paraId="3A2F9336" w14:textId="059D54D3" w:rsidR="00D44731" w:rsidRPr="00D44731" w:rsidRDefault="00D44731" w:rsidP="00D44731">
      <w:pPr>
        <w:pStyle w:val="Heading1"/>
      </w:pPr>
      <w:r>
        <w:lastRenderedPageBreak/>
        <w:t>Sponsors</w:t>
      </w:r>
      <w:r w:rsidR="00F830E4">
        <w:t>’</w:t>
      </w:r>
      <w:r>
        <w:t xml:space="preserve"> comment</w:t>
      </w:r>
      <w:r w:rsidR="00F830E4">
        <w:t>s</w:t>
      </w:r>
    </w:p>
    <w:p w14:paraId="6FD0EF6F" w14:textId="74C1DD8F" w:rsidR="00BF52E2" w:rsidRDefault="00BF52E2" w:rsidP="00761507">
      <w:pPr>
        <w:pStyle w:val="Heading3"/>
      </w:pPr>
      <w:r>
        <w:t>Boehringer Ingelheim Pty Ltd</w:t>
      </w:r>
    </w:p>
    <w:p w14:paraId="1D413FBB" w14:textId="77777777" w:rsidR="00761507" w:rsidRDefault="00761507" w:rsidP="00761507">
      <w:r>
        <w:t>Boehringer Ingelheim notes the DUSC feedback particularly on the current PBS restrictions for the SGLT2 and DPP-4 inhibitors which are complex and could create confusion for prescribers. Therefore, we support simplification of the PBS restrictions and an educational program for prescribers to address any perceived inappropriate use of Type 2 diabetes medicines. The review into type 2 diabetes medicines should follow the post market review framework.</w:t>
      </w:r>
    </w:p>
    <w:p w14:paraId="34435D82" w14:textId="77777777" w:rsidR="00811C46" w:rsidRPr="00811C46" w:rsidRDefault="00BF52E2" w:rsidP="00811C46">
      <w:pPr>
        <w:pStyle w:val="Heading3"/>
      </w:pPr>
      <w:r w:rsidRPr="00811C46">
        <w:t>Eli Lilly Pty Ltd</w:t>
      </w:r>
    </w:p>
    <w:p w14:paraId="50D09958" w14:textId="449F7474" w:rsidR="00811C46" w:rsidRDefault="00811C46" w:rsidP="00811C46">
      <w:pPr>
        <w:rPr>
          <w:i/>
          <w:iCs/>
        </w:rPr>
      </w:pPr>
      <w:r w:rsidRPr="00811C46">
        <w:t xml:space="preserve">Eli Lilly notes that any growth in the T2DM market needs to be contextualised within a changing management of patients with T2DM with a greater focus on a holistic patient-centred treatment approach. The DUSC report highlights that the majority of diabetes medicines </w:t>
      </w:r>
      <w:proofErr w:type="gramStart"/>
      <w:r w:rsidRPr="00811C46">
        <w:t>are prescribed</w:t>
      </w:r>
      <w:proofErr w:type="gramEnd"/>
      <w:r w:rsidRPr="00811C46">
        <w:t xml:space="preserve"> in accordance with clinical guidelines recommendations, demonstrating the importance of individualised clinical decision making in the management of chronic illnesses. Eli Lilly remains concerned about whether this DUSC analysis provides an accurate or representative assessment of the utilisation of T2DM medicines as Eli Lilly considers that </w:t>
      </w:r>
      <w:proofErr w:type="gramStart"/>
      <w:r w:rsidRPr="00811C46">
        <w:t>some</w:t>
      </w:r>
      <w:proofErr w:type="gramEnd"/>
      <w:r w:rsidRPr="00811C46">
        <w:t xml:space="preserve"> methodological limitations have not been adequately considered.</w:t>
      </w:r>
    </w:p>
    <w:p w14:paraId="6AD73C39" w14:textId="34493FF7" w:rsidR="00761507" w:rsidRDefault="00761507" w:rsidP="00761507">
      <w:pPr>
        <w:pStyle w:val="Heading3"/>
      </w:pPr>
      <w:r>
        <w:t>Sponsors with no comment</w:t>
      </w:r>
    </w:p>
    <w:p w14:paraId="793090BC" w14:textId="4DDBD7B3" w:rsidR="00BF52E2" w:rsidRDefault="00BF52E2" w:rsidP="00BF52E2">
      <w:r>
        <w:t>No comments were received from the following sponsors: Apotex Pty Ltd, Alphapharm Pty Ltd, Arrotex Pharmac</w:t>
      </w:r>
      <w:r w:rsidR="00F823B8">
        <w:t>eu</w:t>
      </w:r>
      <w:r>
        <w:t xml:space="preserve">ticals Pty Ltd, Arrow Pharma Pty Ltd, Amneal Pty Ltd, </w:t>
      </w:r>
      <w:r w:rsidR="00811C46">
        <w:t xml:space="preserve">AstraZeneca Pty Ltd, </w:t>
      </w:r>
      <w:r>
        <w:t xml:space="preserve">Avallon Pty Ltd, Celltrion Healthcare Pty Ltd, Generic Health Pty Ltd, </w:t>
      </w:r>
      <w:r w:rsidR="00761507">
        <w:t xml:space="preserve">Merck Sharp &amp; Dohme Pty Ltd, Novartis Pharmacueticals Pty Ltd, </w:t>
      </w:r>
      <w:r>
        <w:t>Novo Nordisk Pty Ltd, Pfizer Pty Ltd, Pharmacor Pty Ltd, Sanofi-aventis Pty Ltd, Sandoz Pty Ltd, Servier Laboratories Pty Ltd, Strides Pharma Pty Ltd, Sun Pharma Pty Ltd, Takeda Pharmac</w:t>
      </w:r>
      <w:r w:rsidR="007F5B96">
        <w:t>eu</w:t>
      </w:r>
      <w:r>
        <w:t>ticals Pty Ltd.</w:t>
      </w:r>
    </w:p>
    <w:p w14:paraId="7C4113DE" w14:textId="77777777" w:rsidR="00D44731" w:rsidRDefault="00D44731" w:rsidP="00D44731">
      <w:pPr>
        <w:pStyle w:val="Heading1"/>
        <w:rPr>
          <w:rFonts w:asciiTheme="minorHAnsi" w:hAnsiTheme="minorHAnsi"/>
        </w:rPr>
      </w:pPr>
      <w:r>
        <w:t>Disclaimer</w:t>
      </w:r>
    </w:p>
    <w:p w14:paraId="67A41525" w14:textId="77777777" w:rsidR="00D44731" w:rsidRDefault="00D44731" w:rsidP="00D44731">
      <w:r>
        <w:t>The information provided in this report does not constitute medical advice and is not intended to take the place of professional medical advice or care</w:t>
      </w:r>
      <w:proofErr w:type="gramStart"/>
      <w:r>
        <w:t xml:space="preserve">.  </w:t>
      </w:r>
      <w:proofErr w:type="gramEnd"/>
      <w:r>
        <w:t>It is not intended to define what constitutes reasonable, appropriate or best care for any individual for any given health issue</w:t>
      </w:r>
      <w:proofErr w:type="gramStart"/>
      <w:r>
        <w:t xml:space="preserve">.  </w:t>
      </w:r>
      <w:proofErr w:type="gramEnd"/>
      <w:r>
        <w:t xml:space="preserve">The information should not </w:t>
      </w:r>
      <w:proofErr w:type="gramStart"/>
      <w:r>
        <w:t>be used</w:t>
      </w:r>
      <w:proofErr w:type="gramEnd"/>
      <w:r>
        <w:t xml:space="preserve"> as a substitute for the judgement and skill of a medical practitioner.</w:t>
      </w:r>
    </w:p>
    <w:p w14:paraId="1CCC230E" w14:textId="7B7BCFFE" w:rsidR="00D44731" w:rsidRDefault="00D44731" w:rsidP="00D44731">
      <w:r>
        <w:t xml:space="preserve">The Department of Health and Aged Care (DoH) has made all reasonable efforts to ensure that information provided in this report is accurate. The information provided in this report was up-to-date when </w:t>
      </w:r>
      <w:proofErr w:type="gramStart"/>
      <w:r>
        <w:t>it was considered by the Drug Utilisation Sub-committee of the Pharmaceutical Benefits Advisory Committee</w:t>
      </w:r>
      <w:proofErr w:type="gramEnd"/>
      <w:r>
        <w:t>. The context for that information may have changed since publication.</w:t>
      </w:r>
    </w:p>
    <w:p w14:paraId="5E69982A" w14:textId="77777777" w:rsidR="00D44731" w:rsidRDefault="00D44731" w:rsidP="00D44731">
      <w:r>
        <w:lastRenderedPageBreak/>
        <w:t xml:space="preserve">To the extent provided by law, DoH makes no warranties or representations as to accuracy or completeness of information contained in this report. </w:t>
      </w:r>
    </w:p>
    <w:p w14:paraId="14587FB6" w14:textId="042E64F0" w:rsidR="00D44731" w:rsidRDefault="00D44731" w:rsidP="00D44731">
      <w:pPr>
        <w:rPr>
          <w:rFonts w:asciiTheme="minorHAnsi" w:hAnsiTheme="minorHAnsi"/>
        </w:rPr>
      </w:pPr>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19C8096E" w14:textId="395EEAEB" w:rsidR="00A24481" w:rsidRDefault="00A24481" w:rsidP="00C7336E">
      <w:pPr>
        <w:spacing w:line="240" w:lineRule="auto"/>
      </w:pPr>
      <w:r>
        <w:br w:type="page"/>
      </w:r>
    </w:p>
    <w:p w14:paraId="02242B71" w14:textId="410107C1" w:rsidR="00A24481" w:rsidRDefault="00A24481" w:rsidP="00C7336E">
      <w:pPr>
        <w:pStyle w:val="Heading1"/>
      </w:pPr>
      <w:r>
        <w:lastRenderedPageBreak/>
        <w:t>Appendix A</w:t>
      </w:r>
      <w:r w:rsidR="00EB74AE">
        <w:t xml:space="preserve"> </w:t>
      </w:r>
    </w:p>
    <w:p w14:paraId="3972683E" w14:textId="33C10FD8" w:rsidR="008A56EA" w:rsidRPr="006E7CAF" w:rsidRDefault="00A24481" w:rsidP="00C7336E">
      <w:pPr>
        <w:pStyle w:val="Tableheading"/>
      </w:pPr>
      <w:r w:rsidRPr="006E7CAF">
        <w:t>Table A.1</w:t>
      </w:r>
      <w:r w:rsidR="005B2D99">
        <w:t>:</w:t>
      </w:r>
      <w:r w:rsidRPr="006E7CAF">
        <w:t xml:space="preserve"> ATC codes of included</w:t>
      </w:r>
      <w:r w:rsidR="006E7CAF">
        <w:t xml:space="preserve"> T2DM medicines</w:t>
      </w:r>
    </w:p>
    <w:tbl>
      <w:tblPr>
        <w:tblW w:w="0" w:type="auto"/>
        <w:tblLook w:val="04A0" w:firstRow="1" w:lastRow="0" w:firstColumn="1" w:lastColumn="0" w:noHBand="0" w:noVBand="1"/>
      </w:tblPr>
      <w:tblGrid>
        <w:gridCol w:w="3823"/>
        <w:gridCol w:w="1559"/>
      </w:tblGrid>
      <w:tr w:rsidR="00A24481" w:rsidRPr="001F33A6" w14:paraId="29212D60" w14:textId="77777777" w:rsidTr="002D7349">
        <w:trPr>
          <w:trHeight w:val="340"/>
        </w:trPr>
        <w:tc>
          <w:tcPr>
            <w:tcW w:w="382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573BB962" w14:textId="77777777" w:rsidR="00A24481" w:rsidRPr="00092711" w:rsidRDefault="00A24481" w:rsidP="00C7336E">
            <w:pPr>
              <w:spacing w:after="0" w:line="240" w:lineRule="auto"/>
              <w:rPr>
                <w:rFonts w:eastAsia="Times New Roman"/>
                <w:b/>
                <w:bCs/>
                <w:color w:val="000000"/>
                <w:sz w:val="20"/>
                <w:szCs w:val="20"/>
                <w:lang w:eastAsia="en-AU"/>
              </w:rPr>
            </w:pPr>
            <w:r w:rsidRPr="00092711">
              <w:rPr>
                <w:rFonts w:eastAsia="Times New Roman"/>
                <w:b/>
                <w:bCs/>
                <w:color w:val="000000"/>
                <w:sz w:val="20"/>
                <w:szCs w:val="20"/>
                <w:lang w:eastAsia="en-AU"/>
              </w:rPr>
              <w:t xml:space="preserve">Medicine </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2943CD21" w14:textId="77777777" w:rsidR="00A24481" w:rsidRPr="00092711" w:rsidRDefault="00A24481" w:rsidP="00C7336E">
            <w:pPr>
              <w:spacing w:after="0" w:line="240" w:lineRule="auto"/>
              <w:rPr>
                <w:rFonts w:eastAsia="Times New Roman"/>
                <w:b/>
                <w:bCs/>
                <w:color w:val="000000"/>
                <w:sz w:val="20"/>
                <w:szCs w:val="20"/>
                <w:lang w:eastAsia="en-AU"/>
              </w:rPr>
            </w:pPr>
            <w:r w:rsidRPr="00092711">
              <w:rPr>
                <w:rFonts w:eastAsia="Times New Roman"/>
                <w:b/>
                <w:bCs/>
                <w:color w:val="000000"/>
                <w:sz w:val="20"/>
                <w:szCs w:val="20"/>
                <w:lang w:eastAsia="en-AU"/>
              </w:rPr>
              <w:t>ATC Code</w:t>
            </w:r>
          </w:p>
        </w:tc>
      </w:tr>
      <w:tr w:rsidR="002D7349" w:rsidRPr="001F33A6" w14:paraId="712FB5A4" w14:textId="77777777" w:rsidTr="002D7349">
        <w:trPr>
          <w:trHeight w:val="340"/>
        </w:trPr>
        <w:tc>
          <w:tcPr>
            <w:tcW w:w="538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E5E42A6" w14:textId="0672F275" w:rsidR="002D7349" w:rsidRPr="00092711" w:rsidRDefault="002D7349" w:rsidP="00C7336E">
            <w:pPr>
              <w:spacing w:after="0" w:line="240" w:lineRule="auto"/>
              <w:rPr>
                <w:rFonts w:eastAsia="Times New Roman"/>
                <w:b/>
                <w:bCs/>
                <w:color w:val="000000"/>
                <w:sz w:val="20"/>
                <w:szCs w:val="20"/>
                <w:lang w:eastAsia="en-AU"/>
              </w:rPr>
            </w:pPr>
            <w:r w:rsidRPr="00092711">
              <w:rPr>
                <w:rFonts w:eastAsia="Times New Roman"/>
                <w:b/>
                <w:bCs/>
                <w:color w:val="000000"/>
                <w:sz w:val="20"/>
                <w:szCs w:val="20"/>
                <w:lang w:eastAsia="en-AU"/>
              </w:rPr>
              <w:t>Sulfonylureas (SUs)</w:t>
            </w:r>
          </w:p>
        </w:tc>
      </w:tr>
      <w:tr w:rsidR="00A24481" w:rsidRPr="001F33A6" w14:paraId="44072446"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8D6932A" w14:textId="77777777" w:rsidR="00A24481" w:rsidRPr="00092711" w:rsidRDefault="00A24481"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Glibenclamide</w:t>
            </w:r>
          </w:p>
        </w:tc>
        <w:tc>
          <w:tcPr>
            <w:tcW w:w="1559" w:type="dxa"/>
            <w:tcBorders>
              <w:top w:val="nil"/>
              <w:left w:val="nil"/>
              <w:bottom w:val="single" w:sz="4" w:space="0" w:color="auto"/>
              <w:right w:val="single" w:sz="4" w:space="0" w:color="auto"/>
            </w:tcBorders>
            <w:shd w:val="clear" w:color="auto" w:fill="auto"/>
            <w:noWrap/>
            <w:vAlign w:val="bottom"/>
            <w:hideMark/>
          </w:tcPr>
          <w:p w14:paraId="5AD8A38C" w14:textId="77777777" w:rsidR="00A24481" w:rsidRPr="00092711" w:rsidRDefault="00A24481"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A10BB01</w:t>
            </w:r>
          </w:p>
        </w:tc>
      </w:tr>
      <w:tr w:rsidR="00A24481" w:rsidRPr="001F33A6" w14:paraId="6DC4109A"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1077947" w14:textId="77777777" w:rsidR="00A24481" w:rsidRPr="00092711" w:rsidRDefault="00A24481"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 xml:space="preserve">Gliclazide </w:t>
            </w:r>
          </w:p>
        </w:tc>
        <w:tc>
          <w:tcPr>
            <w:tcW w:w="1559" w:type="dxa"/>
            <w:tcBorders>
              <w:top w:val="nil"/>
              <w:left w:val="nil"/>
              <w:bottom w:val="single" w:sz="4" w:space="0" w:color="auto"/>
              <w:right w:val="single" w:sz="4" w:space="0" w:color="auto"/>
            </w:tcBorders>
            <w:shd w:val="clear" w:color="auto" w:fill="auto"/>
            <w:noWrap/>
            <w:vAlign w:val="bottom"/>
            <w:hideMark/>
          </w:tcPr>
          <w:p w14:paraId="76C48F8D" w14:textId="77777777" w:rsidR="00A24481" w:rsidRPr="00092711" w:rsidRDefault="00A24481"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A10BB09</w:t>
            </w:r>
          </w:p>
        </w:tc>
      </w:tr>
      <w:tr w:rsidR="00A24481" w:rsidRPr="001F33A6" w14:paraId="749CAF41"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5BDD1DE" w14:textId="77777777" w:rsidR="00A24481" w:rsidRPr="00092711" w:rsidRDefault="00A24481"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Glimepiride</w:t>
            </w:r>
          </w:p>
        </w:tc>
        <w:tc>
          <w:tcPr>
            <w:tcW w:w="1559" w:type="dxa"/>
            <w:tcBorders>
              <w:top w:val="nil"/>
              <w:left w:val="nil"/>
              <w:bottom w:val="single" w:sz="4" w:space="0" w:color="auto"/>
              <w:right w:val="single" w:sz="4" w:space="0" w:color="auto"/>
            </w:tcBorders>
            <w:shd w:val="clear" w:color="auto" w:fill="auto"/>
            <w:noWrap/>
            <w:vAlign w:val="bottom"/>
            <w:hideMark/>
          </w:tcPr>
          <w:p w14:paraId="2E28F71C" w14:textId="77777777" w:rsidR="00A24481" w:rsidRPr="00092711" w:rsidRDefault="00A24481"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A10BB12</w:t>
            </w:r>
          </w:p>
        </w:tc>
      </w:tr>
      <w:tr w:rsidR="00A24481" w:rsidRPr="001F33A6" w14:paraId="2EB40641"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9FC58C2" w14:textId="77777777" w:rsidR="00A24481" w:rsidRPr="00092711" w:rsidRDefault="00A24481"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Glipizide</w:t>
            </w:r>
          </w:p>
        </w:tc>
        <w:tc>
          <w:tcPr>
            <w:tcW w:w="1559" w:type="dxa"/>
            <w:tcBorders>
              <w:top w:val="nil"/>
              <w:left w:val="nil"/>
              <w:bottom w:val="single" w:sz="4" w:space="0" w:color="auto"/>
              <w:right w:val="single" w:sz="4" w:space="0" w:color="auto"/>
            </w:tcBorders>
            <w:shd w:val="clear" w:color="auto" w:fill="auto"/>
            <w:noWrap/>
            <w:vAlign w:val="bottom"/>
            <w:hideMark/>
          </w:tcPr>
          <w:p w14:paraId="20E5E5F7" w14:textId="77777777" w:rsidR="00A24481" w:rsidRPr="00092711" w:rsidRDefault="00A24481"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A10BB07</w:t>
            </w:r>
          </w:p>
        </w:tc>
      </w:tr>
      <w:tr w:rsidR="002D7349" w:rsidRPr="001F33A6" w14:paraId="4965D87B" w14:textId="77777777" w:rsidTr="00424723">
        <w:trPr>
          <w:trHeight w:val="340"/>
        </w:trPr>
        <w:tc>
          <w:tcPr>
            <w:tcW w:w="5382"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46551726" w14:textId="3A5E0FFD" w:rsidR="002D7349" w:rsidRPr="00092711" w:rsidRDefault="002D7349" w:rsidP="00C7336E">
            <w:pPr>
              <w:spacing w:after="0" w:line="240" w:lineRule="auto"/>
              <w:rPr>
                <w:rFonts w:eastAsia="Times New Roman"/>
                <w:iCs/>
                <w:color w:val="000000"/>
                <w:sz w:val="20"/>
                <w:szCs w:val="20"/>
                <w:lang w:eastAsia="en-AU"/>
              </w:rPr>
            </w:pPr>
            <w:r w:rsidRPr="00092711">
              <w:rPr>
                <w:rFonts w:asciiTheme="minorHAnsi" w:hAnsiTheme="minorHAnsi" w:cstheme="minorHAnsi"/>
                <w:b/>
                <w:iCs/>
                <w:sz w:val="20"/>
                <w:szCs w:val="20"/>
              </w:rPr>
              <w:t>Biguanides</w:t>
            </w:r>
          </w:p>
        </w:tc>
      </w:tr>
      <w:tr w:rsidR="002D7349" w:rsidRPr="001F33A6" w14:paraId="4A43E794"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5995ABF6" w14:textId="680401A3" w:rsidR="002D7349" w:rsidRPr="00092711" w:rsidRDefault="002D7349" w:rsidP="00C7336E">
            <w:pPr>
              <w:spacing w:after="0" w:line="240" w:lineRule="auto"/>
              <w:rPr>
                <w:rFonts w:eastAsia="Times New Roman"/>
                <w:b/>
                <w:bCs/>
                <w:color w:val="000000"/>
                <w:sz w:val="20"/>
                <w:szCs w:val="20"/>
                <w:lang w:eastAsia="en-AU"/>
              </w:rPr>
            </w:pPr>
            <w:r w:rsidRPr="00092711">
              <w:rPr>
                <w:rFonts w:eastAsia="Times New Roman"/>
                <w:color w:val="000000"/>
                <w:sz w:val="20"/>
                <w:szCs w:val="20"/>
                <w:lang w:eastAsia="en-AU"/>
              </w:rPr>
              <w:t>Metformin</w:t>
            </w:r>
          </w:p>
        </w:tc>
        <w:tc>
          <w:tcPr>
            <w:tcW w:w="1559" w:type="dxa"/>
            <w:tcBorders>
              <w:top w:val="nil"/>
              <w:left w:val="nil"/>
              <w:bottom w:val="single" w:sz="4" w:space="0" w:color="auto"/>
              <w:right w:val="single" w:sz="4" w:space="0" w:color="auto"/>
            </w:tcBorders>
            <w:shd w:val="clear" w:color="auto" w:fill="auto"/>
            <w:noWrap/>
            <w:vAlign w:val="bottom"/>
          </w:tcPr>
          <w:p w14:paraId="5DF2E4E4" w14:textId="7CBFC971"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A10BA02</w:t>
            </w:r>
          </w:p>
        </w:tc>
      </w:tr>
      <w:tr w:rsidR="002D7349" w:rsidRPr="001F33A6" w14:paraId="40280B9E" w14:textId="77777777" w:rsidTr="002D7349">
        <w:trPr>
          <w:trHeight w:val="340"/>
        </w:trPr>
        <w:tc>
          <w:tcPr>
            <w:tcW w:w="5382"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6D8FC93D" w14:textId="501E750F" w:rsidR="002D7349" w:rsidRPr="00092711" w:rsidRDefault="002D7349" w:rsidP="00C7336E">
            <w:pPr>
              <w:spacing w:after="0" w:line="240" w:lineRule="auto"/>
              <w:rPr>
                <w:rFonts w:eastAsia="Times New Roman"/>
                <w:b/>
                <w:bCs/>
                <w:color w:val="000000"/>
                <w:sz w:val="20"/>
                <w:szCs w:val="20"/>
                <w:lang w:eastAsia="en-AU"/>
              </w:rPr>
            </w:pPr>
            <w:r w:rsidRPr="00092711">
              <w:rPr>
                <w:rFonts w:eastAsia="Times New Roman"/>
                <w:b/>
                <w:bCs/>
                <w:color w:val="000000"/>
                <w:sz w:val="20"/>
                <w:szCs w:val="20"/>
                <w:lang w:eastAsia="en-AU"/>
              </w:rPr>
              <w:t>Metformin + SU FDC</w:t>
            </w:r>
          </w:p>
        </w:tc>
      </w:tr>
      <w:tr w:rsidR="002D7349" w:rsidRPr="001F33A6" w14:paraId="5A4EF1DD"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0ADDA5EA" w14:textId="18FB32D4"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Metformin with glibenclamide</w:t>
            </w:r>
          </w:p>
        </w:tc>
        <w:tc>
          <w:tcPr>
            <w:tcW w:w="1559" w:type="dxa"/>
            <w:tcBorders>
              <w:top w:val="nil"/>
              <w:left w:val="nil"/>
              <w:bottom w:val="single" w:sz="4" w:space="0" w:color="auto"/>
              <w:right w:val="single" w:sz="4" w:space="0" w:color="auto"/>
            </w:tcBorders>
            <w:shd w:val="clear" w:color="auto" w:fill="auto"/>
            <w:noWrap/>
            <w:vAlign w:val="bottom"/>
          </w:tcPr>
          <w:p w14:paraId="7432C225" w14:textId="21BFBA85" w:rsidR="002D7349"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w:t>
            </w:r>
            <w:r w:rsidR="00B44FDC" w:rsidRPr="00092711">
              <w:rPr>
                <w:rFonts w:eastAsia="Times New Roman"/>
                <w:color w:val="000000"/>
                <w:sz w:val="20"/>
                <w:szCs w:val="20"/>
                <w:lang w:eastAsia="en-AU"/>
              </w:rPr>
              <w:t>BD02</w:t>
            </w:r>
          </w:p>
        </w:tc>
      </w:tr>
      <w:tr w:rsidR="002D7349" w:rsidRPr="001F33A6" w14:paraId="4176DE27" w14:textId="77777777" w:rsidTr="00424723">
        <w:trPr>
          <w:trHeight w:val="340"/>
        </w:trPr>
        <w:tc>
          <w:tcPr>
            <w:tcW w:w="5382"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33222F21" w14:textId="7333EE41" w:rsidR="002D7349" w:rsidRPr="00092711" w:rsidRDefault="002D7349" w:rsidP="00C7336E">
            <w:pPr>
              <w:spacing w:after="0" w:line="240" w:lineRule="auto"/>
              <w:rPr>
                <w:rFonts w:eastAsia="Times New Roman"/>
                <w:color w:val="000000"/>
                <w:sz w:val="20"/>
                <w:szCs w:val="20"/>
                <w:lang w:eastAsia="en-AU"/>
              </w:rPr>
            </w:pPr>
            <w:r w:rsidRPr="00092711">
              <w:rPr>
                <w:rFonts w:cstheme="minorHAnsi"/>
                <w:b/>
                <w:iCs/>
                <w:sz w:val="20"/>
                <w:szCs w:val="20"/>
              </w:rPr>
              <w:t>Alpha glucosidase inhibitors</w:t>
            </w:r>
          </w:p>
        </w:tc>
      </w:tr>
      <w:tr w:rsidR="002D7349" w:rsidRPr="001F33A6" w14:paraId="650DE6F6"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5B45FF2A" w14:textId="1EC5DFBF" w:rsidR="002D7349" w:rsidRPr="00092711" w:rsidRDefault="002D7349" w:rsidP="00C7336E">
            <w:pPr>
              <w:spacing w:after="0" w:line="240" w:lineRule="auto"/>
              <w:rPr>
                <w:rFonts w:eastAsia="Times New Roman"/>
                <w:b/>
                <w:bCs/>
                <w:color w:val="000000"/>
                <w:sz w:val="20"/>
                <w:szCs w:val="20"/>
                <w:lang w:eastAsia="en-AU"/>
              </w:rPr>
            </w:pPr>
            <w:r w:rsidRPr="00092711">
              <w:rPr>
                <w:rFonts w:eastAsia="Times New Roman"/>
                <w:color w:val="000000"/>
                <w:sz w:val="20"/>
                <w:szCs w:val="20"/>
                <w:lang w:eastAsia="en-AU"/>
              </w:rPr>
              <w:t>Acarbose</w:t>
            </w:r>
          </w:p>
        </w:tc>
        <w:tc>
          <w:tcPr>
            <w:tcW w:w="1559" w:type="dxa"/>
            <w:tcBorders>
              <w:top w:val="nil"/>
              <w:left w:val="nil"/>
              <w:bottom w:val="single" w:sz="4" w:space="0" w:color="auto"/>
              <w:right w:val="single" w:sz="4" w:space="0" w:color="auto"/>
            </w:tcBorders>
            <w:shd w:val="clear" w:color="auto" w:fill="auto"/>
            <w:noWrap/>
            <w:vAlign w:val="bottom"/>
          </w:tcPr>
          <w:p w14:paraId="275AE4F2" w14:textId="2825538B"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A10BF01</w:t>
            </w:r>
          </w:p>
        </w:tc>
      </w:tr>
      <w:tr w:rsidR="002D7349" w:rsidRPr="001F33A6" w14:paraId="5460CA85" w14:textId="77777777" w:rsidTr="00424723">
        <w:trPr>
          <w:trHeight w:val="340"/>
        </w:trPr>
        <w:tc>
          <w:tcPr>
            <w:tcW w:w="5382"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2C01993F" w14:textId="37A50F8B"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b/>
                <w:bCs/>
                <w:color w:val="000000"/>
                <w:sz w:val="20"/>
                <w:szCs w:val="20"/>
                <w:lang w:eastAsia="en-AU"/>
              </w:rPr>
              <w:t>Insulins</w:t>
            </w:r>
          </w:p>
        </w:tc>
      </w:tr>
      <w:tr w:rsidR="002D7349" w:rsidRPr="001F33A6" w14:paraId="60B7B5AD"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23CC40DA" w14:textId="3CCBB9E6" w:rsidR="002D7349" w:rsidRPr="00092711" w:rsidRDefault="002D7349" w:rsidP="00C7336E">
            <w:pPr>
              <w:spacing w:after="0" w:line="240" w:lineRule="auto"/>
              <w:rPr>
                <w:rFonts w:eastAsia="Times New Roman"/>
                <w:b/>
                <w:bCs/>
                <w:color w:val="000000"/>
                <w:sz w:val="20"/>
                <w:szCs w:val="20"/>
                <w:lang w:eastAsia="en-AU"/>
              </w:rPr>
            </w:pPr>
            <w:r w:rsidRPr="00092711">
              <w:rPr>
                <w:rFonts w:eastAsia="Times New Roman"/>
                <w:color w:val="000000"/>
                <w:sz w:val="20"/>
                <w:szCs w:val="20"/>
                <w:lang w:eastAsia="en-AU"/>
              </w:rPr>
              <w:t>Insulin aspart</w:t>
            </w:r>
          </w:p>
        </w:tc>
        <w:tc>
          <w:tcPr>
            <w:tcW w:w="1559" w:type="dxa"/>
            <w:tcBorders>
              <w:top w:val="nil"/>
              <w:left w:val="nil"/>
              <w:bottom w:val="single" w:sz="4" w:space="0" w:color="auto"/>
              <w:right w:val="single" w:sz="4" w:space="0" w:color="auto"/>
            </w:tcBorders>
            <w:shd w:val="clear" w:color="auto" w:fill="auto"/>
            <w:noWrap/>
            <w:vAlign w:val="bottom"/>
          </w:tcPr>
          <w:p w14:paraId="6DE0B61F" w14:textId="6EA77DED"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A10ABO5</w:t>
            </w:r>
          </w:p>
        </w:tc>
      </w:tr>
      <w:tr w:rsidR="002D7349" w:rsidRPr="001F33A6" w14:paraId="5C6E3B09"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57F62C11" w14:textId="2A96D0FB" w:rsidR="002D7349" w:rsidRPr="00092711" w:rsidRDefault="002D7349" w:rsidP="00C7336E">
            <w:pPr>
              <w:spacing w:after="0" w:line="240" w:lineRule="auto"/>
              <w:rPr>
                <w:rFonts w:eastAsia="Times New Roman"/>
                <w:b/>
                <w:bCs/>
                <w:color w:val="000000"/>
                <w:sz w:val="20"/>
                <w:szCs w:val="20"/>
                <w:lang w:eastAsia="en-AU"/>
              </w:rPr>
            </w:pPr>
            <w:r w:rsidRPr="00092711">
              <w:rPr>
                <w:rFonts w:eastAsia="Times New Roman"/>
                <w:color w:val="000000"/>
                <w:sz w:val="20"/>
                <w:szCs w:val="20"/>
                <w:lang w:eastAsia="en-AU"/>
              </w:rPr>
              <w:t xml:space="preserve">Insulin lispro </w:t>
            </w:r>
          </w:p>
        </w:tc>
        <w:tc>
          <w:tcPr>
            <w:tcW w:w="1559" w:type="dxa"/>
            <w:tcBorders>
              <w:top w:val="nil"/>
              <w:left w:val="nil"/>
              <w:bottom w:val="single" w:sz="4" w:space="0" w:color="auto"/>
              <w:right w:val="single" w:sz="4" w:space="0" w:color="auto"/>
            </w:tcBorders>
            <w:shd w:val="clear" w:color="auto" w:fill="auto"/>
            <w:noWrap/>
            <w:vAlign w:val="bottom"/>
          </w:tcPr>
          <w:p w14:paraId="1A0567DD" w14:textId="76DBE59A"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A10AB04</w:t>
            </w:r>
          </w:p>
        </w:tc>
      </w:tr>
      <w:tr w:rsidR="002D7349" w:rsidRPr="001F33A6" w14:paraId="5752CDF2"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B60B711" w14:textId="6D043C87"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Insulin glulisine</w:t>
            </w:r>
          </w:p>
        </w:tc>
        <w:tc>
          <w:tcPr>
            <w:tcW w:w="1559" w:type="dxa"/>
            <w:tcBorders>
              <w:top w:val="nil"/>
              <w:left w:val="nil"/>
              <w:bottom w:val="single" w:sz="4" w:space="0" w:color="auto"/>
              <w:right w:val="single" w:sz="4" w:space="0" w:color="auto"/>
            </w:tcBorders>
            <w:shd w:val="clear" w:color="auto" w:fill="auto"/>
            <w:noWrap/>
            <w:vAlign w:val="bottom"/>
            <w:hideMark/>
          </w:tcPr>
          <w:p w14:paraId="585BDDA4" w14:textId="56930359"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A10ABO6</w:t>
            </w:r>
          </w:p>
        </w:tc>
      </w:tr>
      <w:tr w:rsidR="002D7349" w:rsidRPr="001F33A6" w14:paraId="1319C35D"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EB38FF0" w14:textId="34EC855F"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Neutral insulin</w:t>
            </w:r>
          </w:p>
        </w:tc>
        <w:tc>
          <w:tcPr>
            <w:tcW w:w="1559" w:type="dxa"/>
            <w:tcBorders>
              <w:top w:val="nil"/>
              <w:left w:val="nil"/>
              <w:bottom w:val="single" w:sz="4" w:space="0" w:color="auto"/>
              <w:right w:val="single" w:sz="4" w:space="0" w:color="auto"/>
            </w:tcBorders>
            <w:shd w:val="clear" w:color="auto" w:fill="auto"/>
            <w:noWrap/>
            <w:vAlign w:val="bottom"/>
            <w:hideMark/>
          </w:tcPr>
          <w:p w14:paraId="69A5A78D" w14:textId="18551DE6"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A10AD01</w:t>
            </w:r>
          </w:p>
        </w:tc>
      </w:tr>
      <w:tr w:rsidR="002D7349" w:rsidRPr="001F33A6" w14:paraId="04114473"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1687FBC1" w14:textId="5D9F75F2"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Isophane insulin</w:t>
            </w:r>
          </w:p>
        </w:tc>
        <w:tc>
          <w:tcPr>
            <w:tcW w:w="1559" w:type="dxa"/>
            <w:tcBorders>
              <w:top w:val="nil"/>
              <w:left w:val="nil"/>
              <w:bottom w:val="single" w:sz="4" w:space="0" w:color="auto"/>
              <w:right w:val="single" w:sz="4" w:space="0" w:color="auto"/>
            </w:tcBorders>
            <w:shd w:val="clear" w:color="auto" w:fill="auto"/>
            <w:noWrap/>
            <w:vAlign w:val="bottom"/>
          </w:tcPr>
          <w:p w14:paraId="79D1E37E" w14:textId="10482326"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A10AC</w:t>
            </w:r>
          </w:p>
        </w:tc>
      </w:tr>
      <w:tr w:rsidR="002D7349" w:rsidRPr="001F33A6" w14:paraId="09B126C6"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66743EFC" w14:textId="5116336B"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Insulin glargine</w:t>
            </w:r>
          </w:p>
        </w:tc>
        <w:tc>
          <w:tcPr>
            <w:tcW w:w="1559" w:type="dxa"/>
            <w:tcBorders>
              <w:top w:val="nil"/>
              <w:left w:val="nil"/>
              <w:bottom w:val="single" w:sz="4" w:space="0" w:color="auto"/>
              <w:right w:val="single" w:sz="4" w:space="0" w:color="auto"/>
            </w:tcBorders>
            <w:shd w:val="clear" w:color="auto" w:fill="auto"/>
            <w:noWrap/>
            <w:vAlign w:val="bottom"/>
          </w:tcPr>
          <w:p w14:paraId="14A143C2" w14:textId="4D3C92E1"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A10AE04</w:t>
            </w:r>
          </w:p>
        </w:tc>
      </w:tr>
      <w:tr w:rsidR="002D7349" w:rsidRPr="001F33A6" w14:paraId="5BDC279A"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6CADDAD0" w14:textId="58334934"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Neutral insulin with isophane</w:t>
            </w:r>
          </w:p>
        </w:tc>
        <w:tc>
          <w:tcPr>
            <w:tcW w:w="1559" w:type="dxa"/>
            <w:tcBorders>
              <w:top w:val="nil"/>
              <w:left w:val="nil"/>
              <w:bottom w:val="single" w:sz="4" w:space="0" w:color="auto"/>
              <w:right w:val="single" w:sz="4" w:space="0" w:color="auto"/>
            </w:tcBorders>
            <w:shd w:val="clear" w:color="auto" w:fill="auto"/>
            <w:noWrap/>
            <w:vAlign w:val="bottom"/>
          </w:tcPr>
          <w:p w14:paraId="64B055E5" w14:textId="2E3CF654"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A10AD</w:t>
            </w:r>
          </w:p>
        </w:tc>
      </w:tr>
      <w:tr w:rsidR="002D7349" w:rsidRPr="001F33A6" w14:paraId="495925FB"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132B0261" w14:textId="488D637A"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Insulin aspart with aspart protamine</w:t>
            </w:r>
          </w:p>
        </w:tc>
        <w:tc>
          <w:tcPr>
            <w:tcW w:w="1559" w:type="dxa"/>
            <w:tcBorders>
              <w:top w:val="nil"/>
              <w:left w:val="nil"/>
              <w:bottom w:val="single" w:sz="4" w:space="0" w:color="auto"/>
              <w:right w:val="single" w:sz="4" w:space="0" w:color="auto"/>
            </w:tcBorders>
            <w:shd w:val="clear" w:color="auto" w:fill="auto"/>
            <w:noWrap/>
            <w:vAlign w:val="bottom"/>
          </w:tcPr>
          <w:p w14:paraId="7406F104" w14:textId="10CFC920"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A10AD</w:t>
            </w:r>
          </w:p>
        </w:tc>
      </w:tr>
      <w:tr w:rsidR="002D7349" w:rsidRPr="001F33A6" w14:paraId="68287931"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E6872EB" w14:textId="4D622AB8"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 xml:space="preserve">Insulin lispro with lispro protamine </w:t>
            </w:r>
          </w:p>
        </w:tc>
        <w:tc>
          <w:tcPr>
            <w:tcW w:w="1559" w:type="dxa"/>
            <w:tcBorders>
              <w:top w:val="nil"/>
              <w:left w:val="nil"/>
              <w:bottom w:val="single" w:sz="4" w:space="0" w:color="auto"/>
              <w:right w:val="single" w:sz="4" w:space="0" w:color="auto"/>
            </w:tcBorders>
            <w:shd w:val="clear" w:color="auto" w:fill="auto"/>
            <w:noWrap/>
            <w:vAlign w:val="bottom"/>
            <w:hideMark/>
          </w:tcPr>
          <w:p w14:paraId="680D7AAF" w14:textId="1C289B9A"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A10AD</w:t>
            </w:r>
          </w:p>
        </w:tc>
      </w:tr>
      <w:tr w:rsidR="002D7349" w:rsidRPr="001F33A6" w14:paraId="6122B335"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531FB6F8" w14:textId="2F294B96" w:rsidR="002D7349"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I</w:t>
            </w:r>
            <w:r w:rsidR="002D7349" w:rsidRPr="00092711">
              <w:rPr>
                <w:rFonts w:eastAsia="Times New Roman"/>
                <w:color w:val="000000"/>
                <w:sz w:val="20"/>
                <w:szCs w:val="20"/>
                <w:lang w:eastAsia="en-AU"/>
              </w:rPr>
              <w:t>nsulin aspart with degludec</w:t>
            </w:r>
          </w:p>
        </w:tc>
        <w:tc>
          <w:tcPr>
            <w:tcW w:w="1559" w:type="dxa"/>
            <w:tcBorders>
              <w:top w:val="nil"/>
              <w:left w:val="nil"/>
              <w:bottom w:val="single" w:sz="4" w:space="0" w:color="auto"/>
              <w:right w:val="single" w:sz="4" w:space="0" w:color="auto"/>
            </w:tcBorders>
            <w:shd w:val="clear" w:color="auto" w:fill="auto"/>
            <w:noWrap/>
            <w:vAlign w:val="bottom"/>
          </w:tcPr>
          <w:p w14:paraId="02BB290E" w14:textId="0286B872" w:rsidR="002D7349" w:rsidRPr="00092711" w:rsidRDefault="002D7349"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A10AD06</w:t>
            </w:r>
          </w:p>
        </w:tc>
      </w:tr>
      <w:tr w:rsidR="006E7CAF" w:rsidRPr="001F33A6" w14:paraId="21550BBC" w14:textId="77777777" w:rsidTr="006E7CAF">
        <w:trPr>
          <w:trHeight w:val="340"/>
        </w:trPr>
        <w:tc>
          <w:tcPr>
            <w:tcW w:w="5382"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27A934A3" w14:textId="2B035E64"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b/>
                <w:bCs/>
                <w:color w:val="000000"/>
                <w:sz w:val="20"/>
                <w:szCs w:val="20"/>
                <w:lang w:eastAsia="en-AU"/>
              </w:rPr>
              <w:t>DPP4 inhibitors</w:t>
            </w:r>
          </w:p>
        </w:tc>
      </w:tr>
      <w:tr w:rsidR="006E7CAF" w:rsidRPr="001F33A6" w14:paraId="6342BC46" w14:textId="77777777" w:rsidTr="006E7CAF">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73BE4309" w14:textId="19F351AE"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Sitagliptin</w:t>
            </w:r>
          </w:p>
        </w:tc>
        <w:tc>
          <w:tcPr>
            <w:tcW w:w="1559" w:type="dxa"/>
            <w:tcBorders>
              <w:top w:val="nil"/>
              <w:left w:val="nil"/>
              <w:bottom w:val="single" w:sz="4" w:space="0" w:color="auto"/>
              <w:right w:val="single" w:sz="4" w:space="0" w:color="auto"/>
            </w:tcBorders>
            <w:shd w:val="clear" w:color="auto" w:fill="auto"/>
            <w:noWrap/>
            <w:vAlign w:val="bottom"/>
          </w:tcPr>
          <w:p w14:paraId="651EA23C" w14:textId="26915063"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A10BH01</w:t>
            </w:r>
          </w:p>
        </w:tc>
      </w:tr>
      <w:tr w:rsidR="006E7CAF" w:rsidRPr="001F33A6" w14:paraId="42EF8894"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23DB987"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Saxagliptin</w:t>
            </w:r>
          </w:p>
        </w:tc>
        <w:tc>
          <w:tcPr>
            <w:tcW w:w="1559" w:type="dxa"/>
            <w:tcBorders>
              <w:top w:val="nil"/>
              <w:left w:val="nil"/>
              <w:bottom w:val="single" w:sz="4" w:space="0" w:color="auto"/>
              <w:right w:val="single" w:sz="4" w:space="0" w:color="auto"/>
            </w:tcBorders>
            <w:shd w:val="clear" w:color="auto" w:fill="auto"/>
            <w:noWrap/>
            <w:vAlign w:val="bottom"/>
            <w:hideMark/>
          </w:tcPr>
          <w:p w14:paraId="65031954"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A10BH03</w:t>
            </w:r>
          </w:p>
        </w:tc>
      </w:tr>
      <w:tr w:rsidR="006E7CAF" w:rsidRPr="001F33A6" w14:paraId="11DA4286" w14:textId="77777777" w:rsidTr="006E7CAF">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4300B11"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Linagliptin</w:t>
            </w:r>
          </w:p>
        </w:tc>
        <w:tc>
          <w:tcPr>
            <w:tcW w:w="1559" w:type="dxa"/>
            <w:tcBorders>
              <w:top w:val="nil"/>
              <w:left w:val="nil"/>
              <w:bottom w:val="single" w:sz="4" w:space="0" w:color="auto"/>
              <w:right w:val="single" w:sz="4" w:space="0" w:color="auto"/>
            </w:tcBorders>
            <w:shd w:val="clear" w:color="auto" w:fill="auto"/>
            <w:noWrap/>
            <w:vAlign w:val="bottom"/>
            <w:hideMark/>
          </w:tcPr>
          <w:p w14:paraId="222573DA"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A10BH05</w:t>
            </w:r>
          </w:p>
        </w:tc>
      </w:tr>
      <w:tr w:rsidR="006E7CAF" w:rsidRPr="001F33A6" w14:paraId="207E868F" w14:textId="77777777" w:rsidTr="006E7CAF">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6E68F1EC"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Alogliptin</w:t>
            </w:r>
          </w:p>
        </w:tc>
        <w:tc>
          <w:tcPr>
            <w:tcW w:w="1559" w:type="dxa"/>
            <w:tcBorders>
              <w:top w:val="nil"/>
              <w:left w:val="nil"/>
              <w:bottom w:val="single" w:sz="4" w:space="0" w:color="auto"/>
              <w:right w:val="single" w:sz="4" w:space="0" w:color="auto"/>
            </w:tcBorders>
            <w:shd w:val="clear" w:color="auto" w:fill="auto"/>
            <w:noWrap/>
            <w:vAlign w:val="bottom"/>
          </w:tcPr>
          <w:p w14:paraId="4B15DAFA"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A10BH04</w:t>
            </w:r>
          </w:p>
        </w:tc>
      </w:tr>
      <w:tr w:rsidR="006E7CAF" w:rsidRPr="001F33A6" w14:paraId="3DB5B5D1"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0321785"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Vildagliptin</w:t>
            </w:r>
          </w:p>
        </w:tc>
        <w:tc>
          <w:tcPr>
            <w:tcW w:w="1559" w:type="dxa"/>
            <w:tcBorders>
              <w:top w:val="nil"/>
              <w:left w:val="nil"/>
              <w:bottom w:val="single" w:sz="4" w:space="0" w:color="auto"/>
              <w:right w:val="single" w:sz="4" w:space="0" w:color="auto"/>
            </w:tcBorders>
            <w:shd w:val="clear" w:color="auto" w:fill="auto"/>
            <w:noWrap/>
            <w:vAlign w:val="bottom"/>
            <w:hideMark/>
          </w:tcPr>
          <w:p w14:paraId="3CBD1AB0"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A10BH02</w:t>
            </w:r>
          </w:p>
        </w:tc>
      </w:tr>
      <w:tr w:rsidR="006E7CAF" w:rsidRPr="001F33A6" w14:paraId="42A9A123" w14:textId="77777777" w:rsidTr="006E7CAF">
        <w:trPr>
          <w:trHeight w:val="340"/>
        </w:trPr>
        <w:tc>
          <w:tcPr>
            <w:tcW w:w="3823" w:type="dxa"/>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114E1171" w14:textId="74041F74" w:rsidR="006E7CAF" w:rsidRPr="00092711" w:rsidRDefault="006E7CAF" w:rsidP="00C7336E">
            <w:pPr>
              <w:spacing w:after="0" w:line="240" w:lineRule="auto"/>
              <w:rPr>
                <w:rFonts w:eastAsia="Times New Roman"/>
                <w:b/>
                <w:bCs/>
                <w:color w:val="000000"/>
                <w:sz w:val="20"/>
                <w:szCs w:val="20"/>
                <w:lang w:eastAsia="en-AU"/>
              </w:rPr>
            </w:pPr>
            <w:r w:rsidRPr="00092711">
              <w:rPr>
                <w:rFonts w:eastAsia="Times New Roman"/>
                <w:b/>
                <w:bCs/>
                <w:color w:val="000000"/>
                <w:sz w:val="20"/>
                <w:szCs w:val="20"/>
                <w:lang w:eastAsia="en-AU"/>
              </w:rPr>
              <w:t>DPP4 inhibitor + metformin FDCs</w:t>
            </w:r>
          </w:p>
        </w:tc>
        <w:tc>
          <w:tcPr>
            <w:tcW w:w="1559" w:type="dxa"/>
            <w:tcBorders>
              <w:top w:val="nil"/>
              <w:left w:val="nil"/>
              <w:bottom w:val="single" w:sz="4" w:space="0" w:color="auto"/>
              <w:right w:val="single" w:sz="4" w:space="0" w:color="auto"/>
            </w:tcBorders>
            <w:shd w:val="clear" w:color="auto" w:fill="D0CECE" w:themeFill="background2" w:themeFillShade="E6"/>
            <w:noWrap/>
            <w:vAlign w:val="bottom"/>
          </w:tcPr>
          <w:p w14:paraId="7AFFCEB3" w14:textId="77777777" w:rsidR="006E7CAF" w:rsidRPr="00092711" w:rsidRDefault="006E7CAF" w:rsidP="00C7336E">
            <w:pPr>
              <w:spacing w:after="0" w:line="240" w:lineRule="auto"/>
              <w:rPr>
                <w:rFonts w:eastAsia="Times New Roman"/>
                <w:color w:val="000000"/>
                <w:sz w:val="20"/>
                <w:szCs w:val="20"/>
                <w:lang w:eastAsia="en-AU"/>
              </w:rPr>
            </w:pPr>
          </w:p>
        </w:tc>
      </w:tr>
      <w:tr w:rsidR="006E7CAF" w:rsidRPr="001F33A6" w14:paraId="41FDD0E7"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03C3009D" w14:textId="5312D25C"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Linagliptin with metformin</w:t>
            </w:r>
          </w:p>
        </w:tc>
        <w:tc>
          <w:tcPr>
            <w:tcW w:w="1559" w:type="dxa"/>
            <w:tcBorders>
              <w:top w:val="nil"/>
              <w:left w:val="nil"/>
              <w:bottom w:val="single" w:sz="4" w:space="0" w:color="auto"/>
              <w:right w:val="single" w:sz="4" w:space="0" w:color="auto"/>
            </w:tcBorders>
            <w:shd w:val="clear" w:color="auto" w:fill="auto"/>
            <w:noWrap/>
            <w:vAlign w:val="bottom"/>
          </w:tcPr>
          <w:p w14:paraId="6AFB33C4" w14:textId="141CEA6B"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A10BD11</w:t>
            </w:r>
          </w:p>
        </w:tc>
      </w:tr>
      <w:tr w:rsidR="006E7CAF" w:rsidRPr="001F33A6" w14:paraId="7B44F055"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2F67B472" w14:textId="3642AEE6"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Saxagliptin with metformin</w:t>
            </w:r>
          </w:p>
        </w:tc>
        <w:tc>
          <w:tcPr>
            <w:tcW w:w="1559" w:type="dxa"/>
            <w:tcBorders>
              <w:top w:val="nil"/>
              <w:left w:val="nil"/>
              <w:bottom w:val="single" w:sz="4" w:space="0" w:color="auto"/>
              <w:right w:val="single" w:sz="4" w:space="0" w:color="auto"/>
            </w:tcBorders>
            <w:shd w:val="clear" w:color="auto" w:fill="auto"/>
            <w:noWrap/>
            <w:vAlign w:val="bottom"/>
          </w:tcPr>
          <w:p w14:paraId="388256B3" w14:textId="373C8F0A"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A10BD10</w:t>
            </w:r>
          </w:p>
        </w:tc>
      </w:tr>
      <w:tr w:rsidR="006E7CAF" w:rsidRPr="001F33A6" w14:paraId="22DA33EA"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2F1F4800" w14:textId="45F1A42C"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Sitagliptin with metformin</w:t>
            </w:r>
          </w:p>
        </w:tc>
        <w:tc>
          <w:tcPr>
            <w:tcW w:w="1559" w:type="dxa"/>
            <w:tcBorders>
              <w:top w:val="nil"/>
              <w:left w:val="nil"/>
              <w:bottom w:val="single" w:sz="4" w:space="0" w:color="auto"/>
              <w:right w:val="single" w:sz="4" w:space="0" w:color="auto"/>
            </w:tcBorders>
            <w:shd w:val="clear" w:color="auto" w:fill="auto"/>
            <w:noWrap/>
            <w:vAlign w:val="bottom"/>
          </w:tcPr>
          <w:p w14:paraId="5E19E7B0" w14:textId="62340D51"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A10BD07</w:t>
            </w:r>
          </w:p>
        </w:tc>
      </w:tr>
      <w:tr w:rsidR="006E7CAF" w:rsidRPr="001F33A6" w14:paraId="4F9AE849"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60768500" w14:textId="0E4F7963"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 xml:space="preserve">Vildagliptin with metformin </w:t>
            </w:r>
          </w:p>
        </w:tc>
        <w:tc>
          <w:tcPr>
            <w:tcW w:w="1559" w:type="dxa"/>
            <w:tcBorders>
              <w:top w:val="nil"/>
              <w:left w:val="nil"/>
              <w:bottom w:val="single" w:sz="4" w:space="0" w:color="auto"/>
              <w:right w:val="single" w:sz="4" w:space="0" w:color="auto"/>
            </w:tcBorders>
            <w:shd w:val="clear" w:color="auto" w:fill="auto"/>
            <w:noWrap/>
            <w:vAlign w:val="bottom"/>
          </w:tcPr>
          <w:p w14:paraId="3DD92CDD" w14:textId="19F07620"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A10BD08</w:t>
            </w:r>
          </w:p>
        </w:tc>
      </w:tr>
      <w:tr w:rsidR="006E7CAF" w:rsidRPr="001F33A6" w14:paraId="2C39B70F" w14:textId="77777777" w:rsidTr="006E7CAF">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01B396C9"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Alogliptin with metformin</w:t>
            </w:r>
          </w:p>
        </w:tc>
        <w:tc>
          <w:tcPr>
            <w:tcW w:w="1559" w:type="dxa"/>
            <w:tcBorders>
              <w:top w:val="nil"/>
              <w:left w:val="nil"/>
              <w:bottom w:val="single" w:sz="4" w:space="0" w:color="auto"/>
              <w:right w:val="single" w:sz="4" w:space="0" w:color="auto"/>
            </w:tcBorders>
            <w:shd w:val="clear" w:color="auto" w:fill="auto"/>
            <w:noWrap/>
            <w:vAlign w:val="bottom"/>
          </w:tcPr>
          <w:p w14:paraId="61AC5B5C"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A10BD13</w:t>
            </w:r>
          </w:p>
        </w:tc>
      </w:tr>
      <w:tr w:rsidR="006E7CAF" w:rsidRPr="001F33A6" w14:paraId="07F8EDE8" w14:textId="77777777" w:rsidTr="00424723">
        <w:trPr>
          <w:trHeight w:val="340"/>
        </w:trPr>
        <w:tc>
          <w:tcPr>
            <w:tcW w:w="5382"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04749807" w14:textId="49AF91A0" w:rsidR="006E7CAF" w:rsidRPr="00092711" w:rsidRDefault="006E7CAF" w:rsidP="000159FE">
            <w:pPr>
              <w:keepNext/>
              <w:keepLines/>
              <w:spacing w:after="0" w:line="240" w:lineRule="auto"/>
              <w:rPr>
                <w:rFonts w:eastAsia="Times New Roman"/>
                <w:color w:val="000000"/>
                <w:sz w:val="20"/>
                <w:szCs w:val="20"/>
                <w:lang w:eastAsia="en-AU"/>
              </w:rPr>
            </w:pPr>
            <w:r w:rsidRPr="00092711">
              <w:rPr>
                <w:rFonts w:eastAsia="Times New Roman"/>
                <w:b/>
                <w:bCs/>
                <w:color w:val="000000"/>
                <w:sz w:val="20"/>
                <w:szCs w:val="20"/>
                <w:lang w:eastAsia="en-AU"/>
              </w:rPr>
              <w:lastRenderedPageBreak/>
              <w:t>DPP4 inhibitor + SGLT2 inhibitor FDCs</w:t>
            </w:r>
          </w:p>
        </w:tc>
      </w:tr>
      <w:tr w:rsidR="006E7CAF" w:rsidRPr="001F33A6" w14:paraId="018BB1CA"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1087C959" w14:textId="1D397BF1" w:rsidR="006E7CAF" w:rsidRPr="00092711" w:rsidRDefault="006E7CAF" w:rsidP="000159FE">
            <w:pPr>
              <w:keepNext/>
              <w:keepLines/>
              <w:spacing w:after="0" w:line="240" w:lineRule="auto"/>
              <w:rPr>
                <w:rFonts w:eastAsia="Times New Roman"/>
                <w:color w:val="000000"/>
                <w:sz w:val="20"/>
                <w:szCs w:val="20"/>
                <w:lang w:eastAsia="en-AU"/>
              </w:rPr>
            </w:pPr>
            <w:r w:rsidRPr="00092711">
              <w:rPr>
                <w:rFonts w:eastAsia="Times New Roman"/>
                <w:color w:val="000000"/>
                <w:sz w:val="20"/>
                <w:szCs w:val="20"/>
                <w:lang w:eastAsia="en-AU"/>
              </w:rPr>
              <w:t>Saxagliptin with dapagliflozin</w:t>
            </w:r>
          </w:p>
        </w:tc>
        <w:tc>
          <w:tcPr>
            <w:tcW w:w="1559" w:type="dxa"/>
            <w:tcBorders>
              <w:top w:val="nil"/>
              <w:left w:val="nil"/>
              <w:bottom w:val="single" w:sz="4" w:space="0" w:color="auto"/>
              <w:right w:val="single" w:sz="4" w:space="0" w:color="auto"/>
            </w:tcBorders>
            <w:shd w:val="clear" w:color="auto" w:fill="auto"/>
            <w:noWrap/>
            <w:vAlign w:val="bottom"/>
          </w:tcPr>
          <w:p w14:paraId="44440BF6" w14:textId="41549408"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A10BD21</w:t>
            </w:r>
          </w:p>
        </w:tc>
      </w:tr>
      <w:tr w:rsidR="006E7CAF" w:rsidRPr="001F33A6" w14:paraId="7AA44CDE"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51775A6B" w14:textId="0B24201A"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Empagliflozin with linagliptin</w:t>
            </w:r>
          </w:p>
        </w:tc>
        <w:tc>
          <w:tcPr>
            <w:tcW w:w="1559" w:type="dxa"/>
            <w:tcBorders>
              <w:top w:val="nil"/>
              <w:left w:val="nil"/>
              <w:bottom w:val="single" w:sz="4" w:space="0" w:color="auto"/>
              <w:right w:val="single" w:sz="4" w:space="0" w:color="auto"/>
            </w:tcBorders>
            <w:shd w:val="clear" w:color="auto" w:fill="auto"/>
            <w:noWrap/>
            <w:vAlign w:val="bottom"/>
          </w:tcPr>
          <w:p w14:paraId="6AD4A3FF" w14:textId="03F03E2C"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A10BD19</w:t>
            </w:r>
          </w:p>
        </w:tc>
      </w:tr>
      <w:tr w:rsidR="006E7CAF" w:rsidRPr="001F33A6" w14:paraId="3DA60C0A"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5C11FB03" w14:textId="6F504371"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Ertugliflozin with sitagliptin</w:t>
            </w:r>
          </w:p>
        </w:tc>
        <w:tc>
          <w:tcPr>
            <w:tcW w:w="1559" w:type="dxa"/>
            <w:tcBorders>
              <w:top w:val="nil"/>
              <w:left w:val="nil"/>
              <w:bottom w:val="single" w:sz="4" w:space="0" w:color="auto"/>
              <w:right w:val="single" w:sz="4" w:space="0" w:color="auto"/>
            </w:tcBorders>
            <w:shd w:val="clear" w:color="auto" w:fill="auto"/>
            <w:noWrap/>
            <w:vAlign w:val="bottom"/>
          </w:tcPr>
          <w:p w14:paraId="38D77B68" w14:textId="7538371D"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A10BD24</w:t>
            </w:r>
          </w:p>
        </w:tc>
      </w:tr>
      <w:tr w:rsidR="006E7CAF" w:rsidRPr="001F33A6" w14:paraId="607717A6" w14:textId="77777777" w:rsidTr="006E7CAF">
        <w:trPr>
          <w:trHeight w:val="340"/>
        </w:trPr>
        <w:tc>
          <w:tcPr>
            <w:tcW w:w="5382"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2ED29A52" w14:textId="2F130839"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b/>
                <w:bCs/>
                <w:color w:val="000000"/>
                <w:sz w:val="20"/>
                <w:szCs w:val="20"/>
                <w:lang w:eastAsia="en-AU"/>
              </w:rPr>
              <w:t>SGLT2 inhibitor</w:t>
            </w:r>
            <w:r w:rsidR="00B44FDC" w:rsidRPr="00092711">
              <w:rPr>
                <w:rFonts w:eastAsia="Times New Roman"/>
                <w:b/>
                <w:bCs/>
                <w:color w:val="000000"/>
                <w:sz w:val="20"/>
                <w:szCs w:val="20"/>
                <w:lang w:eastAsia="en-AU"/>
              </w:rPr>
              <w:t>s</w:t>
            </w:r>
          </w:p>
        </w:tc>
      </w:tr>
      <w:tr w:rsidR="006E7CAF" w:rsidRPr="001F33A6" w14:paraId="07B9B4D0"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EC95975" w14:textId="4A5D409C" w:rsidR="006E7CAF" w:rsidRPr="00092711" w:rsidRDefault="006E7CAF" w:rsidP="00C7336E">
            <w:pPr>
              <w:spacing w:after="0" w:line="240" w:lineRule="auto"/>
              <w:rPr>
                <w:rFonts w:eastAsia="Times New Roman"/>
                <w:color w:val="000000"/>
                <w:sz w:val="20"/>
                <w:szCs w:val="20"/>
                <w:vertAlign w:val="superscript"/>
                <w:lang w:eastAsia="en-AU"/>
              </w:rPr>
            </w:pPr>
            <w:r w:rsidRPr="00092711">
              <w:rPr>
                <w:rFonts w:eastAsia="Times New Roman"/>
                <w:color w:val="000000"/>
                <w:sz w:val="20"/>
                <w:szCs w:val="20"/>
                <w:lang w:eastAsia="en-AU"/>
              </w:rPr>
              <w:t>Dapagliflozin</w:t>
            </w:r>
            <w:r w:rsidR="007D4AF4" w:rsidRPr="00092711">
              <w:rPr>
                <w:rFonts w:eastAsia="Times New Roman"/>
                <w:color w:val="000000"/>
                <w:sz w:val="20"/>
                <w:szCs w:val="20"/>
                <w:vertAlign w:val="superscript"/>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3D79E101"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A10BK01</w:t>
            </w:r>
          </w:p>
        </w:tc>
      </w:tr>
      <w:tr w:rsidR="006E7CAF" w:rsidRPr="001F33A6" w14:paraId="091776FC" w14:textId="77777777" w:rsidTr="006E7CAF">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7A5A540B" w14:textId="4CAB2EF8"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Ertugliflozin</w:t>
            </w:r>
          </w:p>
        </w:tc>
        <w:tc>
          <w:tcPr>
            <w:tcW w:w="1559" w:type="dxa"/>
            <w:tcBorders>
              <w:top w:val="nil"/>
              <w:left w:val="nil"/>
              <w:bottom w:val="single" w:sz="4" w:space="0" w:color="auto"/>
              <w:right w:val="single" w:sz="4" w:space="0" w:color="auto"/>
            </w:tcBorders>
            <w:shd w:val="clear" w:color="auto" w:fill="auto"/>
            <w:noWrap/>
            <w:vAlign w:val="bottom"/>
          </w:tcPr>
          <w:p w14:paraId="76572AF2" w14:textId="5E35ADA5"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A10BK04</w:t>
            </w:r>
          </w:p>
        </w:tc>
      </w:tr>
      <w:tr w:rsidR="006E7CAF" w:rsidRPr="001F33A6" w14:paraId="2B336B1F"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43C58C4" w14:textId="37C6FE69"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Empagliflozin</w:t>
            </w:r>
            <w:r w:rsidR="007D4AF4" w:rsidRPr="00092711">
              <w:rPr>
                <w:rFonts w:eastAsia="Times New Roman"/>
                <w:color w:val="000000"/>
                <w:sz w:val="20"/>
                <w:szCs w:val="20"/>
                <w:vertAlign w:val="superscript"/>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7A265262"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A10BK03</w:t>
            </w:r>
          </w:p>
        </w:tc>
      </w:tr>
      <w:tr w:rsidR="006E7CAF" w:rsidRPr="001F33A6" w14:paraId="3F74D183" w14:textId="77777777" w:rsidTr="00424723">
        <w:trPr>
          <w:trHeight w:val="340"/>
        </w:trPr>
        <w:tc>
          <w:tcPr>
            <w:tcW w:w="5382"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3A072720" w14:textId="3002CAE6"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b/>
                <w:bCs/>
                <w:color w:val="000000"/>
                <w:sz w:val="20"/>
                <w:szCs w:val="20"/>
                <w:lang w:eastAsia="en-AU"/>
              </w:rPr>
              <w:t>SGLT2 inhibitor + metformin FDCs</w:t>
            </w:r>
          </w:p>
        </w:tc>
      </w:tr>
      <w:tr w:rsidR="006E7CAF" w:rsidRPr="001F33A6" w14:paraId="59FA8EEC" w14:textId="77777777" w:rsidTr="006E7CAF">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6EA13EEE" w14:textId="24FA5DDE"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Dapagliflozin with metformin</w:t>
            </w:r>
          </w:p>
        </w:tc>
        <w:tc>
          <w:tcPr>
            <w:tcW w:w="1559" w:type="dxa"/>
            <w:tcBorders>
              <w:top w:val="nil"/>
              <w:left w:val="nil"/>
              <w:bottom w:val="single" w:sz="4" w:space="0" w:color="auto"/>
              <w:right w:val="single" w:sz="4" w:space="0" w:color="auto"/>
            </w:tcBorders>
            <w:shd w:val="clear" w:color="auto" w:fill="auto"/>
            <w:noWrap/>
            <w:vAlign w:val="bottom"/>
          </w:tcPr>
          <w:p w14:paraId="3AF812EB" w14:textId="33EFD0B6"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A10BD15</w:t>
            </w:r>
          </w:p>
        </w:tc>
      </w:tr>
      <w:tr w:rsidR="006E7CAF" w:rsidRPr="001F33A6" w14:paraId="39F3127A"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C49CD7F"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Empagliflozin with metformin</w:t>
            </w:r>
          </w:p>
        </w:tc>
        <w:tc>
          <w:tcPr>
            <w:tcW w:w="1559" w:type="dxa"/>
            <w:tcBorders>
              <w:top w:val="nil"/>
              <w:left w:val="nil"/>
              <w:bottom w:val="single" w:sz="4" w:space="0" w:color="auto"/>
              <w:right w:val="single" w:sz="4" w:space="0" w:color="auto"/>
            </w:tcBorders>
            <w:shd w:val="clear" w:color="auto" w:fill="auto"/>
            <w:noWrap/>
            <w:vAlign w:val="bottom"/>
            <w:hideMark/>
          </w:tcPr>
          <w:p w14:paraId="365D7234"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A10BD20</w:t>
            </w:r>
          </w:p>
        </w:tc>
      </w:tr>
      <w:tr w:rsidR="006E7CAF" w:rsidRPr="001F33A6" w14:paraId="6248C402"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2FAA2F7"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Ertugliflozin with metformin</w:t>
            </w:r>
          </w:p>
        </w:tc>
        <w:tc>
          <w:tcPr>
            <w:tcW w:w="1559" w:type="dxa"/>
            <w:tcBorders>
              <w:top w:val="nil"/>
              <w:left w:val="nil"/>
              <w:bottom w:val="single" w:sz="4" w:space="0" w:color="auto"/>
              <w:right w:val="single" w:sz="4" w:space="0" w:color="auto"/>
            </w:tcBorders>
            <w:shd w:val="clear" w:color="auto" w:fill="auto"/>
            <w:noWrap/>
            <w:vAlign w:val="bottom"/>
            <w:hideMark/>
          </w:tcPr>
          <w:p w14:paraId="244ABD31"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A10BD23</w:t>
            </w:r>
          </w:p>
        </w:tc>
      </w:tr>
      <w:tr w:rsidR="006E7CAF" w:rsidRPr="001F33A6" w14:paraId="2D8F0392" w14:textId="77777777" w:rsidTr="00424723">
        <w:trPr>
          <w:trHeight w:val="340"/>
        </w:trPr>
        <w:tc>
          <w:tcPr>
            <w:tcW w:w="5382"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07BE60AA" w14:textId="082F3819" w:rsidR="006E7CAF" w:rsidRPr="00092711" w:rsidRDefault="006E7CAF" w:rsidP="00C7336E">
            <w:pPr>
              <w:spacing w:after="0" w:line="240" w:lineRule="auto"/>
              <w:rPr>
                <w:rFonts w:eastAsia="Times New Roman"/>
                <w:b/>
                <w:bCs/>
                <w:color w:val="000000"/>
                <w:sz w:val="20"/>
                <w:szCs w:val="20"/>
                <w:lang w:eastAsia="en-AU"/>
              </w:rPr>
            </w:pPr>
            <w:r w:rsidRPr="00092711">
              <w:rPr>
                <w:rFonts w:eastAsia="Times New Roman"/>
                <w:b/>
                <w:bCs/>
                <w:color w:val="000000"/>
                <w:sz w:val="20"/>
                <w:szCs w:val="20"/>
                <w:lang w:eastAsia="en-AU"/>
              </w:rPr>
              <w:t>DPP4 inhibitor</w:t>
            </w:r>
            <w:r w:rsidR="00B44FDC" w:rsidRPr="00092711">
              <w:rPr>
                <w:rFonts w:eastAsia="Times New Roman"/>
                <w:b/>
                <w:bCs/>
                <w:color w:val="000000"/>
                <w:sz w:val="20"/>
                <w:szCs w:val="20"/>
                <w:lang w:eastAsia="en-AU"/>
              </w:rPr>
              <w:t>s</w:t>
            </w:r>
          </w:p>
        </w:tc>
      </w:tr>
      <w:tr w:rsidR="006E7CAF" w:rsidRPr="001F33A6" w14:paraId="0B4EF39E"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6288B926" w14:textId="0269C33B"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Dulaglutide</w:t>
            </w:r>
          </w:p>
        </w:tc>
        <w:tc>
          <w:tcPr>
            <w:tcW w:w="1559" w:type="dxa"/>
            <w:tcBorders>
              <w:top w:val="nil"/>
              <w:left w:val="nil"/>
              <w:bottom w:val="single" w:sz="4" w:space="0" w:color="auto"/>
              <w:right w:val="single" w:sz="4" w:space="0" w:color="auto"/>
            </w:tcBorders>
            <w:shd w:val="clear" w:color="auto" w:fill="auto"/>
            <w:noWrap/>
            <w:vAlign w:val="bottom"/>
          </w:tcPr>
          <w:p w14:paraId="3233E117" w14:textId="2E735792"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A10BJ05</w:t>
            </w:r>
          </w:p>
        </w:tc>
      </w:tr>
      <w:tr w:rsidR="006E7CAF" w:rsidRPr="001F33A6" w14:paraId="04433F42"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tcPr>
          <w:p w14:paraId="6EE4BA14" w14:textId="19F34B2B"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Exenatide</w:t>
            </w:r>
          </w:p>
        </w:tc>
        <w:tc>
          <w:tcPr>
            <w:tcW w:w="1559" w:type="dxa"/>
            <w:tcBorders>
              <w:top w:val="nil"/>
              <w:left w:val="nil"/>
              <w:bottom w:val="single" w:sz="4" w:space="0" w:color="auto"/>
              <w:right w:val="single" w:sz="4" w:space="0" w:color="auto"/>
            </w:tcBorders>
            <w:shd w:val="clear" w:color="auto" w:fill="auto"/>
            <w:noWrap/>
            <w:vAlign w:val="bottom"/>
          </w:tcPr>
          <w:p w14:paraId="57C38E9F" w14:textId="259773E9"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A10BJ01</w:t>
            </w:r>
          </w:p>
        </w:tc>
      </w:tr>
      <w:tr w:rsidR="006E7CAF" w:rsidRPr="001F33A6" w14:paraId="28F1B1D9"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2DE841F" w14:textId="3E4669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Semaglutide</w:t>
            </w:r>
          </w:p>
        </w:tc>
        <w:tc>
          <w:tcPr>
            <w:tcW w:w="1559" w:type="dxa"/>
            <w:tcBorders>
              <w:top w:val="nil"/>
              <w:left w:val="nil"/>
              <w:bottom w:val="single" w:sz="4" w:space="0" w:color="auto"/>
              <w:right w:val="single" w:sz="4" w:space="0" w:color="auto"/>
            </w:tcBorders>
            <w:shd w:val="clear" w:color="auto" w:fill="auto"/>
            <w:noWrap/>
            <w:vAlign w:val="bottom"/>
            <w:hideMark/>
          </w:tcPr>
          <w:p w14:paraId="4D7F5521" w14:textId="3CD6D2DF"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A10BJ06</w:t>
            </w:r>
          </w:p>
        </w:tc>
      </w:tr>
      <w:tr w:rsidR="006E7CAF" w:rsidRPr="001F33A6" w14:paraId="082E470F" w14:textId="77777777" w:rsidTr="006E7CAF">
        <w:trPr>
          <w:trHeight w:val="340"/>
        </w:trPr>
        <w:tc>
          <w:tcPr>
            <w:tcW w:w="5382"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48BCA5B7" w14:textId="5BCFE524" w:rsidR="006E7CAF" w:rsidRPr="00092711" w:rsidRDefault="006E7CAF" w:rsidP="00C7336E">
            <w:pPr>
              <w:spacing w:after="0" w:line="240" w:lineRule="auto"/>
              <w:rPr>
                <w:rFonts w:eastAsia="Times New Roman"/>
                <w:b/>
                <w:bCs/>
                <w:color w:val="000000"/>
                <w:sz w:val="20"/>
                <w:szCs w:val="20"/>
                <w:lang w:eastAsia="en-AU"/>
              </w:rPr>
            </w:pPr>
            <w:r w:rsidRPr="00092711">
              <w:rPr>
                <w:rFonts w:eastAsia="Times New Roman"/>
                <w:b/>
                <w:bCs/>
                <w:color w:val="000000"/>
                <w:sz w:val="20"/>
                <w:szCs w:val="20"/>
                <w:lang w:eastAsia="en-AU"/>
              </w:rPr>
              <w:t>Thiazolidinediones (TZDs)</w:t>
            </w:r>
          </w:p>
        </w:tc>
      </w:tr>
      <w:tr w:rsidR="006E7CAF" w:rsidRPr="001F33A6" w14:paraId="31A03954"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B40AA05"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Rosiglitazone</w:t>
            </w:r>
          </w:p>
        </w:tc>
        <w:tc>
          <w:tcPr>
            <w:tcW w:w="1559" w:type="dxa"/>
            <w:tcBorders>
              <w:top w:val="nil"/>
              <w:left w:val="nil"/>
              <w:bottom w:val="single" w:sz="4" w:space="0" w:color="auto"/>
              <w:right w:val="single" w:sz="4" w:space="0" w:color="auto"/>
            </w:tcBorders>
            <w:shd w:val="clear" w:color="auto" w:fill="auto"/>
            <w:noWrap/>
            <w:vAlign w:val="bottom"/>
            <w:hideMark/>
          </w:tcPr>
          <w:p w14:paraId="5AC77A00"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A10BG02</w:t>
            </w:r>
          </w:p>
        </w:tc>
      </w:tr>
      <w:tr w:rsidR="006E7CAF" w:rsidRPr="001F33A6" w14:paraId="786B734B" w14:textId="77777777" w:rsidTr="002D734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AC4117F"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Pioglitazone</w:t>
            </w:r>
          </w:p>
        </w:tc>
        <w:tc>
          <w:tcPr>
            <w:tcW w:w="1559" w:type="dxa"/>
            <w:tcBorders>
              <w:top w:val="nil"/>
              <w:left w:val="nil"/>
              <w:bottom w:val="single" w:sz="4" w:space="0" w:color="auto"/>
              <w:right w:val="single" w:sz="4" w:space="0" w:color="auto"/>
            </w:tcBorders>
            <w:shd w:val="clear" w:color="auto" w:fill="auto"/>
            <w:noWrap/>
            <w:vAlign w:val="bottom"/>
            <w:hideMark/>
          </w:tcPr>
          <w:p w14:paraId="7EE02800" w14:textId="77777777" w:rsidR="006E7CAF" w:rsidRPr="00092711" w:rsidRDefault="006E7CAF" w:rsidP="00C7336E">
            <w:pPr>
              <w:spacing w:after="0" w:line="240" w:lineRule="auto"/>
              <w:rPr>
                <w:rFonts w:eastAsia="Times New Roman"/>
                <w:color w:val="000000"/>
                <w:sz w:val="20"/>
                <w:szCs w:val="20"/>
                <w:lang w:eastAsia="en-AU"/>
              </w:rPr>
            </w:pPr>
            <w:r w:rsidRPr="00092711">
              <w:rPr>
                <w:rFonts w:eastAsia="Times New Roman"/>
                <w:color w:val="000000"/>
                <w:sz w:val="20"/>
                <w:szCs w:val="20"/>
                <w:lang w:eastAsia="en-AU"/>
              </w:rPr>
              <w:t>A10BG03</w:t>
            </w:r>
          </w:p>
        </w:tc>
      </w:tr>
    </w:tbl>
    <w:p w14:paraId="4EF05F67" w14:textId="681ACCC5" w:rsidR="00A24481" w:rsidRPr="007D4AF4" w:rsidRDefault="007D4AF4" w:rsidP="007D4AF4">
      <w:pPr>
        <w:spacing w:after="0" w:line="240" w:lineRule="auto"/>
        <w:rPr>
          <w:sz w:val="20"/>
          <w:szCs w:val="20"/>
        </w:rPr>
      </w:pPr>
      <w:r w:rsidRPr="007D4AF4">
        <w:rPr>
          <w:sz w:val="20"/>
          <w:szCs w:val="20"/>
        </w:rPr>
        <w:t>Notes: * Excludes item codes 12823X for CHF and 13106T for CKD.</w:t>
      </w:r>
    </w:p>
    <w:p w14:paraId="672E9E78" w14:textId="56AFBC3F" w:rsidR="007D4AF4" w:rsidRPr="007D4AF4" w:rsidRDefault="007D4AF4" w:rsidP="007D4AF4">
      <w:pPr>
        <w:spacing w:after="0" w:line="240" w:lineRule="auto"/>
        <w:rPr>
          <w:sz w:val="20"/>
          <w:szCs w:val="20"/>
        </w:rPr>
      </w:pPr>
      <w:r w:rsidRPr="007D4AF4">
        <w:rPr>
          <w:sz w:val="20"/>
          <w:szCs w:val="20"/>
          <w:vertAlign w:val="superscript"/>
        </w:rPr>
        <w:t>#</w:t>
      </w:r>
      <w:r w:rsidRPr="007D4AF4">
        <w:rPr>
          <w:sz w:val="20"/>
          <w:szCs w:val="20"/>
        </w:rPr>
        <w:t xml:space="preserve"> Excludes item code 12918X for CHF.</w:t>
      </w:r>
    </w:p>
    <w:p w14:paraId="5FD97D73" w14:textId="3BDB7ACD" w:rsidR="00EB74AE" w:rsidRPr="00973208" w:rsidRDefault="00EB74AE" w:rsidP="00C7336E">
      <w:pPr>
        <w:pStyle w:val="Tableheading"/>
      </w:pPr>
      <w:r w:rsidRPr="00973208">
        <w:t>Table A.2: Standard Coverage Days for Drug Groups</w:t>
      </w:r>
    </w:p>
    <w:tbl>
      <w:tblPr>
        <w:tblStyle w:val="TableGrid"/>
        <w:tblW w:w="5000" w:type="pct"/>
        <w:tblLook w:val="04A0" w:firstRow="1" w:lastRow="0" w:firstColumn="1" w:lastColumn="0" w:noHBand="0" w:noVBand="1"/>
        <w:tblCaption w:val="Table A1 describes the standard coverage days used in the analysis"/>
        <w:tblDescription w:val="It lists the drug or drug group and the median time to re-supply by any item of the same drug or drug group"/>
      </w:tblPr>
      <w:tblGrid>
        <w:gridCol w:w="2263"/>
        <w:gridCol w:w="2321"/>
        <w:gridCol w:w="4432"/>
      </w:tblGrid>
      <w:tr w:rsidR="00EB74AE" w14:paraId="35B1C6C9" w14:textId="77777777" w:rsidTr="00484162">
        <w:trPr>
          <w:trHeight w:val="744"/>
          <w:tblHeader/>
        </w:trPr>
        <w:tc>
          <w:tcPr>
            <w:tcW w:w="125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E91B9" w14:textId="77777777" w:rsidR="00EB74AE" w:rsidRDefault="00EB74AE" w:rsidP="00C7336E">
            <w:pPr>
              <w:jc w:val="center"/>
              <w:rPr>
                <w:rFonts w:cstheme="minorHAnsi"/>
                <w:b/>
                <w:sz w:val="20"/>
                <w:szCs w:val="20"/>
              </w:rPr>
            </w:pPr>
            <w:r>
              <w:rPr>
                <w:rFonts w:cstheme="minorHAnsi"/>
                <w:b/>
                <w:sz w:val="20"/>
                <w:szCs w:val="20"/>
              </w:rPr>
              <w:t>Drug Group</w:t>
            </w:r>
          </w:p>
        </w:tc>
        <w:tc>
          <w:tcPr>
            <w:tcW w:w="128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194419" w14:textId="77777777" w:rsidR="00EB74AE" w:rsidRDefault="00EB74AE" w:rsidP="00C7336E">
            <w:pPr>
              <w:jc w:val="center"/>
              <w:rPr>
                <w:rFonts w:cstheme="minorHAnsi"/>
                <w:b/>
                <w:sz w:val="20"/>
                <w:szCs w:val="20"/>
              </w:rPr>
            </w:pPr>
            <w:r>
              <w:rPr>
                <w:rFonts w:cstheme="minorHAnsi"/>
                <w:b/>
                <w:sz w:val="20"/>
                <w:szCs w:val="20"/>
              </w:rPr>
              <w:t>Standard Coverage Days</w:t>
            </w:r>
            <w:r>
              <w:rPr>
                <w:rFonts w:cstheme="minorHAnsi"/>
                <w:b/>
                <w:sz w:val="20"/>
                <w:szCs w:val="20"/>
              </w:rPr>
              <w:br/>
              <w:t>(i.e. Median time to re-supply by any item of the same drug group)</w:t>
            </w:r>
          </w:p>
        </w:tc>
        <w:tc>
          <w:tcPr>
            <w:tcW w:w="2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56170C" w14:textId="77777777" w:rsidR="00EB74AE" w:rsidRDefault="00EB74AE" w:rsidP="00C7336E">
            <w:pPr>
              <w:jc w:val="center"/>
              <w:rPr>
                <w:rFonts w:cstheme="minorHAnsi"/>
                <w:b/>
                <w:sz w:val="20"/>
                <w:szCs w:val="20"/>
              </w:rPr>
            </w:pPr>
            <w:r>
              <w:rPr>
                <w:rFonts w:cstheme="minorHAnsi"/>
                <w:b/>
                <w:sz w:val="20"/>
                <w:szCs w:val="20"/>
              </w:rPr>
              <w:t>Standard Coverage Days</w:t>
            </w:r>
          </w:p>
          <w:p w14:paraId="42BF0864" w14:textId="77777777" w:rsidR="00EB74AE" w:rsidRDefault="00EB74AE" w:rsidP="00C7336E">
            <w:pPr>
              <w:jc w:val="center"/>
              <w:rPr>
                <w:rFonts w:cstheme="minorHAnsi"/>
                <w:sz w:val="20"/>
                <w:szCs w:val="20"/>
              </w:rPr>
            </w:pPr>
            <w:r>
              <w:rPr>
                <w:rFonts w:cstheme="minorHAnsi"/>
                <w:sz w:val="20"/>
                <w:szCs w:val="20"/>
              </w:rPr>
              <w:t>used in DUSC February 2013 analysis for prescriptions supplied from July 2010 to July 2011 (allowing re-supply up to July 2012) for the “concessional only” cohort</w:t>
            </w:r>
          </w:p>
        </w:tc>
      </w:tr>
      <w:tr w:rsidR="00EB74AE" w14:paraId="5714AAB3" w14:textId="77777777" w:rsidTr="00484162">
        <w:trPr>
          <w:trHeight w:val="277"/>
        </w:trPr>
        <w:tc>
          <w:tcPr>
            <w:tcW w:w="1255" w:type="pct"/>
            <w:tcBorders>
              <w:top w:val="single" w:sz="4" w:space="0" w:color="auto"/>
              <w:left w:val="single" w:sz="4" w:space="0" w:color="auto"/>
              <w:bottom w:val="single" w:sz="4" w:space="0" w:color="auto"/>
              <w:right w:val="single" w:sz="4" w:space="0" w:color="auto"/>
            </w:tcBorders>
            <w:hideMark/>
          </w:tcPr>
          <w:p w14:paraId="0023DA6D" w14:textId="77777777" w:rsidR="00EB74AE" w:rsidRDefault="00EB74AE" w:rsidP="00C7336E">
            <w:pPr>
              <w:rPr>
                <w:sz w:val="20"/>
                <w:szCs w:val="20"/>
              </w:rPr>
            </w:pPr>
            <w:r>
              <w:rPr>
                <w:sz w:val="20"/>
                <w:szCs w:val="20"/>
              </w:rPr>
              <w:t>Metformin</w:t>
            </w:r>
          </w:p>
        </w:tc>
        <w:tc>
          <w:tcPr>
            <w:tcW w:w="1287" w:type="pct"/>
            <w:tcBorders>
              <w:top w:val="single" w:sz="4" w:space="0" w:color="auto"/>
              <w:left w:val="single" w:sz="4" w:space="0" w:color="auto"/>
              <w:bottom w:val="single" w:sz="4" w:space="0" w:color="auto"/>
              <w:right w:val="single" w:sz="4" w:space="0" w:color="auto"/>
            </w:tcBorders>
            <w:hideMark/>
          </w:tcPr>
          <w:p w14:paraId="7A7F2D0F" w14:textId="77777777" w:rsidR="00EB74AE" w:rsidRDefault="00EB74AE" w:rsidP="00C7336E">
            <w:pPr>
              <w:jc w:val="center"/>
              <w:rPr>
                <w:sz w:val="20"/>
                <w:szCs w:val="20"/>
              </w:rPr>
            </w:pPr>
            <w:r>
              <w:rPr>
                <w:sz w:val="20"/>
                <w:szCs w:val="20"/>
              </w:rPr>
              <w:t>37</w:t>
            </w:r>
          </w:p>
        </w:tc>
        <w:tc>
          <w:tcPr>
            <w:tcW w:w="2458" w:type="pct"/>
            <w:tcBorders>
              <w:top w:val="single" w:sz="4" w:space="0" w:color="auto"/>
              <w:left w:val="single" w:sz="4" w:space="0" w:color="auto"/>
              <w:bottom w:val="single" w:sz="4" w:space="0" w:color="auto"/>
              <w:right w:val="single" w:sz="4" w:space="0" w:color="auto"/>
            </w:tcBorders>
            <w:hideMark/>
          </w:tcPr>
          <w:p w14:paraId="7BF091C2" w14:textId="77777777" w:rsidR="00EB74AE" w:rsidRDefault="00EB74AE" w:rsidP="00C7336E">
            <w:pPr>
              <w:jc w:val="center"/>
              <w:rPr>
                <w:sz w:val="20"/>
                <w:szCs w:val="20"/>
              </w:rPr>
            </w:pPr>
            <w:r>
              <w:rPr>
                <w:sz w:val="20"/>
                <w:szCs w:val="20"/>
              </w:rPr>
              <w:t>35</w:t>
            </w:r>
          </w:p>
        </w:tc>
      </w:tr>
      <w:tr w:rsidR="00EB74AE" w14:paraId="71848EA2" w14:textId="77777777" w:rsidTr="00484162">
        <w:trPr>
          <w:trHeight w:val="277"/>
        </w:trPr>
        <w:tc>
          <w:tcPr>
            <w:tcW w:w="1255" w:type="pct"/>
            <w:tcBorders>
              <w:top w:val="single" w:sz="4" w:space="0" w:color="auto"/>
              <w:left w:val="single" w:sz="4" w:space="0" w:color="auto"/>
              <w:bottom w:val="single" w:sz="4" w:space="0" w:color="auto"/>
              <w:right w:val="single" w:sz="4" w:space="0" w:color="auto"/>
            </w:tcBorders>
            <w:hideMark/>
          </w:tcPr>
          <w:p w14:paraId="4EE56C2B" w14:textId="77777777" w:rsidR="00EB74AE" w:rsidRDefault="00EB74AE" w:rsidP="00C7336E">
            <w:pPr>
              <w:rPr>
                <w:sz w:val="20"/>
                <w:szCs w:val="20"/>
              </w:rPr>
            </w:pPr>
            <w:r>
              <w:rPr>
                <w:sz w:val="20"/>
                <w:szCs w:val="20"/>
              </w:rPr>
              <w:t>Sulfonylurea</w:t>
            </w:r>
          </w:p>
        </w:tc>
        <w:tc>
          <w:tcPr>
            <w:tcW w:w="1287" w:type="pct"/>
            <w:tcBorders>
              <w:top w:val="single" w:sz="4" w:space="0" w:color="auto"/>
              <w:left w:val="single" w:sz="4" w:space="0" w:color="auto"/>
              <w:bottom w:val="single" w:sz="4" w:space="0" w:color="auto"/>
              <w:right w:val="single" w:sz="4" w:space="0" w:color="auto"/>
            </w:tcBorders>
            <w:hideMark/>
          </w:tcPr>
          <w:p w14:paraId="527390FA" w14:textId="77777777" w:rsidR="00EB74AE" w:rsidRDefault="00EB74AE" w:rsidP="00C7336E">
            <w:pPr>
              <w:jc w:val="center"/>
              <w:rPr>
                <w:sz w:val="20"/>
                <w:szCs w:val="20"/>
              </w:rPr>
            </w:pPr>
            <w:r>
              <w:rPr>
                <w:sz w:val="20"/>
                <w:szCs w:val="20"/>
              </w:rPr>
              <w:t>33</w:t>
            </w:r>
          </w:p>
        </w:tc>
        <w:tc>
          <w:tcPr>
            <w:tcW w:w="2458" w:type="pct"/>
            <w:tcBorders>
              <w:top w:val="single" w:sz="4" w:space="0" w:color="auto"/>
              <w:left w:val="single" w:sz="4" w:space="0" w:color="auto"/>
              <w:bottom w:val="single" w:sz="4" w:space="0" w:color="auto"/>
              <w:right w:val="single" w:sz="4" w:space="0" w:color="auto"/>
            </w:tcBorders>
            <w:hideMark/>
          </w:tcPr>
          <w:p w14:paraId="368D9B1E" w14:textId="77777777" w:rsidR="00EB74AE" w:rsidRDefault="00EB74AE" w:rsidP="00C7336E">
            <w:pPr>
              <w:jc w:val="center"/>
              <w:rPr>
                <w:sz w:val="20"/>
                <w:szCs w:val="20"/>
              </w:rPr>
            </w:pPr>
            <w:r>
              <w:rPr>
                <w:sz w:val="20"/>
                <w:szCs w:val="20"/>
              </w:rPr>
              <w:t>32</w:t>
            </w:r>
          </w:p>
        </w:tc>
      </w:tr>
      <w:tr w:rsidR="00EB74AE" w14:paraId="7D0AE06C" w14:textId="77777777" w:rsidTr="00484162">
        <w:trPr>
          <w:trHeight w:val="277"/>
        </w:trPr>
        <w:tc>
          <w:tcPr>
            <w:tcW w:w="1255" w:type="pct"/>
            <w:tcBorders>
              <w:top w:val="single" w:sz="4" w:space="0" w:color="auto"/>
              <w:left w:val="single" w:sz="4" w:space="0" w:color="auto"/>
              <w:bottom w:val="single" w:sz="4" w:space="0" w:color="auto"/>
              <w:right w:val="single" w:sz="4" w:space="0" w:color="auto"/>
            </w:tcBorders>
            <w:hideMark/>
          </w:tcPr>
          <w:p w14:paraId="0560DAA9" w14:textId="6F6DB27F" w:rsidR="00EB74AE" w:rsidRDefault="00EB74AE" w:rsidP="00C7336E">
            <w:pPr>
              <w:rPr>
                <w:sz w:val="20"/>
                <w:szCs w:val="20"/>
              </w:rPr>
            </w:pPr>
            <w:r>
              <w:rPr>
                <w:sz w:val="20"/>
                <w:szCs w:val="20"/>
              </w:rPr>
              <w:t>Met + DPP4i FDC</w:t>
            </w:r>
          </w:p>
        </w:tc>
        <w:tc>
          <w:tcPr>
            <w:tcW w:w="1287" w:type="pct"/>
            <w:tcBorders>
              <w:top w:val="single" w:sz="4" w:space="0" w:color="auto"/>
              <w:left w:val="single" w:sz="4" w:space="0" w:color="auto"/>
              <w:bottom w:val="single" w:sz="4" w:space="0" w:color="auto"/>
              <w:right w:val="single" w:sz="4" w:space="0" w:color="auto"/>
            </w:tcBorders>
            <w:hideMark/>
          </w:tcPr>
          <w:p w14:paraId="6FB137F8" w14:textId="77777777" w:rsidR="00EB74AE" w:rsidRDefault="00EB74AE" w:rsidP="00C7336E">
            <w:pPr>
              <w:jc w:val="center"/>
              <w:rPr>
                <w:sz w:val="20"/>
                <w:szCs w:val="20"/>
              </w:rPr>
            </w:pPr>
            <w:r>
              <w:rPr>
                <w:sz w:val="20"/>
                <w:szCs w:val="20"/>
              </w:rPr>
              <w:t>30</w:t>
            </w:r>
          </w:p>
        </w:tc>
        <w:tc>
          <w:tcPr>
            <w:tcW w:w="2458" w:type="pct"/>
            <w:tcBorders>
              <w:top w:val="single" w:sz="4" w:space="0" w:color="auto"/>
              <w:left w:val="single" w:sz="4" w:space="0" w:color="auto"/>
              <w:bottom w:val="single" w:sz="4" w:space="0" w:color="auto"/>
              <w:right w:val="single" w:sz="4" w:space="0" w:color="auto"/>
            </w:tcBorders>
            <w:hideMark/>
          </w:tcPr>
          <w:p w14:paraId="7CBD163B" w14:textId="77777777" w:rsidR="00EB74AE" w:rsidRDefault="00EB74AE" w:rsidP="00C7336E">
            <w:pPr>
              <w:jc w:val="center"/>
              <w:rPr>
                <w:sz w:val="20"/>
                <w:szCs w:val="20"/>
              </w:rPr>
            </w:pPr>
            <w:r>
              <w:rPr>
                <w:sz w:val="20"/>
                <w:szCs w:val="20"/>
              </w:rPr>
              <w:t>29</w:t>
            </w:r>
          </w:p>
        </w:tc>
      </w:tr>
      <w:tr w:rsidR="00EB74AE" w14:paraId="0C0D2D01" w14:textId="77777777" w:rsidTr="00484162">
        <w:trPr>
          <w:trHeight w:val="295"/>
        </w:trPr>
        <w:tc>
          <w:tcPr>
            <w:tcW w:w="1255" w:type="pct"/>
            <w:tcBorders>
              <w:top w:val="single" w:sz="4" w:space="0" w:color="auto"/>
              <w:left w:val="single" w:sz="4" w:space="0" w:color="auto"/>
              <w:bottom w:val="single" w:sz="4" w:space="0" w:color="auto"/>
              <w:right w:val="single" w:sz="4" w:space="0" w:color="auto"/>
            </w:tcBorders>
            <w:hideMark/>
          </w:tcPr>
          <w:p w14:paraId="25508D57" w14:textId="77777777" w:rsidR="00EB74AE" w:rsidRDefault="00EB74AE" w:rsidP="00C7336E">
            <w:pPr>
              <w:rPr>
                <w:sz w:val="20"/>
                <w:szCs w:val="20"/>
              </w:rPr>
            </w:pPr>
            <w:r>
              <w:rPr>
                <w:sz w:val="20"/>
                <w:szCs w:val="20"/>
              </w:rPr>
              <w:t>Insulin</w:t>
            </w:r>
          </w:p>
        </w:tc>
        <w:tc>
          <w:tcPr>
            <w:tcW w:w="1287" w:type="pct"/>
            <w:tcBorders>
              <w:top w:val="single" w:sz="4" w:space="0" w:color="auto"/>
              <w:left w:val="single" w:sz="4" w:space="0" w:color="auto"/>
              <w:bottom w:val="single" w:sz="4" w:space="0" w:color="auto"/>
              <w:right w:val="single" w:sz="4" w:space="0" w:color="auto"/>
            </w:tcBorders>
            <w:hideMark/>
          </w:tcPr>
          <w:p w14:paraId="1E4B110F" w14:textId="77777777" w:rsidR="00EB74AE" w:rsidRDefault="00EB74AE" w:rsidP="00C7336E">
            <w:pPr>
              <w:jc w:val="center"/>
              <w:rPr>
                <w:sz w:val="20"/>
                <w:szCs w:val="20"/>
              </w:rPr>
            </w:pPr>
            <w:r>
              <w:rPr>
                <w:sz w:val="20"/>
                <w:szCs w:val="20"/>
              </w:rPr>
              <w:t>92</w:t>
            </w:r>
          </w:p>
        </w:tc>
        <w:tc>
          <w:tcPr>
            <w:tcW w:w="2458" w:type="pct"/>
            <w:tcBorders>
              <w:top w:val="single" w:sz="4" w:space="0" w:color="auto"/>
              <w:left w:val="single" w:sz="4" w:space="0" w:color="auto"/>
              <w:bottom w:val="single" w:sz="4" w:space="0" w:color="auto"/>
              <w:right w:val="single" w:sz="4" w:space="0" w:color="auto"/>
            </w:tcBorders>
            <w:hideMark/>
          </w:tcPr>
          <w:p w14:paraId="40DA26BE" w14:textId="77777777" w:rsidR="00EB74AE" w:rsidRDefault="00EB74AE" w:rsidP="00C7336E">
            <w:pPr>
              <w:jc w:val="center"/>
              <w:rPr>
                <w:sz w:val="20"/>
                <w:szCs w:val="20"/>
              </w:rPr>
            </w:pPr>
            <w:r>
              <w:rPr>
                <w:sz w:val="20"/>
                <w:szCs w:val="20"/>
              </w:rPr>
              <w:t>88</w:t>
            </w:r>
          </w:p>
        </w:tc>
      </w:tr>
      <w:tr w:rsidR="00EB74AE" w14:paraId="333037C6" w14:textId="77777777" w:rsidTr="00484162">
        <w:trPr>
          <w:trHeight w:val="277"/>
        </w:trPr>
        <w:tc>
          <w:tcPr>
            <w:tcW w:w="1255" w:type="pct"/>
            <w:tcBorders>
              <w:top w:val="single" w:sz="4" w:space="0" w:color="auto"/>
              <w:left w:val="single" w:sz="4" w:space="0" w:color="auto"/>
              <w:bottom w:val="single" w:sz="4" w:space="0" w:color="auto"/>
              <w:right w:val="single" w:sz="4" w:space="0" w:color="auto"/>
            </w:tcBorders>
            <w:hideMark/>
          </w:tcPr>
          <w:p w14:paraId="70843B01" w14:textId="77777777" w:rsidR="00EB74AE" w:rsidRDefault="00EB74AE" w:rsidP="00C7336E">
            <w:pPr>
              <w:rPr>
                <w:sz w:val="20"/>
                <w:szCs w:val="20"/>
              </w:rPr>
            </w:pPr>
            <w:r>
              <w:rPr>
                <w:sz w:val="20"/>
                <w:szCs w:val="20"/>
              </w:rPr>
              <w:t>Gliptin</w:t>
            </w:r>
          </w:p>
        </w:tc>
        <w:tc>
          <w:tcPr>
            <w:tcW w:w="1287" w:type="pct"/>
            <w:tcBorders>
              <w:top w:val="single" w:sz="4" w:space="0" w:color="auto"/>
              <w:left w:val="single" w:sz="4" w:space="0" w:color="auto"/>
              <w:bottom w:val="single" w:sz="4" w:space="0" w:color="auto"/>
              <w:right w:val="single" w:sz="4" w:space="0" w:color="auto"/>
            </w:tcBorders>
            <w:hideMark/>
          </w:tcPr>
          <w:p w14:paraId="1BD885AF" w14:textId="77777777" w:rsidR="00EB74AE" w:rsidRDefault="00EB74AE" w:rsidP="00C7336E">
            <w:pPr>
              <w:jc w:val="center"/>
              <w:rPr>
                <w:sz w:val="20"/>
                <w:szCs w:val="20"/>
              </w:rPr>
            </w:pPr>
            <w:r>
              <w:rPr>
                <w:sz w:val="20"/>
                <w:szCs w:val="20"/>
              </w:rPr>
              <w:t>29</w:t>
            </w:r>
          </w:p>
        </w:tc>
        <w:tc>
          <w:tcPr>
            <w:tcW w:w="2458" w:type="pct"/>
            <w:tcBorders>
              <w:top w:val="single" w:sz="4" w:space="0" w:color="auto"/>
              <w:left w:val="single" w:sz="4" w:space="0" w:color="auto"/>
              <w:bottom w:val="single" w:sz="4" w:space="0" w:color="auto"/>
              <w:right w:val="single" w:sz="4" w:space="0" w:color="auto"/>
            </w:tcBorders>
            <w:hideMark/>
          </w:tcPr>
          <w:p w14:paraId="5C8D48D7" w14:textId="77777777" w:rsidR="00EB74AE" w:rsidRDefault="00EB74AE" w:rsidP="00C7336E">
            <w:pPr>
              <w:jc w:val="center"/>
              <w:rPr>
                <w:sz w:val="20"/>
                <w:szCs w:val="20"/>
              </w:rPr>
            </w:pPr>
            <w:r>
              <w:rPr>
                <w:sz w:val="20"/>
                <w:szCs w:val="20"/>
              </w:rPr>
              <w:t>30</w:t>
            </w:r>
          </w:p>
        </w:tc>
      </w:tr>
      <w:tr w:rsidR="00EB74AE" w14:paraId="790B9590" w14:textId="77777777" w:rsidTr="00484162">
        <w:trPr>
          <w:trHeight w:val="277"/>
        </w:trPr>
        <w:tc>
          <w:tcPr>
            <w:tcW w:w="1255" w:type="pct"/>
            <w:tcBorders>
              <w:top w:val="single" w:sz="4" w:space="0" w:color="auto"/>
              <w:left w:val="single" w:sz="4" w:space="0" w:color="auto"/>
              <w:bottom w:val="single" w:sz="4" w:space="0" w:color="auto"/>
              <w:right w:val="single" w:sz="4" w:space="0" w:color="auto"/>
            </w:tcBorders>
            <w:hideMark/>
          </w:tcPr>
          <w:p w14:paraId="5BD86E56" w14:textId="77777777" w:rsidR="00EB74AE" w:rsidRDefault="00EB74AE" w:rsidP="00C7336E">
            <w:pPr>
              <w:rPr>
                <w:sz w:val="20"/>
                <w:szCs w:val="20"/>
              </w:rPr>
            </w:pPr>
            <w:r>
              <w:rPr>
                <w:sz w:val="20"/>
                <w:szCs w:val="20"/>
              </w:rPr>
              <w:t>Pioglitazone</w:t>
            </w:r>
          </w:p>
        </w:tc>
        <w:tc>
          <w:tcPr>
            <w:tcW w:w="1287" w:type="pct"/>
            <w:tcBorders>
              <w:top w:val="single" w:sz="4" w:space="0" w:color="auto"/>
              <w:left w:val="single" w:sz="4" w:space="0" w:color="auto"/>
              <w:bottom w:val="single" w:sz="4" w:space="0" w:color="auto"/>
              <w:right w:val="single" w:sz="4" w:space="0" w:color="auto"/>
            </w:tcBorders>
            <w:hideMark/>
          </w:tcPr>
          <w:p w14:paraId="190DB70E" w14:textId="77777777" w:rsidR="00EB74AE" w:rsidRDefault="00EB74AE" w:rsidP="00C7336E">
            <w:pPr>
              <w:jc w:val="center"/>
              <w:rPr>
                <w:sz w:val="20"/>
                <w:szCs w:val="20"/>
              </w:rPr>
            </w:pPr>
            <w:r>
              <w:rPr>
                <w:sz w:val="20"/>
                <w:szCs w:val="20"/>
              </w:rPr>
              <w:t>28</w:t>
            </w:r>
          </w:p>
        </w:tc>
        <w:tc>
          <w:tcPr>
            <w:tcW w:w="2458" w:type="pct"/>
            <w:tcBorders>
              <w:top w:val="single" w:sz="4" w:space="0" w:color="auto"/>
              <w:left w:val="single" w:sz="4" w:space="0" w:color="auto"/>
              <w:bottom w:val="single" w:sz="4" w:space="0" w:color="auto"/>
              <w:right w:val="single" w:sz="4" w:space="0" w:color="auto"/>
            </w:tcBorders>
            <w:hideMark/>
          </w:tcPr>
          <w:p w14:paraId="3E345772" w14:textId="77777777" w:rsidR="00EB74AE" w:rsidRDefault="00EB74AE" w:rsidP="00C7336E">
            <w:pPr>
              <w:jc w:val="center"/>
              <w:rPr>
                <w:sz w:val="20"/>
                <w:szCs w:val="20"/>
              </w:rPr>
            </w:pPr>
            <w:r>
              <w:rPr>
                <w:sz w:val="20"/>
                <w:szCs w:val="20"/>
              </w:rPr>
              <w:t>28</w:t>
            </w:r>
          </w:p>
        </w:tc>
      </w:tr>
      <w:tr w:rsidR="00EB74AE" w14:paraId="6F25C75F" w14:textId="77777777" w:rsidTr="00484162">
        <w:trPr>
          <w:trHeight w:val="277"/>
        </w:trPr>
        <w:tc>
          <w:tcPr>
            <w:tcW w:w="1255" w:type="pct"/>
            <w:tcBorders>
              <w:top w:val="single" w:sz="4" w:space="0" w:color="auto"/>
              <w:left w:val="single" w:sz="4" w:space="0" w:color="auto"/>
              <w:bottom w:val="single" w:sz="4" w:space="0" w:color="auto"/>
              <w:right w:val="single" w:sz="4" w:space="0" w:color="auto"/>
            </w:tcBorders>
            <w:hideMark/>
          </w:tcPr>
          <w:p w14:paraId="4C75BDC2" w14:textId="77777777" w:rsidR="00EB74AE" w:rsidRDefault="00EB74AE" w:rsidP="00C7336E">
            <w:pPr>
              <w:rPr>
                <w:sz w:val="20"/>
                <w:szCs w:val="20"/>
              </w:rPr>
            </w:pPr>
            <w:r>
              <w:rPr>
                <w:sz w:val="20"/>
                <w:szCs w:val="20"/>
              </w:rPr>
              <w:t>Exenatide</w:t>
            </w:r>
          </w:p>
        </w:tc>
        <w:tc>
          <w:tcPr>
            <w:tcW w:w="1287" w:type="pct"/>
            <w:tcBorders>
              <w:top w:val="single" w:sz="4" w:space="0" w:color="auto"/>
              <w:left w:val="single" w:sz="4" w:space="0" w:color="auto"/>
              <w:bottom w:val="single" w:sz="4" w:space="0" w:color="auto"/>
              <w:right w:val="single" w:sz="4" w:space="0" w:color="auto"/>
            </w:tcBorders>
            <w:hideMark/>
          </w:tcPr>
          <w:p w14:paraId="5BFD8C79" w14:textId="77777777" w:rsidR="00EB74AE" w:rsidRDefault="00EB74AE" w:rsidP="00C7336E">
            <w:pPr>
              <w:jc w:val="center"/>
              <w:rPr>
                <w:sz w:val="20"/>
                <w:szCs w:val="20"/>
              </w:rPr>
            </w:pPr>
            <w:r>
              <w:rPr>
                <w:sz w:val="20"/>
                <w:szCs w:val="20"/>
              </w:rPr>
              <w:t>32</w:t>
            </w:r>
          </w:p>
        </w:tc>
        <w:tc>
          <w:tcPr>
            <w:tcW w:w="2458" w:type="pct"/>
            <w:tcBorders>
              <w:top w:val="single" w:sz="4" w:space="0" w:color="auto"/>
              <w:left w:val="single" w:sz="4" w:space="0" w:color="auto"/>
              <w:bottom w:val="single" w:sz="4" w:space="0" w:color="auto"/>
              <w:right w:val="single" w:sz="4" w:space="0" w:color="auto"/>
            </w:tcBorders>
            <w:hideMark/>
          </w:tcPr>
          <w:p w14:paraId="2902E55C" w14:textId="77777777" w:rsidR="00EB74AE" w:rsidRDefault="00EB74AE" w:rsidP="00C7336E">
            <w:pPr>
              <w:jc w:val="center"/>
              <w:rPr>
                <w:sz w:val="20"/>
                <w:szCs w:val="20"/>
              </w:rPr>
            </w:pPr>
            <w:r>
              <w:rPr>
                <w:sz w:val="20"/>
                <w:szCs w:val="20"/>
              </w:rPr>
              <w:t>31</w:t>
            </w:r>
          </w:p>
        </w:tc>
      </w:tr>
      <w:tr w:rsidR="00EB74AE" w14:paraId="70F9AEB5" w14:textId="77777777" w:rsidTr="00484162">
        <w:trPr>
          <w:trHeight w:val="277"/>
        </w:trPr>
        <w:tc>
          <w:tcPr>
            <w:tcW w:w="1255" w:type="pct"/>
            <w:tcBorders>
              <w:top w:val="single" w:sz="4" w:space="0" w:color="auto"/>
              <w:left w:val="single" w:sz="4" w:space="0" w:color="auto"/>
              <w:bottom w:val="single" w:sz="4" w:space="0" w:color="auto"/>
              <w:right w:val="single" w:sz="4" w:space="0" w:color="auto"/>
            </w:tcBorders>
            <w:hideMark/>
          </w:tcPr>
          <w:p w14:paraId="175E7642" w14:textId="565D59E8" w:rsidR="00EB74AE" w:rsidRDefault="00EB74AE" w:rsidP="00C7336E">
            <w:pPr>
              <w:rPr>
                <w:sz w:val="20"/>
                <w:szCs w:val="20"/>
              </w:rPr>
            </w:pPr>
            <w:r>
              <w:rPr>
                <w:sz w:val="20"/>
                <w:szCs w:val="20"/>
              </w:rPr>
              <w:t>SGLT2</w:t>
            </w:r>
          </w:p>
        </w:tc>
        <w:tc>
          <w:tcPr>
            <w:tcW w:w="1287" w:type="pct"/>
            <w:tcBorders>
              <w:top w:val="single" w:sz="4" w:space="0" w:color="auto"/>
              <w:left w:val="single" w:sz="4" w:space="0" w:color="auto"/>
              <w:bottom w:val="single" w:sz="4" w:space="0" w:color="auto"/>
              <w:right w:val="single" w:sz="4" w:space="0" w:color="auto"/>
            </w:tcBorders>
            <w:hideMark/>
          </w:tcPr>
          <w:p w14:paraId="1DEB8770" w14:textId="77777777" w:rsidR="00EB74AE" w:rsidRDefault="00EB74AE" w:rsidP="00C7336E">
            <w:pPr>
              <w:jc w:val="center"/>
              <w:rPr>
                <w:sz w:val="20"/>
                <w:szCs w:val="20"/>
              </w:rPr>
            </w:pPr>
            <w:r>
              <w:rPr>
                <w:sz w:val="20"/>
                <w:szCs w:val="20"/>
              </w:rPr>
              <w:t>29</w:t>
            </w:r>
          </w:p>
        </w:tc>
        <w:tc>
          <w:tcPr>
            <w:tcW w:w="2458" w:type="pct"/>
            <w:tcBorders>
              <w:top w:val="single" w:sz="4" w:space="0" w:color="auto"/>
              <w:left w:val="single" w:sz="4" w:space="0" w:color="auto"/>
              <w:bottom w:val="single" w:sz="4" w:space="0" w:color="auto"/>
              <w:right w:val="single" w:sz="4" w:space="0" w:color="auto"/>
            </w:tcBorders>
            <w:hideMark/>
          </w:tcPr>
          <w:p w14:paraId="6FB795C6" w14:textId="77777777" w:rsidR="00EB74AE" w:rsidRDefault="00EB74AE" w:rsidP="00C7336E">
            <w:pPr>
              <w:jc w:val="center"/>
              <w:rPr>
                <w:sz w:val="20"/>
                <w:szCs w:val="20"/>
              </w:rPr>
            </w:pPr>
            <w:r>
              <w:rPr>
                <w:sz w:val="20"/>
                <w:szCs w:val="20"/>
              </w:rPr>
              <w:t>NA</w:t>
            </w:r>
          </w:p>
        </w:tc>
      </w:tr>
      <w:tr w:rsidR="00EB74AE" w14:paraId="318A9FBD" w14:textId="77777777" w:rsidTr="00484162">
        <w:trPr>
          <w:trHeight w:val="277"/>
        </w:trPr>
        <w:tc>
          <w:tcPr>
            <w:tcW w:w="1255" w:type="pct"/>
            <w:tcBorders>
              <w:top w:val="single" w:sz="4" w:space="0" w:color="auto"/>
              <w:left w:val="single" w:sz="4" w:space="0" w:color="auto"/>
              <w:bottom w:val="single" w:sz="4" w:space="0" w:color="auto"/>
              <w:right w:val="single" w:sz="4" w:space="0" w:color="auto"/>
            </w:tcBorders>
            <w:hideMark/>
          </w:tcPr>
          <w:p w14:paraId="35B0579B" w14:textId="4A5D6CD3" w:rsidR="00EB74AE" w:rsidRDefault="00EB74AE" w:rsidP="00C7336E">
            <w:pPr>
              <w:rPr>
                <w:sz w:val="20"/>
                <w:szCs w:val="20"/>
              </w:rPr>
            </w:pPr>
            <w:r>
              <w:rPr>
                <w:sz w:val="20"/>
                <w:szCs w:val="20"/>
              </w:rPr>
              <w:t>Met + Sulf FDC</w:t>
            </w:r>
          </w:p>
        </w:tc>
        <w:tc>
          <w:tcPr>
            <w:tcW w:w="1287" w:type="pct"/>
            <w:tcBorders>
              <w:top w:val="single" w:sz="4" w:space="0" w:color="auto"/>
              <w:left w:val="single" w:sz="4" w:space="0" w:color="auto"/>
              <w:bottom w:val="single" w:sz="4" w:space="0" w:color="auto"/>
              <w:right w:val="single" w:sz="4" w:space="0" w:color="auto"/>
            </w:tcBorders>
            <w:hideMark/>
          </w:tcPr>
          <w:p w14:paraId="491DA6E8" w14:textId="77777777" w:rsidR="00EB74AE" w:rsidRDefault="00EB74AE" w:rsidP="00C7336E">
            <w:pPr>
              <w:jc w:val="center"/>
              <w:rPr>
                <w:sz w:val="20"/>
                <w:szCs w:val="20"/>
              </w:rPr>
            </w:pPr>
            <w:r>
              <w:rPr>
                <w:sz w:val="20"/>
                <w:szCs w:val="20"/>
              </w:rPr>
              <w:t>30</w:t>
            </w:r>
          </w:p>
        </w:tc>
        <w:tc>
          <w:tcPr>
            <w:tcW w:w="2458" w:type="pct"/>
            <w:tcBorders>
              <w:top w:val="single" w:sz="4" w:space="0" w:color="auto"/>
              <w:left w:val="single" w:sz="4" w:space="0" w:color="auto"/>
              <w:bottom w:val="single" w:sz="4" w:space="0" w:color="auto"/>
              <w:right w:val="single" w:sz="4" w:space="0" w:color="auto"/>
            </w:tcBorders>
            <w:hideMark/>
          </w:tcPr>
          <w:p w14:paraId="1198E4B5" w14:textId="77777777" w:rsidR="00EB74AE" w:rsidRDefault="00EB74AE" w:rsidP="00C7336E">
            <w:pPr>
              <w:jc w:val="center"/>
              <w:rPr>
                <w:sz w:val="20"/>
                <w:szCs w:val="20"/>
              </w:rPr>
            </w:pPr>
            <w:r>
              <w:rPr>
                <w:sz w:val="20"/>
                <w:szCs w:val="20"/>
              </w:rPr>
              <w:t>29</w:t>
            </w:r>
          </w:p>
        </w:tc>
      </w:tr>
      <w:tr w:rsidR="00EB74AE" w14:paraId="51DB71F7" w14:textId="77777777" w:rsidTr="00484162">
        <w:trPr>
          <w:trHeight w:val="277"/>
        </w:trPr>
        <w:tc>
          <w:tcPr>
            <w:tcW w:w="1255" w:type="pct"/>
            <w:tcBorders>
              <w:top w:val="single" w:sz="4" w:space="0" w:color="auto"/>
              <w:left w:val="single" w:sz="4" w:space="0" w:color="auto"/>
              <w:bottom w:val="single" w:sz="4" w:space="0" w:color="auto"/>
              <w:right w:val="single" w:sz="4" w:space="0" w:color="auto"/>
            </w:tcBorders>
            <w:hideMark/>
          </w:tcPr>
          <w:p w14:paraId="2E1EE10A" w14:textId="77777777" w:rsidR="00EB74AE" w:rsidRDefault="00EB74AE" w:rsidP="00C7336E">
            <w:pPr>
              <w:rPr>
                <w:sz w:val="20"/>
                <w:szCs w:val="20"/>
              </w:rPr>
            </w:pPr>
            <w:r>
              <w:rPr>
                <w:sz w:val="20"/>
                <w:szCs w:val="20"/>
              </w:rPr>
              <w:t>Acarbose</w:t>
            </w:r>
          </w:p>
        </w:tc>
        <w:tc>
          <w:tcPr>
            <w:tcW w:w="1287" w:type="pct"/>
            <w:tcBorders>
              <w:top w:val="single" w:sz="4" w:space="0" w:color="auto"/>
              <w:left w:val="single" w:sz="4" w:space="0" w:color="auto"/>
              <w:bottom w:val="single" w:sz="4" w:space="0" w:color="auto"/>
              <w:right w:val="single" w:sz="4" w:space="0" w:color="auto"/>
            </w:tcBorders>
            <w:hideMark/>
          </w:tcPr>
          <w:p w14:paraId="71AC0C21" w14:textId="77777777" w:rsidR="00EB74AE" w:rsidRDefault="00EB74AE" w:rsidP="00C7336E">
            <w:pPr>
              <w:jc w:val="center"/>
              <w:rPr>
                <w:sz w:val="20"/>
                <w:szCs w:val="20"/>
              </w:rPr>
            </w:pPr>
            <w:r>
              <w:rPr>
                <w:sz w:val="20"/>
                <w:szCs w:val="20"/>
              </w:rPr>
              <w:t>31</w:t>
            </w:r>
          </w:p>
        </w:tc>
        <w:tc>
          <w:tcPr>
            <w:tcW w:w="2458" w:type="pct"/>
            <w:tcBorders>
              <w:top w:val="single" w:sz="4" w:space="0" w:color="auto"/>
              <w:left w:val="single" w:sz="4" w:space="0" w:color="auto"/>
              <w:bottom w:val="single" w:sz="4" w:space="0" w:color="auto"/>
              <w:right w:val="single" w:sz="4" w:space="0" w:color="auto"/>
            </w:tcBorders>
            <w:hideMark/>
          </w:tcPr>
          <w:p w14:paraId="705A4379" w14:textId="77777777" w:rsidR="00EB74AE" w:rsidRDefault="00EB74AE" w:rsidP="00C7336E">
            <w:pPr>
              <w:jc w:val="center"/>
              <w:rPr>
                <w:sz w:val="20"/>
                <w:szCs w:val="20"/>
              </w:rPr>
            </w:pPr>
            <w:r>
              <w:rPr>
                <w:sz w:val="20"/>
                <w:szCs w:val="20"/>
              </w:rPr>
              <w:t>31</w:t>
            </w:r>
          </w:p>
        </w:tc>
      </w:tr>
      <w:tr w:rsidR="00EB74AE" w14:paraId="5ADD4506" w14:textId="77777777" w:rsidTr="00484162">
        <w:trPr>
          <w:trHeight w:val="277"/>
        </w:trPr>
        <w:tc>
          <w:tcPr>
            <w:tcW w:w="1255" w:type="pct"/>
            <w:tcBorders>
              <w:top w:val="single" w:sz="4" w:space="0" w:color="auto"/>
              <w:left w:val="single" w:sz="4" w:space="0" w:color="auto"/>
              <w:bottom w:val="single" w:sz="4" w:space="0" w:color="auto"/>
              <w:right w:val="single" w:sz="4" w:space="0" w:color="auto"/>
            </w:tcBorders>
            <w:hideMark/>
          </w:tcPr>
          <w:p w14:paraId="6AAFF80E" w14:textId="4F1B02B6" w:rsidR="00EB74AE" w:rsidRDefault="00EB74AE" w:rsidP="00C7336E">
            <w:pPr>
              <w:rPr>
                <w:sz w:val="20"/>
                <w:szCs w:val="20"/>
              </w:rPr>
            </w:pPr>
            <w:r>
              <w:rPr>
                <w:sz w:val="20"/>
                <w:szCs w:val="20"/>
              </w:rPr>
              <w:t>Met + Rosiglitazone FDC</w:t>
            </w:r>
          </w:p>
        </w:tc>
        <w:tc>
          <w:tcPr>
            <w:tcW w:w="1287" w:type="pct"/>
            <w:tcBorders>
              <w:top w:val="single" w:sz="4" w:space="0" w:color="auto"/>
              <w:left w:val="single" w:sz="4" w:space="0" w:color="auto"/>
              <w:bottom w:val="single" w:sz="4" w:space="0" w:color="auto"/>
              <w:right w:val="single" w:sz="4" w:space="0" w:color="auto"/>
            </w:tcBorders>
            <w:hideMark/>
          </w:tcPr>
          <w:p w14:paraId="7BCC1D6E" w14:textId="77777777" w:rsidR="00EB74AE" w:rsidRDefault="00EB74AE" w:rsidP="00C7336E">
            <w:pPr>
              <w:jc w:val="center"/>
              <w:rPr>
                <w:sz w:val="20"/>
                <w:szCs w:val="20"/>
              </w:rPr>
            </w:pPr>
            <w:r>
              <w:rPr>
                <w:sz w:val="20"/>
                <w:szCs w:val="20"/>
              </w:rPr>
              <w:t>29</w:t>
            </w:r>
          </w:p>
        </w:tc>
        <w:tc>
          <w:tcPr>
            <w:tcW w:w="2458" w:type="pct"/>
            <w:tcBorders>
              <w:top w:val="single" w:sz="4" w:space="0" w:color="auto"/>
              <w:left w:val="single" w:sz="4" w:space="0" w:color="auto"/>
              <w:bottom w:val="single" w:sz="4" w:space="0" w:color="auto"/>
              <w:right w:val="single" w:sz="4" w:space="0" w:color="auto"/>
            </w:tcBorders>
            <w:hideMark/>
          </w:tcPr>
          <w:p w14:paraId="6091F7D3" w14:textId="77777777" w:rsidR="00EB74AE" w:rsidRDefault="00EB74AE" w:rsidP="00C7336E">
            <w:pPr>
              <w:jc w:val="center"/>
              <w:rPr>
                <w:sz w:val="20"/>
                <w:szCs w:val="20"/>
              </w:rPr>
            </w:pPr>
            <w:r>
              <w:rPr>
                <w:sz w:val="20"/>
                <w:szCs w:val="20"/>
              </w:rPr>
              <w:t>29</w:t>
            </w:r>
          </w:p>
        </w:tc>
      </w:tr>
      <w:tr w:rsidR="00EB74AE" w14:paraId="5C6AC6C7" w14:textId="77777777" w:rsidTr="00484162">
        <w:trPr>
          <w:trHeight w:val="277"/>
        </w:trPr>
        <w:tc>
          <w:tcPr>
            <w:tcW w:w="1255" w:type="pct"/>
            <w:tcBorders>
              <w:top w:val="single" w:sz="4" w:space="0" w:color="auto"/>
              <w:left w:val="single" w:sz="4" w:space="0" w:color="auto"/>
              <w:bottom w:val="single" w:sz="4" w:space="0" w:color="auto"/>
              <w:right w:val="single" w:sz="4" w:space="0" w:color="auto"/>
            </w:tcBorders>
            <w:hideMark/>
          </w:tcPr>
          <w:p w14:paraId="75ADDC2E" w14:textId="77777777" w:rsidR="00EB74AE" w:rsidRDefault="00EB74AE" w:rsidP="00C7336E">
            <w:pPr>
              <w:rPr>
                <w:sz w:val="20"/>
                <w:szCs w:val="20"/>
              </w:rPr>
            </w:pPr>
            <w:r>
              <w:rPr>
                <w:sz w:val="20"/>
                <w:szCs w:val="20"/>
              </w:rPr>
              <w:t>Rosiglitazone</w:t>
            </w:r>
          </w:p>
        </w:tc>
        <w:tc>
          <w:tcPr>
            <w:tcW w:w="1287" w:type="pct"/>
            <w:tcBorders>
              <w:top w:val="single" w:sz="4" w:space="0" w:color="auto"/>
              <w:left w:val="single" w:sz="4" w:space="0" w:color="auto"/>
              <w:bottom w:val="single" w:sz="4" w:space="0" w:color="auto"/>
              <w:right w:val="single" w:sz="4" w:space="0" w:color="auto"/>
            </w:tcBorders>
            <w:hideMark/>
          </w:tcPr>
          <w:p w14:paraId="29E4CB38" w14:textId="77777777" w:rsidR="00EB74AE" w:rsidRDefault="00EB74AE" w:rsidP="00C7336E">
            <w:pPr>
              <w:jc w:val="center"/>
              <w:rPr>
                <w:sz w:val="20"/>
                <w:szCs w:val="20"/>
              </w:rPr>
            </w:pPr>
            <w:r>
              <w:rPr>
                <w:sz w:val="20"/>
                <w:szCs w:val="20"/>
              </w:rPr>
              <w:t>28</w:t>
            </w:r>
          </w:p>
        </w:tc>
        <w:tc>
          <w:tcPr>
            <w:tcW w:w="2458" w:type="pct"/>
            <w:tcBorders>
              <w:top w:val="single" w:sz="4" w:space="0" w:color="auto"/>
              <w:left w:val="single" w:sz="4" w:space="0" w:color="auto"/>
              <w:bottom w:val="single" w:sz="4" w:space="0" w:color="auto"/>
              <w:right w:val="single" w:sz="4" w:space="0" w:color="auto"/>
            </w:tcBorders>
            <w:hideMark/>
          </w:tcPr>
          <w:p w14:paraId="4954FC95" w14:textId="77777777" w:rsidR="00EB74AE" w:rsidRDefault="00EB74AE" w:rsidP="00C7336E">
            <w:pPr>
              <w:jc w:val="center"/>
              <w:rPr>
                <w:sz w:val="20"/>
                <w:szCs w:val="20"/>
              </w:rPr>
            </w:pPr>
            <w:r>
              <w:rPr>
                <w:sz w:val="20"/>
                <w:szCs w:val="20"/>
              </w:rPr>
              <w:t>28</w:t>
            </w:r>
          </w:p>
        </w:tc>
      </w:tr>
      <w:tr w:rsidR="00EB74AE" w14:paraId="6CB8C656" w14:textId="77777777" w:rsidTr="00484162">
        <w:trPr>
          <w:trHeight w:val="277"/>
        </w:trPr>
        <w:tc>
          <w:tcPr>
            <w:tcW w:w="1255" w:type="pct"/>
            <w:tcBorders>
              <w:top w:val="single" w:sz="4" w:space="0" w:color="auto"/>
              <w:left w:val="single" w:sz="4" w:space="0" w:color="auto"/>
              <w:bottom w:val="single" w:sz="4" w:space="0" w:color="auto"/>
              <w:right w:val="single" w:sz="4" w:space="0" w:color="auto"/>
            </w:tcBorders>
            <w:hideMark/>
          </w:tcPr>
          <w:p w14:paraId="0758BAA8" w14:textId="126FCB8B" w:rsidR="00EB74AE" w:rsidRDefault="00EB74AE" w:rsidP="00C7336E">
            <w:pPr>
              <w:rPr>
                <w:sz w:val="20"/>
                <w:szCs w:val="20"/>
              </w:rPr>
            </w:pPr>
            <w:r>
              <w:rPr>
                <w:sz w:val="20"/>
                <w:szCs w:val="20"/>
              </w:rPr>
              <w:t>Met+ SGLT2 FDC</w:t>
            </w:r>
          </w:p>
        </w:tc>
        <w:tc>
          <w:tcPr>
            <w:tcW w:w="1287" w:type="pct"/>
            <w:tcBorders>
              <w:top w:val="single" w:sz="4" w:space="0" w:color="auto"/>
              <w:left w:val="single" w:sz="4" w:space="0" w:color="auto"/>
              <w:bottom w:val="single" w:sz="4" w:space="0" w:color="auto"/>
              <w:right w:val="single" w:sz="4" w:space="0" w:color="auto"/>
            </w:tcBorders>
            <w:hideMark/>
          </w:tcPr>
          <w:p w14:paraId="71FD63E5" w14:textId="77777777" w:rsidR="00EB74AE" w:rsidRDefault="00EB74AE" w:rsidP="00C7336E">
            <w:pPr>
              <w:jc w:val="center"/>
              <w:rPr>
                <w:sz w:val="20"/>
                <w:szCs w:val="20"/>
              </w:rPr>
            </w:pPr>
            <w:r>
              <w:rPr>
                <w:sz w:val="20"/>
                <w:szCs w:val="20"/>
              </w:rPr>
              <w:t>29</w:t>
            </w:r>
          </w:p>
        </w:tc>
        <w:tc>
          <w:tcPr>
            <w:tcW w:w="2458" w:type="pct"/>
            <w:tcBorders>
              <w:top w:val="single" w:sz="4" w:space="0" w:color="auto"/>
              <w:left w:val="single" w:sz="4" w:space="0" w:color="auto"/>
              <w:bottom w:val="single" w:sz="4" w:space="0" w:color="auto"/>
              <w:right w:val="single" w:sz="4" w:space="0" w:color="auto"/>
            </w:tcBorders>
            <w:hideMark/>
          </w:tcPr>
          <w:p w14:paraId="20EE301F" w14:textId="77777777" w:rsidR="00EB74AE" w:rsidRDefault="00EB74AE" w:rsidP="00C7336E">
            <w:pPr>
              <w:jc w:val="center"/>
              <w:rPr>
                <w:sz w:val="20"/>
                <w:szCs w:val="20"/>
              </w:rPr>
            </w:pPr>
            <w:r>
              <w:rPr>
                <w:sz w:val="20"/>
                <w:szCs w:val="20"/>
              </w:rPr>
              <w:t>NA</w:t>
            </w:r>
          </w:p>
        </w:tc>
      </w:tr>
    </w:tbl>
    <w:p w14:paraId="2E507F21" w14:textId="77777777" w:rsidR="00EB74AE" w:rsidRPr="0010428C" w:rsidRDefault="00EB74AE" w:rsidP="00C7336E">
      <w:pPr>
        <w:spacing w:before="240" w:line="240" w:lineRule="auto"/>
      </w:pPr>
    </w:p>
    <w:sectPr w:rsidR="00EB74AE" w:rsidRPr="001042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4F0C" w14:textId="77777777" w:rsidR="00C7582F" w:rsidRDefault="00C7582F" w:rsidP="006B6EDC">
      <w:pPr>
        <w:spacing w:after="0" w:line="240" w:lineRule="auto"/>
      </w:pPr>
      <w:r>
        <w:separator/>
      </w:r>
    </w:p>
  </w:endnote>
  <w:endnote w:type="continuationSeparator" w:id="0">
    <w:p w14:paraId="4BCC4142" w14:textId="77777777" w:rsidR="00C7582F" w:rsidRDefault="00C7582F" w:rsidP="006B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Times New Roman"/>
    <w:charset w:val="00"/>
    <w:family w:val="auto"/>
    <w:pitch w:val="variable"/>
    <w:sig w:usb0="80000063" w:usb1="00000000" w:usb2="00000000" w:usb3="00000000" w:csb0="000001FB"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635252"/>
      <w:docPartObj>
        <w:docPartGallery w:val="Page Numbers (Bottom of Page)"/>
        <w:docPartUnique/>
      </w:docPartObj>
    </w:sdtPr>
    <w:sdtEndPr>
      <w:rPr>
        <w:noProof/>
      </w:rPr>
    </w:sdtEndPr>
    <w:sdtContent>
      <w:sdt>
        <w:sdtPr>
          <w:id w:val="-1220733839"/>
          <w:docPartObj>
            <w:docPartGallery w:val="Page Numbers (Bottom of Page)"/>
            <w:docPartUnique/>
          </w:docPartObj>
        </w:sdtPr>
        <w:sdtEndPr>
          <w:rPr>
            <w:i/>
            <w:sz w:val="20"/>
            <w:szCs w:val="20"/>
          </w:rPr>
        </w:sdtEndPr>
        <w:sdtContent>
          <w:sdt>
            <w:sdtPr>
              <w:rPr>
                <w:i/>
                <w:sz w:val="20"/>
                <w:szCs w:val="20"/>
              </w:rPr>
              <w:id w:val="-1669238322"/>
              <w:docPartObj>
                <w:docPartGallery w:val="Page Numbers (Top of Page)"/>
                <w:docPartUnique/>
              </w:docPartObj>
            </w:sdtPr>
            <w:sdtEndPr/>
            <w:sdtContent>
              <w:p w14:paraId="7DCA217D" w14:textId="44F85A52" w:rsidR="00CE652F" w:rsidRDefault="00CE652F" w:rsidP="00CE652F">
                <w:pPr>
                  <w:pStyle w:val="Footer"/>
                  <w:jc w:val="center"/>
                  <w:rPr>
                    <w:i/>
                    <w:sz w:val="20"/>
                    <w:szCs w:val="20"/>
                  </w:rPr>
                </w:pPr>
                <w:r>
                  <w:rPr>
                    <w:i/>
                    <w:sz w:val="20"/>
                    <w:szCs w:val="20"/>
                  </w:rPr>
                  <w:t xml:space="preserve"> </w:t>
                </w:r>
              </w:p>
              <w:sdt>
                <w:sdtPr>
                  <w:id w:val="1273359919"/>
                  <w:docPartObj>
                    <w:docPartGallery w:val="Page Numbers (Bottom of Page)"/>
                    <w:docPartUnique/>
                  </w:docPartObj>
                </w:sdtPr>
                <w:sdtEndPr/>
                <w:sdtContent>
                  <w:sdt>
                    <w:sdtPr>
                      <w:id w:val="-71440196"/>
                      <w:docPartObj>
                        <w:docPartGallery w:val="Page Numbers (Top of Page)"/>
                        <w:docPartUnique/>
                      </w:docPartObj>
                    </w:sdtPr>
                    <w:sdtEndPr/>
                    <w:sdtContent>
                      <w:p w14:paraId="73F553E3" w14:textId="693A5D89" w:rsidR="00CE652F" w:rsidRPr="00883C3A" w:rsidRDefault="00CE652F" w:rsidP="00CE652F">
                        <w:pPr>
                          <w:pStyle w:val="Footer"/>
                          <w:jc w:val="center"/>
                          <w:rPr>
                            <w:i/>
                            <w:iCs/>
                            <w:sz w:val="20"/>
                            <w:szCs w:val="20"/>
                          </w:rPr>
                        </w:pPr>
                        <w:r w:rsidRPr="00883C3A">
                          <w:rPr>
                            <w:i/>
                            <w:iCs/>
                            <w:sz w:val="20"/>
                            <w:szCs w:val="20"/>
                          </w:rPr>
                          <w:t xml:space="preserve">Public Release Document, </w:t>
                        </w:r>
                        <w:r>
                          <w:rPr>
                            <w:i/>
                            <w:iCs/>
                            <w:sz w:val="20"/>
                            <w:szCs w:val="20"/>
                          </w:rPr>
                          <w:t>September</w:t>
                        </w:r>
                        <w:r w:rsidRPr="00883C3A">
                          <w:rPr>
                            <w:i/>
                            <w:iCs/>
                            <w:sz w:val="20"/>
                            <w:szCs w:val="20"/>
                          </w:rPr>
                          <w:t xml:space="preserve"> 202</w:t>
                        </w:r>
                        <w:r>
                          <w:rPr>
                            <w:i/>
                            <w:iCs/>
                            <w:sz w:val="20"/>
                            <w:szCs w:val="20"/>
                          </w:rPr>
                          <w:t>2</w:t>
                        </w:r>
                        <w:r w:rsidRPr="00883C3A">
                          <w:rPr>
                            <w:i/>
                            <w:iCs/>
                            <w:sz w:val="20"/>
                            <w:szCs w:val="20"/>
                          </w:rPr>
                          <w:t xml:space="preserve"> DUSC Meeting</w:t>
                        </w:r>
                      </w:p>
                      <w:p w14:paraId="25A00F7F" w14:textId="77777777" w:rsidR="00CE652F" w:rsidRDefault="00CE652F" w:rsidP="00CE652F">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proofErr w:type="gramStart"/>
                        <w:r>
                          <w:rPr>
                            <w:bCs/>
                            <w:i/>
                            <w:sz w:val="20"/>
                          </w:rPr>
                          <w:t>6</w:t>
                        </w:r>
                        <w:proofErr w:type="gramEnd"/>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sz w:val="20"/>
                          </w:rPr>
                          <w:t>35</w:t>
                        </w:r>
                        <w:r w:rsidRPr="00DD188C">
                          <w:rPr>
                            <w:bCs/>
                            <w:i/>
                            <w:sz w:val="20"/>
                          </w:rPr>
                          <w:fldChar w:fldCharType="end"/>
                        </w:r>
                      </w:p>
                    </w:sdtContent>
                  </w:sdt>
                </w:sdtContent>
              </w:sdt>
              <w:p w14:paraId="06A3FB75" w14:textId="087F4180" w:rsidR="007A2B0D" w:rsidRPr="00CE652F" w:rsidRDefault="00F873F3" w:rsidP="00DA5C02">
                <w:pPr>
                  <w:pStyle w:val="Footer"/>
                  <w:jc w:val="center"/>
                  <w:rPr>
                    <w:rStyle w:val="PageNumber"/>
                    <w:i/>
                    <w:sz w:val="20"/>
                    <w:szCs w:val="20"/>
                  </w:rPr>
                </w:pPr>
              </w:p>
            </w:sdtContent>
          </w:sdt>
        </w:sdtContent>
      </w:sdt>
      <w:p w14:paraId="0AAC41E7" w14:textId="5BF263C9" w:rsidR="007A2B0D" w:rsidRDefault="00F873F3">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3796" w14:textId="77777777" w:rsidR="00C7582F" w:rsidRDefault="00C7582F" w:rsidP="006B6EDC">
      <w:pPr>
        <w:spacing w:after="0" w:line="240" w:lineRule="auto"/>
      </w:pPr>
      <w:r>
        <w:separator/>
      </w:r>
    </w:p>
  </w:footnote>
  <w:footnote w:type="continuationSeparator" w:id="0">
    <w:p w14:paraId="59230253" w14:textId="77777777" w:rsidR="00C7582F" w:rsidRDefault="00C7582F" w:rsidP="006B6EDC">
      <w:pPr>
        <w:spacing w:after="0" w:line="240" w:lineRule="auto"/>
      </w:pPr>
      <w:r>
        <w:continuationSeparator/>
      </w:r>
    </w:p>
  </w:footnote>
  <w:footnote w:id="1">
    <w:p w14:paraId="70D47D69" w14:textId="1F069D1E" w:rsidR="00E854BB" w:rsidRPr="006161B4" w:rsidRDefault="00E854BB">
      <w:pPr>
        <w:pStyle w:val="FootnoteText"/>
        <w:rPr>
          <w:rFonts w:asciiTheme="minorHAnsi" w:hAnsiTheme="minorHAnsi" w:cstheme="minorHAnsi"/>
        </w:rPr>
      </w:pPr>
      <w:r w:rsidRPr="006161B4">
        <w:rPr>
          <w:rStyle w:val="FootnoteReference"/>
          <w:rFonts w:asciiTheme="minorHAnsi" w:hAnsiTheme="minorHAnsi" w:cstheme="minorHAnsi"/>
        </w:rPr>
        <w:footnoteRef/>
      </w:r>
      <w:r w:rsidRPr="006161B4">
        <w:rPr>
          <w:rFonts w:asciiTheme="minorHAnsi" w:hAnsiTheme="minorHAnsi" w:cstheme="minorHAnsi"/>
        </w:rPr>
        <w:t xml:space="preserve"> </w:t>
      </w:r>
      <w:hyperlink r:id="rId1" w:history="1">
        <w:r w:rsidR="000467E3" w:rsidRPr="000467E3">
          <w:rPr>
            <w:rStyle w:val="Hyperlink"/>
            <w:rFonts w:asciiTheme="minorHAnsi" w:hAnsiTheme="minorHAnsi" w:cstheme="minorHAnsi"/>
          </w:rPr>
          <w:t>Ozempic® (semaglutide). Australian Approved Product Information</w:t>
        </w:r>
      </w:hyperlink>
      <w:r w:rsidR="000467E3">
        <w:rPr>
          <w:rFonts w:asciiTheme="minorHAnsi" w:hAnsiTheme="minorHAnsi" w:cstheme="minorHAnsi"/>
        </w:rPr>
        <w:t xml:space="preserve">. </w:t>
      </w:r>
      <w:r w:rsidR="00A33AED">
        <w:rPr>
          <w:rFonts w:asciiTheme="minorHAnsi" w:hAnsiTheme="minorHAnsi" w:cstheme="minorHAnsi"/>
        </w:rPr>
        <w:t xml:space="preserve">Sydney: </w:t>
      </w:r>
      <w:r w:rsidR="00FE0CDC">
        <w:rPr>
          <w:rFonts w:asciiTheme="minorHAnsi" w:hAnsiTheme="minorHAnsi" w:cstheme="minorHAnsi"/>
        </w:rPr>
        <w:t>Novo Nordisk Pharmaceuticals Pty Ltd</w:t>
      </w:r>
      <w:r w:rsidR="000467E3">
        <w:rPr>
          <w:rFonts w:asciiTheme="minorHAnsi" w:hAnsiTheme="minorHAnsi" w:cstheme="minorHAnsi"/>
        </w:rPr>
        <w:t>. Approved 28 August 2019</w:t>
      </w:r>
      <w:r w:rsidRPr="006161B4">
        <w:rPr>
          <w:rFonts w:asciiTheme="minorHAnsi" w:hAnsiTheme="minorHAnsi" w:cstheme="minorHAnsi"/>
        </w:rPr>
        <w:t xml:space="preserve">. </w:t>
      </w:r>
    </w:p>
  </w:footnote>
  <w:footnote w:id="2">
    <w:p w14:paraId="4DBD7F32" w14:textId="41180599" w:rsidR="00FE0CDC" w:rsidRPr="00FE0CDC" w:rsidRDefault="00FE0CDC">
      <w:pPr>
        <w:pStyle w:val="FootnoteText"/>
        <w:rPr>
          <w:rFonts w:asciiTheme="minorHAnsi" w:hAnsiTheme="minorHAnsi" w:cstheme="minorHAnsi"/>
        </w:rPr>
      </w:pPr>
      <w:r w:rsidRPr="00FE0CDC">
        <w:rPr>
          <w:rStyle w:val="FootnoteReference"/>
          <w:rFonts w:asciiTheme="minorHAnsi" w:hAnsiTheme="minorHAnsi" w:cstheme="minorHAnsi"/>
        </w:rPr>
        <w:footnoteRef/>
      </w:r>
      <w:r w:rsidRPr="00FE0CDC">
        <w:rPr>
          <w:rFonts w:asciiTheme="minorHAnsi" w:hAnsiTheme="minorHAnsi" w:cstheme="minorHAnsi"/>
        </w:rPr>
        <w:t xml:space="preserve"> NG E et al. </w:t>
      </w:r>
      <w:hyperlink r:id="rId2" w:history="1">
        <w:r w:rsidRPr="00FE0CDC">
          <w:rPr>
            <w:rStyle w:val="Hyperlink"/>
            <w:rFonts w:asciiTheme="minorHAnsi" w:hAnsiTheme="minorHAnsi" w:cstheme="minorHAnsi"/>
          </w:rPr>
          <w:t>Glucagon-like peptide-1 receptor agonist (GLP1-RA) therapy in type 2 diabetes</w:t>
        </w:r>
      </w:hyperlink>
      <w:r w:rsidRPr="00FE0CDC">
        <w:rPr>
          <w:rFonts w:asciiTheme="minorHAnsi" w:hAnsiTheme="minorHAnsi" w:cstheme="minorHAnsi"/>
        </w:rPr>
        <w:t>. Australian Journal of General Practice. July 2022; 51(7).</w:t>
      </w:r>
    </w:p>
  </w:footnote>
  <w:footnote w:id="3">
    <w:p w14:paraId="5BCFD970" w14:textId="23AD2A63" w:rsidR="00A75C6E" w:rsidRDefault="00A75C6E">
      <w:pPr>
        <w:pStyle w:val="FootnoteText"/>
      </w:pPr>
      <w:r w:rsidRPr="006161B4">
        <w:rPr>
          <w:rStyle w:val="FootnoteReference"/>
          <w:rFonts w:asciiTheme="minorHAnsi" w:hAnsiTheme="minorHAnsi" w:cstheme="minorHAnsi"/>
        </w:rPr>
        <w:footnoteRef/>
      </w:r>
      <w:r w:rsidRPr="006161B4">
        <w:rPr>
          <w:rFonts w:asciiTheme="minorHAnsi" w:hAnsiTheme="minorHAnsi" w:cstheme="minorHAnsi"/>
        </w:rPr>
        <w:t xml:space="preserve"> </w:t>
      </w:r>
      <w:hyperlink r:id="rId3" w:anchor="c_DBG_Sodium-glucose-co-transporter-2-inhibitors-for-adults-with-type-2-diabetes_topic_1" w:history="1">
        <w:r w:rsidRPr="006161B4">
          <w:rPr>
            <w:rStyle w:val="Hyperlink"/>
            <w:rFonts w:asciiTheme="minorHAnsi" w:hAnsiTheme="minorHAnsi" w:cstheme="minorHAnsi"/>
          </w:rPr>
          <w:t>Sodium-glucose co-transporter 2 inhibitors for adults with type 2 diabetes</w:t>
        </w:r>
      </w:hyperlink>
      <w:r w:rsidRPr="006161B4">
        <w:rPr>
          <w:rFonts w:asciiTheme="minorHAnsi" w:hAnsiTheme="minorHAnsi" w:cstheme="minorHAnsi"/>
        </w:rPr>
        <w:t xml:space="preserve">. Victoria, Australia: </w:t>
      </w:r>
      <w:r w:rsidR="006161B4" w:rsidRPr="006161B4">
        <w:rPr>
          <w:rFonts w:asciiTheme="minorHAnsi" w:hAnsiTheme="minorHAnsi" w:cstheme="minorHAnsi"/>
        </w:rPr>
        <w:t>Therape</w:t>
      </w:r>
      <w:r w:rsidR="006161B4">
        <w:rPr>
          <w:rFonts w:asciiTheme="minorHAnsi" w:hAnsiTheme="minorHAnsi" w:cstheme="minorHAnsi"/>
        </w:rPr>
        <w:t>ut</w:t>
      </w:r>
      <w:r w:rsidR="006161B4" w:rsidRPr="006161B4">
        <w:rPr>
          <w:rFonts w:asciiTheme="minorHAnsi" w:hAnsiTheme="minorHAnsi" w:cstheme="minorHAnsi"/>
        </w:rPr>
        <w:t>ic</w:t>
      </w:r>
      <w:r w:rsidRPr="006161B4">
        <w:rPr>
          <w:rFonts w:asciiTheme="minorHAnsi" w:hAnsiTheme="minorHAnsi" w:cstheme="minorHAnsi"/>
        </w:rPr>
        <w:t xml:space="preserve"> Guidelines; [cited 2022 Aug].</w:t>
      </w:r>
      <w:r>
        <w:t xml:space="preserve"> </w:t>
      </w:r>
    </w:p>
  </w:footnote>
  <w:footnote w:id="4">
    <w:p w14:paraId="511045EF" w14:textId="69E2DB1D" w:rsidR="006161B4" w:rsidRPr="006161B4" w:rsidRDefault="006161B4">
      <w:pPr>
        <w:pStyle w:val="FootnoteText"/>
        <w:rPr>
          <w:rFonts w:asciiTheme="minorHAnsi" w:hAnsiTheme="minorHAnsi" w:cstheme="minorHAnsi"/>
        </w:rPr>
      </w:pPr>
      <w:r w:rsidRPr="006161B4">
        <w:rPr>
          <w:rStyle w:val="FootnoteReference"/>
          <w:rFonts w:asciiTheme="minorHAnsi" w:hAnsiTheme="minorHAnsi" w:cstheme="minorHAnsi"/>
        </w:rPr>
        <w:footnoteRef/>
      </w:r>
      <w:r w:rsidRPr="006161B4">
        <w:rPr>
          <w:rFonts w:asciiTheme="minorHAnsi" w:hAnsiTheme="minorHAnsi" w:cstheme="minorHAnsi"/>
        </w:rPr>
        <w:t xml:space="preserve"> Zala A, et al. </w:t>
      </w:r>
      <w:hyperlink r:id="rId4" w:history="1">
        <w:r w:rsidRPr="006161B4">
          <w:rPr>
            <w:rStyle w:val="Hyperlink"/>
            <w:rFonts w:asciiTheme="minorHAnsi" w:hAnsiTheme="minorHAnsi" w:cstheme="minorHAnsi"/>
          </w:rPr>
          <w:t>Current evidence and practical guidance for the use of sodium-glucose co-transporter-2 inhibitors in type 2 diabetes</w:t>
        </w:r>
      </w:hyperlink>
      <w:r w:rsidRPr="006161B4">
        <w:rPr>
          <w:rFonts w:asciiTheme="minorHAnsi" w:hAnsiTheme="minorHAnsi" w:cstheme="minorHAnsi"/>
        </w:rPr>
        <w:t>. Australian Journal of General Practice. April 2021; 50(4).</w:t>
      </w:r>
    </w:p>
  </w:footnote>
  <w:footnote w:id="5">
    <w:p w14:paraId="40763D35" w14:textId="7E43654E" w:rsidR="009239CE" w:rsidRPr="000467E3" w:rsidRDefault="009239CE">
      <w:pPr>
        <w:pStyle w:val="FootnoteText"/>
        <w:rPr>
          <w:rFonts w:asciiTheme="minorHAnsi" w:hAnsiTheme="minorHAnsi" w:cstheme="minorHAnsi"/>
        </w:rPr>
      </w:pPr>
      <w:r w:rsidRPr="000467E3">
        <w:rPr>
          <w:rStyle w:val="FootnoteReference"/>
          <w:rFonts w:asciiTheme="minorHAnsi" w:hAnsiTheme="minorHAnsi" w:cstheme="minorHAnsi"/>
        </w:rPr>
        <w:footnoteRef/>
      </w:r>
      <w:r w:rsidRPr="000467E3">
        <w:rPr>
          <w:rFonts w:asciiTheme="minorHAnsi" w:hAnsiTheme="minorHAnsi" w:cstheme="minorHAnsi"/>
        </w:rPr>
        <w:t xml:space="preserve"> Xia C, et al. </w:t>
      </w:r>
      <w:hyperlink r:id="rId5" w:history="1">
        <w:r w:rsidRPr="000467E3">
          <w:rPr>
            <w:rStyle w:val="Hyperlink"/>
            <w:rFonts w:asciiTheme="minorHAnsi" w:hAnsiTheme="minorHAnsi" w:cstheme="minorHAnsi"/>
          </w:rPr>
          <w:t>DPP4 inhibitors and cardiovascular outcomes: Safety on heart failure</w:t>
        </w:r>
      </w:hyperlink>
      <w:r w:rsidRPr="000467E3">
        <w:rPr>
          <w:rFonts w:asciiTheme="minorHAnsi" w:hAnsiTheme="minorHAnsi" w:cstheme="minorHAnsi"/>
        </w:rPr>
        <w:t>. Heart Failure Reviews. May 2017; 22(3):299-304.</w:t>
      </w:r>
    </w:p>
  </w:footnote>
  <w:footnote w:id="6">
    <w:p w14:paraId="54D77D4E" w14:textId="14F89270" w:rsidR="009239CE" w:rsidRDefault="009239CE">
      <w:pPr>
        <w:pStyle w:val="FootnoteText"/>
      </w:pPr>
      <w:r w:rsidRPr="000467E3">
        <w:rPr>
          <w:rStyle w:val="FootnoteReference"/>
          <w:rFonts w:asciiTheme="minorHAnsi" w:hAnsiTheme="minorHAnsi" w:cstheme="minorHAnsi"/>
        </w:rPr>
        <w:footnoteRef/>
      </w:r>
      <w:r w:rsidRPr="000467E3">
        <w:rPr>
          <w:rFonts w:asciiTheme="minorHAnsi" w:hAnsiTheme="minorHAnsi" w:cstheme="minorHAnsi"/>
        </w:rPr>
        <w:t xml:space="preserve"> Scheen AJ. </w:t>
      </w:r>
      <w:hyperlink r:id="rId6" w:history="1">
        <w:r w:rsidRPr="000467E3">
          <w:rPr>
            <w:rStyle w:val="Hyperlink"/>
            <w:rFonts w:asciiTheme="minorHAnsi" w:hAnsiTheme="minorHAnsi" w:cstheme="minorHAnsi"/>
          </w:rPr>
          <w:t>Cardiovascular effects of new oral glucose-lowering agents</w:t>
        </w:r>
      </w:hyperlink>
      <w:r w:rsidRPr="000467E3">
        <w:rPr>
          <w:rFonts w:asciiTheme="minorHAnsi" w:hAnsiTheme="minorHAnsi" w:cstheme="minorHAnsi"/>
        </w:rPr>
        <w:t>. Circulation Research</w:t>
      </w:r>
      <w:r w:rsidR="000467E3" w:rsidRPr="000467E3">
        <w:rPr>
          <w:rFonts w:asciiTheme="minorHAnsi" w:hAnsiTheme="minorHAnsi" w:cstheme="minorHAnsi"/>
        </w:rPr>
        <w:t>. May 2018; 122(10): 1439-59.</w:t>
      </w:r>
    </w:p>
  </w:footnote>
  <w:footnote w:id="7">
    <w:p w14:paraId="3C593386" w14:textId="24BF159F" w:rsidR="007A2B0D" w:rsidRPr="00E365D2" w:rsidRDefault="007A2B0D" w:rsidP="00E365D2">
      <w:pPr>
        <w:pStyle w:val="FootnoteText"/>
        <w:rPr>
          <w:rFonts w:asciiTheme="minorHAnsi" w:hAnsiTheme="minorHAnsi" w:cstheme="minorHAnsi"/>
        </w:rPr>
      </w:pPr>
      <w:r w:rsidRPr="00E365D2">
        <w:rPr>
          <w:rStyle w:val="FootnoteReference"/>
          <w:rFonts w:asciiTheme="minorHAnsi" w:hAnsiTheme="minorHAnsi" w:cstheme="minorHAnsi"/>
        </w:rPr>
        <w:footnoteRef/>
      </w:r>
      <w:r w:rsidRPr="00E365D2">
        <w:rPr>
          <w:rFonts w:asciiTheme="minorHAnsi" w:hAnsiTheme="minorHAnsi" w:cstheme="minorHAnsi"/>
        </w:rPr>
        <w:t xml:space="preserve"> </w:t>
      </w:r>
      <w:hyperlink r:id="rId7" w:history="1">
        <w:r w:rsidRPr="0036117E">
          <w:rPr>
            <w:rStyle w:val="Hyperlink"/>
            <w:rFonts w:asciiTheme="minorHAnsi" w:hAnsiTheme="minorHAnsi" w:cstheme="minorHAnsi"/>
          </w:rPr>
          <w:t>DUSC analysis</w:t>
        </w:r>
        <w:r w:rsidR="0036117E" w:rsidRPr="0036117E">
          <w:rPr>
            <w:rStyle w:val="Hyperlink"/>
            <w:rFonts w:asciiTheme="minorHAnsi" w:hAnsiTheme="minorHAnsi" w:cstheme="minorHAnsi"/>
          </w:rPr>
          <w:t>: Type 2 diabetes</w:t>
        </w:r>
      </w:hyperlink>
      <w:r w:rsidR="0036117E">
        <w:rPr>
          <w:rFonts w:asciiTheme="minorHAnsi" w:hAnsiTheme="minorHAnsi" w:cstheme="minorHAnsi"/>
        </w:rPr>
        <w:t>. Canberra: Department of Health and Age</w:t>
      </w:r>
      <w:r w:rsidR="00C753E2">
        <w:rPr>
          <w:rFonts w:asciiTheme="minorHAnsi" w:hAnsiTheme="minorHAnsi" w:cstheme="minorHAnsi"/>
        </w:rPr>
        <w:t>d Care</w:t>
      </w:r>
      <w:r w:rsidR="0036117E">
        <w:rPr>
          <w:rFonts w:asciiTheme="minorHAnsi" w:hAnsiTheme="minorHAnsi" w:cstheme="minorHAnsi"/>
        </w:rPr>
        <w:t xml:space="preserve">. </w:t>
      </w:r>
      <w:r w:rsidRPr="00E365D2">
        <w:rPr>
          <w:rFonts w:asciiTheme="minorHAnsi" w:hAnsiTheme="minorHAnsi" w:cstheme="minorHAnsi"/>
        </w:rPr>
        <w:t>October 2012 and February 2013.</w:t>
      </w:r>
    </w:p>
  </w:footnote>
  <w:footnote w:id="8">
    <w:p w14:paraId="0F779992" w14:textId="3864E8DF" w:rsidR="007A2B0D" w:rsidRPr="00E365D2" w:rsidRDefault="007A2B0D" w:rsidP="00E365D2">
      <w:pPr>
        <w:pStyle w:val="FootnoteText"/>
        <w:rPr>
          <w:rFonts w:asciiTheme="minorHAnsi" w:hAnsiTheme="minorHAnsi" w:cstheme="minorHAnsi"/>
        </w:rPr>
      </w:pPr>
      <w:r w:rsidRPr="00E365D2">
        <w:rPr>
          <w:rStyle w:val="FootnoteReference"/>
          <w:rFonts w:asciiTheme="minorHAnsi" w:hAnsiTheme="minorHAnsi" w:cstheme="minorHAnsi"/>
        </w:rPr>
        <w:footnoteRef/>
      </w:r>
      <w:r w:rsidRPr="00E365D2">
        <w:rPr>
          <w:rFonts w:asciiTheme="minorHAnsi" w:hAnsiTheme="minorHAnsi" w:cstheme="minorHAnsi"/>
        </w:rPr>
        <w:t xml:space="preserve"> </w:t>
      </w:r>
      <w:hyperlink r:id="rId8" w:history="1">
        <w:r w:rsidRPr="0036117E">
          <w:rPr>
            <w:rStyle w:val="Hyperlink"/>
            <w:rFonts w:asciiTheme="minorHAnsi" w:hAnsiTheme="minorHAnsi" w:cstheme="minorHAnsi"/>
          </w:rPr>
          <w:t>DUSC analysis</w:t>
        </w:r>
        <w:r w:rsidR="0036117E" w:rsidRPr="0036117E">
          <w:rPr>
            <w:rStyle w:val="Hyperlink"/>
            <w:rFonts w:asciiTheme="minorHAnsi" w:hAnsiTheme="minorHAnsi" w:cstheme="minorHAnsi"/>
          </w:rPr>
          <w:t>: Medicines for the treatment of diabetes</w:t>
        </w:r>
      </w:hyperlink>
      <w:r w:rsidRPr="00E365D2">
        <w:rPr>
          <w:rFonts w:asciiTheme="minorHAnsi" w:hAnsiTheme="minorHAnsi" w:cstheme="minorHAnsi"/>
        </w:rPr>
        <w:t xml:space="preserve">, </w:t>
      </w:r>
      <w:r w:rsidR="0036117E">
        <w:rPr>
          <w:rFonts w:asciiTheme="minorHAnsi" w:hAnsiTheme="minorHAnsi" w:cstheme="minorHAnsi"/>
        </w:rPr>
        <w:t>Canberra: Department of Health and Age</w:t>
      </w:r>
      <w:r w:rsidR="00C753E2">
        <w:rPr>
          <w:rFonts w:asciiTheme="minorHAnsi" w:hAnsiTheme="minorHAnsi" w:cstheme="minorHAnsi"/>
        </w:rPr>
        <w:t>d Care</w:t>
      </w:r>
      <w:r w:rsidR="0036117E">
        <w:rPr>
          <w:rFonts w:asciiTheme="minorHAnsi" w:hAnsiTheme="minorHAnsi" w:cstheme="minorHAnsi"/>
        </w:rPr>
        <w:t xml:space="preserve">. </w:t>
      </w:r>
      <w:r w:rsidRPr="00E365D2">
        <w:rPr>
          <w:rFonts w:asciiTheme="minorHAnsi" w:hAnsiTheme="minorHAnsi" w:cstheme="minorHAnsi"/>
        </w:rPr>
        <w:t>February 2017.</w:t>
      </w:r>
    </w:p>
  </w:footnote>
  <w:footnote w:id="9">
    <w:p w14:paraId="361C6B8A" w14:textId="72590963" w:rsidR="007A2B0D" w:rsidRPr="000F2480" w:rsidRDefault="007A2B0D">
      <w:pPr>
        <w:pStyle w:val="FootnoteText"/>
        <w:rPr>
          <w:rFonts w:asciiTheme="minorHAnsi" w:hAnsiTheme="minorHAnsi" w:cstheme="minorHAnsi"/>
        </w:rPr>
      </w:pPr>
      <w:r w:rsidRPr="000F2480">
        <w:rPr>
          <w:rStyle w:val="FootnoteReference"/>
          <w:rFonts w:asciiTheme="minorHAnsi" w:hAnsiTheme="minorHAnsi" w:cstheme="minorHAnsi"/>
        </w:rPr>
        <w:footnoteRef/>
      </w:r>
      <w:r w:rsidRPr="000F2480">
        <w:rPr>
          <w:rFonts w:asciiTheme="minorHAnsi" w:hAnsiTheme="minorHAnsi" w:cstheme="minorHAnsi"/>
        </w:rPr>
        <w:t xml:space="preserve"> </w:t>
      </w:r>
      <w:hyperlink r:id="rId9" w:history="1">
        <w:r w:rsidR="00930351">
          <w:rPr>
            <w:rStyle w:val="Hyperlink"/>
            <w:rFonts w:asciiTheme="minorHAnsi" w:hAnsiTheme="minorHAnsi" w:cstheme="minorHAnsi"/>
          </w:rPr>
          <w:t xml:space="preserve">Recommendations made by the PBAC - </w:t>
        </w:r>
        <w:r w:rsidRPr="000F2480">
          <w:rPr>
            <w:rStyle w:val="Hyperlink"/>
            <w:rFonts w:asciiTheme="minorHAnsi" w:hAnsiTheme="minorHAnsi" w:cstheme="minorHAnsi"/>
          </w:rPr>
          <w:t>March 2022</w:t>
        </w:r>
      </w:hyperlink>
      <w:r w:rsidRPr="000F2480">
        <w:rPr>
          <w:rFonts w:asciiTheme="minorHAnsi" w:hAnsiTheme="minorHAnsi" w:cstheme="minorHAnsi"/>
        </w:rPr>
        <w:t>.</w:t>
      </w:r>
      <w:r w:rsidR="00724B6F">
        <w:rPr>
          <w:rFonts w:asciiTheme="minorHAnsi" w:hAnsiTheme="minorHAnsi" w:cstheme="minorHAnsi"/>
        </w:rPr>
        <w:t xml:space="preserve"> Canberra: Department of Health and Age</w:t>
      </w:r>
      <w:r w:rsidR="00C753E2">
        <w:rPr>
          <w:rFonts w:asciiTheme="minorHAnsi" w:hAnsiTheme="minorHAnsi" w:cstheme="minorHAnsi"/>
        </w:rPr>
        <w:t>d Care</w:t>
      </w:r>
      <w:r w:rsidR="00724B6F">
        <w:rPr>
          <w:rFonts w:asciiTheme="minorHAnsi" w:hAnsiTheme="minorHAnsi" w:cstheme="minorHAnsi"/>
        </w:rPr>
        <w:t>.</w:t>
      </w:r>
      <w:r w:rsidR="00930351">
        <w:rPr>
          <w:rFonts w:asciiTheme="minorHAnsi" w:hAnsiTheme="minorHAnsi" w:cstheme="minorHAnsi"/>
        </w:rPr>
        <w:t xml:space="preserve"> 4 October 2022.</w:t>
      </w:r>
    </w:p>
  </w:footnote>
  <w:footnote w:id="10">
    <w:p w14:paraId="72D513D9" w14:textId="1F680F15" w:rsidR="007A2B0D" w:rsidRPr="00406CDA" w:rsidRDefault="007A2B0D">
      <w:pPr>
        <w:pStyle w:val="FootnoteText"/>
        <w:rPr>
          <w:rFonts w:asciiTheme="minorHAnsi" w:hAnsiTheme="minorHAnsi" w:cstheme="minorHAnsi"/>
        </w:rPr>
      </w:pPr>
      <w:r w:rsidRPr="00406CDA">
        <w:rPr>
          <w:rStyle w:val="FootnoteReference"/>
          <w:rFonts w:asciiTheme="minorHAnsi" w:hAnsiTheme="minorHAnsi" w:cstheme="minorHAnsi"/>
        </w:rPr>
        <w:footnoteRef/>
      </w:r>
      <w:r w:rsidRPr="00406CDA">
        <w:rPr>
          <w:rFonts w:asciiTheme="minorHAnsi" w:hAnsiTheme="minorHAnsi" w:cstheme="minorHAnsi"/>
        </w:rPr>
        <w:t xml:space="preserve"> </w:t>
      </w:r>
      <w:hyperlink r:id="rId10" w:history="1">
        <w:r w:rsidR="00930351">
          <w:rPr>
            <w:rStyle w:val="Hyperlink"/>
            <w:rFonts w:asciiTheme="minorHAnsi" w:hAnsiTheme="minorHAnsi" w:cstheme="minorHAnsi"/>
          </w:rPr>
          <w:t>Recommendations made by the PBAC</w:t>
        </w:r>
        <w:r w:rsidRPr="00406CDA">
          <w:rPr>
            <w:rStyle w:val="Hyperlink"/>
            <w:rFonts w:asciiTheme="minorHAnsi" w:hAnsiTheme="minorHAnsi" w:cstheme="minorHAnsi"/>
          </w:rPr>
          <w:t xml:space="preserve"> – July 2022</w:t>
        </w:r>
      </w:hyperlink>
      <w:r w:rsidRPr="00406CDA">
        <w:rPr>
          <w:rFonts w:asciiTheme="minorHAnsi" w:hAnsiTheme="minorHAnsi" w:cstheme="minorHAnsi"/>
        </w:rPr>
        <w:t>.</w:t>
      </w:r>
      <w:r w:rsidR="00724B6F">
        <w:rPr>
          <w:rFonts w:asciiTheme="minorHAnsi" w:hAnsiTheme="minorHAnsi" w:cstheme="minorHAnsi"/>
        </w:rPr>
        <w:t xml:space="preserve"> Canberra: Department of Health and Age</w:t>
      </w:r>
      <w:r w:rsidR="00C753E2">
        <w:rPr>
          <w:rFonts w:asciiTheme="minorHAnsi" w:hAnsiTheme="minorHAnsi" w:cstheme="minorHAnsi"/>
        </w:rPr>
        <w:t>d Care</w:t>
      </w:r>
      <w:r w:rsidR="00724B6F">
        <w:rPr>
          <w:rFonts w:asciiTheme="minorHAnsi" w:hAnsiTheme="minorHAnsi" w:cstheme="minorHAnsi"/>
        </w:rPr>
        <w:t>.</w:t>
      </w:r>
      <w:r w:rsidR="00930351">
        <w:rPr>
          <w:rFonts w:asciiTheme="minorHAnsi" w:hAnsiTheme="minorHAnsi" w:cstheme="minorHAnsi"/>
        </w:rPr>
        <w:t xml:space="preserve"> 16 November 2022.</w:t>
      </w:r>
    </w:p>
  </w:footnote>
  <w:footnote w:id="11">
    <w:p w14:paraId="11608763" w14:textId="6D98BBF4" w:rsidR="007A2B0D" w:rsidRPr="00C753E2" w:rsidRDefault="007A2B0D">
      <w:pPr>
        <w:pStyle w:val="FootnoteText"/>
        <w:rPr>
          <w:rFonts w:asciiTheme="minorHAnsi" w:hAnsiTheme="minorHAnsi" w:cstheme="minorHAnsi"/>
        </w:rPr>
      </w:pPr>
      <w:r w:rsidRPr="00234D0E">
        <w:rPr>
          <w:rStyle w:val="FootnoteReference"/>
          <w:rFonts w:asciiTheme="minorHAnsi" w:hAnsiTheme="minorHAnsi"/>
        </w:rPr>
        <w:footnoteRef/>
      </w:r>
      <w:r w:rsidRPr="00234D0E">
        <w:rPr>
          <w:rFonts w:asciiTheme="minorHAnsi" w:hAnsiTheme="minorHAnsi"/>
        </w:rPr>
        <w:t xml:space="preserve"> </w:t>
      </w:r>
      <w:hyperlink r:id="rId11" w:anchor="_Final-Report-Stage-3" w:history="1">
        <w:r w:rsidRPr="00234D0E">
          <w:rPr>
            <w:rStyle w:val="Hyperlink"/>
            <w:rFonts w:asciiTheme="minorHAnsi" w:hAnsiTheme="minorHAnsi"/>
          </w:rPr>
          <w:t>Post-market Review of Products used in the Management of Diabetes. Stage 3: Type 2 Diabetes Medicines</w:t>
        </w:r>
      </w:hyperlink>
      <w:r w:rsidRPr="00234D0E">
        <w:rPr>
          <w:rFonts w:asciiTheme="minorHAnsi" w:hAnsiTheme="minorHAnsi"/>
        </w:rPr>
        <w:t>.</w:t>
      </w:r>
      <w:r w:rsidR="00C753E2">
        <w:rPr>
          <w:rFonts w:asciiTheme="minorHAnsi" w:hAnsiTheme="minorHAnsi"/>
        </w:rPr>
        <w:t xml:space="preserve"> </w:t>
      </w:r>
      <w:r w:rsidR="00C753E2" w:rsidRPr="00C753E2">
        <w:rPr>
          <w:rFonts w:asciiTheme="minorHAnsi" w:hAnsiTheme="minorHAnsi" w:cstheme="minorHAnsi"/>
        </w:rPr>
        <w:t>Canberra: Department of Health</w:t>
      </w:r>
      <w:r w:rsidR="00C753E2">
        <w:rPr>
          <w:rFonts w:asciiTheme="minorHAnsi" w:hAnsiTheme="minorHAnsi" w:cstheme="minorHAnsi"/>
        </w:rPr>
        <w:t xml:space="preserve"> and Aged Care</w:t>
      </w:r>
      <w:r w:rsidR="00C753E2" w:rsidRPr="00C753E2">
        <w:rPr>
          <w:rFonts w:asciiTheme="minorHAnsi" w:hAnsiTheme="minorHAnsi" w:cstheme="minorHAnsi"/>
        </w:rPr>
        <w:t>. October 2014.</w:t>
      </w:r>
    </w:p>
  </w:footnote>
  <w:footnote w:id="12">
    <w:p w14:paraId="7EA05AD1" w14:textId="734CBC68" w:rsidR="007A2B0D" w:rsidRPr="00B403D7" w:rsidRDefault="007A2B0D" w:rsidP="00234D0E">
      <w:pPr>
        <w:pStyle w:val="FootnoteText"/>
        <w:rPr>
          <w:rFonts w:asciiTheme="minorHAnsi" w:hAnsiTheme="minorHAnsi" w:cstheme="minorHAnsi"/>
        </w:rPr>
      </w:pPr>
      <w:r w:rsidRPr="00C753E2">
        <w:rPr>
          <w:rStyle w:val="FootnoteReference"/>
          <w:rFonts w:asciiTheme="minorHAnsi" w:hAnsiTheme="minorHAnsi" w:cstheme="minorHAnsi"/>
        </w:rPr>
        <w:footnoteRef/>
      </w:r>
      <w:r w:rsidRPr="00C753E2">
        <w:rPr>
          <w:rFonts w:asciiTheme="minorHAnsi" w:hAnsiTheme="minorHAnsi" w:cstheme="minorHAnsi"/>
        </w:rPr>
        <w:t xml:space="preserve"> </w:t>
      </w:r>
      <w:hyperlink r:id="rId12" w:history="1">
        <w:r w:rsidR="00C753E2" w:rsidRPr="00C753E2">
          <w:rPr>
            <w:rStyle w:val="Hyperlink"/>
            <w:rFonts w:asciiTheme="minorHAnsi" w:hAnsiTheme="minorHAnsi" w:cstheme="minorHAnsi"/>
          </w:rPr>
          <w:t xml:space="preserve">DUSC analysis: </w:t>
        </w:r>
        <w:r w:rsidRPr="00C753E2">
          <w:rPr>
            <w:rStyle w:val="Hyperlink"/>
            <w:rFonts w:asciiTheme="minorHAnsi" w:hAnsiTheme="minorHAnsi" w:cstheme="minorHAnsi"/>
          </w:rPr>
          <w:t>Exenatide for type 2 diabetes: analysis of predicted versus actual utilisation</w:t>
        </w:r>
      </w:hyperlink>
      <w:r w:rsidRPr="00C753E2">
        <w:rPr>
          <w:rFonts w:asciiTheme="minorHAnsi" w:hAnsiTheme="minorHAnsi" w:cstheme="minorHAnsi"/>
        </w:rPr>
        <w:t>.</w:t>
      </w:r>
      <w:r w:rsidR="00C753E2" w:rsidRPr="00C753E2">
        <w:rPr>
          <w:rFonts w:asciiTheme="minorHAnsi" w:hAnsiTheme="minorHAnsi" w:cstheme="minorHAnsi"/>
        </w:rPr>
        <w:t xml:space="preserve"> Canberra: </w:t>
      </w:r>
      <w:r w:rsidR="00C753E2" w:rsidRPr="00B403D7">
        <w:rPr>
          <w:rFonts w:asciiTheme="minorHAnsi" w:hAnsiTheme="minorHAnsi" w:cstheme="minorHAnsi"/>
        </w:rPr>
        <w:t>Department of Health and Aged Care. October 2014.</w:t>
      </w:r>
    </w:p>
  </w:footnote>
  <w:footnote w:id="13">
    <w:p w14:paraId="33D10C00" w14:textId="6B0E4F9A" w:rsidR="00C753E2" w:rsidRDefault="00C753E2" w:rsidP="00C753E2">
      <w:pPr>
        <w:pStyle w:val="FootnoteText"/>
      </w:pPr>
      <w:r w:rsidRPr="00B403D7">
        <w:rPr>
          <w:rStyle w:val="FootnoteReference"/>
          <w:rFonts w:asciiTheme="minorHAnsi" w:hAnsiTheme="minorHAnsi" w:cstheme="minorHAnsi"/>
        </w:rPr>
        <w:footnoteRef/>
      </w:r>
      <w:r w:rsidRPr="00B403D7">
        <w:rPr>
          <w:rFonts w:asciiTheme="minorHAnsi" w:hAnsiTheme="minorHAnsi" w:cstheme="minorHAnsi"/>
        </w:rPr>
        <w:t xml:space="preserve"> </w:t>
      </w:r>
      <w:hyperlink r:id="rId13" w:history="1">
        <w:r w:rsidRPr="00B403D7">
          <w:rPr>
            <w:rStyle w:val="Hyperlink"/>
            <w:rFonts w:asciiTheme="minorHAnsi" w:hAnsiTheme="minorHAnsi" w:cstheme="minorHAnsi"/>
          </w:rPr>
          <w:t>PBS statistics</w:t>
        </w:r>
      </w:hyperlink>
      <w:r w:rsidRPr="00B403D7">
        <w:rPr>
          <w:rFonts w:asciiTheme="minorHAnsi" w:hAnsiTheme="minorHAnsi" w:cstheme="minorHAnsi"/>
        </w:rPr>
        <w:t xml:space="preserve">. </w:t>
      </w:r>
      <w:r w:rsidR="00B403D7" w:rsidRPr="00B403D7">
        <w:rPr>
          <w:rFonts w:asciiTheme="minorHAnsi" w:hAnsiTheme="minorHAnsi" w:cstheme="minorHAnsi"/>
        </w:rPr>
        <w:t xml:space="preserve">Canberra: </w:t>
      </w:r>
      <w:r w:rsidRPr="00B403D7">
        <w:rPr>
          <w:rFonts w:asciiTheme="minorHAnsi" w:hAnsiTheme="minorHAnsi" w:cstheme="minorHAnsi"/>
        </w:rPr>
        <w:t>Department of Human Services Medicare.</w:t>
      </w:r>
    </w:p>
  </w:footnote>
  <w:footnote w:id="14">
    <w:p w14:paraId="187F8C29" w14:textId="315BED47" w:rsidR="007A2B0D" w:rsidRPr="00791E57" w:rsidRDefault="007A2B0D">
      <w:pPr>
        <w:pStyle w:val="FootnoteText"/>
        <w:rPr>
          <w:rFonts w:ascii="Calibri" w:hAnsi="Calibri" w:cs="Calibri"/>
        </w:rPr>
      </w:pPr>
      <w:r w:rsidRPr="00791E57">
        <w:rPr>
          <w:rStyle w:val="FootnoteReference"/>
          <w:rFonts w:ascii="Calibri" w:hAnsi="Calibri" w:cs="Calibri"/>
        </w:rPr>
        <w:footnoteRef/>
      </w:r>
      <w:r w:rsidRPr="00791E57">
        <w:rPr>
          <w:rFonts w:ascii="Calibri" w:hAnsi="Calibri" w:cs="Calibri"/>
        </w:rPr>
        <w:t xml:space="preserve"> </w:t>
      </w:r>
      <w:hyperlink r:id="rId14" w:history="1">
        <w:r w:rsidRPr="00791E57">
          <w:rPr>
            <w:rStyle w:val="Hyperlink"/>
            <w:rFonts w:ascii="Calibri" w:hAnsi="Calibri" w:cs="Calibri"/>
          </w:rPr>
          <w:t>Joint statement: Prioritisation of semaglutide (Ozempic) supply for people with type 2 diabetes during shortage</w:t>
        </w:r>
      </w:hyperlink>
      <w:r w:rsidRPr="00791E57">
        <w:rPr>
          <w:rFonts w:ascii="Calibri" w:hAnsi="Calibri" w:cs="Calibri"/>
        </w:rPr>
        <w:t xml:space="preserve">, </w:t>
      </w:r>
      <w:r w:rsidR="00B403D7">
        <w:rPr>
          <w:rFonts w:ascii="Calibri" w:hAnsi="Calibri" w:cs="Calibri"/>
        </w:rPr>
        <w:t xml:space="preserve">Canberra: Therapeutic Goods Administration. </w:t>
      </w:r>
      <w:r w:rsidRPr="00791E57">
        <w:rPr>
          <w:rFonts w:ascii="Calibri" w:hAnsi="Calibri" w:cs="Calibri"/>
        </w:rPr>
        <w:t>4 August 2022.</w:t>
      </w:r>
    </w:p>
  </w:footnote>
  <w:footnote w:id="15">
    <w:p w14:paraId="5383E65E" w14:textId="37322DD3" w:rsidR="007A2B0D" w:rsidRPr="00335B39" w:rsidRDefault="007A2B0D">
      <w:pPr>
        <w:pStyle w:val="FootnoteText"/>
        <w:rPr>
          <w:rFonts w:asciiTheme="minorHAnsi" w:hAnsiTheme="minorHAnsi"/>
        </w:rPr>
      </w:pPr>
      <w:r w:rsidRPr="00335B39">
        <w:rPr>
          <w:rStyle w:val="FootnoteReference"/>
          <w:rFonts w:asciiTheme="minorHAnsi" w:hAnsiTheme="minorHAnsi"/>
        </w:rPr>
        <w:footnoteRef/>
      </w:r>
      <w:r w:rsidR="00B403D7">
        <w:t xml:space="preserve"> </w:t>
      </w:r>
      <w:hyperlink r:id="rId15" w:history="1">
        <w:r w:rsidRPr="00335B39">
          <w:rPr>
            <w:rStyle w:val="Hyperlink"/>
            <w:rFonts w:asciiTheme="minorHAnsi" w:hAnsiTheme="minorHAnsi"/>
          </w:rPr>
          <w:t>Diabetes</w:t>
        </w:r>
      </w:hyperlink>
      <w:r w:rsidRPr="00335B39">
        <w:rPr>
          <w:rFonts w:asciiTheme="minorHAnsi" w:hAnsiTheme="minorHAnsi"/>
        </w:rPr>
        <w:t xml:space="preserve">, </w:t>
      </w:r>
      <w:r w:rsidR="00B403D7">
        <w:rPr>
          <w:rFonts w:asciiTheme="minorHAnsi" w:hAnsiTheme="minorHAnsi"/>
        </w:rPr>
        <w:t xml:space="preserve">Canberra: </w:t>
      </w:r>
      <w:r w:rsidR="00B403D7" w:rsidRPr="00335B39">
        <w:rPr>
          <w:rFonts w:asciiTheme="minorHAnsi" w:hAnsiTheme="minorHAnsi"/>
        </w:rPr>
        <w:t>Australian Institute of Health and Welfare</w:t>
      </w:r>
      <w:r w:rsidR="00B403D7">
        <w:rPr>
          <w:rFonts w:asciiTheme="minorHAnsi" w:hAnsiTheme="minorHAnsi"/>
        </w:rPr>
        <w:t xml:space="preserve">. </w:t>
      </w:r>
      <w:r w:rsidRPr="00335B39">
        <w:rPr>
          <w:rFonts w:asciiTheme="minorHAnsi" w:hAnsiTheme="minorHAnsi"/>
        </w:rPr>
        <w:t>July 2020.</w:t>
      </w:r>
    </w:p>
  </w:footnote>
  <w:footnote w:id="16">
    <w:p w14:paraId="1461DCBC" w14:textId="558D582B" w:rsidR="007A2B0D" w:rsidRPr="00092711" w:rsidRDefault="007A2B0D">
      <w:pPr>
        <w:pStyle w:val="FootnoteText"/>
        <w:rPr>
          <w:rFonts w:asciiTheme="minorHAnsi" w:hAnsiTheme="minorHAnsi" w:cstheme="minorHAnsi"/>
        </w:rPr>
      </w:pPr>
      <w:r w:rsidRPr="00092711">
        <w:rPr>
          <w:rStyle w:val="FootnoteReference"/>
          <w:rFonts w:asciiTheme="minorHAnsi" w:hAnsiTheme="minorHAnsi" w:cstheme="minorHAnsi"/>
        </w:rPr>
        <w:footnoteRef/>
      </w:r>
      <w:r w:rsidRPr="00092711">
        <w:rPr>
          <w:rFonts w:asciiTheme="minorHAnsi" w:hAnsiTheme="minorHAnsi" w:cstheme="minorHAnsi"/>
        </w:rPr>
        <w:t xml:space="preserve"> </w:t>
      </w:r>
      <w:hyperlink r:id="rId16" w:history="1">
        <w:r w:rsidRPr="000E2A16">
          <w:rPr>
            <w:rStyle w:val="Hyperlink"/>
            <w:rFonts w:asciiTheme="minorHAnsi" w:hAnsiTheme="minorHAnsi" w:cstheme="minorHAnsi"/>
          </w:rPr>
          <w:t>Nidem</w:t>
        </w:r>
        <w:r w:rsidR="000E2A16" w:rsidRPr="000E2A16">
          <w:rPr>
            <w:rStyle w:val="Hyperlink"/>
            <w:rFonts w:asciiTheme="minorHAnsi" w:hAnsiTheme="minorHAnsi" w:cstheme="minorHAnsi"/>
          </w:rPr>
          <w:t>®</w:t>
        </w:r>
        <w:r w:rsidRPr="000E2A16">
          <w:rPr>
            <w:rStyle w:val="Hyperlink"/>
            <w:rFonts w:asciiTheme="minorHAnsi" w:hAnsiTheme="minorHAnsi" w:cstheme="minorHAnsi"/>
          </w:rPr>
          <w:t xml:space="preserve"> (Gliclazide)</w:t>
        </w:r>
      </w:hyperlink>
      <w:r w:rsidR="000E2A16">
        <w:rPr>
          <w:rFonts w:asciiTheme="minorHAnsi" w:hAnsiTheme="minorHAnsi" w:cstheme="minorHAnsi"/>
        </w:rPr>
        <w:t xml:space="preserve"> Australian Approved Product Information.</w:t>
      </w:r>
      <w:r w:rsidR="000E2A16" w:rsidRPr="000E2A16">
        <w:rPr>
          <w:rFonts w:asciiTheme="minorHAnsi" w:hAnsiTheme="minorHAnsi" w:cstheme="minorHAnsi"/>
        </w:rPr>
        <w:t xml:space="preserve"> </w:t>
      </w:r>
      <w:r w:rsidR="000E2A16">
        <w:rPr>
          <w:rFonts w:asciiTheme="minorHAnsi" w:hAnsiTheme="minorHAnsi" w:cstheme="minorHAnsi"/>
        </w:rPr>
        <w:t>Victoria: Arrow Pharma Pty Ltd. Approved 17 August 2001; updated 25 November 2019.</w:t>
      </w:r>
    </w:p>
  </w:footnote>
  <w:footnote w:id="17">
    <w:p w14:paraId="764D8857" w14:textId="6942F285" w:rsidR="007A2B0D" w:rsidRPr="00A76176" w:rsidRDefault="007A2B0D">
      <w:pPr>
        <w:pStyle w:val="FootnoteText"/>
        <w:rPr>
          <w:rFonts w:asciiTheme="minorHAnsi" w:hAnsiTheme="minorHAnsi" w:cstheme="minorHAnsi"/>
        </w:rPr>
      </w:pPr>
      <w:r w:rsidRPr="00A76176">
        <w:rPr>
          <w:rStyle w:val="FootnoteReference"/>
          <w:rFonts w:asciiTheme="minorHAnsi" w:hAnsiTheme="minorHAnsi" w:cstheme="minorHAnsi"/>
        </w:rPr>
        <w:footnoteRef/>
      </w:r>
      <w:r w:rsidRPr="00A76176">
        <w:rPr>
          <w:rFonts w:asciiTheme="minorHAnsi" w:hAnsiTheme="minorHAnsi" w:cstheme="minorHAnsi"/>
        </w:rPr>
        <w:t xml:space="preserve"> </w:t>
      </w:r>
      <w:hyperlink r:id="rId17" w:history="1">
        <w:r w:rsidRPr="00A76176">
          <w:rPr>
            <w:rStyle w:val="Hyperlink"/>
            <w:rFonts w:asciiTheme="minorHAnsi" w:hAnsiTheme="minorHAnsi" w:cstheme="minorHAnsi"/>
          </w:rPr>
          <w:t>Empagliflozin with linagliptin</w:t>
        </w:r>
        <w:r w:rsidR="000E2A16">
          <w:rPr>
            <w:rStyle w:val="Hyperlink"/>
            <w:rFonts w:asciiTheme="minorHAnsi" w:hAnsiTheme="minorHAnsi" w:cstheme="minorHAnsi"/>
          </w:rPr>
          <w:t xml:space="preserve"> (Glyxambi®)</w:t>
        </w:r>
        <w:r w:rsidRPr="00A76176">
          <w:rPr>
            <w:rStyle w:val="Hyperlink"/>
            <w:rFonts w:asciiTheme="minorHAnsi" w:hAnsiTheme="minorHAnsi" w:cstheme="minorHAnsi"/>
          </w:rPr>
          <w:t xml:space="preserve"> </w:t>
        </w:r>
      </w:hyperlink>
      <w:r w:rsidR="000E2A16">
        <w:rPr>
          <w:rStyle w:val="Hyperlink"/>
          <w:rFonts w:asciiTheme="minorHAnsi" w:hAnsiTheme="minorHAnsi" w:cstheme="minorHAnsi"/>
        </w:rPr>
        <w:t>Public Summary Document</w:t>
      </w:r>
      <w:r w:rsidRPr="00A76176">
        <w:rPr>
          <w:rFonts w:asciiTheme="minorHAnsi" w:hAnsiTheme="minorHAnsi" w:cstheme="minorHAnsi"/>
        </w:rPr>
        <w:t xml:space="preserve"> (November 2017</w:t>
      </w:r>
      <w:r w:rsidR="000E2A16">
        <w:rPr>
          <w:rFonts w:asciiTheme="minorHAnsi" w:hAnsiTheme="minorHAnsi" w:cstheme="minorHAnsi"/>
        </w:rPr>
        <w:t xml:space="preserve"> PBAC meeting</w:t>
      </w:r>
      <w:r w:rsidRPr="00A76176">
        <w:rPr>
          <w:rFonts w:asciiTheme="minorHAnsi" w:hAnsiTheme="minorHAnsi" w:cstheme="minorHAnsi"/>
        </w:rPr>
        <w:t>)</w:t>
      </w:r>
      <w:r w:rsidR="000E2A16">
        <w:rPr>
          <w:rFonts w:asciiTheme="minorHAnsi" w:hAnsiTheme="minorHAnsi" w:cstheme="minorHAnsi"/>
        </w:rPr>
        <w:t xml:space="preserve">. Canberra: </w:t>
      </w:r>
      <w:r w:rsidR="000E2A16" w:rsidRPr="00A76176">
        <w:rPr>
          <w:rFonts w:asciiTheme="minorHAnsi" w:hAnsiTheme="minorHAnsi" w:cstheme="minorHAnsi"/>
        </w:rPr>
        <w:t>Department of Health and Aged Care</w:t>
      </w:r>
      <w:r w:rsidR="000E2A16">
        <w:rPr>
          <w:rFonts w:asciiTheme="minorHAnsi" w:hAnsiTheme="minorHAnsi" w:cstheme="minorHAnsi"/>
        </w:rPr>
        <w:t>.</w:t>
      </w:r>
      <w:r w:rsidRPr="00A76176">
        <w:rPr>
          <w:rFonts w:asciiTheme="minorHAnsi" w:hAnsiTheme="minorHAnsi" w:cstheme="minorHAnsi"/>
        </w:rPr>
        <w:t xml:space="preserve"> </w:t>
      </w:r>
      <w:r w:rsidR="000E2A16">
        <w:rPr>
          <w:rFonts w:asciiTheme="minorHAnsi" w:hAnsiTheme="minorHAnsi" w:cstheme="minorHAnsi"/>
        </w:rPr>
        <w:t>P</w:t>
      </w:r>
      <w:r w:rsidRPr="00A76176">
        <w:rPr>
          <w:rFonts w:asciiTheme="minorHAnsi" w:hAnsiTheme="minorHAnsi" w:cstheme="minorHAnsi"/>
        </w:rPr>
        <w:t>aragraph 7.3.</w:t>
      </w:r>
    </w:p>
  </w:footnote>
  <w:footnote w:id="18">
    <w:p w14:paraId="3A6904EF" w14:textId="456402EB" w:rsidR="007A2B0D" w:rsidRPr="00EF2D8F" w:rsidRDefault="007A2B0D" w:rsidP="00157773">
      <w:pPr>
        <w:pStyle w:val="FootnoteText"/>
        <w:rPr>
          <w:rFonts w:asciiTheme="minorHAnsi" w:hAnsiTheme="minorHAnsi" w:cstheme="minorHAnsi"/>
        </w:rPr>
      </w:pPr>
      <w:r w:rsidRPr="00EF2D8F">
        <w:rPr>
          <w:rStyle w:val="FootnoteReference"/>
          <w:rFonts w:asciiTheme="minorHAnsi" w:hAnsiTheme="minorHAnsi" w:cstheme="minorHAnsi"/>
        </w:rPr>
        <w:footnoteRef/>
      </w:r>
      <w:r w:rsidRPr="00EF2D8F">
        <w:rPr>
          <w:rFonts w:asciiTheme="minorHAnsi" w:hAnsiTheme="minorHAnsi" w:cstheme="minorHAnsi"/>
        </w:rPr>
        <w:t xml:space="preserve"> Emslie-Smith AM</w:t>
      </w:r>
      <w:r w:rsidR="000E2A16">
        <w:rPr>
          <w:rFonts w:asciiTheme="minorHAnsi" w:hAnsiTheme="minorHAnsi" w:cstheme="minorHAnsi"/>
        </w:rPr>
        <w:t xml:space="preserve"> </w:t>
      </w:r>
      <w:r>
        <w:rPr>
          <w:rFonts w:asciiTheme="minorHAnsi" w:hAnsiTheme="minorHAnsi" w:cstheme="minorHAnsi"/>
        </w:rPr>
        <w:t>et al</w:t>
      </w:r>
      <w:r w:rsidRPr="00EF2D8F">
        <w:rPr>
          <w:rFonts w:asciiTheme="minorHAnsi" w:hAnsiTheme="minorHAnsi" w:cstheme="minorHAnsi"/>
        </w:rPr>
        <w:t>. Contraindications to metformin therapy in patients with Type 2 diabetes - a population-based study of adherence to prescribing guidelines. Diabetic Med</w:t>
      </w:r>
      <w:r w:rsidR="000E2A16">
        <w:rPr>
          <w:rFonts w:asciiTheme="minorHAnsi" w:hAnsiTheme="minorHAnsi" w:cstheme="minorHAnsi"/>
        </w:rPr>
        <w:t>icine</w:t>
      </w:r>
      <w:r w:rsidRPr="00EF2D8F">
        <w:rPr>
          <w:rFonts w:asciiTheme="minorHAnsi" w:hAnsiTheme="minorHAnsi" w:cstheme="minorHAnsi"/>
        </w:rPr>
        <w:t>. 2001;18(6):</w:t>
      </w:r>
      <w:r w:rsidR="000E2A16">
        <w:rPr>
          <w:rFonts w:asciiTheme="minorHAnsi" w:hAnsiTheme="minorHAnsi" w:cstheme="minorHAnsi"/>
        </w:rPr>
        <w:t xml:space="preserve"> </w:t>
      </w:r>
      <w:r w:rsidRPr="00EF2D8F">
        <w:rPr>
          <w:rFonts w:asciiTheme="minorHAnsi" w:hAnsiTheme="minorHAnsi" w:cstheme="minorHAnsi"/>
        </w:rPr>
        <w:t>483-8.</w:t>
      </w:r>
    </w:p>
  </w:footnote>
  <w:footnote w:id="19">
    <w:p w14:paraId="69EF2867" w14:textId="0CFC4808" w:rsidR="007A2B0D" w:rsidRPr="00EF2D8F" w:rsidRDefault="007A2B0D" w:rsidP="00157773">
      <w:pPr>
        <w:pStyle w:val="EndNoteBibliography"/>
        <w:spacing w:after="0"/>
        <w:rPr>
          <w:sz w:val="20"/>
          <w:szCs w:val="20"/>
        </w:rPr>
      </w:pPr>
      <w:r w:rsidRPr="00EF2D8F">
        <w:rPr>
          <w:rStyle w:val="FootnoteReference"/>
          <w:sz w:val="20"/>
          <w:szCs w:val="20"/>
        </w:rPr>
        <w:footnoteRef/>
      </w:r>
      <w:r w:rsidRPr="00EF2D8F">
        <w:rPr>
          <w:sz w:val="20"/>
          <w:szCs w:val="20"/>
        </w:rPr>
        <w:t xml:space="preserve"> Bonnet F</w:t>
      </w:r>
      <w:r w:rsidR="000E2A16">
        <w:rPr>
          <w:sz w:val="20"/>
          <w:szCs w:val="20"/>
        </w:rPr>
        <w:t xml:space="preserve"> and </w:t>
      </w:r>
      <w:r w:rsidRPr="00EF2D8F">
        <w:rPr>
          <w:sz w:val="20"/>
          <w:szCs w:val="20"/>
        </w:rPr>
        <w:t>Scheen A. Understanding and overcoming metformin gastrointestinal intolerance. Diabetes, obesity &amp; metabolism. 2017;19(4):</w:t>
      </w:r>
      <w:r w:rsidR="000E2A16">
        <w:rPr>
          <w:sz w:val="20"/>
          <w:szCs w:val="20"/>
        </w:rPr>
        <w:t xml:space="preserve"> </w:t>
      </w:r>
      <w:r w:rsidRPr="00EF2D8F">
        <w:rPr>
          <w:sz w:val="20"/>
          <w:szCs w:val="20"/>
        </w:rPr>
        <w:t>473-81.</w:t>
      </w:r>
    </w:p>
    <w:p w14:paraId="16EDE09F" w14:textId="77777777" w:rsidR="007A2B0D" w:rsidRDefault="007A2B0D" w:rsidP="00157773">
      <w:pPr>
        <w:pStyle w:val="FootnoteText"/>
      </w:pPr>
    </w:p>
  </w:footnote>
  <w:footnote w:id="20">
    <w:p w14:paraId="2CB8267F" w14:textId="3EDA4209" w:rsidR="00892D60" w:rsidRPr="006F3DCF" w:rsidRDefault="00892D60" w:rsidP="00892D60">
      <w:pPr>
        <w:pStyle w:val="FootnoteText"/>
        <w:rPr>
          <w:rFonts w:asciiTheme="minorHAnsi" w:hAnsiTheme="minorHAnsi" w:cstheme="minorHAnsi"/>
        </w:rPr>
      </w:pPr>
      <w:r w:rsidRPr="006F3DCF">
        <w:rPr>
          <w:rStyle w:val="FootnoteReference"/>
          <w:rFonts w:asciiTheme="minorHAnsi" w:hAnsiTheme="minorHAnsi" w:cstheme="minorHAnsi"/>
        </w:rPr>
        <w:footnoteRef/>
      </w:r>
      <w:r w:rsidRPr="006F3DCF">
        <w:rPr>
          <w:rFonts w:asciiTheme="minorHAnsi" w:hAnsiTheme="minorHAnsi" w:cstheme="minorHAnsi"/>
        </w:rPr>
        <w:t xml:space="preserve"> Australian Diabetes Society, 2022,</w:t>
      </w:r>
      <w:r w:rsidR="00C913D8">
        <w:rPr>
          <w:rFonts w:asciiTheme="minorHAnsi" w:hAnsiTheme="minorHAnsi" w:cstheme="minorHAnsi"/>
        </w:rPr>
        <w:t xml:space="preserve"> </w:t>
      </w:r>
      <w:hyperlink r:id="rId18" w:history="1">
        <w:r w:rsidR="00C913D8" w:rsidRPr="00C913D8">
          <w:rPr>
            <w:rStyle w:val="Hyperlink"/>
            <w:rFonts w:asciiTheme="minorHAnsi" w:hAnsiTheme="minorHAnsi" w:cstheme="minorHAnsi"/>
          </w:rPr>
          <w:t>Australian Type 2 Diabetes Glycaemic Management Algorithm (2022)</w:t>
        </w:r>
      </w:hyperlink>
      <w:r w:rsidRPr="006F3DCF">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134"/>
    <w:multiLevelType w:val="hybridMultilevel"/>
    <w:tmpl w:val="44366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4388B"/>
    <w:multiLevelType w:val="hybridMultilevel"/>
    <w:tmpl w:val="EDE2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C2301"/>
    <w:multiLevelType w:val="hybridMultilevel"/>
    <w:tmpl w:val="4FBA2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177B2A"/>
    <w:multiLevelType w:val="hybridMultilevel"/>
    <w:tmpl w:val="8958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15353"/>
    <w:multiLevelType w:val="hybridMultilevel"/>
    <w:tmpl w:val="DE2E4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2563F"/>
    <w:multiLevelType w:val="hybridMultilevel"/>
    <w:tmpl w:val="6742D5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6D2C6B"/>
    <w:multiLevelType w:val="hybridMultilevel"/>
    <w:tmpl w:val="73367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E60E1"/>
    <w:multiLevelType w:val="hybridMultilevel"/>
    <w:tmpl w:val="B6A6A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E476C"/>
    <w:multiLevelType w:val="hybridMultilevel"/>
    <w:tmpl w:val="2132F1A2"/>
    <w:lvl w:ilvl="0" w:tplc="667ADD6E">
      <w:start w:val="1"/>
      <w:numFmt w:val="bullet"/>
      <w:pStyle w:val="Style1"/>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E2D39EB"/>
    <w:multiLevelType w:val="hybridMultilevel"/>
    <w:tmpl w:val="48B4B5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0D40370"/>
    <w:multiLevelType w:val="hybridMultilevel"/>
    <w:tmpl w:val="36E6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2C1958"/>
    <w:multiLevelType w:val="hybridMultilevel"/>
    <w:tmpl w:val="D3144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A32B03"/>
    <w:multiLevelType w:val="hybridMultilevel"/>
    <w:tmpl w:val="91EA4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B62A4"/>
    <w:multiLevelType w:val="hybridMultilevel"/>
    <w:tmpl w:val="F0663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185258"/>
    <w:multiLevelType w:val="hybridMultilevel"/>
    <w:tmpl w:val="6DF26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3A06BD"/>
    <w:multiLevelType w:val="hybridMultilevel"/>
    <w:tmpl w:val="72908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AC7CAC"/>
    <w:multiLevelType w:val="hybridMultilevel"/>
    <w:tmpl w:val="C94630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0031D3"/>
    <w:multiLevelType w:val="hybridMultilevel"/>
    <w:tmpl w:val="6180E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05E87"/>
    <w:multiLevelType w:val="hybridMultilevel"/>
    <w:tmpl w:val="3D985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924292"/>
    <w:multiLevelType w:val="hybridMultilevel"/>
    <w:tmpl w:val="5B82F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308DD"/>
    <w:multiLevelType w:val="hybridMultilevel"/>
    <w:tmpl w:val="58EE2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66738B"/>
    <w:multiLevelType w:val="hybridMultilevel"/>
    <w:tmpl w:val="F5B0F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066834"/>
    <w:multiLevelType w:val="hybridMultilevel"/>
    <w:tmpl w:val="B8426278"/>
    <w:lvl w:ilvl="0" w:tplc="0C090001">
      <w:start w:val="1"/>
      <w:numFmt w:val="bullet"/>
      <w:lvlText w:val=""/>
      <w:lvlJc w:val="left"/>
      <w:pPr>
        <w:ind w:left="454" w:hanging="360"/>
      </w:pPr>
      <w:rPr>
        <w:rFonts w:ascii="Symbol" w:hAnsi="Symbol" w:hint="default"/>
      </w:rPr>
    </w:lvl>
    <w:lvl w:ilvl="1" w:tplc="0C090003" w:tentative="1">
      <w:start w:val="1"/>
      <w:numFmt w:val="bullet"/>
      <w:lvlText w:val="o"/>
      <w:lvlJc w:val="left"/>
      <w:pPr>
        <w:ind w:left="1174" w:hanging="360"/>
      </w:pPr>
      <w:rPr>
        <w:rFonts w:ascii="Courier New" w:hAnsi="Courier New" w:cs="Courier New" w:hint="default"/>
      </w:rPr>
    </w:lvl>
    <w:lvl w:ilvl="2" w:tplc="0C090005" w:tentative="1">
      <w:start w:val="1"/>
      <w:numFmt w:val="bullet"/>
      <w:lvlText w:val=""/>
      <w:lvlJc w:val="left"/>
      <w:pPr>
        <w:ind w:left="1894" w:hanging="360"/>
      </w:pPr>
      <w:rPr>
        <w:rFonts w:ascii="Wingdings" w:hAnsi="Wingdings" w:hint="default"/>
      </w:rPr>
    </w:lvl>
    <w:lvl w:ilvl="3" w:tplc="0C090001" w:tentative="1">
      <w:start w:val="1"/>
      <w:numFmt w:val="bullet"/>
      <w:lvlText w:val=""/>
      <w:lvlJc w:val="left"/>
      <w:pPr>
        <w:ind w:left="2614" w:hanging="360"/>
      </w:pPr>
      <w:rPr>
        <w:rFonts w:ascii="Symbol" w:hAnsi="Symbol" w:hint="default"/>
      </w:rPr>
    </w:lvl>
    <w:lvl w:ilvl="4" w:tplc="0C090003" w:tentative="1">
      <w:start w:val="1"/>
      <w:numFmt w:val="bullet"/>
      <w:lvlText w:val="o"/>
      <w:lvlJc w:val="left"/>
      <w:pPr>
        <w:ind w:left="3334" w:hanging="360"/>
      </w:pPr>
      <w:rPr>
        <w:rFonts w:ascii="Courier New" w:hAnsi="Courier New" w:cs="Courier New" w:hint="default"/>
      </w:rPr>
    </w:lvl>
    <w:lvl w:ilvl="5" w:tplc="0C090005" w:tentative="1">
      <w:start w:val="1"/>
      <w:numFmt w:val="bullet"/>
      <w:lvlText w:val=""/>
      <w:lvlJc w:val="left"/>
      <w:pPr>
        <w:ind w:left="4054" w:hanging="360"/>
      </w:pPr>
      <w:rPr>
        <w:rFonts w:ascii="Wingdings" w:hAnsi="Wingdings" w:hint="default"/>
      </w:rPr>
    </w:lvl>
    <w:lvl w:ilvl="6" w:tplc="0C090001" w:tentative="1">
      <w:start w:val="1"/>
      <w:numFmt w:val="bullet"/>
      <w:lvlText w:val=""/>
      <w:lvlJc w:val="left"/>
      <w:pPr>
        <w:ind w:left="4774" w:hanging="360"/>
      </w:pPr>
      <w:rPr>
        <w:rFonts w:ascii="Symbol" w:hAnsi="Symbol" w:hint="default"/>
      </w:rPr>
    </w:lvl>
    <w:lvl w:ilvl="7" w:tplc="0C090003" w:tentative="1">
      <w:start w:val="1"/>
      <w:numFmt w:val="bullet"/>
      <w:lvlText w:val="o"/>
      <w:lvlJc w:val="left"/>
      <w:pPr>
        <w:ind w:left="5494" w:hanging="360"/>
      </w:pPr>
      <w:rPr>
        <w:rFonts w:ascii="Courier New" w:hAnsi="Courier New" w:cs="Courier New" w:hint="default"/>
      </w:rPr>
    </w:lvl>
    <w:lvl w:ilvl="8" w:tplc="0C090005" w:tentative="1">
      <w:start w:val="1"/>
      <w:numFmt w:val="bullet"/>
      <w:lvlText w:val=""/>
      <w:lvlJc w:val="left"/>
      <w:pPr>
        <w:ind w:left="6214" w:hanging="360"/>
      </w:pPr>
      <w:rPr>
        <w:rFonts w:ascii="Wingdings" w:hAnsi="Wingdings" w:hint="default"/>
      </w:rPr>
    </w:lvl>
  </w:abstractNum>
  <w:abstractNum w:abstractNumId="23" w15:restartNumberingAfterBreak="0">
    <w:nsid w:val="61F53DA5"/>
    <w:multiLevelType w:val="hybridMultilevel"/>
    <w:tmpl w:val="692C1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8BE05E0"/>
    <w:multiLevelType w:val="hybridMultilevel"/>
    <w:tmpl w:val="43929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BF0FA5"/>
    <w:multiLevelType w:val="hybridMultilevel"/>
    <w:tmpl w:val="BEC2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D1533C"/>
    <w:multiLevelType w:val="hybridMultilevel"/>
    <w:tmpl w:val="C0DE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D033C"/>
    <w:multiLevelType w:val="multilevel"/>
    <w:tmpl w:val="73B8F968"/>
    <w:lvl w:ilvl="0">
      <w:start w:val="1"/>
      <w:numFmt w:val="decimal"/>
      <w:pStyle w:val="2Sections"/>
      <w:lvlText w:val="%1"/>
      <w:lvlJc w:val="left"/>
      <w:pPr>
        <w:ind w:left="720" w:hanging="720"/>
      </w:pPr>
      <w:rPr>
        <w:rFonts w:hint="default"/>
        <w:b/>
        <w:strike w:val="0"/>
      </w:rPr>
    </w:lvl>
    <w:lvl w:ilvl="1">
      <w:start w:val="1"/>
      <w:numFmt w:val="decimal"/>
      <w:pStyle w:val="3Bodytext"/>
      <w:lvlText w:val="%1.%2"/>
      <w:lvlJc w:val="left"/>
      <w:pPr>
        <w:ind w:left="720" w:hanging="720"/>
      </w:pPr>
      <w:rPr>
        <w:rFonts w:asciiTheme="minorHAnsi" w:hAnsiTheme="minorHAnsi" w:cstheme="minorHAnsi" w:hint="default"/>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7A3BCF"/>
    <w:multiLevelType w:val="hybridMultilevel"/>
    <w:tmpl w:val="6B2C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E720F9"/>
    <w:multiLevelType w:val="hybridMultilevel"/>
    <w:tmpl w:val="F68AD7E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001DE4"/>
    <w:multiLevelType w:val="hybridMultilevel"/>
    <w:tmpl w:val="17DE1E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57348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7884032">
    <w:abstractNumId w:val="27"/>
  </w:num>
  <w:num w:numId="3" w16cid:durableId="1671055226">
    <w:abstractNumId w:val="8"/>
  </w:num>
  <w:num w:numId="4" w16cid:durableId="755593448">
    <w:abstractNumId w:val="9"/>
  </w:num>
  <w:num w:numId="5" w16cid:durableId="2075160468">
    <w:abstractNumId w:val="4"/>
  </w:num>
  <w:num w:numId="6" w16cid:durableId="829830338">
    <w:abstractNumId w:val="22"/>
  </w:num>
  <w:num w:numId="7" w16cid:durableId="1551263796">
    <w:abstractNumId w:val="7"/>
  </w:num>
  <w:num w:numId="8" w16cid:durableId="880090067">
    <w:abstractNumId w:val="12"/>
  </w:num>
  <w:num w:numId="9" w16cid:durableId="694966540">
    <w:abstractNumId w:val="24"/>
  </w:num>
  <w:num w:numId="10" w16cid:durableId="1248854321">
    <w:abstractNumId w:val="1"/>
  </w:num>
  <w:num w:numId="11" w16cid:durableId="1204753315">
    <w:abstractNumId w:val="13"/>
  </w:num>
  <w:num w:numId="12" w16cid:durableId="1440181663">
    <w:abstractNumId w:val="15"/>
  </w:num>
  <w:num w:numId="13" w16cid:durableId="891648274">
    <w:abstractNumId w:val="17"/>
  </w:num>
  <w:num w:numId="14" w16cid:durableId="787702495">
    <w:abstractNumId w:val="11"/>
  </w:num>
  <w:num w:numId="15" w16cid:durableId="470249196">
    <w:abstractNumId w:val="25"/>
  </w:num>
  <w:num w:numId="16" w16cid:durableId="346324037">
    <w:abstractNumId w:val="0"/>
  </w:num>
  <w:num w:numId="17" w16cid:durableId="575742691">
    <w:abstractNumId w:val="28"/>
  </w:num>
  <w:num w:numId="18" w16cid:durableId="1487085085">
    <w:abstractNumId w:val="3"/>
  </w:num>
  <w:num w:numId="19" w16cid:durableId="740371775">
    <w:abstractNumId w:val="19"/>
  </w:num>
  <w:num w:numId="20" w16cid:durableId="925575718">
    <w:abstractNumId w:val="10"/>
  </w:num>
  <w:num w:numId="21" w16cid:durableId="937833479">
    <w:abstractNumId w:val="6"/>
  </w:num>
  <w:num w:numId="22" w16cid:durableId="1151673570">
    <w:abstractNumId w:val="18"/>
  </w:num>
  <w:num w:numId="23" w16cid:durableId="1635062011">
    <w:abstractNumId w:val="26"/>
  </w:num>
  <w:num w:numId="24" w16cid:durableId="1063911458">
    <w:abstractNumId w:val="14"/>
  </w:num>
  <w:num w:numId="25" w16cid:durableId="176510174">
    <w:abstractNumId w:val="30"/>
  </w:num>
  <w:num w:numId="26" w16cid:durableId="293948992">
    <w:abstractNumId w:val="5"/>
  </w:num>
  <w:num w:numId="27" w16cid:durableId="1545754262">
    <w:abstractNumId w:val="21"/>
  </w:num>
  <w:num w:numId="28" w16cid:durableId="1628854939">
    <w:abstractNumId w:val="20"/>
  </w:num>
  <w:num w:numId="29" w16cid:durableId="1115444545">
    <w:abstractNumId w:val="2"/>
  </w:num>
  <w:num w:numId="30" w16cid:durableId="2047221267">
    <w:abstractNumId w:val="16"/>
  </w:num>
  <w:num w:numId="31" w16cid:durableId="1697268239">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D8"/>
    <w:rsid w:val="0000427C"/>
    <w:rsid w:val="00005052"/>
    <w:rsid w:val="0000547C"/>
    <w:rsid w:val="000066BF"/>
    <w:rsid w:val="00010AFB"/>
    <w:rsid w:val="00012F38"/>
    <w:rsid w:val="000143AB"/>
    <w:rsid w:val="000159FE"/>
    <w:rsid w:val="00024E74"/>
    <w:rsid w:val="00037AA8"/>
    <w:rsid w:val="00040900"/>
    <w:rsid w:val="000417BD"/>
    <w:rsid w:val="0004596E"/>
    <w:rsid w:val="000467E3"/>
    <w:rsid w:val="00046C3A"/>
    <w:rsid w:val="000539DE"/>
    <w:rsid w:val="00056A98"/>
    <w:rsid w:val="000611F3"/>
    <w:rsid w:val="00066C0A"/>
    <w:rsid w:val="00082451"/>
    <w:rsid w:val="00092711"/>
    <w:rsid w:val="000A1CA2"/>
    <w:rsid w:val="000A5D11"/>
    <w:rsid w:val="000C13E1"/>
    <w:rsid w:val="000E2A16"/>
    <w:rsid w:val="000E595F"/>
    <w:rsid w:val="000E59DC"/>
    <w:rsid w:val="000F2480"/>
    <w:rsid w:val="000F3645"/>
    <w:rsid w:val="000F4A60"/>
    <w:rsid w:val="0010428C"/>
    <w:rsid w:val="001128A2"/>
    <w:rsid w:val="00124199"/>
    <w:rsid w:val="0013794B"/>
    <w:rsid w:val="001412FF"/>
    <w:rsid w:val="001467A8"/>
    <w:rsid w:val="00157773"/>
    <w:rsid w:val="00176474"/>
    <w:rsid w:val="001930C2"/>
    <w:rsid w:val="001936C7"/>
    <w:rsid w:val="001B2EC2"/>
    <w:rsid w:val="001C1C7E"/>
    <w:rsid w:val="001D2035"/>
    <w:rsid w:val="001D2828"/>
    <w:rsid w:val="001D57A7"/>
    <w:rsid w:val="001E6EA4"/>
    <w:rsid w:val="001E79A7"/>
    <w:rsid w:val="001F33A6"/>
    <w:rsid w:val="00212577"/>
    <w:rsid w:val="00215C37"/>
    <w:rsid w:val="0022374B"/>
    <w:rsid w:val="002347DC"/>
    <w:rsid w:val="00234D0E"/>
    <w:rsid w:val="00247A39"/>
    <w:rsid w:val="002529EB"/>
    <w:rsid w:val="00263DF5"/>
    <w:rsid w:val="00280050"/>
    <w:rsid w:val="00287D58"/>
    <w:rsid w:val="002A284F"/>
    <w:rsid w:val="002B1F69"/>
    <w:rsid w:val="002C2B9D"/>
    <w:rsid w:val="002D5437"/>
    <w:rsid w:val="002D5F08"/>
    <w:rsid w:val="002D7349"/>
    <w:rsid w:val="002E01DF"/>
    <w:rsid w:val="002E229F"/>
    <w:rsid w:val="002E70EB"/>
    <w:rsid w:val="00303AC4"/>
    <w:rsid w:val="003044FB"/>
    <w:rsid w:val="003136EE"/>
    <w:rsid w:val="0031472B"/>
    <w:rsid w:val="0032782C"/>
    <w:rsid w:val="00335B39"/>
    <w:rsid w:val="00341007"/>
    <w:rsid w:val="00357388"/>
    <w:rsid w:val="0036117E"/>
    <w:rsid w:val="00370B07"/>
    <w:rsid w:val="00397BFB"/>
    <w:rsid w:val="003A54FF"/>
    <w:rsid w:val="003A793C"/>
    <w:rsid w:val="003A7AD9"/>
    <w:rsid w:val="003B432D"/>
    <w:rsid w:val="003B536A"/>
    <w:rsid w:val="003B744C"/>
    <w:rsid w:val="003C532B"/>
    <w:rsid w:val="003D1D8A"/>
    <w:rsid w:val="003E20CA"/>
    <w:rsid w:val="003E3559"/>
    <w:rsid w:val="003E3F80"/>
    <w:rsid w:val="003F4218"/>
    <w:rsid w:val="00406CDA"/>
    <w:rsid w:val="00411D5E"/>
    <w:rsid w:val="00415D97"/>
    <w:rsid w:val="00423B3C"/>
    <w:rsid w:val="00424723"/>
    <w:rsid w:val="0042649E"/>
    <w:rsid w:val="00427126"/>
    <w:rsid w:val="00427411"/>
    <w:rsid w:val="00431CAF"/>
    <w:rsid w:val="004633BA"/>
    <w:rsid w:val="004774E9"/>
    <w:rsid w:val="00484162"/>
    <w:rsid w:val="00495BBD"/>
    <w:rsid w:val="004B2C23"/>
    <w:rsid w:val="004B677A"/>
    <w:rsid w:val="004C4BC1"/>
    <w:rsid w:val="004E361C"/>
    <w:rsid w:val="005017D8"/>
    <w:rsid w:val="0050453D"/>
    <w:rsid w:val="00505440"/>
    <w:rsid w:val="005058F2"/>
    <w:rsid w:val="005104F8"/>
    <w:rsid w:val="00512F14"/>
    <w:rsid w:val="00522414"/>
    <w:rsid w:val="00533390"/>
    <w:rsid w:val="00533526"/>
    <w:rsid w:val="00535FF0"/>
    <w:rsid w:val="00542325"/>
    <w:rsid w:val="0054634E"/>
    <w:rsid w:val="00546BDE"/>
    <w:rsid w:val="00550944"/>
    <w:rsid w:val="00553303"/>
    <w:rsid w:val="00553939"/>
    <w:rsid w:val="00584263"/>
    <w:rsid w:val="00590734"/>
    <w:rsid w:val="005B2D99"/>
    <w:rsid w:val="005B5CEC"/>
    <w:rsid w:val="005C0F5B"/>
    <w:rsid w:val="005C296C"/>
    <w:rsid w:val="005C517B"/>
    <w:rsid w:val="005D72CE"/>
    <w:rsid w:val="005D7859"/>
    <w:rsid w:val="005E45A7"/>
    <w:rsid w:val="005F7FBC"/>
    <w:rsid w:val="00614BDC"/>
    <w:rsid w:val="006161B4"/>
    <w:rsid w:val="006329A7"/>
    <w:rsid w:val="0065367D"/>
    <w:rsid w:val="00655955"/>
    <w:rsid w:val="00662D33"/>
    <w:rsid w:val="00683796"/>
    <w:rsid w:val="00690B23"/>
    <w:rsid w:val="00694D14"/>
    <w:rsid w:val="006B2E23"/>
    <w:rsid w:val="006B6EDC"/>
    <w:rsid w:val="006C295E"/>
    <w:rsid w:val="006C46AB"/>
    <w:rsid w:val="006D552C"/>
    <w:rsid w:val="006D6A6D"/>
    <w:rsid w:val="006E7CAF"/>
    <w:rsid w:val="006F3DCF"/>
    <w:rsid w:val="007110EB"/>
    <w:rsid w:val="00722ED8"/>
    <w:rsid w:val="007233DD"/>
    <w:rsid w:val="00724B6F"/>
    <w:rsid w:val="00725375"/>
    <w:rsid w:val="00731308"/>
    <w:rsid w:val="0074405A"/>
    <w:rsid w:val="00753D5F"/>
    <w:rsid w:val="00761507"/>
    <w:rsid w:val="007877C5"/>
    <w:rsid w:val="007913D5"/>
    <w:rsid w:val="00791E57"/>
    <w:rsid w:val="007944C2"/>
    <w:rsid w:val="00795502"/>
    <w:rsid w:val="007A2B0D"/>
    <w:rsid w:val="007B6755"/>
    <w:rsid w:val="007C2D0F"/>
    <w:rsid w:val="007D1BB3"/>
    <w:rsid w:val="007D4AF4"/>
    <w:rsid w:val="007D74C6"/>
    <w:rsid w:val="007E44E9"/>
    <w:rsid w:val="007F140D"/>
    <w:rsid w:val="007F234D"/>
    <w:rsid w:val="007F5B96"/>
    <w:rsid w:val="007F6C22"/>
    <w:rsid w:val="00801BE0"/>
    <w:rsid w:val="00811C46"/>
    <w:rsid w:val="008206BF"/>
    <w:rsid w:val="008272BB"/>
    <w:rsid w:val="00831065"/>
    <w:rsid w:val="008406E4"/>
    <w:rsid w:val="008457BF"/>
    <w:rsid w:val="00846828"/>
    <w:rsid w:val="008634CA"/>
    <w:rsid w:val="00872868"/>
    <w:rsid w:val="00873B9D"/>
    <w:rsid w:val="008764D7"/>
    <w:rsid w:val="00892D60"/>
    <w:rsid w:val="00895D1E"/>
    <w:rsid w:val="008A15BF"/>
    <w:rsid w:val="008A56EA"/>
    <w:rsid w:val="008B0B49"/>
    <w:rsid w:val="008C03F7"/>
    <w:rsid w:val="008C5BBB"/>
    <w:rsid w:val="008C684C"/>
    <w:rsid w:val="008D0C2E"/>
    <w:rsid w:val="008D3F32"/>
    <w:rsid w:val="008D480D"/>
    <w:rsid w:val="008D6962"/>
    <w:rsid w:val="008E40F9"/>
    <w:rsid w:val="008F1D96"/>
    <w:rsid w:val="009239CE"/>
    <w:rsid w:val="00930351"/>
    <w:rsid w:val="00934F54"/>
    <w:rsid w:val="009360FC"/>
    <w:rsid w:val="00941075"/>
    <w:rsid w:val="00960BB5"/>
    <w:rsid w:val="00970549"/>
    <w:rsid w:val="00971093"/>
    <w:rsid w:val="00973208"/>
    <w:rsid w:val="00982970"/>
    <w:rsid w:val="009830B1"/>
    <w:rsid w:val="009A0AAD"/>
    <w:rsid w:val="009C3A8F"/>
    <w:rsid w:val="009C3ACD"/>
    <w:rsid w:val="009D4B07"/>
    <w:rsid w:val="00A16ADF"/>
    <w:rsid w:val="00A20E8A"/>
    <w:rsid w:val="00A24481"/>
    <w:rsid w:val="00A26283"/>
    <w:rsid w:val="00A33AED"/>
    <w:rsid w:val="00A4595E"/>
    <w:rsid w:val="00A55BDF"/>
    <w:rsid w:val="00A6360D"/>
    <w:rsid w:val="00A637D0"/>
    <w:rsid w:val="00A7297D"/>
    <w:rsid w:val="00A75C6B"/>
    <w:rsid w:val="00A75C6E"/>
    <w:rsid w:val="00A76176"/>
    <w:rsid w:val="00A92A25"/>
    <w:rsid w:val="00AA11AE"/>
    <w:rsid w:val="00AA198E"/>
    <w:rsid w:val="00AA61CA"/>
    <w:rsid w:val="00AB08E9"/>
    <w:rsid w:val="00AD5093"/>
    <w:rsid w:val="00AE3705"/>
    <w:rsid w:val="00AE370D"/>
    <w:rsid w:val="00AF2D84"/>
    <w:rsid w:val="00AF774D"/>
    <w:rsid w:val="00B11AAD"/>
    <w:rsid w:val="00B2764B"/>
    <w:rsid w:val="00B36487"/>
    <w:rsid w:val="00B37ACE"/>
    <w:rsid w:val="00B403D7"/>
    <w:rsid w:val="00B41618"/>
    <w:rsid w:val="00B44FDC"/>
    <w:rsid w:val="00B522FB"/>
    <w:rsid w:val="00B527C3"/>
    <w:rsid w:val="00B7068B"/>
    <w:rsid w:val="00B775CF"/>
    <w:rsid w:val="00B82534"/>
    <w:rsid w:val="00B82BBF"/>
    <w:rsid w:val="00B868DC"/>
    <w:rsid w:val="00B9354C"/>
    <w:rsid w:val="00BA0FC9"/>
    <w:rsid w:val="00BA68A9"/>
    <w:rsid w:val="00BA760F"/>
    <w:rsid w:val="00BC5DAA"/>
    <w:rsid w:val="00BC5F2C"/>
    <w:rsid w:val="00BC70D4"/>
    <w:rsid w:val="00BF0737"/>
    <w:rsid w:val="00BF0779"/>
    <w:rsid w:val="00BF52E2"/>
    <w:rsid w:val="00C10131"/>
    <w:rsid w:val="00C10617"/>
    <w:rsid w:val="00C13CBD"/>
    <w:rsid w:val="00C160D3"/>
    <w:rsid w:val="00C2166D"/>
    <w:rsid w:val="00C24EB0"/>
    <w:rsid w:val="00C30D8D"/>
    <w:rsid w:val="00C30DB0"/>
    <w:rsid w:val="00C32054"/>
    <w:rsid w:val="00C43B1D"/>
    <w:rsid w:val="00C4450F"/>
    <w:rsid w:val="00C453FE"/>
    <w:rsid w:val="00C47664"/>
    <w:rsid w:val="00C47EA7"/>
    <w:rsid w:val="00C54BFF"/>
    <w:rsid w:val="00C70811"/>
    <w:rsid w:val="00C7269D"/>
    <w:rsid w:val="00C7336E"/>
    <w:rsid w:val="00C753E2"/>
    <w:rsid w:val="00C7582F"/>
    <w:rsid w:val="00C824AF"/>
    <w:rsid w:val="00C913D8"/>
    <w:rsid w:val="00C947A2"/>
    <w:rsid w:val="00CA74EF"/>
    <w:rsid w:val="00CB3DF2"/>
    <w:rsid w:val="00CD3A8E"/>
    <w:rsid w:val="00CE652F"/>
    <w:rsid w:val="00CE6C1B"/>
    <w:rsid w:val="00D03A07"/>
    <w:rsid w:val="00D05E45"/>
    <w:rsid w:val="00D12055"/>
    <w:rsid w:val="00D1575F"/>
    <w:rsid w:val="00D24AC4"/>
    <w:rsid w:val="00D41D86"/>
    <w:rsid w:val="00D44731"/>
    <w:rsid w:val="00D6230F"/>
    <w:rsid w:val="00D652AA"/>
    <w:rsid w:val="00D67FD4"/>
    <w:rsid w:val="00D83712"/>
    <w:rsid w:val="00D919D8"/>
    <w:rsid w:val="00DA5C02"/>
    <w:rsid w:val="00DE3CC5"/>
    <w:rsid w:val="00DF10BD"/>
    <w:rsid w:val="00E03888"/>
    <w:rsid w:val="00E05018"/>
    <w:rsid w:val="00E12FAB"/>
    <w:rsid w:val="00E22947"/>
    <w:rsid w:val="00E2568F"/>
    <w:rsid w:val="00E365D2"/>
    <w:rsid w:val="00E462F8"/>
    <w:rsid w:val="00E501E0"/>
    <w:rsid w:val="00E5032E"/>
    <w:rsid w:val="00E52EA5"/>
    <w:rsid w:val="00E62CA3"/>
    <w:rsid w:val="00E854BB"/>
    <w:rsid w:val="00E91FE4"/>
    <w:rsid w:val="00EA5525"/>
    <w:rsid w:val="00EA604A"/>
    <w:rsid w:val="00EB4AE0"/>
    <w:rsid w:val="00EB74AE"/>
    <w:rsid w:val="00EC3653"/>
    <w:rsid w:val="00EE3D6C"/>
    <w:rsid w:val="00EF0261"/>
    <w:rsid w:val="00EF2D8F"/>
    <w:rsid w:val="00F14D6C"/>
    <w:rsid w:val="00F210BD"/>
    <w:rsid w:val="00F34414"/>
    <w:rsid w:val="00F54505"/>
    <w:rsid w:val="00F57378"/>
    <w:rsid w:val="00F6061C"/>
    <w:rsid w:val="00F823B8"/>
    <w:rsid w:val="00F830E4"/>
    <w:rsid w:val="00F873F3"/>
    <w:rsid w:val="00F91661"/>
    <w:rsid w:val="00F92F86"/>
    <w:rsid w:val="00FA3206"/>
    <w:rsid w:val="00FA4E85"/>
    <w:rsid w:val="00FB7202"/>
    <w:rsid w:val="00FC0E8B"/>
    <w:rsid w:val="00FC68C2"/>
    <w:rsid w:val="00FD2450"/>
    <w:rsid w:val="00FE0CDC"/>
    <w:rsid w:val="00FE0D7F"/>
    <w:rsid w:val="00FF3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7AB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80"/>
    <w:rPr>
      <w:rFonts w:ascii="Calibri" w:hAnsi="Calibri"/>
    </w:rPr>
  </w:style>
  <w:style w:type="paragraph" w:styleId="Heading1">
    <w:name w:val="heading 1"/>
    <w:basedOn w:val="Normal"/>
    <w:next w:val="Normal"/>
    <w:link w:val="Heading1Char"/>
    <w:uiPriority w:val="9"/>
    <w:qFormat/>
    <w:rsid w:val="00C7336E"/>
    <w:pPr>
      <w:keepNext/>
      <w:keepLines/>
      <w:spacing w:before="480" w:after="240" w:line="240"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56A98"/>
    <w:pPr>
      <w:keepNext/>
      <w:keepLines/>
      <w:spacing w:before="240" w:after="200"/>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056A98"/>
    <w:pPr>
      <w:keepNext/>
      <w:keepLines/>
      <w:spacing w:before="240" w:after="200" w:line="240" w:lineRule="auto"/>
      <w:outlineLvl w:val="2"/>
    </w:pPr>
    <w:rPr>
      <w:rFonts w:eastAsiaTheme="majorEastAsia" w:cstheme="majorBidi"/>
      <w:b/>
      <w:i/>
      <w:iCs/>
    </w:rPr>
  </w:style>
  <w:style w:type="paragraph" w:styleId="Heading4">
    <w:name w:val="heading 4"/>
    <w:basedOn w:val="Normal"/>
    <w:next w:val="Normal"/>
    <w:link w:val="Heading4Char"/>
    <w:uiPriority w:val="9"/>
    <w:unhideWhenUsed/>
    <w:qFormat/>
    <w:rsid w:val="00F92F86"/>
    <w:pPr>
      <w:keepNext/>
      <w:keepLines/>
      <w:spacing w:before="240" w:after="200"/>
      <w:outlineLvl w:val="3"/>
    </w:pPr>
    <w:rPr>
      <w:rFonts w:eastAsiaTheme="majorEastAsia" w:cstheme="majorBidi"/>
      <w:b/>
      <w:iCs/>
      <w:sz w:val="32"/>
    </w:rPr>
  </w:style>
  <w:style w:type="paragraph" w:styleId="Heading5">
    <w:name w:val="heading 5"/>
    <w:basedOn w:val="Normal"/>
    <w:next w:val="Normal"/>
    <w:link w:val="Heading5Char"/>
    <w:uiPriority w:val="9"/>
    <w:unhideWhenUsed/>
    <w:qFormat/>
    <w:rsid w:val="0010428C"/>
    <w:pPr>
      <w:keepNext/>
      <w:keepLines/>
      <w:spacing w:before="40" w:after="0"/>
      <w:outlineLvl w:val="4"/>
    </w:pPr>
    <w:rPr>
      <w:rFonts w:eastAsiaTheme="majorEastAsia" w:cstheme="majorBid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36E"/>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056A98"/>
    <w:rPr>
      <w:rFonts w:ascii="Calibri" w:eastAsiaTheme="majorEastAsia" w:hAnsi="Calibri" w:cstheme="majorBidi"/>
      <w:b/>
      <w:sz w:val="28"/>
      <w:szCs w:val="28"/>
    </w:rPr>
  </w:style>
  <w:style w:type="character" w:customStyle="1" w:styleId="Heading3Char">
    <w:name w:val="Heading 3 Char"/>
    <w:basedOn w:val="DefaultParagraphFont"/>
    <w:link w:val="Heading3"/>
    <w:uiPriority w:val="9"/>
    <w:rsid w:val="00056A98"/>
    <w:rPr>
      <w:rFonts w:ascii="Calibri" w:eastAsiaTheme="majorEastAsia" w:hAnsi="Calibri" w:cstheme="majorBidi"/>
      <w:b/>
      <w:i/>
      <w:iCs/>
    </w:rPr>
  </w:style>
  <w:style w:type="character" w:customStyle="1" w:styleId="Heading4Char">
    <w:name w:val="Heading 4 Char"/>
    <w:basedOn w:val="DefaultParagraphFont"/>
    <w:link w:val="Heading4"/>
    <w:uiPriority w:val="9"/>
    <w:rsid w:val="00F92F86"/>
    <w:rPr>
      <w:rFonts w:ascii="Calibri" w:eastAsiaTheme="majorEastAsia" w:hAnsi="Calibri" w:cstheme="majorBidi"/>
      <w:b/>
      <w:iCs/>
      <w:sz w:val="32"/>
    </w:rPr>
  </w:style>
  <w:style w:type="character" w:customStyle="1" w:styleId="Heading5Char">
    <w:name w:val="Heading 5 Char"/>
    <w:basedOn w:val="DefaultParagraphFont"/>
    <w:link w:val="Heading5"/>
    <w:uiPriority w:val="9"/>
    <w:rsid w:val="0010428C"/>
    <w:rPr>
      <w:rFonts w:ascii="Calibri" w:eastAsiaTheme="majorEastAsia" w:hAnsi="Calibri" w:cstheme="majorBidi"/>
      <w:b/>
      <w:sz w:val="32"/>
    </w:rPr>
  </w:style>
  <w:style w:type="character" w:customStyle="1" w:styleId="ListParagraphChar">
    <w:name w:val="List Paragraph Char"/>
    <w:aliases w:val="Footnote Char,BulletPoints Char,List Paragraph1 Char,Recommendation Char,Numbered para Char,Bullet point Char,List Paragraph11 Char,L Char,Bullet Point Char,Bulletr List Paragraph Char,Content descriptions Char,FooterText Char"/>
    <w:basedOn w:val="DefaultParagraphFont"/>
    <w:link w:val="ListParagraph"/>
    <w:uiPriority w:val="72"/>
    <w:qFormat/>
    <w:locked/>
    <w:rsid w:val="00B41618"/>
    <w:rPr>
      <w:rFonts w:ascii="Calibri" w:hAnsi="Calibri" w:cs="Calibri"/>
    </w:rPr>
  </w:style>
  <w:style w:type="paragraph" w:styleId="ListParagraph">
    <w:name w:val="List Paragraph"/>
    <w:aliases w:val="Footnote,BulletPoints,List Paragraph1,Recommendation,Numbered para,Bullet point,List Paragraph11,L,Bullet Point,Bulletr List Paragraph,Content descriptions,FooterText,List Bullet 1,List Paragraph2,List Paragraph21,Listeafsnit1,ES Paragrap"/>
    <w:basedOn w:val="Normal"/>
    <w:link w:val="ListParagraphChar"/>
    <w:uiPriority w:val="72"/>
    <w:qFormat/>
    <w:rsid w:val="00B41618"/>
    <w:pPr>
      <w:spacing w:line="252" w:lineRule="auto"/>
      <w:ind w:left="720"/>
      <w:contextualSpacing/>
    </w:pPr>
    <w:rPr>
      <w:rFonts w:cs="Calibri"/>
    </w:rPr>
  </w:style>
  <w:style w:type="paragraph" w:customStyle="1" w:styleId="2Sections">
    <w:name w:val="2. Sections"/>
    <w:qFormat/>
    <w:rsid w:val="00AB08E9"/>
    <w:pPr>
      <w:numPr>
        <w:numId w:val="2"/>
      </w:numPr>
      <w:spacing w:before="240" w:after="120" w:line="240" w:lineRule="auto"/>
      <w:outlineLvl w:val="0"/>
    </w:pPr>
    <w:rPr>
      <w:rFonts w:asciiTheme="minorHAnsi" w:eastAsia="Times New Roman" w:hAnsiTheme="minorHAnsi" w:cs="Arial"/>
      <w:b/>
      <w:snapToGrid w:val="0"/>
      <w:sz w:val="32"/>
      <w:szCs w:val="32"/>
    </w:rPr>
  </w:style>
  <w:style w:type="paragraph" w:customStyle="1" w:styleId="3Bodytext">
    <w:name w:val="3. Body text"/>
    <w:basedOn w:val="ListParagraph"/>
    <w:link w:val="3BodytextChar"/>
    <w:qFormat/>
    <w:rsid w:val="00AB08E9"/>
    <w:pPr>
      <w:numPr>
        <w:ilvl w:val="1"/>
        <w:numId w:val="2"/>
      </w:numPr>
      <w:spacing w:after="120" w:line="240" w:lineRule="auto"/>
      <w:contextualSpacing w:val="0"/>
      <w:jc w:val="both"/>
    </w:pPr>
    <w:rPr>
      <w:rFonts w:asciiTheme="minorHAnsi" w:hAnsiTheme="minorHAnsi" w:cstheme="minorBidi"/>
      <w:szCs w:val="22"/>
    </w:rPr>
  </w:style>
  <w:style w:type="character" w:customStyle="1" w:styleId="3BodytextChar">
    <w:name w:val="3. Body text Char"/>
    <w:basedOn w:val="DefaultParagraphFont"/>
    <w:link w:val="3Bodytext"/>
    <w:rsid w:val="00AB08E9"/>
    <w:rPr>
      <w:rFonts w:asciiTheme="minorHAnsi" w:hAnsiTheme="minorHAnsi" w:cstheme="minorBidi"/>
      <w:szCs w:val="22"/>
    </w:rPr>
  </w:style>
  <w:style w:type="paragraph" w:customStyle="1" w:styleId="Style1">
    <w:name w:val="Style1"/>
    <w:basedOn w:val="ListParagraph"/>
    <w:link w:val="Style1Char"/>
    <w:qFormat/>
    <w:rsid w:val="00D24AC4"/>
    <w:pPr>
      <w:widowControl w:val="0"/>
      <w:numPr>
        <w:numId w:val="3"/>
      </w:numPr>
      <w:spacing w:before="120" w:after="120" w:line="240" w:lineRule="auto"/>
      <w:ind w:left="1434" w:hanging="357"/>
      <w:jc w:val="both"/>
    </w:pPr>
    <w:rPr>
      <w:rFonts w:asciiTheme="minorHAnsi" w:hAnsiTheme="minorHAnsi" w:cstheme="minorBidi"/>
      <w:noProof/>
    </w:rPr>
  </w:style>
  <w:style w:type="character" w:customStyle="1" w:styleId="Style1Char">
    <w:name w:val="Style1 Char"/>
    <w:basedOn w:val="DefaultParagraphFont"/>
    <w:link w:val="Style1"/>
    <w:rsid w:val="00D24AC4"/>
    <w:rPr>
      <w:rFonts w:asciiTheme="minorHAnsi" w:hAnsiTheme="minorHAnsi" w:cstheme="minorBidi"/>
      <w:noProof/>
    </w:rPr>
  </w:style>
  <w:style w:type="character" w:styleId="CommentReference">
    <w:name w:val="annotation reference"/>
    <w:basedOn w:val="DefaultParagraphFont"/>
    <w:uiPriority w:val="99"/>
    <w:semiHidden/>
    <w:unhideWhenUsed/>
    <w:rsid w:val="00A26283"/>
    <w:rPr>
      <w:sz w:val="16"/>
      <w:szCs w:val="16"/>
    </w:rPr>
  </w:style>
  <w:style w:type="paragraph" w:styleId="CommentText">
    <w:name w:val="annotation text"/>
    <w:basedOn w:val="Normal"/>
    <w:link w:val="CommentTextChar"/>
    <w:uiPriority w:val="99"/>
    <w:unhideWhenUsed/>
    <w:rsid w:val="00A26283"/>
    <w:pPr>
      <w:spacing w:line="240" w:lineRule="auto"/>
    </w:pPr>
    <w:rPr>
      <w:sz w:val="20"/>
      <w:szCs w:val="20"/>
    </w:rPr>
  </w:style>
  <w:style w:type="character" w:customStyle="1" w:styleId="CommentTextChar">
    <w:name w:val="Comment Text Char"/>
    <w:basedOn w:val="DefaultParagraphFont"/>
    <w:link w:val="CommentText"/>
    <w:uiPriority w:val="99"/>
    <w:rsid w:val="00A2628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26283"/>
    <w:rPr>
      <w:b/>
      <w:bCs/>
    </w:rPr>
  </w:style>
  <w:style w:type="character" w:customStyle="1" w:styleId="CommentSubjectChar">
    <w:name w:val="Comment Subject Char"/>
    <w:basedOn w:val="CommentTextChar"/>
    <w:link w:val="CommentSubject"/>
    <w:uiPriority w:val="99"/>
    <w:semiHidden/>
    <w:rsid w:val="00A26283"/>
    <w:rPr>
      <w:rFonts w:ascii="Calibri" w:hAnsi="Calibri"/>
      <w:b/>
      <w:bCs/>
      <w:sz w:val="20"/>
      <w:szCs w:val="20"/>
    </w:rPr>
  </w:style>
  <w:style w:type="paragraph" w:customStyle="1" w:styleId="4Bodytextnumbered">
    <w:name w:val="4. Body text numbered"/>
    <w:basedOn w:val="ListParagraph"/>
    <w:qFormat/>
    <w:rsid w:val="00A26283"/>
    <w:pPr>
      <w:spacing w:after="120" w:line="240" w:lineRule="auto"/>
      <w:ind w:hanging="720"/>
      <w:contextualSpacing w:val="0"/>
      <w:jc w:val="both"/>
    </w:pPr>
    <w:rPr>
      <w:rFonts w:asciiTheme="minorHAnsi" w:hAnsiTheme="minorHAnsi" w:cstheme="minorBidi"/>
      <w:szCs w:val="22"/>
    </w:rPr>
  </w:style>
  <w:style w:type="paragraph" w:customStyle="1" w:styleId="Tablewriting">
    <w:name w:val="Table writing"/>
    <w:basedOn w:val="Normal"/>
    <w:link w:val="TablewritingChar"/>
    <w:qFormat/>
    <w:rsid w:val="006C46AB"/>
    <w:pPr>
      <w:autoSpaceDE w:val="0"/>
      <w:autoSpaceDN w:val="0"/>
      <w:adjustRightInd w:val="0"/>
      <w:spacing w:before="60" w:after="60" w:line="240" w:lineRule="auto"/>
    </w:pPr>
    <w:rPr>
      <w:rFonts w:asciiTheme="minorHAnsi" w:eastAsiaTheme="minorEastAsia" w:hAnsiTheme="minorHAnsi" w:cs="Calibri"/>
      <w:color w:val="000000"/>
      <w:sz w:val="20"/>
      <w:szCs w:val="20"/>
      <w:lang w:eastAsia="en-AU"/>
    </w:rPr>
  </w:style>
  <w:style w:type="paragraph" w:customStyle="1" w:styleId="Tableheading">
    <w:name w:val="Table heading"/>
    <w:basedOn w:val="Normal"/>
    <w:qFormat/>
    <w:rsid w:val="00F92F86"/>
    <w:pPr>
      <w:autoSpaceDE w:val="0"/>
      <w:autoSpaceDN w:val="0"/>
      <w:adjustRightInd w:val="0"/>
      <w:spacing w:before="200" w:after="20" w:line="240" w:lineRule="auto"/>
    </w:pPr>
    <w:rPr>
      <w:rFonts w:asciiTheme="minorHAnsi" w:eastAsiaTheme="minorEastAsia" w:hAnsiTheme="minorHAnsi" w:cs="Calibri"/>
      <w:b/>
      <w:lang w:eastAsia="en-AU"/>
    </w:rPr>
  </w:style>
  <w:style w:type="character" w:customStyle="1" w:styleId="TablewritingChar">
    <w:name w:val="Table writing Char"/>
    <w:link w:val="Tablewriting"/>
    <w:rsid w:val="006C46AB"/>
    <w:rPr>
      <w:rFonts w:asciiTheme="minorHAnsi" w:eastAsiaTheme="minorEastAsia" w:hAnsiTheme="minorHAnsi" w:cs="Calibri"/>
      <w:color w:val="000000"/>
      <w:sz w:val="20"/>
      <w:szCs w:val="20"/>
      <w:lang w:eastAsia="en-AU"/>
    </w:rPr>
  </w:style>
  <w:style w:type="character" w:styleId="Hyperlink">
    <w:name w:val="Hyperlink"/>
    <w:basedOn w:val="DefaultParagraphFont"/>
    <w:uiPriority w:val="99"/>
    <w:unhideWhenUsed/>
    <w:rsid w:val="006B6EDC"/>
    <w:rPr>
      <w:color w:val="0563C1"/>
      <w:u w:val="single"/>
    </w:rPr>
  </w:style>
  <w:style w:type="paragraph" w:styleId="FootnoteText">
    <w:name w:val="footnote text"/>
    <w:basedOn w:val="Normal"/>
    <w:link w:val="FootnoteTextChar"/>
    <w:uiPriority w:val="99"/>
    <w:semiHidden/>
    <w:unhideWhenUsed/>
    <w:rsid w:val="006B6ED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6B6EDC"/>
    <w:rPr>
      <w:sz w:val="20"/>
      <w:szCs w:val="20"/>
    </w:rPr>
  </w:style>
  <w:style w:type="character" w:styleId="FootnoteReference">
    <w:name w:val="footnote reference"/>
    <w:basedOn w:val="DefaultParagraphFont"/>
    <w:uiPriority w:val="99"/>
    <w:semiHidden/>
    <w:unhideWhenUsed/>
    <w:rsid w:val="006B6EDC"/>
    <w:rPr>
      <w:vertAlign w:val="superscript"/>
    </w:rPr>
  </w:style>
  <w:style w:type="character" w:styleId="UnresolvedMention">
    <w:name w:val="Unresolved Mention"/>
    <w:basedOn w:val="DefaultParagraphFont"/>
    <w:uiPriority w:val="99"/>
    <w:semiHidden/>
    <w:unhideWhenUsed/>
    <w:rsid w:val="00722ED8"/>
    <w:rPr>
      <w:color w:val="605E5C"/>
      <w:shd w:val="clear" w:color="auto" w:fill="E1DFDD"/>
    </w:rPr>
  </w:style>
  <w:style w:type="table" w:styleId="TableGrid">
    <w:name w:val="Table Grid"/>
    <w:aliases w:val="Summary box,Table Gridbeth"/>
    <w:basedOn w:val="TableNormal"/>
    <w:uiPriority w:val="39"/>
    <w:rsid w:val="00E462F8"/>
    <w:pPr>
      <w:spacing w:after="0" w:line="240" w:lineRule="auto"/>
    </w:pPr>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Normal"/>
    <w:qFormat/>
    <w:rsid w:val="00AA61CA"/>
    <w:pPr>
      <w:spacing w:after="200" w:line="240" w:lineRule="auto"/>
    </w:pPr>
    <w:rPr>
      <w:rFonts w:asciiTheme="minorHAnsi" w:eastAsiaTheme="minorEastAsia" w:hAnsiTheme="minorHAnsi" w:cs="Baskerville"/>
      <w:sz w:val="20"/>
      <w:szCs w:val="20"/>
      <w:lang w:eastAsia="en-AU"/>
    </w:rPr>
  </w:style>
  <w:style w:type="paragraph" w:customStyle="1" w:styleId="TableText">
    <w:name w:val="Table Text"/>
    <w:basedOn w:val="Normal"/>
    <w:link w:val="TableTextChar"/>
    <w:qFormat/>
    <w:rsid w:val="00F92F86"/>
    <w:pPr>
      <w:spacing w:before="60" w:after="60" w:line="240" w:lineRule="auto"/>
    </w:pPr>
    <w:rPr>
      <w:rFonts w:eastAsia="Times New Roman"/>
      <w:sz w:val="20"/>
      <w:szCs w:val="20"/>
      <w:lang w:eastAsia="en-AU"/>
    </w:rPr>
  </w:style>
  <w:style w:type="character" w:customStyle="1" w:styleId="TableTextChar">
    <w:name w:val="Table Text Char"/>
    <w:link w:val="TableText"/>
    <w:rsid w:val="00F92F86"/>
    <w:rPr>
      <w:rFonts w:ascii="Calibri" w:eastAsia="Times New Roman" w:hAnsi="Calibri"/>
      <w:sz w:val="20"/>
      <w:szCs w:val="20"/>
      <w:lang w:eastAsia="en-AU"/>
    </w:rPr>
  </w:style>
  <w:style w:type="paragraph" w:customStyle="1" w:styleId="Default">
    <w:name w:val="Default"/>
    <w:rsid w:val="00406CDA"/>
    <w:pPr>
      <w:autoSpaceDE w:val="0"/>
      <w:autoSpaceDN w:val="0"/>
      <w:adjustRightInd w:val="0"/>
      <w:spacing w:after="0" w:line="240" w:lineRule="auto"/>
    </w:pPr>
    <w:rPr>
      <w:rFonts w:eastAsia="Times New Roman"/>
      <w:color w:val="000000"/>
      <w:lang w:eastAsia="en-AU"/>
    </w:rPr>
  </w:style>
  <w:style w:type="paragraph" w:styleId="Bibliography">
    <w:name w:val="Bibliography"/>
    <w:basedOn w:val="Normal"/>
    <w:next w:val="Normal"/>
    <w:uiPriority w:val="37"/>
    <w:unhideWhenUsed/>
    <w:rsid w:val="00234D0E"/>
  </w:style>
  <w:style w:type="character" w:styleId="FollowedHyperlink">
    <w:name w:val="FollowedHyperlink"/>
    <w:basedOn w:val="DefaultParagraphFont"/>
    <w:uiPriority w:val="99"/>
    <w:semiHidden/>
    <w:unhideWhenUsed/>
    <w:rsid w:val="00EA604A"/>
    <w:rPr>
      <w:color w:val="954F72" w:themeColor="followedHyperlink"/>
      <w:u w:val="single"/>
    </w:rPr>
  </w:style>
  <w:style w:type="paragraph" w:styleId="Header">
    <w:name w:val="header"/>
    <w:basedOn w:val="Normal"/>
    <w:link w:val="HeaderChar"/>
    <w:uiPriority w:val="99"/>
    <w:unhideWhenUsed/>
    <w:rsid w:val="005E4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5A7"/>
    <w:rPr>
      <w:rFonts w:ascii="Calibri" w:hAnsi="Calibri"/>
    </w:rPr>
  </w:style>
  <w:style w:type="paragraph" w:styleId="Footer">
    <w:name w:val="footer"/>
    <w:basedOn w:val="Normal"/>
    <w:link w:val="FooterChar"/>
    <w:uiPriority w:val="99"/>
    <w:unhideWhenUsed/>
    <w:rsid w:val="005E4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5A7"/>
    <w:rPr>
      <w:rFonts w:ascii="Calibri" w:hAnsi="Calibri"/>
    </w:rPr>
  </w:style>
  <w:style w:type="paragraph" w:customStyle="1" w:styleId="EndNoteBibliography">
    <w:name w:val="EndNote Bibliography"/>
    <w:basedOn w:val="Normal"/>
    <w:link w:val="EndNoteBibliographyChar"/>
    <w:rsid w:val="00EF2D8F"/>
    <w:pPr>
      <w:spacing w:after="200" w:line="240" w:lineRule="auto"/>
    </w:pPr>
    <w:rPr>
      <w:rFonts w:cstheme="minorBidi"/>
      <w:noProof/>
      <w:sz w:val="22"/>
      <w:szCs w:val="22"/>
      <w:lang w:val="en-US"/>
    </w:rPr>
  </w:style>
  <w:style w:type="character" w:customStyle="1" w:styleId="EndNoteBibliographyChar">
    <w:name w:val="EndNote Bibliography Char"/>
    <w:basedOn w:val="DefaultParagraphFont"/>
    <w:link w:val="EndNoteBibliography"/>
    <w:rsid w:val="00EF2D8F"/>
    <w:rPr>
      <w:rFonts w:ascii="Calibri" w:hAnsi="Calibri" w:cstheme="minorBidi"/>
      <w:noProof/>
      <w:sz w:val="22"/>
      <w:szCs w:val="22"/>
      <w:lang w:val="en-US"/>
    </w:rPr>
  </w:style>
  <w:style w:type="paragraph" w:styleId="Title">
    <w:name w:val="Title"/>
    <w:basedOn w:val="Normal"/>
    <w:next w:val="Normal"/>
    <w:link w:val="TitleChar"/>
    <w:uiPriority w:val="10"/>
    <w:qFormat/>
    <w:rsid w:val="00C43B1D"/>
    <w:pPr>
      <w:spacing w:after="240" w:line="240" w:lineRule="auto"/>
      <w:contextualSpacing/>
    </w:pPr>
    <w:rPr>
      <w:rFonts w:asciiTheme="minorHAnsi" w:eastAsiaTheme="majorEastAsia" w:hAnsiTheme="minorHAnsi" w:cstheme="minorHAnsi"/>
      <w:b/>
      <w:bCs/>
      <w:spacing w:val="-10"/>
      <w:kern w:val="28"/>
      <w:sz w:val="52"/>
      <w:szCs w:val="52"/>
    </w:rPr>
  </w:style>
  <w:style w:type="character" w:customStyle="1" w:styleId="TitleChar">
    <w:name w:val="Title Char"/>
    <w:basedOn w:val="DefaultParagraphFont"/>
    <w:link w:val="Title"/>
    <w:uiPriority w:val="10"/>
    <w:rsid w:val="00C43B1D"/>
    <w:rPr>
      <w:rFonts w:asciiTheme="minorHAnsi" w:eastAsiaTheme="majorEastAsia" w:hAnsiTheme="minorHAnsi" w:cstheme="minorHAnsi"/>
      <w:b/>
      <w:bCs/>
      <w:spacing w:val="-10"/>
      <w:kern w:val="28"/>
      <w:sz w:val="52"/>
      <w:szCs w:val="52"/>
    </w:rPr>
  </w:style>
  <w:style w:type="paragraph" w:customStyle="1" w:styleId="Title2">
    <w:name w:val="Title 2"/>
    <w:basedOn w:val="Heading1"/>
    <w:link w:val="Title2Char"/>
    <w:qFormat/>
    <w:rsid w:val="00C43B1D"/>
    <w:rPr>
      <w:rFonts w:asciiTheme="minorHAnsi" w:hAnsiTheme="minorHAnsi"/>
      <w:bCs/>
      <w:sz w:val="40"/>
      <w:lang w:eastAsia="en-AU"/>
    </w:rPr>
  </w:style>
  <w:style w:type="character" w:customStyle="1" w:styleId="Title2Char">
    <w:name w:val="Title 2 Char"/>
    <w:basedOn w:val="Heading1Char"/>
    <w:link w:val="Title2"/>
    <w:rsid w:val="00C43B1D"/>
    <w:rPr>
      <w:rFonts w:asciiTheme="minorHAnsi" w:eastAsiaTheme="majorEastAsia" w:hAnsiTheme="minorHAnsi" w:cstheme="majorBidi"/>
      <w:b/>
      <w:bCs/>
      <w:sz w:val="40"/>
      <w:szCs w:val="32"/>
      <w:lang w:eastAsia="en-AU"/>
    </w:rPr>
  </w:style>
  <w:style w:type="paragraph" w:customStyle="1" w:styleId="Meetingdate">
    <w:name w:val="Meeting date"/>
    <w:basedOn w:val="Heading4"/>
    <w:link w:val="MeetingdateChar"/>
    <w:qFormat/>
    <w:rsid w:val="005D72CE"/>
    <w:pPr>
      <w:keepNext w:val="0"/>
      <w:keepLines w:val="0"/>
      <w:spacing w:line="240" w:lineRule="auto"/>
    </w:pPr>
    <w:rPr>
      <w:rFonts w:asciiTheme="minorHAnsi" w:eastAsiaTheme="minorEastAsia" w:hAnsiTheme="minorHAnsi" w:cstheme="minorBidi"/>
      <w:i/>
      <w:iCs w:val="0"/>
      <w:sz w:val="24"/>
      <w:lang w:eastAsia="en-AU"/>
    </w:rPr>
  </w:style>
  <w:style w:type="character" w:customStyle="1" w:styleId="MeetingdateChar">
    <w:name w:val="Meeting date Char"/>
    <w:basedOn w:val="Heading4Char"/>
    <w:link w:val="Meetingdate"/>
    <w:rsid w:val="005D72CE"/>
    <w:rPr>
      <w:rFonts w:asciiTheme="minorHAnsi" w:eastAsiaTheme="minorEastAsia" w:hAnsiTheme="minorHAnsi" w:cstheme="minorBidi"/>
      <w:b/>
      <w:i/>
      <w:iCs w:val="0"/>
      <w:sz w:val="32"/>
      <w:lang w:eastAsia="en-AU"/>
    </w:rPr>
  </w:style>
  <w:style w:type="character" w:styleId="PageNumber">
    <w:name w:val="page number"/>
    <w:basedOn w:val="DefaultParagraphFont"/>
    <w:uiPriority w:val="99"/>
    <w:semiHidden/>
    <w:unhideWhenUsed/>
    <w:rsid w:val="00DA5C02"/>
  </w:style>
  <w:style w:type="paragraph" w:styleId="Revision">
    <w:name w:val="Revision"/>
    <w:hidden/>
    <w:uiPriority w:val="99"/>
    <w:semiHidden/>
    <w:rsid w:val="008272BB"/>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1059">
      <w:bodyDiv w:val="1"/>
      <w:marLeft w:val="0"/>
      <w:marRight w:val="0"/>
      <w:marTop w:val="0"/>
      <w:marBottom w:val="0"/>
      <w:divBdr>
        <w:top w:val="none" w:sz="0" w:space="0" w:color="auto"/>
        <w:left w:val="none" w:sz="0" w:space="0" w:color="auto"/>
        <w:bottom w:val="none" w:sz="0" w:space="0" w:color="auto"/>
        <w:right w:val="none" w:sz="0" w:space="0" w:color="auto"/>
      </w:divBdr>
    </w:div>
    <w:div w:id="248269205">
      <w:bodyDiv w:val="1"/>
      <w:marLeft w:val="0"/>
      <w:marRight w:val="0"/>
      <w:marTop w:val="0"/>
      <w:marBottom w:val="0"/>
      <w:divBdr>
        <w:top w:val="none" w:sz="0" w:space="0" w:color="auto"/>
        <w:left w:val="none" w:sz="0" w:space="0" w:color="auto"/>
        <w:bottom w:val="none" w:sz="0" w:space="0" w:color="auto"/>
        <w:right w:val="none" w:sz="0" w:space="0" w:color="auto"/>
      </w:divBdr>
    </w:div>
    <w:div w:id="271523099">
      <w:bodyDiv w:val="1"/>
      <w:marLeft w:val="0"/>
      <w:marRight w:val="0"/>
      <w:marTop w:val="0"/>
      <w:marBottom w:val="0"/>
      <w:divBdr>
        <w:top w:val="none" w:sz="0" w:space="0" w:color="auto"/>
        <w:left w:val="none" w:sz="0" w:space="0" w:color="auto"/>
        <w:bottom w:val="none" w:sz="0" w:space="0" w:color="auto"/>
        <w:right w:val="none" w:sz="0" w:space="0" w:color="auto"/>
      </w:divBdr>
    </w:div>
    <w:div w:id="284043606">
      <w:bodyDiv w:val="1"/>
      <w:marLeft w:val="0"/>
      <w:marRight w:val="0"/>
      <w:marTop w:val="0"/>
      <w:marBottom w:val="0"/>
      <w:divBdr>
        <w:top w:val="none" w:sz="0" w:space="0" w:color="auto"/>
        <w:left w:val="none" w:sz="0" w:space="0" w:color="auto"/>
        <w:bottom w:val="none" w:sz="0" w:space="0" w:color="auto"/>
        <w:right w:val="none" w:sz="0" w:space="0" w:color="auto"/>
      </w:divBdr>
    </w:div>
    <w:div w:id="355082755">
      <w:bodyDiv w:val="1"/>
      <w:marLeft w:val="0"/>
      <w:marRight w:val="0"/>
      <w:marTop w:val="0"/>
      <w:marBottom w:val="0"/>
      <w:divBdr>
        <w:top w:val="none" w:sz="0" w:space="0" w:color="auto"/>
        <w:left w:val="none" w:sz="0" w:space="0" w:color="auto"/>
        <w:bottom w:val="none" w:sz="0" w:space="0" w:color="auto"/>
        <w:right w:val="none" w:sz="0" w:space="0" w:color="auto"/>
      </w:divBdr>
    </w:div>
    <w:div w:id="607086642">
      <w:bodyDiv w:val="1"/>
      <w:marLeft w:val="0"/>
      <w:marRight w:val="0"/>
      <w:marTop w:val="0"/>
      <w:marBottom w:val="0"/>
      <w:divBdr>
        <w:top w:val="none" w:sz="0" w:space="0" w:color="auto"/>
        <w:left w:val="none" w:sz="0" w:space="0" w:color="auto"/>
        <w:bottom w:val="none" w:sz="0" w:space="0" w:color="auto"/>
        <w:right w:val="none" w:sz="0" w:space="0" w:color="auto"/>
      </w:divBdr>
    </w:div>
    <w:div w:id="674964090">
      <w:bodyDiv w:val="1"/>
      <w:marLeft w:val="0"/>
      <w:marRight w:val="0"/>
      <w:marTop w:val="0"/>
      <w:marBottom w:val="0"/>
      <w:divBdr>
        <w:top w:val="none" w:sz="0" w:space="0" w:color="auto"/>
        <w:left w:val="none" w:sz="0" w:space="0" w:color="auto"/>
        <w:bottom w:val="none" w:sz="0" w:space="0" w:color="auto"/>
        <w:right w:val="none" w:sz="0" w:space="0" w:color="auto"/>
      </w:divBdr>
    </w:div>
    <w:div w:id="680619657">
      <w:bodyDiv w:val="1"/>
      <w:marLeft w:val="0"/>
      <w:marRight w:val="0"/>
      <w:marTop w:val="0"/>
      <w:marBottom w:val="0"/>
      <w:divBdr>
        <w:top w:val="none" w:sz="0" w:space="0" w:color="auto"/>
        <w:left w:val="none" w:sz="0" w:space="0" w:color="auto"/>
        <w:bottom w:val="none" w:sz="0" w:space="0" w:color="auto"/>
        <w:right w:val="none" w:sz="0" w:space="0" w:color="auto"/>
      </w:divBdr>
    </w:div>
    <w:div w:id="692153541">
      <w:bodyDiv w:val="1"/>
      <w:marLeft w:val="0"/>
      <w:marRight w:val="0"/>
      <w:marTop w:val="0"/>
      <w:marBottom w:val="0"/>
      <w:divBdr>
        <w:top w:val="none" w:sz="0" w:space="0" w:color="auto"/>
        <w:left w:val="none" w:sz="0" w:space="0" w:color="auto"/>
        <w:bottom w:val="none" w:sz="0" w:space="0" w:color="auto"/>
        <w:right w:val="none" w:sz="0" w:space="0" w:color="auto"/>
      </w:divBdr>
    </w:div>
    <w:div w:id="720327644">
      <w:bodyDiv w:val="1"/>
      <w:marLeft w:val="0"/>
      <w:marRight w:val="0"/>
      <w:marTop w:val="0"/>
      <w:marBottom w:val="0"/>
      <w:divBdr>
        <w:top w:val="none" w:sz="0" w:space="0" w:color="auto"/>
        <w:left w:val="none" w:sz="0" w:space="0" w:color="auto"/>
        <w:bottom w:val="none" w:sz="0" w:space="0" w:color="auto"/>
        <w:right w:val="none" w:sz="0" w:space="0" w:color="auto"/>
      </w:divBdr>
    </w:div>
    <w:div w:id="754010002">
      <w:bodyDiv w:val="1"/>
      <w:marLeft w:val="0"/>
      <w:marRight w:val="0"/>
      <w:marTop w:val="0"/>
      <w:marBottom w:val="0"/>
      <w:divBdr>
        <w:top w:val="none" w:sz="0" w:space="0" w:color="auto"/>
        <w:left w:val="none" w:sz="0" w:space="0" w:color="auto"/>
        <w:bottom w:val="none" w:sz="0" w:space="0" w:color="auto"/>
        <w:right w:val="none" w:sz="0" w:space="0" w:color="auto"/>
      </w:divBdr>
    </w:div>
    <w:div w:id="1110322616">
      <w:bodyDiv w:val="1"/>
      <w:marLeft w:val="0"/>
      <w:marRight w:val="0"/>
      <w:marTop w:val="0"/>
      <w:marBottom w:val="0"/>
      <w:divBdr>
        <w:top w:val="none" w:sz="0" w:space="0" w:color="auto"/>
        <w:left w:val="none" w:sz="0" w:space="0" w:color="auto"/>
        <w:bottom w:val="none" w:sz="0" w:space="0" w:color="auto"/>
        <w:right w:val="none" w:sz="0" w:space="0" w:color="auto"/>
      </w:divBdr>
    </w:div>
    <w:div w:id="1111627294">
      <w:bodyDiv w:val="1"/>
      <w:marLeft w:val="0"/>
      <w:marRight w:val="0"/>
      <w:marTop w:val="0"/>
      <w:marBottom w:val="0"/>
      <w:divBdr>
        <w:top w:val="none" w:sz="0" w:space="0" w:color="auto"/>
        <w:left w:val="none" w:sz="0" w:space="0" w:color="auto"/>
        <w:bottom w:val="none" w:sz="0" w:space="0" w:color="auto"/>
        <w:right w:val="none" w:sz="0" w:space="0" w:color="auto"/>
      </w:divBdr>
    </w:div>
    <w:div w:id="1285044546">
      <w:bodyDiv w:val="1"/>
      <w:marLeft w:val="0"/>
      <w:marRight w:val="0"/>
      <w:marTop w:val="0"/>
      <w:marBottom w:val="0"/>
      <w:divBdr>
        <w:top w:val="none" w:sz="0" w:space="0" w:color="auto"/>
        <w:left w:val="none" w:sz="0" w:space="0" w:color="auto"/>
        <w:bottom w:val="none" w:sz="0" w:space="0" w:color="auto"/>
        <w:right w:val="none" w:sz="0" w:space="0" w:color="auto"/>
      </w:divBdr>
    </w:div>
    <w:div w:id="1296452646">
      <w:bodyDiv w:val="1"/>
      <w:marLeft w:val="0"/>
      <w:marRight w:val="0"/>
      <w:marTop w:val="0"/>
      <w:marBottom w:val="0"/>
      <w:divBdr>
        <w:top w:val="none" w:sz="0" w:space="0" w:color="auto"/>
        <w:left w:val="none" w:sz="0" w:space="0" w:color="auto"/>
        <w:bottom w:val="none" w:sz="0" w:space="0" w:color="auto"/>
        <w:right w:val="none" w:sz="0" w:space="0" w:color="auto"/>
      </w:divBdr>
    </w:div>
    <w:div w:id="1332493142">
      <w:bodyDiv w:val="1"/>
      <w:marLeft w:val="0"/>
      <w:marRight w:val="0"/>
      <w:marTop w:val="0"/>
      <w:marBottom w:val="0"/>
      <w:divBdr>
        <w:top w:val="none" w:sz="0" w:space="0" w:color="auto"/>
        <w:left w:val="none" w:sz="0" w:space="0" w:color="auto"/>
        <w:bottom w:val="none" w:sz="0" w:space="0" w:color="auto"/>
        <w:right w:val="none" w:sz="0" w:space="0" w:color="auto"/>
      </w:divBdr>
    </w:div>
    <w:div w:id="1340304120">
      <w:bodyDiv w:val="1"/>
      <w:marLeft w:val="0"/>
      <w:marRight w:val="0"/>
      <w:marTop w:val="0"/>
      <w:marBottom w:val="0"/>
      <w:divBdr>
        <w:top w:val="none" w:sz="0" w:space="0" w:color="auto"/>
        <w:left w:val="none" w:sz="0" w:space="0" w:color="auto"/>
        <w:bottom w:val="none" w:sz="0" w:space="0" w:color="auto"/>
        <w:right w:val="none" w:sz="0" w:space="0" w:color="auto"/>
      </w:divBdr>
    </w:div>
    <w:div w:id="1517302683">
      <w:bodyDiv w:val="1"/>
      <w:marLeft w:val="0"/>
      <w:marRight w:val="0"/>
      <w:marTop w:val="0"/>
      <w:marBottom w:val="0"/>
      <w:divBdr>
        <w:top w:val="none" w:sz="0" w:space="0" w:color="auto"/>
        <w:left w:val="none" w:sz="0" w:space="0" w:color="auto"/>
        <w:bottom w:val="none" w:sz="0" w:space="0" w:color="auto"/>
        <w:right w:val="none" w:sz="0" w:space="0" w:color="auto"/>
      </w:divBdr>
    </w:div>
    <w:div w:id="1529292527">
      <w:bodyDiv w:val="1"/>
      <w:marLeft w:val="0"/>
      <w:marRight w:val="0"/>
      <w:marTop w:val="0"/>
      <w:marBottom w:val="0"/>
      <w:divBdr>
        <w:top w:val="none" w:sz="0" w:space="0" w:color="auto"/>
        <w:left w:val="none" w:sz="0" w:space="0" w:color="auto"/>
        <w:bottom w:val="none" w:sz="0" w:space="0" w:color="auto"/>
        <w:right w:val="none" w:sz="0" w:space="0" w:color="auto"/>
      </w:divBdr>
    </w:div>
    <w:div w:id="1626694076">
      <w:bodyDiv w:val="1"/>
      <w:marLeft w:val="0"/>
      <w:marRight w:val="0"/>
      <w:marTop w:val="0"/>
      <w:marBottom w:val="0"/>
      <w:divBdr>
        <w:top w:val="none" w:sz="0" w:space="0" w:color="auto"/>
        <w:left w:val="none" w:sz="0" w:space="0" w:color="auto"/>
        <w:bottom w:val="none" w:sz="0" w:space="0" w:color="auto"/>
        <w:right w:val="none" w:sz="0" w:space="0" w:color="auto"/>
      </w:divBdr>
    </w:div>
    <w:div w:id="1682391900">
      <w:bodyDiv w:val="1"/>
      <w:marLeft w:val="0"/>
      <w:marRight w:val="0"/>
      <w:marTop w:val="0"/>
      <w:marBottom w:val="0"/>
      <w:divBdr>
        <w:top w:val="none" w:sz="0" w:space="0" w:color="auto"/>
        <w:left w:val="none" w:sz="0" w:space="0" w:color="auto"/>
        <w:bottom w:val="none" w:sz="0" w:space="0" w:color="auto"/>
        <w:right w:val="none" w:sz="0" w:space="0" w:color="auto"/>
      </w:divBdr>
    </w:div>
    <w:div w:id="1759249687">
      <w:bodyDiv w:val="1"/>
      <w:marLeft w:val="0"/>
      <w:marRight w:val="0"/>
      <w:marTop w:val="0"/>
      <w:marBottom w:val="0"/>
      <w:divBdr>
        <w:top w:val="none" w:sz="0" w:space="0" w:color="auto"/>
        <w:left w:val="none" w:sz="0" w:space="0" w:color="auto"/>
        <w:bottom w:val="none" w:sz="0" w:space="0" w:color="auto"/>
        <w:right w:val="none" w:sz="0" w:space="0" w:color="auto"/>
      </w:divBdr>
    </w:div>
    <w:div w:id="1835954375">
      <w:bodyDiv w:val="1"/>
      <w:marLeft w:val="0"/>
      <w:marRight w:val="0"/>
      <w:marTop w:val="0"/>
      <w:marBottom w:val="0"/>
      <w:divBdr>
        <w:top w:val="none" w:sz="0" w:space="0" w:color="auto"/>
        <w:left w:val="none" w:sz="0" w:space="0" w:color="auto"/>
        <w:bottom w:val="none" w:sz="0" w:space="0" w:color="auto"/>
        <w:right w:val="none" w:sz="0" w:space="0" w:color="auto"/>
      </w:divBdr>
    </w:div>
    <w:div w:id="1854493265">
      <w:bodyDiv w:val="1"/>
      <w:marLeft w:val="0"/>
      <w:marRight w:val="0"/>
      <w:marTop w:val="0"/>
      <w:marBottom w:val="0"/>
      <w:divBdr>
        <w:top w:val="none" w:sz="0" w:space="0" w:color="auto"/>
        <w:left w:val="none" w:sz="0" w:space="0" w:color="auto"/>
        <w:bottom w:val="none" w:sz="0" w:space="0" w:color="auto"/>
        <w:right w:val="none" w:sz="0" w:space="0" w:color="auto"/>
      </w:divBdr>
    </w:div>
    <w:div w:id="1902326340">
      <w:bodyDiv w:val="1"/>
      <w:marLeft w:val="0"/>
      <w:marRight w:val="0"/>
      <w:marTop w:val="0"/>
      <w:marBottom w:val="0"/>
      <w:divBdr>
        <w:top w:val="none" w:sz="0" w:space="0" w:color="auto"/>
        <w:left w:val="none" w:sz="0" w:space="0" w:color="auto"/>
        <w:bottom w:val="none" w:sz="0" w:space="0" w:color="auto"/>
        <w:right w:val="none" w:sz="0" w:space="0" w:color="auto"/>
      </w:divBdr>
    </w:div>
    <w:div w:id="20896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entral.health\DFSGroupData\Sites\CO1\CO\PBD\PEB\EVAL\DUSC\DUSC%20Documents\Predicted%20vs%20actual%20usage\pbs.gov.au" TargetMode="External"/><Relationship Id="rId18" Type="http://schemas.openxmlformats.org/officeDocument/2006/relationships/hyperlink" Target="https://diabetessociety.com.au/downloads/20210301%20T2D%20Management%20Algorithm%200103202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www.pbs.gov.au/pbs/home" TargetMode="External"/><Relationship Id="rId17" Type="http://schemas.openxmlformats.org/officeDocument/2006/relationships/hyperlink" Target="https://www.racgp.org.au/getattachment/41fee8dc-7f97-4f87-9d90-b7af337af778/Management-of-type-2-diabetes-A-handbook-for-general-practice.aspx" TargetMode="Externa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https://tgldcdp.tg.org.au/viewTopic?topicfile=type-2-diabetes-in-adults"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a.gov.au/consumers/information-medicines-cmi.htm" TargetMode="Externa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s://www.pbs.gov.au/info/industry/listing/elements/pbac-meetings/psd/public-summary-documents-by-product" TargetMode="External"/><Relationship Id="rId23" Type="http://schemas.openxmlformats.org/officeDocument/2006/relationships/chart" Target="charts/chart4.xml"/><Relationship Id="rId10" Type="http://schemas.openxmlformats.org/officeDocument/2006/relationships/hyperlink" Target="http://tga.gov.au/hp/information-medicines-pi.htm" TargetMode="External"/><Relationship Id="rId19" Type="http://schemas.openxmlformats.org/officeDocument/2006/relationships/hyperlink" Target="https://diabetessociety.com.au/20211104%20Guideline-Australian-Evidence-Based-Clinical-Guidelines-for-Diabetes.pdf" TargetMode="External"/><Relationship Id="rId4" Type="http://schemas.openxmlformats.org/officeDocument/2006/relationships/settings" Target="settings.xml"/><Relationship Id="rId9" Type="http://schemas.openxmlformats.org/officeDocument/2006/relationships/hyperlink" Target="https://www.tga.gov.au/australian-register-therapeutic-goods" TargetMode="External"/><Relationship Id="rId14" Type="http://schemas.openxmlformats.org/officeDocument/2006/relationships/hyperlink" Target="file:///\\central.health\DFSGroupData\Sites\CO1\CO\PBD\PEB\EVAL\DUSC\DUSC%20Documents\Predicted%20vs%20actual%20usage\pbs.gov.au" TargetMode="External"/><Relationship Id="rId22" Type="http://schemas.openxmlformats.org/officeDocument/2006/relationships/chart" Target="charts/chart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bs.gov.au/info/industry/listing/participants/public-release-docs/2017-02/medicines-diabetes-feb-2017" TargetMode="External"/><Relationship Id="rId13" Type="http://schemas.openxmlformats.org/officeDocument/2006/relationships/hyperlink" Target="http://www.medicareaustralia.gov.au/provider/pbs/stats.jsp" TargetMode="External"/><Relationship Id="rId18" Type="http://schemas.openxmlformats.org/officeDocument/2006/relationships/hyperlink" Target="https://www.diabetessociety.com.au/downloads/20220908%20T2D%20Algorithm%2006.09.2022.pdf" TargetMode="External"/><Relationship Id="rId3" Type="http://schemas.openxmlformats.org/officeDocument/2006/relationships/hyperlink" Target="https://tgldcdp.tg.org.au/viewTopic?etgAccess=true&amp;guidelinePage=Diabetes&amp;topicfile=c_DBG_Sodium-glucose-co-transporter-2-inhibitors-for-adults-with-type-2-diabetes_topic_1&amp;guidelinename=auto&amp;sectionId=c_DBG_Sodium-glucose-co-transporter-2-inhibitors-for-adults-with-type-2-diabetes_topic_1" TargetMode="External"/><Relationship Id="rId7" Type="http://schemas.openxmlformats.org/officeDocument/2006/relationships/hyperlink" Target="https://www.pbs.gov.au/info/industry/listing/participants/public-release-docs/diabetes-drugs/analysis-drugs-type-2-diabetes-2013" TargetMode="External"/><Relationship Id="rId12" Type="http://schemas.openxmlformats.org/officeDocument/2006/relationships/hyperlink" Target="https://www.pbs.gov.au/info/industry/listing/participants/public-release-docs/2014-10/exenatide-10-2014" TargetMode="External"/><Relationship Id="rId17" Type="http://schemas.openxmlformats.org/officeDocument/2006/relationships/hyperlink" Target="https://www.pbs.gov.au/info/industry/listing/elements/pbac-meetings/psd/2017-11/empagliflozin-linagliptin-psd-november-2017" TargetMode="External"/><Relationship Id="rId2" Type="http://schemas.openxmlformats.org/officeDocument/2006/relationships/hyperlink" Target="https://www1.racgp.org.au/ajgp/2022/july/glp1ra-therapy-in-type-2-diabetes" TargetMode="External"/><Relationship Id="rId16" Type="http://schemas.openxmlformats.org/officeDocument/2006/relationships/hyperlink" Target="https://www.ebs.tga.gov.au/ebs/picmi/picmirepository.nsf/pdf?OpenAgent=&amp;id=CP-2017-PI-02073-1" TargetMode="External"/><Relationship Id="rId1" Type="http://schemas.openxmlformats.org/officeDocument/2006/relationships/hyperlink" Target="https://www.ebs.tga.gov.au/ebs/picmi/picmirepository.nsf/pdf?OpenAgent=&amp;id=CP-2019-PI-01881-1" TargetMode="External"/><Relationship Id="rId6" Type="http://schemas.openxmlformats.org/officeDocument/2006/relationships/hyperlink" Target="https://www.ncbi.nlm.nih.gov/pmc/articles/PMC5959222/" TargetMode="External"/><Relationship Id="rId11" Type="http://schemas.openxmlformats.org/officeDocument/2006/relationships/hyperlink" Target="https://www.pbs.gov.au/info/reviews/diabetes" TargetMode="External"/><Relationship Id="rId5" Type="http://schemas.openxmlformats.org/officeDocument/2006/relationships/hyperlink" Target="https://www.ncbi.nlm.nih.gov/pmc/articles/PMC5491332/" TargetMode="External"/><Relationship Id="rId15" Type="http://schemas.openxmlformats.org/officeDocument/2006/relationships/hyperlink" Target="https://www.aihw.gov.au/reports/diabetes/diabetes/contents/how-many-australians-have-diabetes/type-2-diabetes" TargetMode="External"/><Relationship Id="rId10" Type="http://schemas.openxmlformats.org/officeDocument/2006/relationships/hyperlink" Target="https://www.pbs.gov.au/info/industry/listing/elements/pbac-meetings/pbac-outcomes/recommendations-made-by-the-pbac-july-2022" TargetMode="External"/><Relationship Id="rId4" Type="http://schemas.openxmlformats.org/officeDocument/2006/relationships/hyperlink" Target="https://www1.racgp.org.au/ajgp/2021/april/use-of-sodium-glucose-co-transporter-2-inhibitors" TargetMode="External"/><Relationship Id="rId9" Type="http://schemas.openxmlformats.org/officeDocument/2006/relationships/hyperlink" Target="https://www.pbs.gov.au/info/industry/listing/elements/pbac-meetings/pbac-outcomes/recommendations-made-by-the-pbac-march-2022" TargetMode="External"/><Relationship Id="rId14" Type="http://schemas.openxmlformats.org/officeDocument/2006/relationships/hyperlink" Target="https://www.tga.gov.au/alert/joint-statement-prioritisation-semaglutide-ozempic-supply-people-type-2-diabetes-during-shortag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ennlu\AppData\Local\Microsoft\Windows\INetCache\Content.Outlook\2ON5R6KU\D1431%20-%20Diabetes%20utilisation%20v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ennlu\AppData\Local\Microsoft\Windows\INetCache\Content.Outlook\2ON5R6KU\D1431%20-%20Diabetes%20utilisation%20v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ennlu\AppData\Local\Microsoft\Windows\INetCache\Content.Outlook\2ON5R6KU\D1431%20-%20Diabetes%20utilisation%20v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userenv\Users\User_04\KENNLU\Documents\Diabetes%20utilisation%20review\LK%20graphs%20Copy%20of%20D1431%20-%20Diabetes%20utilisation%20v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04\KENNLU\Documents\Diabetes%20utilisation%20review\LK%20graphs%20Copy%20of%20D1431%20-%20Diabetes%20utilisation%20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userenv\Users\User_04\KENNLU\Documents\Diabetes%20utilisation%20review\LK%20graphs%20Copy%20of%20D1431%20-%20Diabetes%20utilisation%20v2.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[D1431 - Diabetes utilisation v4.xlsx]Sheet1!PivotTable1</c:name>
    <c:fmtId val="-1"/>
  </c:pivotSource>
  <c:chart>
    <c:autoTitleDeleted val="1"/>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4999796612139349"/>
          <c:y val="9.883296106611314E-2"/>
          <c:w val="0.82294176327590052"/>
          <c:h val="0.67555926569350755"/>
        </c:manualLayout>
      </c:layout>
      <c:lineChart>
        <c:grouping val="standard"/>
        <c:varyColors val="0"/>
        <c:ser>
          <c:idx val="0"/>
          <c:order val="0"/>
          <c:tx>
            <c:strRef>
              <c:f>Sheet1!$B$1</c:f>
              <c:strCache>
                <c:ptCount val="1"/>
                <c:pt idx="0">
                  <c:v>Total</c:v>
                </c:pt>
              </c:strCache>
            </c:strRef>
          </c:tx>
          <c:spPr>
            <a:ln w="28575" cap="rnd">
              <a:solidFill>
                <a:schemeClr val="accent1"/>
              </a:solidFill>
              <a:round/>
            </a:ln>
            <a:effectLst/>
          </c:spPr>
          <c:marker>
            <c:symbol val="none"/>
          </c:marker>
          <c:cat>
            <c:strRef>
              <c:f>Sheet1!$A$2:$A$24</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Sheet1!$B$2:$B$24</c:f>
              <c:numCache>
                <c:formatCode>General</c:formatCode>
                <c:ptCount val="22"/>
                <c:pt idx="0">
                  <c:v>900691</c:v>
                </c:pt>
                <c:pt idx="1">
                  <c:v>931666</c:v>
                </c:pt>
                <c:pt idx="2">
                  <c:v>950869</c:v>
                </c:pt>
                <c:pt idx="3">
                  <c:v>973130</c:v>
                </c:pt>
                <c:pt idx="4">
                  <c:v>950343</c:v>
                </c:pt>
                <c:pt idx="5">
                  <c:v>980961</c:v>
                </c:pt>
                <c:pt idx="6">
                  <c:v>996726</c:v>
                </c:pt>
                <c:pt idx="7">
                  <c:v>1019955</c:v>
                </c:pt>
                <c:pt idx="8">
                  <c:v>993787</c:v>
                </c:pt>
                <c:pt idx="9">
                  <c:v>1022795</c:v>
                </c:pt>
                <c:pt idx="10">
                  <c:v>1041892</c:v>
                </c:pt>
                <c:pt idx="11">
                  <c:v>1061917</c:v>
                </c:pt>
                <c:pt idx="12">
                  <c:v>1069096</c:v>
                </c:pt>
                <c:pt idx="13">
                  <c:v>1053137</c:v>
                </c:pt>
                <c:pt idx="14">
                  <c:v>1113798</c:v>
                </c:pt>
                <c:pt idx="15">
                  <c:v>1140888</c:v>
                </c:pt>
                <c:pt idx="16">
                  <c:v>1116077</c:v>
                </c:pt>
                <c:pt idx="17">
                  <c:v>1150563</c:v>
                </c:pt>
                <c:pt idx="18">
                  <c:v>1188071</c:v>
                </c:pt>
                <c:pt idx="19">
                  <c:v>1210268</c:v>
                </c:pt>
                <c:pt idx="20">
                  <c:v>1186328</c:v>
                </c:pt>
                <c:pt idx="21">
                  <c:v>1216979</c:v>
                </c:pt>
              </c:numCache>
            </c:numRef>
          </c:val>
          <c:smooth val="0"/>
          <c:extLst>
            <c:ext xmlns:c16="http://schemas.microsoft.com/office/drawing/2014/chart" uri="{C3380CC4-5D6E-409C-BE32-E72D297353CC}">
              <c16:uniqueId val="{00000000-7547-414A-A940-B6EF06564E95}"/>
            </c:ext>
          </c:extLst>
        </c:ser>
        <c:dLbls>
          <c:showLegendKey val="0"/>
          <c:showVal val="0"/>
          <c:showCatName val="0"/>
          <c:showSerName val="0"/>
          <c:showPercent val="0"/>
          <c:showBubbleSize val="0"/>
        </c:dLbls>
        <c:smooth val="0"/>
        <c:axId val="305332896"/>
        <c:axId val="410095720"/>
      </c:lineChart>
      <c:catAx>
        <c:axId val="305332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r>
                  <a:rPr lang="en-AU" baseline="0"/>
                  <a:t> and quarter</a:t>
                </a:r>
                <a:endParaRPr lang="en-AU"/>
              </a:p>
            </c:rich>
          </c:tx>
          <c:layout>
            <c:manualLayout>
              <c:xMode val="edge"/>
              <c:yMode val="edge"/>
              <c:x val="0.44887358819966511"/>
              <c:y val="0.9007275379975784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095720"/>
        <c:crosses val="autoZero"/>
        <c:auto val="1"/>
        <c:lblAlgn val="ctr"/>
        <c:lblOffset val="100"/>
        <c:noMultiLvlLbl val="0"/>
      </c:catAx>
      <c:valAx>
        <c:axId val="410095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32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[D1431 - Diabetes utilisation v4.xlsx]Sheet3!PivotTable3</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6964281355717081"/>
          <c:y val="0.10577149284910815"/>
          <c:w val="0.64900597156899009"/>
          <c:h val="0.72051443569553808"/>
        </c:manualLayout>
      </c:layout>
      <c:lineChart>
        <c:grouping val="standard"/>
        <c:varyColors val="0"/>
        <c:ser>
          <c:idx val="0"/>
          <c:order val="0"/>
          <c:tx>
            <c:strRef>
              <c:f>Sheet3!$B$1:$B$2</c:f>
              <c:strCache>
                <c:ptCount val="1"/>
                <c:pt idx="0">
                  <c:v>AGI</c:v>
                </c:pt>
              </c:strCache>
            </c:strRef>
          </c:tx>
          <c:spPr>
            <a:ln w="28575" cap="rnd">
              <a:solidFill>
                <a:schemeClr val="accent1"/>
              </a:solidFill>
              <a:round/>
            </a:ln>
            <a:effectLst/>
          </c:spPr>
          <c:marker>
            <c:symbol val="none"/>
          </c:marker>
          <c:cat>
            <c:strRef>
              <c:f>Sheet3!$A$3:$A$25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Sheet3!$B$3:$B$25</c:f>
              <c:numCache>
                <c:formatCode>General</c:formatCode>
                <c:ptCount val="22"/>
                <c:pt idx="0">
                  <c:v>10049</c:v>
                </c:pt>
                <c:pt idx="1">
                  <c:v>11311</c:v>
                </c:pt>
                <c:pt idx="2">
                  <c:v>11869</c:v>
                </c:pt>
                <c:pt idx="3">
                  <c:v>13262</c:v>
                </c:pt>
                <c:pt idx="4">
                  <c:v>9879</c:v>
                </c:pt>
                <c:pt idx="5">
                  <c:v>10864</c:v>
                </c:pt>
                <c:pt idx="6">
                  <c:v>11257</c:v>
                </c:pt>
                <c:pt idx="7">
                  <c:v>12449</c:v>
                </c:pt>
                <c:pt idx="8">
                  <c:v>9048</c:v>
                </c:pt>
                <c:pt idx="9">
                  <c:v>9179</c:v>
                </c:pt>
                <c:pt idx="10">
                  <c:v>8813</c:v>
                </c:pt>
                <c:pt idx="11">
                  <c:v>10181</c:v>
                </c:pt>
                <c:pt idx="12">
                  <c:v>8459</c:v>
                </c:pt>
                <c:pt idx="13">
                  <c:v>8236</c:v>
                </c:pt>
                <c:pt idx="14">
                  <c:v>9280</c:v>
                </c:pt>
                <c:pt idx="15">
                  <c:v>10060</c:v>
                </c:pt>
                <c:pt idx="16">
                  <c:v>7526</c:v>
                </c:pt>
                <c:pt idx="17">
                  <c:v>7997</c:v>
                </c:pt>
                <c:pt idx="18">
                  <c:v>8675</c:v>
                </c:pt>
                <c:pt idx="19">
                  <c:v>9075</c:v>
                </c:pt>
                <c:pt idx="20">
                  <c:v>6654</c:v>
                </c:pt>
                <c:pt idx="21">
                  <c:v>7367</c:v>
                </c:pt>
              </c:numCache>
            </c:numRef>
          </c:val>
          <c:smooth val="0"/>
          <c:extLst>
            <c:ext xmlns:c16="http://schemas.microsoft.com/office/drawing/2014/chart" uri="{C3380CC4-5D6E-409C-BE32-E72D297353CC}">
              <c16:uniqueId val="{00000000-016E-48E6-93F6-F8D1E386FBD7}"/>
            </c:ext>
          </c:extLst>
        </c:ser>
        <c:ser>
          <c:idx val="1"/>
          <c:order val="1"/>
          <c:tx>
            <c:strRef>
              <c:f>Sheet3!$C$1:$C$2</c:f>
              <c:strCache>
                <c:ptCount val="1"/>
                <c:pt idx="0">
                  <c:v>DPP4</c:v>
                </c:pt>
              </c:strCache>
            </c:strRef>
          </c:tx>
          <c:spPr>
            <a:ln w="28575" cap="rnd">
              <a:solidFill>
                <a:schemeClr val="accent2"/>
              </a:solidFill>
              <a:round/>
            </a:ln>
            <a:effectLst/>
          </c:spPr>
          <c:marker>
            <c:symbol val="none"/>
          </c:marker>
          <c:cat>
            <c:strRef>
              <c:f>Sheet3!$A$3:$A$25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Sheet3!$C$3:$C$25</c:f>
              <c:numCache>
                <c:formatCode>General</c:formatCode>
                <c:ptCount val="22"/>
                <c:pt idx="0">
                  <c:v>200837</c:v>
                </c:pt>
                <c:pt idx="1">
                  <c:v>218414</c:v>
                </c:pt>
                <c:pt idx="2">
                  <c:v>226583</c:v>
                </c:pt>
                <c:pt idx="3">
                  <c:v>246337</c:v>
                </c:pt>
                <c:pt idx="4">
                  <c:v>226057</c:v>
                </c:pt>
                <c:pt idx="5">
                  <c:v>251117</c:v>
                </c:pt>
                <c:pt idx="6">
                  <c:v>261727</c:v>
                </c:pt>
                <c:pt idx="7">
                  <c:v>290691</c:v>
                </c:pt>
                <c:pt idx="8">
                  <c:v>263143</c:v>
                </c:pt>
                <c:pt idx="9">
                  <c:v>289034</c:v>
                </c:pt>
                <c:pt idx="10">
                  <c:v>301029</c:v>
                </c:pt>
                <c:pt idx="11">
                  <c:v>325326</c:v>
                </c:pt>
                <c:pt idx="12">
                  <c:v>310288</c:v>
                </c:pt>
                <c:pt idx="13">
                  <c:v>314082</c:v>
                </c:pt>
                <c:pt idx="14">
                  <c:v>343424</c:v>
                </c:pt>
                <c:pt idx="15">
                  <c:v>368079</c:v>
                </c:pt>
                <c:pt idx="16">
                  <c:v>328420</c:v>
                </c:pt>
                <c:pt idx="17">
                  <c:v>350745</c:v>
                </c:pt>
                <c:pt idx="18">
                  <c:v>365655</c:v>
                </c:pt>
                <c:pt idx="19">
                  <c:v>381435</c:v>
                </c:pt>
                <c:pt idx="20">
                  <c:v>334441</c:v>
                </c:pt>
                <c:pt idx="21">
                  <c:v>354931</c:v>
                </c:pt>
              </c:numCache>
            </c:numRef>
          </c:val>
          <c:smooth val="0"/>
          <c:extLst>
            <c:ext xmlns:c16="http://schemas.microsoft.com/office/drawing/2014/chart" uri="{C3380CC4-5D6E-409C-BE32-E72D297353CC}">
              <c16:uniqueId val="{00000001-016E-48E6-93F6-F8D1E386FBD7}"/>
            </c:ext>
          </c:extLst>
        </c:ser>
        <c:ser>
          <c:idx val="2"/>
          <c:order val="2"/>
          <c:tx>
            <c:strRef>
              <c:f>Sheet3!$D$1:$D$2</c:f>
              <c:strCache>
                <c:ptCount val="1"/>
                <c:pt idx="0">
                  <c:v>DPP4+MET</c:v>
                </c:pt>
              </c:strCache>
            </c:strRef>
          </c:tx>
          <c:spPr>
            <a:ln w="28575" cap="rnd">
              <a:solidFill>
                <a:schemeClr val="accent3"/>
              </a:solidFill>
              <a:round/>
            </a:ln>
            <a:effectLst/>
          </c:spPr>
          <c:marker>
            <c:symbol val="none"/>
          </c:marker>
          <c:cat>
            <c:strRef>
              <c:f>Sheet3!$A$3:$A$25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Sheet3!$D$3:$D$25</c:f>
              <c:numCache>
                <c:formatCode>General</c:formatCode>
                <c:ptCount val="22"/>
                <c:pt idx="0">
                  <c:v>427546</c:v>
                </c:pt>
                <c:pt idx="1">
                  <c:v>461918</c:v>
                </c:pt>
                <c:pt idx="2">
                  <c:v>474843</c:v>
                </c:pt>
                <c:pt idx="3">
                  <c:v>505171</c:v>
                </c:pt>
                <c:pt idx="4">
                  <c:v>464712</c:v>
                </c:pt>
                <c:pt idx="5">
                  <c:v>502095</c:v>
                </c:pt>
                <c:pt idx="6">
                  <c:v>513310</c:v>
                </c:pt>
                <c:pt idx="7">
                  <c:v>551163</c:v>
                </c:pt>
                <c:pt idx="8">
                  <c:v>499768</c:v>
                </c:pt>
                <c:pt idx="9">
                  <c:v>536501</c:v>
                </c:pt>
                <c:pt idx="10">
                  <c:v>551791</c:v>
                </c:pt>
                <c:pt idx="11">
                  <c:v>582439</c:v>
                </c:pt>
                <c:pt idx="12">
                  <c:v>566698</c:v>
                </c:pt>
                <c:pt idx="13">
                  <c:v>535904</c:v>
                </c:pt>
                <c:pt idx="14">
                  <c:v>585567</c:v>
                </c:pt>
                <c:pt idx="15">
                  <c:v>612181</c:v>
                </c:pt>
                <c:pt idx="16">
                  <c:v>543272</c:v>
                </c:pt>
                <c:pt idx="17">
                  <c:v>569785</c:v>
                </c:pt>
                <c:pt idx="18">
                  <c:v>588348</c:v>
                </c:pt>
                <c:pt idx="19">
                  <c:v>604130</c:v>
                </c:pt>
                <c:pt idx="20">
                  <c:v>529535</c:v>
                </c:pt>
                <c:pt idx="21">
                  <c:v>552329</c:v>
                </c:pt>
              </c:numCache>
            </c:numRef>
          </c:val>
          <c:smooth val="0"/>
          <c:extLst>
            <c:ext xmlns:c16="http://schemas.microsoft.com/office/drawing/2014/chart" uri="{C3380CC4-5D6E-409C-BE32-E72D297353CC}">
              <c16:uniqueId val="{00000002-016E-48E6-93F6-F8D1E386FBD7}"/>
            </c:ext>
          </c:extLst>
        </c:ser>
        <c:ser>
          <c:idx val="3"/>
          <c:order val="3"/>
          <c:tx>
            <c:strRef>
              <c:f>Sheet3!$E$1:$E$2</c:f>
              <c:strCache>
                <c:ptCount val="1"/>
                <c:pt idx="0">
                  <c:v>GLP1</c:v>
                </c:pt>
              </c:strCache>
            </c:strRef>
          </c:tx>
          <c:spPr>
            <a:ln w="28575" cap="rnd">
              <a:solidFill>
                <a:schemeClr val="accent4"/>
              </a:solidFill>
              <a:round/>
            </a:ln>
            <a:effectLst/>
          </c:spPr>
          <c:marker>
            <c:symbol val="none"/>
          </c:marker>
          <c:cat>
            <c:strRef>
              <c:f>Sheet3!$A$3:$A$25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Sheet3!$E$3:$E$25</c:f>
              <c:numCache>
                <c:formatCode>General</c:formatCode>
                <c:ptCount val="22"/>
                <c:pt idx="0">
                  <c:v>79585</c:v>
                </c:pt>
                <c:pt idx="1">
                  <c:v>90076</c:v>
                </c:pt>
                <c:pt idx="2">
                  <c:v>95560</c:v>
                </c:pt>
                <c:pt idx="3">
                  <c:v>107115</c:v>
                </c:pt>
                <c:pt idx="4">
                  <c:v>96046</c:v>
                </c:pt>
                <c:pt idx="5">
                  <c:v>105509</c:v>
                </c:pt>
                <c:pt idx="6">
                  <c:v>114212</c:v>
                </c:pt>
                <c:pt idx="7">
                  <c:v>134855</c:v>
                </c:pt>
                <c:pt idx="8">
                  <c:v>123786</c:v>
                </c:pt>
                <c:pt idx="9">
                  <c:v>140798</c:v>
                </c:pt>
                <c:pt idx="10">
                  <c:v>153393</c:v>
                </c:pt>
                <c:pt idx="11">
                  <c:v>174068</c:v>
                </c:pt>
                <c:pt idx="12">
                  <c:v>171024</c:v>
                </c:pt>
                <c:pt idx="13">
                  <c:v>174614</c:v>
                </c:pt>
                <c:pt idx="14">
                  <c:v>203057</c:v>
                </c:pt>
                <c:pt idx="15">
                  <c:v>238894</c:v>
                </c:pt>
                <c:pt idx="16">
                  <c:v>230694</c:v>
                </c:pt>
                <c:pt idx="17">
                  <c:v>285416</c:v>
                </c:pt>
                <c:pt idx="18">
                  <c:v>345362</c:v>
                </c:pt>
                <c:pt idx="19">
                  <c:v>428811</c:v>
                </c:pt>
                <c:pt idx="20">
                  <c:v>436445</c:v>
                </c:pt>
                <c:pt idx="21">
                  <c:v>497782</c:v>
                </c:pt>
              </c:numCache>
            </c:numRef>
          </c:val>
          <c:smooth val="0"/>
          <c:extLst>
            <c:ext xmlns:c16="http://schemas.microsoft.com/office/drawing/2014/chart" uri="{C3380CC4-5D6E-409C-BE32-E72D297353CC}">
              <c16:uniqueId val="{00000003-016E-48E6-93F6-F8D1E386FBD7}"/>
            </c:ext>
          </c:extLst>
        </c:ser>
        <c:ser>
          <c:idx val="4"/>
          <c:order val="4"/>
          <c:tx>
            <c:strRef>
              <c:f>Sheet3!$F$1:$F$2</c:f>
              <c:strCache>
                <c:ptCount val="1"/>
                <c:pt idx="0">
                  <c:v>INSULIN</c:v>
                </c:pt>
              </c:strCache>
            </c:strRef>
          </c:tx>
          <c:spPr>
            <a:ln w="28575" cap="rnd">
              <a:solidFill>
                <a:schemeClr val="accent5"/>
              </a:solidFill>
              <a:round/>
            </a:ln>
            <a:effectLst/>
          </c:spPr>
          <c:marker>
            <c:symbol val="none"/>
          </c:marker>
          <c:cat>
            <c:strRef>
              <c:f>Sheet3!$A$3:$A$25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Sheet3!$F$3:$F$25</c:f>
              <c:numCache>
                <c:formatCode>General</c:formatCode>
                <c:ptCount val="22"/>
                <c:pt idx="0">
                  <c:v>158189</c:v>
                </c:pt>
                <c:pt idx="1">
                  <c:v>181505</c:v>
                </c:pt>
                <c:pt idx="2">
                  <c:v>190833</c:v>
                </c:pt>
                <c:pt idx="3">
                  <c:v>228546</c:v>
                </c:pt>
                <c:pt idx="4">
                  <c:v>163634</c:v>
                </c:pt>
                <c:pt idx="5">
                  <c:v>190771</c:v>
                </c:pt>
                <c:pt idx="6">
                  <c:v>195048</c:v>
                </c:pt>
                <c:pt idx="7">
                  <c:v>235197</c:v>
                </c:pt>
                <c:pt idx="8">
                  <c:v>166079</c:v>
                </c:pt>
                <c:pt idx="9">
                  <c:v>187390</c:v>
                </c:pt>
                <c:pt idx="10">
                  <c:v>200556</c:v>
                </c:pt>
                <c:pt idx="11">
                  <c:v>232867</c:v>
                </c:pt>
                <c:pt idx="12">
                  <c:v>205023</c:v>
                </c:pt>
                <c:pt idx="13">
                  <c:v>171101</c:v>
                </c:pt>
                <c:pt idx="14">
                  <c:v>196946</c:v>
                </c:pt>
                <c:pt idx="15">
                  <c:v>231967</c:v>
                </c:pt>
                <c:pt idx="16">
                  <c:v>164335</c:v>
                </c:pt>
                <c:pt idx="17">
                  <c:v>183313</c:v>
                </c:pt>
                <c:pt idx="18">
                  <c:v>198264</c:v>
                </c:pt>
                <c:pt idx="19">
                  <c:v>225900</c:v>
                </c:pt>
                <c:pt idx="20">
                  <c:v>161998</c:v>
                </c:pt>
                <c:pt idx="21">
                  <c:v>179008</c:v>
                </c:pt>
              </c:numCache>
            </c:numRef>
          </c:val>
          <c:smooth val="0"/>
          <c:extLst>
            <c:ext xmlns:c16="http://schemas.microsoft.com/office/drawing/2014/chart" uri="{C3380CC4-5D6E-409C-BE32-E72D297353CC}">
              <c16:uniqueId val="{00000004-016E-48E6-93F6-F8D1E386FBD7}"/>
            </c:ext>
          </c:extLst>
        </c:ser>
        <c:ser>
          <c:idx val="5"/>
          <c:order val="5"/>
          <c:tx>
            <c:strRef>
              <c:f>Sheet3!$G$1:$G$2</c:f>
              <c:strCache>
                <c:ptCount val="1"/>
                <c:pt idx="0">
                  <c:v>MET</c:v>
                </c:pt>
              </c:strCache>
            </c:strRef>
          </c:tx>
          <c:spPr>
            <a:ln w="28575" cap="rnd">
              <a:solidFill>
                <a:schemeClr val="accent6"/>
              </a:solidFill>
              <a:round/>
            </a:ln>
            <a:effectLst/>
          </c:spPr>
          <c:marker>
            <c:symbol val="none"/>
          </c:marker>
          <c:cat>
            <c:strRef>
              <c:f>Sheet3!$A$3:$A$25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Sheet3!$G$3:$G$25</c:f>
              <c:numCache>
                <c:formatCode>General</c:formatCode>
                <c:ptCount val="22"/>
                <c:pt idx="0">
                  <c:v>1132439</c:v>
                </c:pt>
                <c:pt idx="1">
                  <c:v>1221926</c:v>
                </c:pt>
                <c:pt idx="2">
                  <c:v>1253634</c:v>
                </c:pt>
                <c:pt idx="3">
                  <c:v>1356191</c:v>
                </c:pt>
                <c:pt idx="4">
                  <c:v>1135815</c:v>
                </c:pt>
                <c:pt idx="5">
                  <c:v>1227576</c:v>
                </c:pt>
                <c:pt idx="6">
                  <c:v>1252664</c:v>
                </c:pt>
                <c:pt idx="7">
                  <c:v>1360337</c:v>
                </c:pt>
                <c:pt idx="8">
                  <c:v>1140068</c:v>
                </c:pt>
                <c:pt idx="9">
                  <c:v>1235058</c:v>
                </c:pt>
                <c:pt idx="10">
                  <c:v>1280062</c:v>
                </c:pt>
                <c:pt idx="11">
                  <c:v>1382692</c:v>
                </c:pt>
                <c:pt idx="12">
                  <c:v>1302098</c:v>
                </c:pt>
                <c:pt idx="13">
                  <c:v>1183909</c:v>
                </c:pt>
                <c:pt idx="14">
                  <c:v>1352749</c:v>
                </c:pt>
                <c:pt idx="15">
                  <c:v>1469276</c:v>
                </c:pt>
                <c:pt idx="16">
                  <c:v>1227292</c:v>
                </c:pt>
                <c:pt idx="17">
                  <c:v>1327147</c:v>
                </c:pt>
                <c:pt idx="18">
                  <c:v>1430841</c:v>
                </c:pt>
                <c:pt idx="19">
                  <c:v>1536960</c:v>
                </c:pt>
                <c:pt idx="20">
                  <c:v>1300640</c:v>
                </c:pt>
                <c:pt idx="21">
                  <c:v>1407328</c:v>
                </c:pt>
              </c:numCache>
            </c:numRef>
          </c:val>
          <c:smooth val="0"/>
          <c:extLst>
            <c:ext xmlns:c16="http://schemas.microsoft.com/office/drawing/2014/chart" uri="{C3380CC4-5D6E-409C-BE32-E72D297353CC}">
              <c16:uniqueId val="{00000005-016E-48E6-93F6-F8D1E386FBD7}"/>
            </c:ext>
          </c:extLst>
        </c:ser>
        <c:ser>
          <c:idx val="6"/>
          <c:order val="6"/>
          <c:tx>
            <c:strRef>
              <c:f>Sheet3!$H$1:$H$2</c:f>
              <c:strCache>
                <c:ptCount val="1"/>
                <c:pt idx="0">
                  <c:v>SGLT2</c:v>
                </c:pt>
              </c:strCache>
            </c:strRef>
          </c:tx>
          <c:spPr>
            <a:ln w="28575" cap="rnd">
              <a:solidFill>
                <a:schemeClr val="accent1">
                  <a:lumMod val="60000"/>
                </a:schemeClr>
              </a:solidFill>
              <a:round/>
            </a:ln>
            <a:effectLst/>
          </c:spPr>
          <c:marker>
            <c:symbol val="none"/>
          </c:marker>
          <c:cat>
            <c:strRef>
              <c:f>Sheet3!$A$3:$A$25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Sheet3!$H$3:$H$25</c:f>
              <c:numCache>
                <c:formatCode>General</c:formatCode>
                <c:ptCount val="22"/>
                <c:pt idx="0">
                  <c:v>187435</c:v>
                </c:pt>
                <c:pt idx="1">
                  <c:v>220774</c:v>
                </c:pt>
                <c:pt idx="2">
                  <c:v>236007</c:v>
                </c:pt>
                <c:pt idx="3">
                  <c:v>263916</c:v>
                </c:pt>
                <c:pt idx="4">
                  <c:v>243813</c:v>
                </c:pt>
                <c:pt idx="5">
                  <c:v>272776</c:v>
                </c:pt>
                <c:pt idx="6">
                  <c:v>285418</c:v>
                </c:pt>
                <c:pt idx="7">
                  <c:v>317387</c:v>
                </c:pt>
                <c:pt idx="8">
                  <c:v>286158</c:v>
                </c:pt>
                <c:pt idx="9">
                  <c:v>314916</c:v>
                </c:pt>
                <c:pt idx="10">
                  <c:v>333605</c:v>
                </c:pt>
                <c:pt idx="11">
                  <c:v>368936</c:v>
                </c:pt>
                <c:pt idx="12">
                  <c:v>360517</c:v>
                </c:pt>
                <c:pt idx="13">
                  <c:v>361452</c:v>
                </c:pt>
                <c:pt idx="14">
                  <c:v>404831</c:v>
                </c:pt>
                <c:pt idx="15">
                  <c:v>444821</c:v>
                </c:pt>
                <c:pt idx="16">
                  <c:v>401700</c:v>
                </c:pt>
                <c:pt idx="17">
                  <c:v>436693</c:v>
                </c:pt>
                <c:pt idx="18">
                  <c:v>467493</c:v>
                </c:pt>
                <c:pt idx="19">
                  <c:v>506058</c:v>
                </c:pt>
                <c:pt idx="20">
                  <c:v>454311</c:v>
                </c:pt>
                <c:pt idx="21">
                  <c:v>488298</c:v>
                </c:pt>
              </c:numCache>
            </c:numRef>
          </c:val>
          <c:smooth val="0"/>
          <c:extLst>
            <c:ext xmlns:c16="http://schemas.microsoft.com/office/drawing/2014/chart" uri="{C3380CC4-5D6E-409C-BE32-E72D297353CC}">
              <c16:uniqueId val="{00000006-016E-48E6-93F6-F8D1E386FBD7}"/>
            </c:ext>
          </c:extLst>
        </c:ser>
        <c:ser>
          <c:idx val="7"/>
          <c:order val="7"/>
          <c:tx>
            <c:strRef>
              <c:f>Sheet3!$I$1:$I$2</c:f>
              <c:strCache>
                <c:ptCount val="1"/>
                <c:pt idx="0">
                  <c:v>SGLT2+DPP4</c:v>
                </c:pt>
              </c:strCache>
            </c:strRef>
          </c:tx>
          <c:spPr>
            <a:ln w="28575" cap="rnd">
              <a:solidFill>
                <a:schemeClr val="accent2">
                  <a:lumMod val="60000"/>
                </a:schemeClr>
              </a:solidFill>
              <a:round/>
            </a:ln>
            <a:effectLst/>
          </c:spPr>
          <c:marker>
            <c:symbol val="none"/>
          </c:marker>
          <c:cat>
            <c:strRef>
              <c:f>Sheet3!$A$3:$A$25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Sheet3!$I$3:$I$25</c:f>
              <c:numCache>
                <c:formatCode>General</c:formatCode>
                <c:ptCount val="22"/>
                <c:pt idx="5">
                  <c:v>6402</c:v>
                </c:pt>
                <c:pt idx="6">
                  <c:v>16602</c:v>
                </c:pt>
                <c:pt idx="7">
                  <c:v>26389</c:v>
                </c:pt>
                <c:pt idx="8">
                  <c:v>29099</c:v>
                </c:pt>
                <c:pt idx="9">
                  <c:v>36548</c:v>
                </c:pt>
                <c:pt idx="10">
                  <c:v>42983</c:v>
                </c:pt>
                <c:pt idx="11">
                  <c:v>50670</c:v>
                </c:pt>
                <c:pt idx="12">
                  <c:v>53450</c:v>
                </c:pt>
                <c:pt idx="13">
                  <c:v>54683</c:v>
                </c:pt>
                <c:pt idx="14">
                  <c:v>63380</c:v>
                </c:pt>
                <c:pt idx="15">
                  <c:v>69913</c:v>
                </c:pt>
                <c:pt idx="16">
                  <c:v>65380</c:v>
                </c:pt>
                <c:pt idx="17">
                  <c:v>71147</c:v>
                </c:pt>
                <c:pt idx="18">
                  <c:v>76242</c:v>
                </c:pt>
                <c:pt idx="19">
                  <c:v>80708</c:v>
                </c:pt>
                <c:pt idx="20">
                  <c:v>71925</c:v>
                </c:pt>
                <c:pt idx="21">
                  <c:v>76650</c:v>
                </c:pt>
              </c:numCache>
            </c:numRef>
          </c:val>
          <c:smooth val="0"/>
          <c:extLst>
            <c:ext xmlns:c16="http://schemas.microsoft.com/office/drawing/2014/chart" uri="{C3380CC4-5D6E-409C-BE32-E72D297353CC}">
              <c16:uniqueId val="{00000007-016E-48E6-93F6-F8D1E386FBD7}"/>
            </c:ext>
          </c:extLst>
        </c:ser>
        <c:ser>
          <c:idx val="8"/>
          <c:order val="8"/>
          <c:tx>
            <c:strRef>
              <c:f>Sheet3!$J$1:$J$2</c:f>
              <c:strCache>
                <c:ptCount val="1"/>
                <c:pt idx="0">
                  <c:v>SGLT2+MET</c:v>
                </c:pt>
              </c:strCache>
            </c:strRef>
          </c:tx>
          <c:spPr>
            <a:ln w="28575" cap="rnd">
              <a:solidFill>
                <a:schemeClr val="accent3">
                  <a:lumMod val="60000"/>
                </a:schemeClr>
              </a:solidFill>
              <a:round/>
            </a:ln>
            <a:effectLst/>
          </c:spPr>
          <c:marker>
            <c:symbol val="none"/>
          </c:marker>
          <c:cat>
            <c:strRef>
              <c:f>Sheet3!$A$3:$A$25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Sheet3!$J$3:$J$25</c:f>
              <c:numCache>
                <c:formatCode>General</c:formatCode>
                <c:ptCount val="22"/>
                <c:pt idx="0">
                  <c:v>74946</c:v>
                </c:pt>
                <c:pt idx="1">
                  <c:v>101738</c:v>
                </c:pt>
                <c:pt idx="2">
                  <c:v>122949</c:v>
                </c:pt>
                <c:pt idx="3">
                  <c:v>150173</c:v>
                </c:pt>
                <c:pt idx="4">
                  <c:v>150759</c:v>
                </c:pt>
                <c:pt idx="5">
                  <c:v>174338</c:v>
                </c:pt>
                <c:pt idx="6">
                  <c:v>187309</c:v>
                </c:pt>
                <c:pt idx="7">
                  <c:v>212535</c:v>
                </c:pt>
                <c:pt idx="8">
                  <c:v>197283</c:v>
                </c:pt>
                <c:pt idx="9">
                  <c:v>219206</c:v>
                </c:pt>
                <c:pt idx="10">
                  <c:v>234007</c:v>
                </c:pt>
                <c:pt idx="11">
                  <c:v>258029</c:v>
                </c:pt>
                <c:pt idx="12">
                  <c:v>260032</c:v>
                </c:pt>
                <c:pt idx="13">
                  <c:v>253578</c:v>
                </c:pt>
                <c:pt idx="14">
                  <c:v>288068</c:v>
                </c:pt>
                <c:pt idx="15">
                  <c:v>314983</c:v>
                </c:pt>
                <c:pt idx="16">
                  <c:v>287108</c:v>
                </c:pt>
                <c:pt idx="17">
                  <c:v>312871</c:v>
                </c:pt>
                <c:pt idx="18">
                  <c:v>336794</c:v>
                </c:pt>
                <c:pt idx="19">
                  <c:v>361868</c:v>
                </c:pt>
                <c:pt idx="20">
                  <c:v>326787</c:v>
                </c:pt>
                <c:pt idx="21">
                  <c:v>354717</c:v>
                </c:pt>
              </c:numCache>
            </c:numRef>
          </c:val>
          <c:smooth val="0"/>
          <c:extLst>
            <c:ext xmlns:c16="http://schemas.microsoft.com/office/drawing/2014/chart" uri="{C3380CC4-5D6E-409C-BE32-E72D297353CC}">
              <c16:uniqueId val="{00000008-016E-48E6-93F6-F8D1E386FBD7}"/>
            </c:ext>
          </c:extLst>
        </c:ser>
        <c:ser>
          <c:idx val="9"/>
          <c:order val="9"/>
          <c:tx>
            <c:strRef>
              <c:f>Sheet3!$K$1:$K$2</c:f>
              <c:strCache>
                <c:ptCount val="1"/>
                <c:pt idx="0">
                  <c:v>SULF</c:v>
                </c:pt>
              </c:strCache>
            </c:strRef>
          </c:tx>
          <c:spPr>
            <a:ln w="28575" cap="rnd">
              <a:solidFill>
                <a:schemeClr val="accent4">
                  <a:lumMod val="60000"/>
                </a:schemeClr>
              </a:solidFill>
              <a:round/>
            </a:ln>
            <a:effectLst/>
          </c:spPr>
          <c:marker>
            <c:symbol val="none"/>
          </c:marker>
          <c:cat>
            <c:strRef>
              <c:f>Sheet3!$A$3:$A$25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Sheet3!$K$3:$K$25</c:f>
              <c:numCache>
                <c:formatCode>General</c:formatCode>
                <c:ptCount val="22"/>
                <c:pt idx="0">
                  <c:v>475221</c:v>
                </c:pt>
                <c:pt idx="1">
                  <c:v>517818</c:v>
                </c:pt>
                <c:pt idx="2">
                  <c:v>531882</c:v>
                </c:pt>
                <c:pt idx="3">
                  <c:v>585879</c:v>
                </c:pt>
                <c:pt idx="4">
                  <c:v>481019</c:v>
                </c:pt>
                <c:pt idx="5">
                  <c:v>522282</c:v>
                </c:pt>
                <c:pt idx="6">
                  <c:v>528948</c:v>
                </c:pt>
                <c:pt idx="7">
                  <c:v>581503</c:v>
                </c:pt>
                <c:pt idx="8">
                  <c:v>463559</c:v>
                </c:pt>
                <c:pt idx="9">
                  <c:v>504048</c:v>
                </c:pt>
                <c:pt idx="10">
                  <c:v>516049</c:v>
                </c:pt>
                <c:pt idx="11">
                  <c:v>561160</c:v>
                </c:pt>
                <c:pt idx="12">
                  <c:v>498092</c:v>
                </c:pt>
                <c:pt idx="13">
                  <c:v>475626</c:v>
                </c:pt>
                <c:pt idx="14">
                  <c:v>526992</c:v>
                </c:pt>
                <c:pt idx="15">
                  <c:v>575360</c:v>
                </c:pt>
                <c:pt idx="16">
                  <c:v>457875</c:v>
                </c:pt>
                <c:pt idx="17">
                  <c:v>495536</c:v>
                </c:pt>
                <c:pt idx="18">
                  <c:v>527117</c:v>
                </c:pt>
                <c:pt idx="19">
                  <c:v>567154</c:v>
                </c:pt>
                <c:pt idx="20">
                  <c:v>454529</c:v>
                </c:pt>
                <c:pt idx="21">
                  <c:v>491613</c:v>
                </c:pt>
              </c:numCache>
            </c:numRef>
          </c:val>
          <c:smooth val="0"/>
          <c:extLst>
            <c:ext xmlns:c16="http://schemas.microsoft.com/office/drawing/2014/chart" uri="{C3380CC4-5D6E-409C-BE32-E72D297353CC}">
              <c16:uniqueId val="{00000009-016E-48E6-93F6-F8D1E386FBD7}"/>
            </c:ext>
          </c:extLst>
        </c:ser>
        <c:ser>
          <c:idx val="10"/>
          <c:order val="10"/>
          <c:tx>
            <c:strRef>
              <c:f>Sheet3!$L$1:$L$2</c:f>
              <c:strCache>
                <c:ptCount val="1"/>
                <c:pt idx="0">
                  <c:v>TZD</c:v>
                </c:pt>
              </c:strCache>
            </c:strRef>
          </c:tx>
          <c:spPr>
            <a:ln w="28575" cap="rnd">
              <a:solidFill>
                <a:schemeClr val="accent5">
                  <a:lumMod val="60000"/>
                </a:schemeClr>
              </a:solidFill>
              <a:round/>
            </a:ln>
            <a:effectLst/>
          </c:spPr>
          <c:marker>
            <c:symbol val="none"/>
          </c:marker>
          <c:cat>
            <c:strRef>
              <c:f>Sheet3!$A$3:$A$25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Sheet3!$L$3:$L$25</c:f>
              <c:numCache>
                <c:formatCode>General</c:formatCode>
                <c:ptCount val="22"/>
                <c:pt idx="0">
                  <c:v>27435</c:v>
                </c:pt>
                <c:pt idx="1">
                  <c:v>27147</c:v>
                </c:pt>
                <c:pt idx="2">
                  <c:v>25639</c:v>
                </c:pt>
                <c:pt idx="3">
                  <c:v>26020</c:v>
                </c:pt>
                <c:pt idx="4">
                  <c:v>21254</c:v>
                </c:pt>
                <c:pt idx="5">
                  <c:v>22031</c:v>
                </c:pt>
                <c:pt idx="6">
                  <c:v>20846</c:v>
                </c:pt>
                <c:pt idx="7">
                  <c:v>21577</c:v>
                </c:pt>
                <c:pt idx="8">
                  <c:v>17498</c:v>
                </c:pt>
                <c:pt idx="9">
                  <c:v>18212</c:v>
                </c:pt>
                <c:pt idx="10">
                  <c:v>17609</c:v>
                </c:pt>
                <c:pt idx="11">
                  <c:v>18167</c:v>
                </c:pt>
                <c:pt idx="12">
                  <c:v>15587</c:v>
                </c:pt>
                <c:pt idx="13">
                  <c:v>15079</c:v>
                </c:pt>
                <c:pt idx="14">
                  <c:v>15582</c:v>
                </c:pt>
                <c:pt idx="15">
                  <c:v>15905</c:v>
                </c:pt>
                <c:pt idx="16">
                  <c:v>12932</c:v>
                </c:pt>
                <c:pt idx="17">
                  <c:v>13296</c:v>
                </c:pt>
                <c:pt idx="18">
                  <c:v>13327</c:v>
                </c:pt>
                <c:pt idx="19">
                  <c:v>13660</c:v>
                </c:pt>
                <c:pt idx="20">
                  <c:v>11337</c:v>
                </c:pt>
              </c:numCache>
            </c:numRef>
          </c:val>
          <c:smooth val="0"/>
          <c:extLst>
            <c:ext xmlns:c16="http://schemas.microsoft.com/office/drawing/2014/chart" uri="{C3380CC4-5D6E-409C-BE32-E72D297353CC}">
              <c16:uniqueId val="{0000000A-016E-48E6-93F6-F8D1E386FBD7}"/>
            </c:ext>
          </c:extLst>
        </c:ser>
        <c:dLbls>
          <c:showLegendKey val="0"/>
          <c:showVal val="0"/>
          <c:showCatName val="0"/>
          <c:showSerName val="0"/>
          <c:showPercent val="0"/>
          <c:showBubbleSize val="0"/>
        </c:dLbls>
        <c:smooth val="0"/>
        <c:axId val="799070280"/>
        <c:axId val="799075856"/>
      </c:lineChart>
      <c:catAx>
        <c:axId val="799070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r>
                  <a:rPr lang="en-AU" baseline="0"/>
                  <a:t> and quarter</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9075856"/>
        <c:crosses val="autoZero"/>
        <c:auto val="1"/>
        <c:lblAlgn val="ctr"/>
        <c:lblOffset val="100"/>
        <c:noMultiLvlLbl val="0"/>
      </c:catAx>
      <c:valAx>
        <c:axId val="799075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scripts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9070280"/>
        <c:crosses val="autoZero"/>
        <c:crossBetween val="between"/>
      </c:valAx>
      <c:spPr>
        <a:noFill/>
        <a:ln>
          <a:noFill/>
        </a:ln>
        <a:effectLst/>
      </c:spPr>
    </c:plotArea>
    <c:legend>
      <c:legendPos val="r"/>
      <c:layout>
        <c:manualLayout>
          <c:xMode val="edge"/>
          <c:yMode val="edge"/>
          <c:x val="0.82967522736037413"/>
          <c:y val="0.24744721195564839"/>
          <c:w val="0.15792551659498855"/>
          <c:h val="0.586738229149927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[D1431 - Diabetes utilisation v4.xlsx]Sheet4!PivotTable4</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47982741883292"/>
          <c:y val="4.1944709246901808E-2"/>
          <c:w val="0.67044521626577502"/>
          <c:h val="0.73203696058488399"/>
        </c:manualLayout>
      </c:layout>
      <c:lineChart>
        <c:grouping val="standard"/>
        <c:varyColors val="0"/>
        <c:ser>
          <c:idx val="0"/>
          <c:order val="0"/>
          <c:tx>
            <c:strRef>
              <c:f>Sheet4!$B$1:$B$2</c:f>
              <c:strCache>
                <c:ptCount val="1"/>
                <c:pt idx="0">
                  <c:v>AGI</c:v>
                </c:pt>
              </c:strCache>
            </c:strRef>
          </c:tx>
          <c:spPr>
            <a:ln w="28575" cap="rnd">
              <a:solidFill>
                <a:schemeClr val="accent1"/>
              </a:solidFill>
              <a:round/>
            </a:ln>
            <a:effectLst/>
          </c:spPr>
          <c:marker>
            <c:symbol val="none"/>
          </c:marker>
          <c:cat>
            <c:strRef>
              <c:f>Sheet4!$A$3:$A$25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Sheet4!$B$3:$B$25</c:f>
              <c:numCache>
                <c:formatCode>General</c:formatCode>
                <c:ptCount val="22"/>
                <c:pt idx="0">
                  <c:v>216281.81</c:v>
                </c:pt>
                <c:pt idx="1">
                  <c:v>256098.82</c:v>
                </c:pt>
                <c:pt idx="2">
                  <c:v>298210.73</c:v>
                </c:pt>
                <c:pt idx="3">
                  <c:v>363152.64000000001</c:v>
                </c:pt>
                <c:pt idx="4">
                  <c:v>210897.03</c:v>
                </c:pt>
                <c:pt idx="5">
                  <c:v>246122.34</c:v>
                </c:pt>
                <c:pt idx="6">
                  <c:v>283911.86</c:v>
                </c:pt>
                <c:pt idx="7">
                  <c:v>344177.34</c:v>
                </c:pt>
                <c:pt idx="8">
                  <c:v>193105.78</c:v>
                </c:pt>
                <c:pt idx="9">
                  <c:v>205636.35</c:v>
                </c:pt>
                <c:pt idx="10">
                  <c:v>222596.78</c:v>
                </c:pt>
                <c:pt idx="11">
                  <c:v>278806.71999999997</c:v>
                </c:pt>
                <c:pt idx="12">
                  <c:v>175225.08</c:v>
                </c:pt>
                <c:pt idx="13">
                  <c:v>171419.95</c:v>
                </c:pt>
                <c:pt idx="14">
                  <c:v>216234.89</c:v>
                </c:pt>
                <c:pt idx="15">
                  <c:v>256769.84</c:v>
                </c:pt>
                <c:pt idx="16">
                  <c:v>143440.70000000001</c:v>
                </c:pt>
                <c:pt idx="17">
                  <c:v>168657.77</c:v>
                </c:pt>
                <c:pt idx="18">
                  <c:v>201298.62</c:v>
                </c:pt>
                <c:pt idx="19">
                  <c:v>231933.56</c:v>
                </c:pt>
                <c:pt idx="20">
                  <c:v>125733.18</c:v>
                </c:pt>
                <c:pt idx="21">
                  <c:v>148856.95999999999</c:v>
                </c:pt>
              </c:numCache>
            </c:numRef>
          </c:val>
          <c:smooth val="0"/>
          <c:extLst>
            <c:ext xmlns:c16="http://schemas.microsoft.com/office/drawing/2014/chart" uri="{C3380CC4-5D6E-409C-BE32-E72D297353CC}">
              <c16:uniqueId val="{00000000-B550-4A66-8A26-A19F8880554D}"/>
            </c:ext>
          </c:extLst>
        </c:ser>
        <c:ser>
          <c:idx val="1"/>
          <c:order val="1"/>
          <c:tx>
            <c:strRef>
              <c:f>Sheet4!$C$1:$C$2</c:f>
              <c:strCache>
                <c:ptCount val="1"/>
                <c:pt idx="0">
                  <c:v>DPP4</c:v>
                </c:pt>
              </c:strCache>
            </c:strRef>
          </c:tx>
          <c:spPr>
            <a:ln w="28575" cap="rnd">
              <a:solidFill>
                <a:schemeClr val="accent2"/>
              </a:solidFill>
              <a:round/>
            </a:ln>
            <a:effectLst/>
          </c:spPr>
          <c:marker>
            <c:symbol val="none"/>
          </c:marker>
          <c:cat>
            <c:strRef>
              <c:f>Sheet4!$A$3:$A$25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Sheet4!$C$3:$C$25</c:f>
              <c:numCache>
                <c:formatCode>General</c:formatCode>
                <c:ptCount val="22"/>
                <c:pt idx="0">
                  <c:v>9101034.8499999996</c:v>
                </c:pt>
                <c:pt idx="1">
                  <c:v>9814521.1099999994</c:v>
                </c:pt>
                <c:pt idx="2">
                  <c:v>10721717.08</c:v>
                </c:pt>
                <c:pt idx="3">
                  <c:v>12210379.26</c:v>
                </c:pt>
                <c:pt idx="4">
                  <c:v>10141876.220000001</c:v>
                </c:pt>
                <c:pt idx="5">
                  <c:v>11411469.84</c:v>
                </c:pt>
                <c:pt idx="6">
                  <c:v>12430582.76</c:v>
                </c:pt>
                <c:pt idx="7">
                  <c:v>14441276.57</c:v>
                </c:pt>
                <c:pt idx="8">
                  <c:v>11798771.27</c:v>
                </c:pt>
                <c:pt idx="9">
                  <c:v>12534742.460000001</c:v>
                </c:pt>
                <c:pt idx="10">
                  <c:v>13674476.470000001</c:v>
                </c:pt>
                <c:pt idx="11">
                  <c:v>15507910.890000001</c:v>
                </c:pt>
                <c:pt idx="12">
                  <c:v>13196533.210000001</c:v>
                </c:pt>
                <c:pt idx="13">
                  <c:v>13914722.640000001</c:v>
                </c:pt>
                <c:pt idx="14">
                  <c:v>16148791.800000001</c:v>
                </c:pt>
                <c:pt idx="15">
                  <c:v>18095384.140000001</c:v>
                </c:pt>
                <c:pt idx="16">
                  <c:v>14314587.630000001</c:v>
                </c:pt>
                <c:pt idx="17">
                  <c:v>15631355.5</c:v>
                </c:pt>
                <c:pt idx="18">
                  <c:v>17098201.899999999</c:v>
                </c:pt>
                <c:pt idx="19">
                  <c:v>18648595.73</c:v>
                </c:pt>
                <c:pt idx="20">
                  <c:v>14382286.43</c:v>
                </c:pt>
                <c:pt idx="21">
                  <c:v>15632934.1</c:v>
                </c:pt>
              </c:numCache>
            </c:numRef>
          </c:val>
          <c:smooth val="0"/>
          <c:extLst>
            <c:ext xmlns:c16="http://schemas.microsoft.com/office/drawing/2014/chart" uri="{C3380CC4-5D6E-409C-BE32-E72D297353CC}">
              <c16:uniqueId val="{00000001-B550-4A66-8A26-A19F8880554D}"/>
            </c:ext>
          </c:extLst>
        </c:ser>
        <c:ser>
          <c:idx val="2"/>
          <c:order val="2"/>
          <c:tx>
            <c:strRef>
              <c:f>Sheet4!$D$1:$D$2</c:f>
              <c:strCache>
                <c:ptCount val="1"/>
                <c:pt idx="0">
                  <c:v>DPP4+MET</c:v>
                </c:pt>
              </c:strCache>
            </c:strRef>
          </c:tx>
          <c:spPr>
            <a:ln w="28575" cap="rnd">
              <a:solidFill>
                <a:schemeClr val="accent3"/>
              </a:solidFill>
              <a:round/>
            </a:ln>
            <a:effectLst/>
          </c:spPr>
          <c:marker>
            <c:symbol val="none"/>
          </c:marker>
          <c:cat>
            <c:strRef>
              <c:f>Sheet4!$A$3:$A$25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Sheet4!$D$3:$D$25</c:f>
              <c:numCache>
                <c:formatCode>General</c:formatCode>
                <c:ptCount val="22"/>
                <c:pt idx="0">
                  <c:v>17933595.719999999</c:v>
                </c:pt>
                <c:pt idx="1">
                  <c:v>19411389.219999999</c:v>
                </c:pt>
                <c:pt idx="2">
                  <c:v>20766168.23</c:v>
                </c:pt>
                <c:pt idx="3">
                  <c:v>23096274.510000002</c:v>
                </c:pt>
                <c:pt idx="4">
                  <c:v>19476218.719999999</c:v>
                </c:pt>
                <c:pt idx="5">
                  <c:v>21303431.960000001</c:v>
                </c:pt>
                <c:pt idx="6">
                  <c:v>22511444.489999998</c:v>
                </c:pt>
                <c:pt idx="7">
                  <c:v>25314188.449999999</c:v>
                </c:pt>
                <c:pt idx="8">
                  <c:v>20957007.969999999</c:v>
                </c:pt>
                <c:pt idx="9">
                  <c:v>21090984.43</c:v>
                </c:pt>
                <c:pt idx="10">
                  <c:v>22461573.59</c:v>
                </c:pt>
                <c:pt idx="11">
                  <c:v>24901915.629999999</c:v>
                </c:pt>
                <c:pt idx="12">
                  <c:v>21791363.289999999</c:v>
                </c:pt>
                <c:pt idx="13">
                  <c:v>21565356.969999999</c:v>
                </c:pt>
                <c:pt idx="14">
                  <c:v>24828288.350000001</c:v>
                </c:pt>
                <c:pt idx="15">
                  <c:v>27266994.48</c:v>
                </c:pt>
                <c:pt idx="16">
                  <c:v>21631100.68</c:v>
                </c:pt>
                <c:pt idx="17">
                  <c:v>22881398.309999999</c:v>
                </c:pt>
                <c:pt idx="18">
                  <c:v>24557693.030000001</c:v>
                </c:pt>
                <c:pt idx="19">
                  <c:v>26468721.359999999</c:v>
                </c:pt>
                <c:pt idx="20">
                  <c:v>20485254.16</c:v>
                </c:pt>
                <c:pt idx="21">
                  <c:v>21786928.760000002</c:v>
                </c:pt>
              </c:numCache>
            </c:numRef>
          </c:val>
          <c:smooth val="0"/>
          <c:extLst>
            <c:ext xmlns:c16="http://schemas.microsoft.com/office/drawing/2014/chart" uri="{C3380CC4-5D6E-409C-BE32-E72D297353CC}">
              <c16:uniqueId val="{00000002-B550-4A66-8A26-A19F8880554D}"/>
            </c:ext>
          </c:extLst>
        </c:ser>
        <c:ser>
          <c:idx val="3"/>
          <c:order val="3"/>
          <c:tx>
            <c:strRef>
              <c:f>Sheet4!$E$1:$E$2</c:f>
              <c:strCache>
                <c:ptCount val="1"/>
                <c:pt idx="0">
                  <c:v>GLP1</c:v>
                </c:pt>
              </c:strCache>
            </c:strRef>
          </c:tx>
          <c:spPr>
            <a:ln w="28575" cap="rnd">
              <a:solidFill>
                <a:schemeClr val="accent4"/>
              </a:solidFill>
              <a:round/>
            </a:ln>
            <a:effectLst/>
          </c:spPr>
          <c:marker>
            <c:symbol val="none"/>
          </c:marker>
          <c:cat>
            <c:strRef>
              <c:f>Sheet4!$A$3:$A$25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Sheet4!$E$3:$E$25</c:f>
              <c:numCache>
                <c:formatCode>General</c:formatCode>
                <c:ptCount val="22"/>
                <c:pt idx="0">
                  <c:v>6657738.2300000004</c:v>
                </c:pt>
                <c:pt idx="1">
                  <c:v>7814701.0599999996</c:v>
                </c:pt>
                <c:pt idx="2">
                  <c:v>8728424.3800000008</c:v>
                </c:pt>
                <c:pt idx="3">
                  <c:v>10218970.74</c:v>
                </c:pt>
                <c:pt idx="4">
                  <c:v>8786706.6999999993</c:v>
                </c:pt>
                <c:pt idx="5">
                  <c:v>9819721.4199999999</c:v>
                </c:pt>
                <c:pt idx="6">
                  <c:v>11153147.300000001</c:v>
                </c:pt>
                <c:pt idx="7">
                  <c:v>13819513.6</c:v>
                </c:pt>
                <c:pt idx="8">
                  <c:v>12258111.619999999</c:v>
                </c:pt>
                <c:pt idx="9">
                  <c:v>14190613.460000001</c:v>
                </c:pt>
                <c:pt idx="10">
                  <c:v>15930797.76</c:v>
                </c:pt>
                <c:pt idx="11">
                  <c:v>18707482.870000001</c:v>
                </c:pt>
                <c:pt idx="12">
                  <c:v>17583451.989999998</c:v>
                </c:pt>
                <c:pt idx="13">
                  <c:v>18346011.690000001</c:v>
                </c:pt>
                <c:pt idx="14">
                  <c:v>22312359.960000001</c:v>
                </c:pt>
                <c:pt idx="15">
                  <c:v>27145702.16</c:v>
                </c:pt>
                <c:pt idx="16">
                  <c:v>25093774.699999999</c:v>
                </c:pt>
                <c:pt idx="17">
                  <c:v>31308194.390000001</c:v>
                </c:pt>
                <c:pt idx="18">
                  <c:v>39144260.539999999</c:v>
                </c:pt>
                <c:pt idx="19">
                  <c:v>50191053.210000001</c:v>
                </c:pt>
                <c:pt idx="20">
                  <c:v>48446979.369999997</c:v>
                </c:pt>
                <c:pt idx="21">
                  <c:v>55726633.530000001</c:v>
                </c:pt>
              </c:numCache>
            </c:numRef>
          </c:val>
          <c:smooth val="0"/>
          <c:extLst>
            <c:ext xmlns:c16="http://schemas.microsoft.com/office/drawing/2014/chart" uri="{C3380CC4-5D6E-409C-BE32-E72D297353CC}">
              <c16:uniqueId val="{00000003-B550-4A66-8A26-A19F8880554D}"/>
            </c:ext>
          </c:extLst>
        </c:ser>
        <c:ser>
          <c:idx val="4"/>
          <c:order val="4"/>
          <c:tx>
            <c:strRef>
              <c:f>Sheet4!$F$1:$F$2</c:f>
              <c:strCache>
                <c:ptCount val="1"/>
                <c:pt idx="0">
                  <c:v>INSULIN</c:v>
                </c:pt>
              </c:strCache>
            </c:strRef>
          </c:tx>
          <c:spPr>
            <a:ln w="28575" cap="rnd">
              <a:solidFill>
                <a:schemeClr val="accent5"/>
              </a:solidFill>
              <a:round/>
            </a:ln>
            <a:effectLst/>
          </c:spPr>
          <c:marker>
            <c:symbol val="none"/>
          </c:marker>
          <c:cat>
            <c:strRef>
              <c:f>Sheet4!$A$3:$A$25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Sheet4!$F$3:$F$25</c:f>
              <c:numCache>
                <c:formatCode>General</c:formatCode>
                <c:ptCount val="22"/>
                <c:pt idx="0">
                  <c:v>45033684.020000003</c:v>
                </c:pt>
                <c:pt idx="1">
                  <c:v>51975593.119999997</c:v>
                </c:pt>
                <c:pt idx="2">
                  <c:v>55261049.149999999</c:v>
                </c:pt>
                <c:pt idx="3">
                  <c:v>67415157.959999993</c:v>
                </c:pt>
                <c:pt idx="4">
                  <c:v>46813045.159999996</c:v>
                </c:pt>
                <c:pt idx="5">
                  <c:v>50658108.880000003</c:v>
                </c:pt>
                <c:pt idx="6">
                  <c:v>41842430.549999997</c:v>
                </c:pt>
                <c:pt idx="7">
                  <c:v>52724495.859999999</c:v>
                </c:pt>
                <c:pt idx="8">
                  <c:v>36644729.079999998</c:v>
                </c:pt>
                <c:pt idx="9">
                  <c:v>42251347.93</c:v>
                </c:pt>
                <c:pt idx="10">
                  <c:v>46390980.140000001</c:v>
                </c:pt>
                <c:pt idx="11">
                  <c:v>49527244.439999998</c:v>
                </c:pt>
                <c:pt idx="12">
                  <c:v>42548000.25</c:v>
                </c:pt>
                <c:pt idx="13">
                  <c:v>36317961.700000003</c:v>
                </c:pt>
                <c:pt idx="14">
                  <c:v>44034516.32</c:v>
                </c:pt>
                <c:pt idx="15">
                  <c:v>53329081.460000001</c:v>
                </c:pt>
                <c:pt idx="16">
                  <c:v>36509058.630000003</c:v>
                </c:pt>
                <c:pt idx="17">
                  <c:v>41329931.439999998</c:v>
                </c:pt>
                <c:pt idx="18">
                  <c:v>45594817.859999999</c:v>
                </c:pt>
                <c:pt idx="19">
                  <c:v>53210047.539999999</c:v>
                </c:pt>
                <c:pt idx="20">
                  <c:v>36734929.369999997</c:v>
                </c:pt>
                <c:pt idx="21">
                  <c:v>41183135.100000001</c:v>
                </c:pt>
              </c:numCache>
            </c:numRef>
          </c:val>
          <c:smooth val="0"/>
          <c:extLst>
            <c:ext xmlns:c16="http://schemas.microsoft.com/office/drawing/2014/chart" uri="{C3380CC4-5D6E-409C-BE32-E72D297353CC}">
              <c16:uniqueId val="{00000004-B550-4A66-8A26-A19F8880554D}"/>
            </c:ext>
          </c:extLst>
        </c:ser>
        <c:ser>
          <c:idx val="5"/>
          <c:order val="5"/>
          <c:tx>
            <c:strRef>
              <c:f>Sheet4!$G$1:$G$2</c:f>
              <c:strCache>
                <c:ptCount val="1"/>
                <c:pt idx="0">
                  <c:v>MET</c:v>
                </c:pt>
              </c:strCache>
            </c:strRef>
          </c:tx>
          <c:spPr>
            <a:ln w="28575" cap="rnd">
              <a:solidFill>
                <a:schemeClr val="accent6"/>
              </a:solidFill>
              <a:round/>
            </a:ln>
            <a:effectLst/>
          </c:spPr>
          <c:marker>
            <c:symbol val="none"/>
          </c:marker>
          <c:cat>
            <c:strRef>
              <c:f>Sheet4!$A$3:$A$25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Sheet4!$G$3:$G$25</c:f>
              <c:numCache>
                <c:formatCode>General</c:formatCode>
                <c:ptCount val="22"/>
                <c:pt idx="0">
                  <c:v>6229122.4801000003</c:v>
                </c:pt>
                <c:pt idx="1">
                  <c:v>7125169.4301000005</c:v>
                </c:pt>
                <c:pt idx="2">
                  <c:v>8973047.1600000001</c:v>
                </c:pt>
                <c:pt idx="3">
                  <c:v>11484489.4</c:v>
                </c:pt>
                <c:pt idx="4">
                  <c:v>6465091.6900000004</c:v>
                </c:pt>
                <c:pt idx="5">
                  <c:v>7411189.8200000003</c:v>
                </c:pt>
                <c:pt idx="6">
                  <c:v>9007808.3599999994</c:v>
                </c:pt>
                <c:pt idx="7">
                  <c:v>11551963.039999999</c:v>
                </c:pt>
                <c:pt idx="8">
                  <c:v>6485983.8299000002</c:v>
                </c:pt>
                <c:pt idx="9">
                  <c:v>7464813.0198999997</c:v>
                </c:pt>
                <c:pt idx="10">
                  <c:v>9137118.7400000002</c:v>
                </c:pt>
                <c:pt idx="11">
                  <c:v>11640086.800000001</c:v>
                </c:pt>
                <c:pt idx="12">
                  <c:v>7253106.6601</c:v>
                </c:pt>
                <c:pt idx="13">
                  <c:v>7790940.7801000001</c:v>
                </c:pt>
                <c:pt idx="14">
                  <c:v>10915066.460000001</c:v>
                </c:pt>
                <c:pt idx="15">
                  <c:v>13700180.619999999</c:v>
                </c:pt>
                <c:pt idx="16">
                  <c:v>7545258.71</c:v>
                </c:pt>
                <c:pt idx="17">
                  <c:v>8942296.2899999991</c:v>
                </c:pt>
                <c:pt idx="18">
                  <c:v>11378324.93</c:v>
                </c:pt>
                <c:pt idx="19">
                  <c:v>14096762.189999999</c:v>
                </c:pt>
                <c:pt idx="20">
                  <c:v>7659801.5000999998</c:v>
                </c:pt>
                <c:pt idx="21">
                  <c:v>9113200.1899999995</c:v>
                </c:pt>
              </c:numCache>
            </c:numRef>
          </c:val>
          <c:smooth val="0"/>
          <c:extLst>
            <c:ext xmlns:c16="http://schemas.microsoft.com/office/drawing/2014/chart" uri="{C3380CC4-5D6E-409C-BE32-E72D297353CC}">
              <c16:uniqueId val="{00000005-B550-4A66-8A26-A19F8880554D}"/>
            </c:ext>
          </c:extLst>
        </c:ser>
        <c:ser>
          <c:idx val="6"/>
          <c:order val="6"/>
          <c:tx>
            <c:strRef>
              <c:f>Sheet4!$H$1:$H$2</c:f>
              <c:strCache>
                <c:ptCount val="1"/>
                <c:pt idx="0">
                  <c:v>SGLT2</c:v>
                </c:pt>
              </c:strCache>
            </c:strRef>
          </c:tx>
          <c:spPr>
            <a:ln w="28575" cap="rnd">
              <a:solidFill>
                <a:schemeClr val="accent1">
                  <a:lumMod val="60000"/>
                </a:schemeClr>
              </a:solidFill>
              <a:round/>
            </a:ln>
            <a:effectLst/>
          </c:spPr>
          <c:marker>
            <c:symbol val="none"/>
          </c:marker>
          <c:cat>
            <c:strRef>
              <c:f>Sheet4!$A$3:$A$25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Sheet4!$H$3:$H$25</c:f>
              <c:numCache>
                <c:formatCode>General</c:formatCode>
                <c:ptCount val="22"/>
                <c:pt idx="0">
                  <c:v>7617934.6699999999</c:v>
                </c:pt>
                <c:pt idx="1">
                  <c:v>9169953.5500000007</c:v>
                </c:pt>
                <c:pt idx="2">
                  <c:v>10382233.199999999</c:v>
                </c:pt>
                <c:pt idx="3">
                  <c:v>12371460.560000001</c:v>
                </c:pt>
                <c:pt idx="4">
                  <c:v>10135968.99</c:v>
                </c:pt>
                <c:pt idx="5">
                  <c:v>11535784.220000001</c:v>
                </c:pt>
                <c:pt idx="6">
                  <c:v>12688430.890000001</c:v>
                </c:pt>
                <c:pt idx="7">
                  <c:v>14992445.07</c:v>
                </c:pt>
                <c:pt idx="8">
                  <c:v>11972766.16</c:v>
                </c:pt>
                <c:pt idx="9">
                  <c:v>13087093.82</c:v>
                </c:pt>
                <c:pt idx="10">
                  <c:v>14558971.4</c:v>
                </c:pt>
                <c:pt idx="11">
                  <c:v>17116043.399999999</c:v>
                </c:pt>
                <c:pt idx="12">
                  <c:v>14727684.560000001</c:v>
                </c:pt>
                <c:pt idx="13">
                  <c:v>14919403.42</c:v>
                </c:pt>
                <c:pt idx="14">
                  <c:v>17858421.710000001</c:v>
                </c:pt>
                <c:pt idx="15">
                  <c:v>20791020.600000001</c:v>
                </c:pt>
                <c:pt idx="16">
                  <c:v>16401075.73</c:v>
                </c:pt>
                <c:pt idx="17">
                  <c:v>18276113.5</c:v>
                </c:pt>
                <c:pt idx="18">
                  <c:v>20578422.460000001</c:v>
                </c:pt>
                <c:pt idx="19">
                  <c:v>23620315.59</c:v>
                </c:pt>
                <c:pt idx="20">
                  <c:v>18310889.129999999</c:v>
                </c:pt>
                <c:pt idx="21">
                  <c:v>20185645.170000002</c:v>
                </c:pt>
              </c:numCache>
            </c:numRef>
          </c:val>
          <c:smooth val="0"/>
          <c:extLst>
            <c:ext xmlns:c16="http://schemas.microsoft.com/office/drawing/2014/chart" uri="{C3380CC4-5D6E-409C-BE32-E72D297353CC}">
              <c16:uniqueId val="{00000006-B550-4A66-8A26-A19F8880554D}"/>
            </c:ext>
          </c:extLst>
        </c:ser>
        <c:ser>
          <c:idx val="7"/>
          <c:order val="7"/>
          <c:tx>
            <c:strRef>
              <c:f>Sheet4!$I$1:$I$2</c:f>
              <c:strCache>
                <c:ptCount val="1"/>
                <c:pt idx="0">
                  <c:v>SGLT2+DPP4</c:v>
                </c:pt>
              </c:strCache>
            </c:strRef>
          </c:tx>
          <c:spPr>
            <a:ln w="28575" cap="rnd">
              <a:solidFill>
                <a:schemeClr val="accent2">
                  <a:lumMod val="60000"/>
                </a:schemeClr>
              </a:solidFill>
              <a:round/>
            </a:ln>
            <a:effectLst/>
          </c:spPr>
          <c:marker>
            <c:symbol val="none"/>
          </c:marker>
          <c:cat>
            <c:strRef>
              <c:f>Sheet4!$A$3:$A$25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Sheet4!$I$3:$I$25</c:f>
              <c:numCache>
                <c:formatCode>General</c:formatCode>
                <c:ptCount val="22"/>
                <c:pt idx="5">
                  <c:v>410513.15</c:v>
                </c:pt>
                <c:pt idx="6">
                  <c:v>1076178.01</c:v>
                </c:pt>
                <c:pt idx="7">
                  <c:v>1766511.03</c:v>
                </c:pt>
                <c:pt idx="8">
                  <c:v>1815063.81</c:v>
                </c:pt>
                <c:pt idx="9">
                  <c:v>2285446.39</c:v>
                </c:pt>
                <c:pt idx="10">
                  <c:v>2749838.77</c:v>
                </c:pt>
                <c:pt idx="11">
                  <c:v>3349656.6</c:v>
                </c:pt>
                <c:pt idx="12">
                  <c:v>3282689.7</c:v>
                </c:pt>
                <c:pt idx="13">
                  <c:v>3384218.04</c:v>
                </c:pt>
                <c:pt idx="14">
                  <c:v>4072714.53</c:v>
                </c:pt>
                <c:pt idx="15">
                  <c:v>4657104.7</c:v>
                </c:pt>
                <c:pt idx="16">
                  <c:v>4026745.15</c:v>
                </c:pt>
                <c:pt idx="17">
                  <c:v>4444107.6900000004</c:v>
                </c:pt>
                <c:pt idx="18">
                  <c:v>4882695.26</c:v>
                </c:pt>
                <c:pt idx="19">
                  <c:v>5362156.18</c:v>
                </c:pt>
                <c:pt idx="20">
                  <c:v>4395923.74</c:v>
                </c:pt>
                <c:pt idx="21">
                  <c:v>4752395.3899999997</c:v>
                </c:pt>
              </c:numCache>
            </c:numRef>
          </c:val>
          <c:smooth val="0"/>
          <c:extLst>
            <c:ext xmlns:c16="http://schemas.microsoft.com/office/drawing/2014/chart" uri="{C3380CC4-5D6E-409C-BE32-E72D297353CC}">
              <c16:uniqueId val="{00000007-B550-4A66-8A26-A19F8880554D}"/>
            </c:ext>
          </c:extLst>
        </c:ser>
        <c:ser>
          <c:idx val="8"/>
          <c:order val="8"/>
          <c:tx>
            <c:strRef>
              <c:f>Sheet4!$J$1:$J$2</c:f>
              <c:strCache>
                <c:ptCount val="1"/>
                <c:pt idx="0">
                  <c:v>SGLT2+MET</c:v>
                </c:pt>
              </c:strCache>
            </c:strRef>
          </c:tx>
          <c:spPr>
            <a:ln w="28575" cap="rnd">
              <a:solidFill>
                <a:schemeClr val="accent3">
                  <a:lumMod val="60000"/>
                </a:schemeClr>
              </a:solidFill>
              <a:round/>
            </a:ln>
            <a:effectLst/>
          </c:spPr>
          <c:marker>
            <c:symbol val="none"/>
          </c:marker>
          <c:cat>
            <c:strRef>
              <c:f>Sheet4!$A$3:$A$25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Sheet4!$J$3:$J$25</c:f>
              <c:numCache>
                <c:formatCode>General</c:formatCode>
                <c:ptCount val="22"/>
                <c:pt idx="0">
                  <c:v>3110161.89</c:v>
                </c:pt>
                <c:pt idx="1">
                  <c:v>4301457</c:v>
                </c:pt>
                <c:pt idx="2">
                  <c:v>5421792.4199999999</c:v>
                </c:pt>
                <c:pt idx="3">
                  <c:v>7006130.8700000001</c:v>
                </c:pt>
                <c:pt idx="4">
                  <c:v>6392092.4400000004</c:v>
                </c:pt>
                <c:pt idx="5">
                  <c:v>7475731.3600000003</c:v>
                </c:pt>
                <c:pt idx="6">
                  <c:v>8314755.4800000004</c:v>
                </c:pt>
                <c:pt idx="7">
                  <c:v>9943961.5700000003</c:v>
                </c:pt>
                <c:pt idx="8">
                  <c:v>8363950.2699999996</c:v>
                </c:pt>
                <c:pt idx="9">
                  <c:v>9237035.9900000002</c:v>
                </c:pt>
                <c:pt idx="10">
                  <c:v>10200207.779999999</c:v>
                </c:pt>
                <c:pt idx="11">
                  <c:v>11856307.960000001</c:v>
                </c:pt>
                <c:pt idx="12">
                  <c:v>10739667.27</c:v>
                </c:pt>
                <c:pt idx="13">
                  <c:v>10518531.59</c:v>
                </c:pt>
                <c:pt idx="14">
                  <c:v>12596935.380000001</c:v>
                </c:pt>
                <c:pt idx="15">
                  <c:v>14521220.130000001</c:v>
                </c:pt>
                <c:pt idx="16">
                  <c:v>11802745.18</c:v>
                </c:pt>
                <c:pt idx="17">
                  <c:v>13075860.439999999</c:v>
                </c:pt>
                <c:pt idx="18">
                  <c:v>14605378.65</c:v>
                </c:pt>
                <c:pt idx="19">
                  <c:v>16545772.65</c:v>
                </c:pt>
                <c:pt idx="20">
                  <c:v>13166096</c:v>
                </c:pt>
                <c:pt idx="21">
                  <c:v>14563326.42</c:v>
                </c:pt>
              </c:numCache>
            </c:numRef>
          </c:val>
          <c:smooth val="0"/>
          <c:extLst>
            <c:ext xmlns:c16="http://schemas.microsoft.com/office/drawing/2014/chart" uri="{C3380CC4-5D6E-409C-BE32-E72D297353CC}">
              <c16:uniqueId val="{00000008-B550-4A66-8A26-A19F8880554D}"/>
            </c:ext>
          </c:extLst>
        </c:ser>
        <c:ser>
          <c:idx val="9"/>
          <c:order val="9"/>
          <c:tx>
            <c:strRef>
              <c:f>Sheet4!$K$1:$K$2</c:f>
              <c:strCache>
                <c:ptCount val="1"/>
                <c:pt idx="0">
                  <c:v>SULF</c:v>
                </c:pt>
              </c:strCache>
            </c:strRef>
          </c:tx>
          <c:spPr>
            <a:ln w="28575" cap="rnd">
              <a:solidFill>
                <a:schemeClr val="accent4">
                  <a:lumMod val="60000"/>
                </a:schemeClr>
              </a:solidFill>
              <a:round/>
            </a:ln>
            <a:effectLst/>
          </c:spPr>
          <c:marker>
            <c:symbol val="none"/>
          </c:marker>
          <c:cat>
            <c:strRef>
              <c:f>Sheet4!$A$3:$A$25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Sheet4!$K$3:$K$25</c:f>
              <c:numCache>
                <c:formatCode>General</c:formatCode>
                <c:ptCount val="22"/>
                <c:pt idx="0">
                  <c:v>3781992.31</c:v>
                </c:pt>
                <c:pt idx="1">
                  <c:v>4337286.0599999996</c:v>
                </c:pt>
                <c:pt idx="2">
                  <c:v>5363142.13</c:v>
                </c:pt>
                <c:pt idx="3">
                  <c:v>6848824.7699999996</c:v>
                </c:pt>
                <c:pt idx="4">
                  <c:v>3942114.23</c:v>
                </c:pt>
                <c:pt idx="5">
                  <c:v>4522755.3</c:v>
                </c:pt>
                <c:pt idx="6">
                  <c:v>5402754.5300000003</c:v>
                </c:pt>
                <c:pt idx="7">
                  <c:v>6900169.1399999997</c:v>
                </c:pt>
                <c:pt idx="8">
                  <c:v>3848234.65</c:v>
                </c:pt>
                <c:pt idx="9">
                  <c:v>4426754.3899999997</c:v>
                </c:pt>
                <c:pt idx="10">
                  <c:v>5314779.1900000004</c:v>
                </c:pt>
                <c:pt idx="11">
                  <c:v>6702858.5199999996</c:v>
                </c:pt>
                <c:pt idx="12">
                  <c:v>4109708.51</c:v>
                </c:pt>
                <c:pt idx="13">
                  <c:v>4531864.7</c:v>
                </c:pt>
                <c:pt idx="14">
                  <c:v>6098103.2599999998</c:v>
                </c:pt>
                <c:pt idx="15">
                  <c:v>7566495</c:v>
                </c:pt>
                <c:pt idx="16">
                  <c:v>4067289.46</c:v>
                </c:pt>
                <c:pt idx="17">
                  <c:v>4829142.33</c:v>
                </c:pt>
                <c:pt idx="18">
                  <c:v>6051713.2300000004</c:v>
                </c:pt>
                <c:pt idx="19">
                  <c:v>7386824.7699999996</c:v>
                </c:pt>
                <c:pt idx="20">
                  <c:v>3928409.61</c:v>
                </c:pt>
                <c:pt idx="21">
                  <c:v>4674434.2699999996</c:v>
                </c:pt>
              </c:numCache>
            </c:numRef>
          </c:val>
          <c:smooth val="0"/>
          <c:extLst>
            <c:ext xmlns:c16="http://schemas.microsoft.com/office/drawing/2014/chart" uri="{C3380CC4-5D6E-409C-BE32-E72D297353CC}">
              <c16:uniqueId val="{00000009-B550-4A66-8A26-A19F8880554D}"/>
            </c:ext>
          </c:extLst>
        </c:ser>
        <c:ser>
          <c:idx val="10"/>
          <c:order val="10"/>
          <c:tx>
            <c:strRef>
              <c:f>Sheet4!$L$1:$L$2</c:f>
              <c:strCache>
                <c:ptCount val="1"/>
                <c:pt idx="0">
                  <c:v>TZD</c:v>
                </c:pt>
              </c:strCache>
            </c:strRef>
          </c:tx>
          <c:spPr>
            <a:ln w="28575" cap="rnd">
              <a:solidFill>
                <a:schemeClr val="accent5">
                  <a:lumMod val="60000"/>
                </a:schemeClr>
              </a:solidFill>
              <a:round/>
            </a:ln>
            <a:effectLst/>
          </c:spPr>
          <c:marker>
            <c:symbol val="none"/>
          </c:marker>
          <c:cat>
            <c:strRef>
              <c:f>Sheet4!$A$3:$A$25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Sheet4!$L$3:$L$25</c:f>
              <c:numCache>
                <c:formatCode>General</c:formatCode>
                <c:ptCount val="22"/>
                <c:pt idx="0">
                  <c:v>471536.48</c:v>
                </c:pt>
                <c:pt idx="1">
                  <c:v>435936.71</c:v>
                </c:pt>
                <c:pt idx="2">
                  <c:v>460581.33</c:v>
                </c:pt>
                <c:pt idx="3">
                  <c:v>460277.52</c:v>
                </c:pt>
                <c:pt idx="4">
                  <c:v>282255.2</c:v>
                </c:pt>
                <c:pt idx="5">
                  <c:v>304121.2</c:v>
                </c:pt>
                <c:pt idx="6">
                  <c:v>330590.19</c:v>
                </c:pt>
                <c:pt idx="7">
                  <c:v>383794.17</c:v>
                </c:pt>
                <c:pt idx="8">
                  <c:v>234588.84</c:v>
                </c:pt>
                <c:pt idx="9">
                  <c:v>254962.72</c:v>
                </c:pt>
                <c:pt idx="10">
                  <c:v>279601.02</c:v>
                </c:pt>
                <c:pt idx="11">
                  <c:v>322901.96000000002</c:v>
                </c:pt>
                <c:pt idx="12">
                  <c:v>207440.28</c:v>
                </c:pt>
                <c:pt idx="13">
                  <c:v>220921.81</c:v>
                </c:pt>
                <c:pt idx="14">
                  <c:v>267228.15999999997</c:v>
                </c:pt>
                <c:pt idx="15">
                  <c:v>301695.15999999997</c:v>
                </c:pt>
                <c:pt idx="16">
                  <c:v>177946.4</c:v>
                </c:pt>
                <c:pt idx="17">
                  <c:v>195225.66</c:v>
                </c:pt>
                <c:pt idx="18">
                  <c:v>223355.64</c:v>
                </c:pt>
                <c:pt idx="19">
                  <c:v>254081.25</c:v>
                </c:pt>
                <c:pt idx="20">
                  <c:v>149856.31</c:v>
                </c:pt>
              </c:numCache>
            </c:numRef>
          </c:val>
          <c:smooth val="0"/>
          <c:extLst>
            <c:ext xmlns:c16="http://schemas.microsoft.com/office/drawing/2014/chart" uri="{C3380CC4-5D6E-409C-BE32-E72D297353CC}">
              <c16:uniqueId val="{0000000A-B550-4A66-8A26-A19F8880554D}"/>
            </c:ext>
          </c:extLst>
        </c:ser>
        <c:dLbls>
          <c:showLegendKey val="0"/>
          <c:showVal val="0"/>
          <c:showCatName val="0"/>
          <c:showSerName val="0"/>
          <c:showPercent val="0"/>
          <c:showBubbleSize val="0"/>
        </c:dLbls>
        <c:smooth val="0"/>
        <c:axId val="797143608"/>
        <c:axId val="797138032"/>
      </c:lineChart>
      <c:catAx>
        <c:axId val="797143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r>
                  <a:rPr lang="en-AU" baseline="0"/>
                  <a:t> and quarter</a:t>
                </a:r>
                <a:endParaRPr lang="en-AU"/>
              </a:p>
            </c:rich>
          </c:tx>
          <c:layout>
            <c:manualLayout>
              <c:xMode val="edge"/>
              <c:yMode val="edge"/>
              <c:x val="0.40025093301693454"/>
              <c:y val="0.911515579141739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7138032"/>
        <c:crosses val="autoZero"/>
        <c:auto val="1"/>
        <c:lblAlgn val="ctr"/>
        <c:lblOffset val="100"/>
        <c:noMultiLvlLbl val="0"/>
      </c:catAx>
      <c:valAx>
        <c:axId val="797138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Benefits</a:t>
                </a:r>
                <a:r>
                  <a:rPr lang="en-AU" baseline="0"/>
                  <a:t> ($)</a:t>
                </a:r>
                <a:endParaRPr lang="en-AU"/>
              </a:p>
            </c:rich>
          </c:tx>
          <c:layout>
            <c:manualLayout>
              <c:xMode val="edge"/>
              <c:yMode val="edge"/>
              <c:x val="2.4558990400172582E-2"/>
              <c:y val="0.345732493638485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7143608"/>
        <c:crosses val="autoZero"/>
        <c:crossBetween val="between"/>
        <c:dispUnits>
          <c:builtInUnit val="hundred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[LK graphs Copy of D1431 - Diabetes utilisation v2.xlsx]Sheet10!PivotTable6</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4051445430610782"/>
          <c:y val="8.8028169014084501E-2"/>
          <c:w val="0.65248320250684377"/>
          <c:h val="0.69269962293445697"/>
        </c:manualLayout>
      </c:layout>
      <c:lineChart>
        <c:grouping val="standard"/>
        <c:varyColors val="0"/>
        <c:ser>
          <c:idx val="0"/>
          <c:order val="0"/>
          <c:tx>
            <c:strRef>
              <c:f>Sheet10!$B$1:$B$2</c:f>
              <c:strCache>
                <c:ptCount val="1"/>
                <c:pt idx="0">
                  <c:v>DPP4</c:v>
                </c:pt>
              </c:strCache>
            </c:strRef>
          </c:tx>
          <c:spPr>
            <a:ln w="28575" cap="rnd">
              <a:solidFill>
                <a:schemeClr val="accent1"/>
              </a:solidFill>
              <a:round/>
            </a:ln>
            <a:effectLst/>
          </c:spPr>
          <c:marker>
            <c:symbol val="none"/>
          </c:marker>
          <c:cat>
            <c:strRef>
              <c:f>Sheet10!$A$3:$A$25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Sheet10!$B$3:$B$25</c:f>
              <c:numCache>
                <c:formatCode>General</c:formatCode>
                <c:ptCount val="22"/>
                <c:pt idx="0">
                  <c:v>200837</c:v>
                </c:pt>
                <c:pt idx="1">
                  <c:v>218414</c:v>
                </c:pt>
                <c:pt idx="2">
                  <c:v>226583</c:v>
                </c:pt>
                <c:pt idx="3">
                  <c:v>246337</c:v>
                </c:pt>
                <c:pt idx="4">
                  <c:v>226057</c:v>
                </c:pt>
                <c:pt idx="5">
                  <c:v>251117</c:v>
                </c:pt>
                <c:pt idx="6">
                  <c:v>261727</c:v>
                </c:pt>
                <c:pt idx="7">
                  <c:v>290691</c:v>
                </c:pt>
                <c:pt idx="8">
                  <c:v>263143</c:v>
                </c:pt>
                <c:pt idx="9">
                  <c:v>289034</c:v>
                </c:pt>
                <c:pt idx="10">
                  <c:v>301029</c:v>
                </c:pt>
                <c:pt idx="11">
                  <c:v>325326</c:v>
                </c:pt>
                <c:pt idx="12">
                  <c:v>310288</c:v>
                </c:pt>
                <c:pt idx="13">
                  <c:v>314082</c:v>
                </c:pt>
                <c:pt idx="14">
                  <c:v>343424</c:v>
                </c:pt>
                <c:pt idx="15">
                  <c:v>368079</c:v>
                </c:pt>
                <c:pt idx="16">
                  <c:v>328420</c:v>
                </c:pt>
                <c:pt idx="17">
                  <c:v>350745</c:v>
                </c:pt>
                <c:pt idx="18">
                  <c:v>365655</c:v>
                </c:pt>
                <c:pt idx="19">
                  <c:v>381435</c:v>
                </c:pt>
                <c:pt idx="20">
                  <c:v>334441</c:v>
                </c:pt>
                <c:pt idx="21">
                  <c:v>354931</c:v>
                </c:pt>
              </c:numCache>
            </c:numRef>
          </c:val>
          <c:smooth val="0"/>
          <c:extLst>
            <c:ext xmlns:c16="http://schemas.microsoft.com/office/drawing/2014/chart" uri="{C3380CC4-5D6E-409C-BE32-E72D297353CC}">
              <c16:uniqueId val="{00000000-4270-474B-B0ED-7CB12F38C15C}"/>
            </c:ext>
          </c:extLst>
        </c:ser>
        <c:ser>
          <c:idx val="1"/>
          <c:order val="1"/>
          <c:tx>
            <c:strRef>
              <c:f>Sheet10!$C$1:$C$2</c:f>
              <c:strCache>
                <c:ptCount val="1"/>
                <c:pt idx="0">
                  <c:v>DPP4+MET</c:v>
                </c:pt>
              </c:strCache>
            </c:strRef>
          </c:tx>
          <c:spPr>
            <a:ln w="28575" cap="rnd">
              <a:solidFill>
                <a:schemeClr val="accent2"/>
              </a:solidFill>
              <a:round/>
            </a:ln>
            <a:effectLst/>
          </c:spPr>
          <c:marker>
            <c:symbol val="none"/>
          </c:marker>
          <c:cat>
            <c:strRef>
              <c:f>Sheet10!$A$3:$A$25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Sheet10!$C$3:$C$25</c:f>
              <c:numCache>
                <c:formatCode>General</c:formatCode>
                <c:ptCount val="22"/>
                <c:pt idx="0">
                  <c:v>427546</c:v>
                </c:pt>
                <c:pt idx="1">
                  <c:v>461918</c:v>
                </c:pt>
                <c:pt idx="2">
                  <c:v>474843</c:v>
                </c:pt>
                <c:pt idx="3">
                  <c:v>505171</c:v>
                </c:pt>
                <c:pt idx="4">
                  <c:v>464712</c:v>
                </c:pt>
                <c:pt idx="5">
                  <c:v>502095</c:v>
                </c:pt>
                <c:pt idx="6">
                  <c:v>513310</c:v>
                </c:pt>
                <c:pt idx="7">
                  <c:v>551163</c:v>
                </c:pt>
                <c:pt idx="8">
                  <c:v>499768</c:v>
                </c:pt>
                <c:pt idx="9">
                  <c:v>536501</c:v>
                </c:pt>
                <c:pt idx="10">
                  <c:v>551791</c:v>
                </c:pt>
                <c:pt idx="11">
                  <c:v>582439</c:v>
                </c:pt>
                <c:pt idx="12">
                  <c:v>566698</c:v>
                </c:pt>
                <c:pt idx="13">
                  <c:v>535904</c:v>
                </c:pt>
                <c:pt idx="14">
                  <c:v>585567</c:v>
                </c:pt>
                <c:pt idx="15">
                  <c:v>612181</c:v>
                </c:pt>
                <c:pt idx="16">
                  <c:v>543272</c:v>
                </c:pt>
                <c:pt idx="17">
                  <c:v>569785</c:v>
                </c:pt>
                <c:pt idx="18">
                  <c:v>588348</c:v>
                </c:pt>
                <c:pt idx="19">
                  <c:v>604130</c:v>
                </c:pt>
                <c:pt idx="20">
                  <c:v>529535</c:v>
                </c:pt>
                <c:pt idx="21">
                  <c:v>552329</c:v>
                </c:pt>
              </c:numCache>
            </c:numRef>
          </c:val>
          <c:smooth val="0"/>
          <c:extLst>
            <c:ext xmlns:c16="http://schemas.microsoft.com/office/drawing/2014/chart" uri="{C3380CC4-5D6E-409C-BE32-E72D297353CC}">
              <c16:uniqueId val="{00000001-4270-474B-B0ED-7CB12F38C15C}"/>
            </c:ext>
          </c:extLst>
        </c:ser>
        <c:ser>
          <c:idx val="2"/>
          <c:order val="2"/>
          <c:tx>
            <c:strRef>
              <c:f>Sheet10!$D$1:$D$2</c:f>
              <c:strCache>
                <c:ptCount val="1"/>
                <c:pt idx="0">
                  <c:v>GLP1</c:v>
                </c:pt>
              </c:strCache>
            </c:strRef>
          </c:tx>
          <c:spPr>
            <a:ln w="28575" cap="rnd">
              <a:solidFill>
                <a:schemeClr val="accent3"/>
              </a:solidFill>
              <a:round/>
            </a:ln>
            <a:effectLst/>
          </c:spPr>
          <c:marker>
            <c:symbol val="none"/>
          </c:marker>
          <c:cat>
            <c:strRef>
              <c:f>Sheet10!$A$3:$A$25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Sheet10!$D$3:$D$25</c:f>
              <c:numCache>
                <c:formatCode>General</c:formatCode>
                <c:ptCount val="22"/>
                <c:pt idx="0">
                  <c:v>79585</c:v>
                </c:pt>
                <c:pt idx="1">
                  <c:v>90076</c:v>
                </c:pt>
                <c:pt idx="2">
                  <c:v>95560</c:v>
                </c:pt>
                <c:pt idx="3">
                  <c:v>107115</c:v>
                </c:pt>
                <c:pt idx="4">
                  <c:v>96046</c:v>
                </c:pt>
                <c:pt idx="5">
                  <c:v>105509</c:v>
                </c:pt>
                <c:pt idx="6">
                  <c:v>114212</c:v>
                </c:pt>
                <c:pt idx="7">
                  <c:v>134855</c:v>
                </c:pt>
                <c:pt idx="8">
                  <c:v>123786</c:v>
                </c:pt>
                <c:pt idx="9">
                  <c:v>140798</c:v>
                </c:pt>
                <c:pt idx="10">
                  <c:v>153393</c:v>
                </c:pt>
                <c:pt idx="11">
                  <c:v>174068</c:v>
                </c:pt>
                <c:pt idx="12">
                  <c:v>171024</c:v>
                </c:pt>
                <c:pt idx="13">
                  <c:v>174614</c:v>
                </c:pt>
                <c:pt idx="14">
                  <c:v>203057</c:v>
                </c:pt>
                <c:pt idx="15">
                  <c:v>238894</c:v>
                </c:pt>
                <c:pt idx="16">
                  <c:v>230694</c:v>
                </c:pt>
                <c:pt idx="17">
                  <c:v>285416</c:v>
                </c:pt>
                <c:pt idx="18">
                  <c:v>345362</c:v>
                </c:pt>
                <c:pt idx="19">
                  <c:v>428811</c:v>
                </c:pt>
                <c:pt idx="20">
                  <c:v>436445</c:v>
                </c:pt>
                <c:pt idx="21">
                  <c:v>497782</c:v>
                </c:pt>
              </c:numCache>
            </c:numRef>
          </c:val>
          <c:smooth val="0"/>
          <c:extLst>
            <c:ext xmlns:c16="http://schemas.microsoft.com/office/drawing/2014/chart" uri="{C3380CC4-5D6E-409C-BE32-E72D297353CC}">
              <c16:uniqueId val="{00000002-4270-474B-B0ED-7CB12F38C15C}"/>
            </c:ext>
          </c:extLst>
        </c:ser>
        <c:ser>
          <c:idx val="3"/>
          <c:order val="3"/>
          <c:tx>
            <c:strRef>
              <c:f>Sheet10!$E$1:$E$2</c:f>
              <c:strCache>
                <c:ptCount val="1"/>
                <c:pt idx="0">
                  <c:v>SGLT2</c:v>
                </c:pt>
              </c:strCache>
            </c:strRef>
          </c:tx>
          <c:spPr>
            <a:ln w="28575" cap="rnd">
              <a:solidFill>
                <a:schemeClr val="accent4"/>
              </a:solidFill>
              <a:round/>
            </a:ln>
            <a:effectLst/>
          </c:spPr>
          <c:marker>
            <c:symbol val="none"/>
          </c:marker>
          <c:cat>
            <c:strRef>
              <c:f>Sheet10!$A$3:$A$25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Sheet10!$E$3:$E$25</c:f>
              <c:numCache>
                <c:formatCode>General</c:formatCode>
                <c:ptCount val="22"/>
                <c:pt idx="0">
                  <c:v>187435</c:v>
                </c:pt>
                <c:pt idx="1">
                  <c:v>220774</c:v>
                </c:pt>
                <c:pt idx="2">
                  <c:v>236007</c:v>
                </c:pt>
                <c:pt idx="3">
                  <c:v>263916</c:v>
                </c:pt>
                <c:pt idx="4">
                  <c:v>243813</c:v>
                </c:pt>
                <c:pt idx="5">
                  <c:v>272776</c:v>
                </c:pt>
                <c:pt idx="6">
                  <c:v>285418</c:v>
                </c:pt>
                <c:pt idx="7">
                  <c:v>317387</c:v>
                </c:pt>
                <c:pt idx="8">
                  <c:v>286158</c:v>
                </c:pt>
                <c:pt idx="9">
                  <c:v>314916</c:v>
                </c:pt>
                <c:pt idx="10">
                  <c:v>333605</c:v>
                </c:pt>
                <c:pt idx="11">
                  <c:v>368936</c:v>
                </c:pt>
                <c:pt idx="12">
                  <c:v>360517</c:v>
                </c:pt>
                <c:pt idx="13">
                  <c:v>361452</c:v>
                </c:pt>
                <c:pt idx="14">
                  <c:v>404831</c:v>
                </c:pt>
                <c:pt idx="15">
                  <c:v>444821</c:v>
                </c:pt>
                <c:pt idx="16">
                  <c:v>401700</c:v>
                </c:pt>
                <c:pt idx="17">
                  <c:v>436693</c:v>
                </c:pt>
                <c:pt idx="18">
                  <c:v>467493</c:v>
                </c:pt>
                <c:pt idx="19">
                  <c:v>506058</c:v>
                </c:pt>
                <c:pt idx="20">
                  <c:v>463286</c:v>
                </c:pt>
                <c:pt idx="21">
                  <c:v>515084</c:v>
                </c:pt>
              </c:numCache>
            </c:numRef>
          </c:val>
          <c:smooth val="0"/>
          <c:extLst>
            <c:ext xmlns:c16="http://schemas.microsoft.com/office/drawing/2014/chart" uri="{C3380CC4-5D6E-409C-BE32-E72D297353CC}">
              <c16:uniqueId val="{00000003-4270-474B-B0ED-7CB12F38C15C}"/>
            </c:ext>
          </c:extLst>
        </c:ser>
        <c:ser>
          <c:idx val="4"/>
          <c:order val="4"/>
          <c:tx>
            <c:strRef>
              <c:f>Sheet10!$F$1:$F$2</c:f>
              <c:strCache>
                <c:ptCount val="1"/>
                <c:pt idx="0">
                  <c:v>SGLT2+DPP4</c:v>
                </c:pt>
              </c:strCache>
            </c:strRef>
          </c:tx>
          <c:spPr>
            <a:ln w="28575" cap="rnd">
              <a:solidFill>
                <a:schemeClr val="accent5"/>
              </a:solidFill>
              <a:round/>
            </a:ln>
            <a:effectLst/>
          </c:spPr>
          <c:marker>
            <c:symbol val="none"/>
          </c:marker>
          <c:cat>
            <c:strRef>
              <c:f>Sheet10!$A$3:$A$25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Sheet10!$F$3:$F$25</c:f>
              <c:numCache>
                <c:formatCode>General</c:formatCode>
                <c:ptCount val="22"/>
                <c:pt idx="5">
                  <c:v>6402</c:v>
                </c:pt>
                <c:pt idx="6">
                  <c:v>16602</c:v>
                </c:pt>
                <c:pt idx="7">
                  <c:v>26389</c:v>
                </c:pt>
                <c:pt idx="8">
                  <c:v>29099</c:v>
                </c:pt>
                <c:pt idx="9">
                  <c:v>36548</c:v>
                </c:pt>
                <c:pt idx="10">
                  <c:v>42983</c:v>
                </c:pt>
                <c:pt idx="11">
                  <c:v>50670</c:v>
                </c:pt>
                <c:pt idx="12">
                  <c:v>53450</c:v>
                </c:pt>
                <c:pt idx="13">
                  <c:v>54683</c:v>
                </c:pt>
                <c:pt idx="14">
                  <c:v>63380</c:v>
                </c:pt>
                <c:pt idx="15">
                  <c:v>69913</c:v>
                </c:pt>
                <c:pt idx="16">
                  <c:v>65380</c:v>
                </c:pt>
                <c:pt idx="17">
                  <c:v>71147</c:v>
                </c:pt>
                <c:pt idx="18">
                  <c:v>76242</c:v>
                </c:pt>
                <c:pt idx="19">
                  <c:v>80708</c:v>
                </c:pt>
                <c:pt idx="20">
                  <c:v>71925</c:v>
                </c:pt>
                <c:pt idx="21">
                  <c:v>76650</c:v>
                </c:pt>
              </c:numCache>
            </c:numRef>
          </c:val>
          <c:smooth val="0"/>
          <c:extLst>
            <c:ext xmlns:c16="http://schemas.microsoft.com/office/drawing/2014/chart" uri="{C3380CC4-5D6E-409C-BE32-E72D297353CC}">
              <c16:uniqueId val="{00000004-4270-474B-B0ED-7CB12F38C15C}"/>
            </c:ext>
          </c:extLst>
        </c:ser>
        <c:ser>
          <c:idx val="5"/>
          <c:order val="5"/>
          <c:tx>
            <c:strRef>
              <c:f>Sheet10!$G$1:$G$2</c:f>
              <c:strCache>
                <c:ptCount val="1"/>
                <c:pt idx="0">
                  <c:v>SGLT2+MET</c:v>
                </c:pt>
              </c:strCache>
            </c:strRef>
          </c:tx>
          <c:spPr>
            <a:ln w="28575" cap="rnd">
              <a:solidFill>
                <a:schemeClr val="accent6"/>
              </a:solidFill>
              <a:round/>
            </a:ln>
            <a:effectLst/>
          </c:spPr>
          <c:marker>
            <c:symbol val="none"/>
          </c:marker>
          <c:cat>
            <c:strRef>
              <c:f>Sheet10!$A$3:$A$25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Sheet10!$G$3:$G$25</c:f>
              <c:numCache>
                <c:formatCode>General</c:formatCode>
                <c:ptCount val="22"/>
                <c:pt idx="0">
                  <c:v>74946</c:v>
                </c:pt>
                <c:pt idx="1">
                  <c:v>101738</c:v>
                </c:pt>
                <c:pt idx="2">
                  <c:v>122949</c:v>
                </c:pt>
                <c:pt idx="3">
                  <c:v>150173</c:v>
                </c:pt>
                <c:pt idx="4">
                  <c:v>150759</c:v>
                </c:pt>
                <c:pt idx="5">
                  <c:v>174338</c:v>
                </c:pt>
                <c:pt idx="6">
                  <c:v>187309</c:v>
                </c:pt>
                <c:pt idx="7">
                  <c:v>212535</c:v>
                </c:pt>
                <c:pt idx="8">
                  <c:v>197283</c:v>
                </c:pt>
                <c:pt idx="9">
                  <c:v>219206</c:v>
                </c:pt>
                <c:pt idx="10">
                  <c:v>234007</c:v>
                </c:pt>
                <c:pt idx="11">
                  <c:v>258029</c:v>
                </c:pt>
                <c:pt idx="12">
                  <c:v>260032</c:v>
                </c:pt>
                <c:pt idx="13">
                  <c:v>253578</c:v>
                </c:pt>
                <c:pt idx="14">
                  <c:v>288068</c:v>
                </c:pt>
                <c:pt idx="15">
                  <c:v>314983</c:v>
                </c:pt>
                <c:pt idx="16">
                  <c:v>287108</c:v>
                </c:pt>
                <c:pt idx="17">
                  <c:v>312871</c:v>
                </c:pt>
                <c:pt idx="18">
                  <c:v>336794</c:v>
                </c:pt>
                <c:pt idx="19">
                  <c:v>361868</c:v>
                </c:pt>
                <c:pt idx="20">
                  <c:v>326787</c:v>
                </c:pt>
                <c:pt idx="21">
                  <c:v>354717</c:v>
                </c:pt>
              </c:numCache>
            </c:numRef>
          </c:val>
          <c:smooth val="0"/>
          <c:extLst>
            <c:ext xmlns:c16="http://schemas.microsoft.com/office/drawing/2014/chart" uri="{C3380CC4-5D6E-409C-BE32-E72D297353CC}">
              <c16:uniqueId val="{00000005-4270-474B-B0ED-7CB12F38C15C}"/>
            </c:ext>
          </c:extLst>
        </c:ser>
        <c:dLbls>
          <c:showLegendKey val="0"/>
          <c:showVal val="0"/>
          <c:showCatName val="0"/>
          <c:showSerName val="0"/>
          <c:showPercent val="0"/>
          <c:showBubbleSize val="0"/>
        </c:dLbls>
        <c:smooth val="0"/>
        <c:axId val="880619088"/>
        <c:axId val="880623024"/>
      </c:lineChart>
      <c:catAx>
        <c:axId val="880619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r>
                  <a:rPr lang="en-AU" baseline="0"/>
                  <a:t> and quarter</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0623024"/>
        <c:crosses val="autoZero"/>
        <c:auto val="1"/>
        <c:lblAlgn val="ctr"/>
        <c:lblOffset val="100"/>
        <c:noMultiLvlLbl val="0"/>
      </c:catAx>
      <c:valAx>
        <c:axId val="88062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scripts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0619088"/>
        <c:crosses val="autoZero"/>
        <c:crossBetween val="between"/>
      </c:valAx>
      <c:spPr>
        <a:noFill/>
        <a:ln>
          <a:noFill/>
        </a:ln>
        <a:effectLst/>
      </c:spPr>
    </c:plotArea>
    <c:legend>
      <c:legendPos val="r"/>
      <c:layout>
        <c:manualLayout>
          <c:xMode val="edge"/>
          <c:yMode val="edge"/>
          <c:x val="0.81737168739128085"/>
          <c:y val="0.27948818897637795"/>
          <c:w val="0.16933338683872137"/>
          <c:h val="0.409333481202173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[LK graphs Copy of D1431 - Diabetes utilisation v2.xlsx]Sheet11!PivotTable7</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018604409608616"/>
          <c:y val="9.2430991834907703E-2"/>
          <c:w val="0.69718045518282823"/>
          <c:h val="0.717271826801961"/>
        </c:manualLayout>
      </c:layout>
      <c:lineChart>
        <c:grouping val="standard"/>
        <c:varyColors val="0"/>
        <c:ser>
          <c:idx val="0"/>
          <c:order val="0"/>
          <c:tx>
            <c:strRef>
              <c:f>Sheet11!$B$1:$B$2</c:f>
              <c:strCache>
                <c:ptCount val="1"/>
                <c:pt idx="0">
                  <c:v>AGI</c:v>
                </c:pt>
              </c:strCache>
            </c:strRef>
          </c:tx>
          <c:spPr>
            <a:ln w="28575" cap="rnd">
              <a:solidFill>
                <a:schemeClr val="accent1"/>
              </a:solidFill>
              <a:round/>
            </a:ln>
            <a:effectLst/>
          </c:spPr>
          <c:marker>
            <c:symbol val="none"/>
          </c:marker>
          <c:cat>
            <c:strRef>
              <c:f>Sheet11!$A$3:$A$25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Sheet11!$B$3:$B$25</c:f>
              <c:numCache>
                <c:formatCode>General</c:formatCode>
                <c:ptCount val="22"/>
                <c:pt idx="0">
                  <c:v>63</c:v>
                </c:pt>
                <c:pt idx="1">
                  <c:v>63</c:v>
                </c:pt>
                <c:pt idx="2">
                  <c:v>58</c:v>
                </c:pt>
                <c:pt idx="3">
                  <c:v>66</c:v>
                </c:pt>
                <c:pt idx="4">
                  <c:v>58</c:v>
                </c:pt>
                <c:pt idx="5">
                  <c:v>77</c:v>
                </c:pt>
                <c:pt idx="6">
                  <c:v>53</c:v>
                </c:pt>
                <c:pt idx="7">
                  <c:v>65</c:v>
                </c:pt>
                <c:pt idx="8">
                  <c:v>58</c:v>
                </c:pt>
                <c:pt idx="9">
                  <c:v>55</c:v>
                </c:pt>
                <c:pt idx="10">
                  <c:v>50</c:v>
                </c:pt>
                <c:pt idx="11">
                  <c:v>60</c:v>
                </c:pt>
                <c:pt idx="12">
                  <c:v>90</c:v>
                </c:pt>
                <c:pt idx="13">
                  <c:v>60</c:v>
                </c:pt>
                <c:pt idx="14">
                  <c:v>80</c:v>
                </c:pt>
                <c:pt idx="15">
                  <c:v>64</c:v>
                </c:pt>
                <c:pt idx="16">
                  <c:v>55</c:v>
                </c:pt>
                <c:pt idx="17">
                  <c:v>47</c:v>
                </c:pt>
                <c:pt idx="18">
                  <c:v>54</c:v>
                </c:pt>
                <c:pt idx="19">
                  <c:v>48</c:v>
                </c:pt>
                <c:pt idx="20">
                  <c:v>32</c:v>
                </c:pt>
                <c:pt idx="21">
                  <c:v>45</c:v>
                </c:pt>
              </c:numCache>
            </c:numRef>
          </c:val>
          <c:smooth val="0"/>
          <c:extLst>
            <c:ext xmlns:c16="http://schemas.microsoft.com/office/drawing/2014/chart" uri="{C3380CC4-5D6E-409C-BE32-E72D297353CC}">
              <c16:uniqueId val="{00000000-3D62-4FC7-B164-529C2A0B3E13}"/>
            </c:ext>
          </c:extLst>
        </c:ser>
        <c:ser>
          <c:idx val="1"/>
          <c:order val="1"/>
          <c:tx>
            <c:strRef>
              <c:f>Sheet11!$C$1:$C$2</c:f>
              <c:strCache>
                <c:ptCount val="1"/>
                <c:pt idx="0">
                  <c:v>DPP4</c:v>
                </c:pt>
              </c:strCache>
            </c:strRef>
          </c:tx>
          <c:spPr>
            <a:ln w="28575" cap="rnd">
              <a:solidFill>
                <a:schemeClr val="accent2"/>
              </a:solidFill>
              <a:round/>
            </a:ln>
            <a:effectLst/>
          </c:spPr>
          <c:marker>
            <c:symbol val="none"/>
          </c:marker>
          <c:cat>
            <c:strRef>
              <c:f>Sheet11!$A$3:$A$25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Sheet11!$C$3:$C$25</c:f>
              <c:numCache>
                <c:formatCode>General</c:formatCode>
                <c:ptCount val="22"/>
                <c:pt idx="0">
                  <c:v>367</c:v>
                </c:pt>
                <c:pt idx="1">
                  <c:v>344</c:v>
                </c:pt>
                <c:pt idx="2">
                  <c:v>372</c:v>
                </c:pt>
                <c:pt idx="3">
                  <c:v>398</c:v>
                </c:pt>
                <c:pt idx="4">
                  <c:v>392</c:v>
                </c:pt>
                <c:pt idx="5">
                  <c:v>378</c:v>
                </c:pt>
                <c:pt idx="6">
                  <c:v>418</c:v>
                </c:pt>
                <c:pt idx="7">
                  <c:v>411</c:v>
                </c:pt>
                <c:pt idx="8">
                  <c:v>400</c:v>
                </c:pt>
                <c:pt idx="9">
                  <c:v>382</c:v>
                </c:pt>
                <c:pt idx="10">
                  <c:v>382</c:v>
                </c:pt>
                <c:pt idx="11">
                  <c:v>414</c:v>
                </c:pt>
                <c:pt idx="12">
                  <c:v>429</c:v>
                </c:pt>
                <c:pt idx="13">
                  <c:v>420</c:v>
                </c:pt>
                <c:pt idx="14">
                  <c:v>448</c:v>
                </c:pt>
                <c:pt idx="15">
                  <c:v>453</c:v>
                </c:pt>
                <c:pt idx="16">
                  <c:v>415</c:v>
                </c:pt>
                <c:pt idx="17">
                  <c:v>387</c:v>
                </c:pt>
                <c:pt idx="18">
                  <c:v>431</c:v>
                </c:pt>
                <c:pt idx="19">
                  <c:v>429</c:v>
                </c:pt>
                <c:pt idx="20">
                  <c:v>370</c:v>
                </c:pt>
                <c:pt idx="21">
                  <c:v>384</c:v>
                </c:pt>
              </c:numCache>
            </c:numRef>
          </c:val>
          <c:smooth val="0"/>
          <c:extLst>
            <c:ext xmlns:c16="http://schemas.microsoft.com/office/drawing/2014/chart" uri="{C3380CC4-5D6E-409C-BE32-E72D297353CC}">
              <c16:uniqueId val="{00000001-3D62-4FC7-B164-529C2A0B3E13}"/>
            </c:ext>
          </c:extLst>
        </c:ser>
        <c:ser>
          <c:idx val="2"/>
          <c:order val="2"/>
          <c:tx>
            <c:strRef>
              <c:f>Sheet11!$D$1:$D$2</c:f>
              <c:strCache>
                <c:ptCount val="1"/>
                <c:pt idx="0">
                  <c:v>DPP4+MET</c:v>
                </c:pt>
              </c:strCache>
            </c:strRef>
          </c:tx>
          <c:spPr>
            <a:ln w="28575" cap="rnd">
              <a:solidFill>
                <a:schemeClr val="accent3"/>
              </a:solidFill>
              <a:round/>
            </a:ln>
            <a:effectLst/>
          </c:spPr>
          <c:marker>
            <c:symbol val="none"/>
          </c:marker>
          <c:cat>
            <c:strRef>
              <c:f>Sheet11!$A$3:$A$25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Sheet11!$D$3:$D$25</c:f>
              <c:numCache>
                <c:formatCode>General</c:formatCode>
                <c:ptCount val="22"/>
                <c:pt idx="0">
                  <c:v>1014</c:v>
                </c:pt>
                <c:pt idx="1">
                  <c:v>1020</c:v>
                </c:pt>
                <c:pt idx="2">
                  <c:v>986</c:v>
                </c:pt>
                <c:pt idx="3">
                  <c:v>957</c:v>
                </c:pt>
                <c:pt idx="4">
                  <c:v>906</c:v>
                </c:pt>
                <c:pt idx="5">
                  <c:v>875</c:v>
                </c:pt>
                <c:pt idx="6">
                  <c:v>922</c:v>
                </c:pt>
                <c:pt idx="7">
                  <c:v>857</c:v>
                </c:pt>
                <c:pt idx="8">
                  <c:v>805</c:v>
                </c:pt>
                <c:pt idx="9">
                  <c:v>805</c:v>
                </c:pt>
                <c:pt idx="10">
                  <c:v>795</c:v>
                </c:pt>
                <c:pt idx="11">
                  <c:v>841</c:v>
                </c:pt>
                <c:pt idx="12">
                  <c:v>904</c:v>
                </c:pt>
                <c:pt idx="13">
                  <c:v>803</c:v>
                </c:pt>
                <c:pt idx="14">
                  <c:v>832</c:v>
                </c:pt>
                <c:pt idx="15">
                  <c:v>762</c:v>
                </c:pt>
                <c:pt idx="16">
                  <c:v>720</c:v>
                </c:pt>
                <c:pt idx="17">
                  <c:v>725</c:v>
                </c:pt>
                <c:pt idx="18">
                  <c:v>748</c:v>
                </c:pt>
                <c:pt idx="19">
                  <c:v>706</c:v>
                </c:pt>
                <c:pt idx="20">
                  <c:v>669</c:v>
                </c:pt>
                <c:pt idx="21">
                  <c:v>679</c:v>
                </c:pt>
              </c:numCache>
            </c:numRef>
          </c:val>
          <c:smooth val="0"/>
          <c:extLst>
            <c:ext xmlns:c16="http://schemas.microsoft.com/office/drawing/2014/chart" uri="{C3380CC4-5D6E-409C-BE32-E72D297353CC}">
              <c16:uniqueId val="{00000002-3D62-4FC7-B164-529C2A0B3E13}"/>
            </c:ext>
          </c:extLst>
        </c:ser>
        <c:ser>
          <c:idx val="3"/>
          <c:order val="3"/>
          <c:tx>
            <c:strRef>
              <c:f>Sheet11!$E$1:$E$2</c:f>
              <c:strCache>
                <c:ptCount val="1"/>
                <c:pt idx="0">
                  <c:v>GLP1</c:v>
                </c:pt>
              </c:strCache>
            </c:strRef>
          </c:tx>
          <c:spPr>
            <a:ln w="28575" cap="rnd">
              <a:solidFill>
                <a:schemeClr val="accent4"/>
              </a:solidFill>
              <a:round/>
            </a:ln>
            <a:effectLst/>
          </c:spPr>
          <c:marker>
            <c:symbol val="none"/>
          </c:marker>
          <c:cat>
            <c:strRef>
              <c:f>Sheet11!$A$3:$A$25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Sheet11!$E$3:$E$25</c:f>
              <c:numCache>
                <c:formatCode>General</c:formatCode>
                <c:ptCount val="22"/>
                <c:pt idx="0">
                  <c:v>85</c:v>
                </c:pt>
                <c:pt idx="1">
                  <c:v>105</c:v>
                </c:pt>
                <c:pt idx="2">
                  <c:v>108</c:v>
                </c:pt>
                <c:pt idx="3">
                  <c:v>102</c:v>
                </c:pt>
                <c:pt idx="4">
                  <c:v>106</c:v>
                </c:pt>
                <c:pt idx="5">
                  <c:v>107</c:v>
                </c:pt>
                <c:pt idx="6">
                  <c:v>108</c:v>
                </c:pt>
                <c:pt idx="7">
                  <c:v>138</c:v>
                </c:pt>
                <c:pt idx="8">
                  <c:v>138</c:v>
                </c:pt>
                <c:pt idx="9">
                  <c:v>149</c:v>
                </c:pt>
                <c:pt idx="10">
                  <c:v>183</c:v>
                </c:pt>
                <c:pt idx="11">
                  <c:v>192</c:v>
                </c:pt>
                <c:pt idx="12">
                  <c:v>210</c:v>
                </c:pt>
                <c:pt idx="13">
                  <c:v>163</c:v>
                </c:pt>
                <c:pt idx="14">
                  <c:v>282</c:v>
                </c:pt>
                <c:pt idx="15">
                  <c:v>400</c:v>
                </c:pt>
                <c:pt idx="16">
                  <c:v>466</c:v>
                </c:pt>
                <c:pt idx="17">
                  <c:v>739</c:v>
                </c:pt>
                <c:pt idx="18">
                  <c:v>1305</c:v>
                </c:pt>
                <c:pt idx="19">
                  <c:v>2047</c:v>
                </c:pt>
                <c:pt idx="20">
                  <c:v>3370</c:v>
                </c:pt>
                <c:pt idx="21">
                  <c:v>3313</c:v>
                </c:pt>
              </c:numCache>
            </c:numRef>
          </c:val>
          <c:smooth val="0"/>
          <c:extLst>
            <c:ext xmlns:c16="http://schemas.microsoft.com/office/drawing/2014/chart" uri="{C3380CC4-5D6E-409C-BE32-E72D297353CC}">
              <c16:uniqueId val="{00000003-3D62-4FC7-B164-529C2A0B3E13}"/>
            </c:ext>
          </c:extLst>
        </c:ser>
        <c:ser>
          <c:idx val="4"/>
          <c:order val="4"/>
          <c:tx>
            <c:strRef>
              <c:f>Sheet11!$F$1:$F$2</c:f>
              <c:strCache>
                <c:ptCount val="1"/>
                <c:pt idx="0">
                  <c:v>INSULIN</c:v>
                </c:pt>
              </c:strCache>
            </c:strRef>
          </c:tx>
          <c:spPr>
            <a:ln w="28575" cap="rnd">
              <a:solidFill>
                <a:schemeClr val="accent5"/>
              </a:solidFill>
              <a:round/>
            </a:ln>
            <a:effectLst/>
          </c:spPr>
          <c:marker>
            <c:symbol val="none"/>
          </c:marker>
          <c:cat>
            <c:strRef>
              <c:f>Sheet11!$A$3:$A$25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Sheet11!$F$3:$F$25</c:f>
              <c:numCache>
                <c:formatCode>General</c:formatCode>
                <c:ptCount val="22"/>
                <c:pt idx="0">
                  <c:v>1146</c:v>
                </c:pt>
                <c:pt idx="1">
                  <c:v>1110</c:v>
                </c:pt>
                <c:pt idx="2">
                  <c:v>1104</c:v>
                </c:pt>
                <c:pt idx="3">
                  <c:v>1086</c:v>
                </c:pt>
                <c:pt idx="4">
                  <c:v>974</c:v>
                </c:pt>
                <c:pt idx="5">
                  <c:v>974</c:v>
                </c:pt>
                <c:pt idx="6">
                  <c:v>1064</c:v>
                </c:pt>
                <c:pt idx="7">
                  <c:v>916</c:v>
                </c:pt>
                <c:pt idx="8">
                  <c:v>841</c:v>
                </c:pt>
                <c:pt idx="9">
                  <c:v>852</c:v>
                </c:pt>
                <c:pt idx="10">
                  <c:v>845</c:v>
                </c:pt>
                <c:pt idx="11">
                  <c:v>832</c:v>
                </c:pt>
                <c:pt idx="12">
                  <c:v>777</c:v>
                </c:pt>
                <c:pt idx="13">
                  <c:v>845</c:v>
                </c:pt>
                <c:pt idx="14">
                  <c:v>849</c:v>
                </c:pt>
                <c:pt idx="15">
                  <c:v>763</c:v>
                </c:pt>
                <c:pt idx="16">
                  <c:v>673</c:v>
                </c:pt>
                <c:pt idx="17">
                  <c:v>658</c:v>
                </c:pt>
                <c:pt idx="18">
                  <c:v>665</c:v>
                </c:pt>
                <c:pt idx="19">
                  <c:v>626</c:v>
                </c:pt>
                <c:pt idx="20">
                  <c:v>543</c:v>
                </c:pt>
                <c:pt idx="21">
                  <c:v>426</c:v>
                </c:pt>
              </c:numCache>
            </c:numRef>
          </c:val>
          <c:smooth val="0"/>
          <c:extLst>
            <c:ext xmlns:c16="http://schemas.microsoft.com/office/drawing/2014/chart" uri="{C3380CC4-5D6E-409C-BE32-E72D297353CC}">
              <c16:uniqueId val="{00000004-3D62-4FC7-B164-529C2A0B3E13}"/>
            </c:ext>
          </c:extLst>
        </c:ser>
        <c:ser>
          <c:idx val="5"/>
          <c:order val="5"/>
          <c:tx>
            <c:strRef>
              <c:f>Sheet11!$G$1:$G$2</c:f>
              <c:strCache>
                <c:ptCount val="1"/>
                <c:pt idx="0">
                  <c:v>SGLT2</c:v>
                </c:pt>
              </c:strCache>
            </c:strRef>
          </c:tx>
          <c:spPr>
            <a:ln w="28575" cap="rnd">
              <a:solidFill>
                <a:schemeClr val="accent6"/>
              </a:solidFill>
              <a:round/>
            </a:ln>
            <a:effectLst/>
          </c:spPr>
          <c:marker>
            <c:symbol val="none"/>
          </c:marker>
          <c:cat>
            <c:strRef>
              <c:f>Sheet11!$A$3:$A$25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Sheet11!$G$3:$G$25</c:f>
              <c:numCache>
                <c:formatCode>General</c:formatCode>
                <c:ptCount val="22"/>
                <c:pt idx="0">
                  <c:v>298</c:v>
                </c:pt>
                <c:pt idx="1">
                  <c:v>297</c:v>
                </c:pt>
                <c:pt idx="2">
                  <c:v>303</c:v>
                </c:pt>
                <c:pt idx="3">
                  <c:v>315</c:v>
                </c:pt>
                <c:pt idx="4">
                  <c:v>276</c:v>
                </c:pt>
                <c:pt idx="5">
                  <c:v>280</c:v>
                </c:pt>
                <c:pt idx="6">
                  <c:v>264</c:v>
                </c:pt>
                <c:pt idx="7">
                  <c:v>293</c:v>
                </c:pt>
                <c:pt idx="8">
                  <c:v>267</c:v>
                </c:pt>
                <c:pt idx="9">
                  <c:v>282</c:v>
                </c:pt>
                <c:pt idx="10">
                  <c:v>299</c:v>
                </c:pt>
                <c:pt idx="11">
                  <c:v>322</c:v>
                </c:pt>
                <c:pt idx="12">
                  <c:v>382</c:v>
                </c:pt>
                <c:pt idx="13">
                  <c:v>344</c:v>
                </c:pt>
                <c:pt idx="14">
                  <c:v>384</c:v>
                </c:pt>
                <c:pt idx="15">
                  <c:v>470</c:v>
                </c:pt>
                <c:pt idx="16">
                  <c:v>496</c:v>
                </c:pt>
                <c:pt idx="17">
                  <c:v>529</c:v>
                </c:pt>
                <c:pt idx="18">
                  <c:v>708</c:v>
                </c:pt>
                <c:pt idx="19">
                  <c:v>940</c:v>
                </c:pt>
                <c:pt idx="20">
                  <c:v>3864</c:v>
                </c:pt>
                <c:pt idx="21">
                  <c:v>4251</c:v>
                </c:pt>
              </c:numCache>
            </c:numRef>
          </c:val>
          <c:smooth val="0"/>
          <c:extLst>
            <c:ext xmlns:c16="http://schemas.microsoft.com/office/drawing/2014/chart" uri="{C3380CC4-5D6E-409C-BE32-E72D297353CC}">
              <c16:uniqueId val="{00000005-3D62-4FC7-B164-529C2A0B3E13}"/>
            </c:ext>
          </c:extLst>
        </c:ser>
        <c:ser>
          <c:idx val="6"/>
          <c:order val="6"/>
          <c:tx>
            <c:strRef>
              <c:f>Sheet11!$H$1:$H$2</c:f>
              <c:strCache>
                <c:ptCount val="1"/>
                <c:pt idx="0">
                  <c:v>SGLT2+DPP4</c:v>
                </c:pt>
              </c:strCache>
            </c:strRef>
          </c:tx>
          <c:spPr>
            <a:ln w="28575" cap="rnd">
              <a:solidFill>
                <a:schemeClr val="accent1">
                  <a:lumMod val="60000"/>
                </a:schemeClr>
              </a:solidFill>
              <a:round/>
            </a:ln>
            <a:effectLst/>
          </c:spPr>
          <c:marker>
            <c:symbol val="none"/>
          </c:marker>
          <c:cat>
            <c:strRef>
              <c:f>Sheet11!$A$3:$A$25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Sheet11!$H$3:$H$25</c:f>
              <c:numCache>
                <c:formatCode>General</c:formatCode>
                <c:ptCount val="22"/>
                <c:pt idx="5">
                  <c:v>16</c:v>
                </c:pt>
                <c:pt idx="6">
                  <c:v>31</c:v>
                </c:pt>
                <c:pt idx="7">
                  <c:v>51</c:v>
                </c:pt>
                <c:pt idx="8">
                  <c:v>29</c:v>
                </c:pt>
                <c:pt idx="9">
                  <c:v>42</c:v>
                </c:pt>
                <c:pt idx="10">
                  <c:v>38</c:v>
                </c:pt>
                <c:pt idx="11">
                  <c:v>53</c:v>
                </c:pt>
                <c:pt idx="12">
                  <c:v>52</c:v>
                </c:pt>
                <c:pt idx="13">
                  <c:v>33</c:v>
                </c:pt>
                <c:pt idx="14">
                  <c:v>50</c:v>
                </c:pt>
                <c:pt idx="15">
                  <c:v>49</c:v>
                </c:pt>
                <c:pt idx="16">
                  <c:v>39</c:v>
                </c:pt>
                <c:pt idx="17">
                  <c:v>45</c:v>
                </c:pt>
                <c:pt idx="18">
                  <c:v>48</c:v>
                </c:pt>
                <c:pt idx="19">
                  <c:v>44</c:v>
                </c:pt>
                <c:pt idx="20">
                  <c:v>35</c:v>
                </c:pt>
                <c:pt idx="21">
                  <c:v>48</c:v>
                </c:pt>
              </c:numCache>
            </c:numRef>
          </c:val>
          <c:smooth val="0"/>
          <c:extLst>
            <c:ext xmlns:c16="http://schemas.microsoft.com/office/drawing/2014/chart" uri="{C3380CC4-5D6E-409C-BE32-E72D297353CC}">
              <c16:uniqueId val="{00000006-3D62-4FC7-B164-529C2A0B3E13}"/>
            </c:ext>
          </c:extLst>
        </c:ser>
        <c:ser>
          <c:idx val="7"/>
          <c:order val="7"/>
          <c:tx>
            <c:strRef>
              <c:f>Sheet11!$I$1:$I$2</c:f>
              <c:strCache>
                <c:ptCount val="1"/>
                <c:pt idx="0">
                  <c:v>SGLT2+MET</c:v>
                </c:pt>
              </c:strCache>
            </c:strRef>
          </c:tx>
          <c:spPr>
            <a:ln w="28575" cap="rnd">
              <a:solidFill>
                <a:schemeClr val="accent2">
                  <a:lumMod val="60000"/>
                </a:schemeClr>
              </a:solidFill>
              <a:round/>
            </a:ln>
            <a:effectLst/>
          </c:spPr>
          <c:marker>
            <c:symbol val="none"/>
          </c:marker>
          <c:cat>
            <c:strRef>
              <c:f>Sheet11!$A$3:$A$25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Sheet11!$I$3:$I$25</c:f>
              <c:numCache>
                <c:formatCode>General</c:formatCode>
                <c:ptCount val="22"/>
                <c:pt idx="0">
                  <c:v>262</c:v>
                </c:pt>
                <c:pt idx="1">
                  <c:v>367</c:v>
                </c:pt>
                <c:pt idx="2">
                  <c:v>380</c:v>
                </c:pt>
                <c:pt idx="3">
                  <c:v>406</c:v>
                </c:pt>
                <c:pt idx="4">
                  <c:v>379</c:v>
                </c:pt>
                <c:pt idx="5">
                  <c:v>389</c:v>
                </c:pt>
                <c:pt idx="6">
                  <c:v>388</c:v>
                </c:pt>
                <c:pt idx="7">
                  <c:v>448</c:v>
                </c:pt>
                <c:pt idx="8">
                  <c:v>372</c:v>
                </c:pt>
                <c:pt idx="9">
                  <c:v>404</c:v>
                </c:pt>
                <c:pt idx="10">
                  <c:v>446</c:v>
                </c:pt>
                <c:pt idx="11">
                  <c:v>474</c:v>
                </c:pt>
                <c:pt idx="12">
                  <c:v>487</c:v>
                </c:pt>
                <c:pt idx="13">
                  <c:v>497</c:v>
                </c:pt>
                <c:pt idx="14">
                  <c:v>542</c:v>
                </c:pt>
                <c:pt idx="15">
                  <c:v>612</c:v>
                </c:pt>
                <c:pt idx="16">
                  <c:v>535</c:v>
                </c:pt>
                <c:pt idx="17">
                  <c:v>538</c:v>
                </c:pt>
                <c:pt idx="18">
                  <c:v>641</c:v>
                </c:pt>
                <c:pt idx="19">
                  <c:v>710</c:v>
                </c:pt>
                <c:pt idx="20">
                  <c:v>618</c:v>
                </c:pt>
                <c:pt idx="21">
                  <c:v>658</c:v>
                </c:pt>
              </c:numCache>
            </c:numRef>
          </c:val>
          <c:smooth val="0"/>
          <c:extLst>
            <c:ext xmlns:c16="http://schemas.microsoft.com/office/drawing/2014/chart" uri="{C3380CC4-5D6E-409C-BE32-E72D297353CC}">
              <c16:uniqueId val="{00000007-3D62-4FC7-B164-529C2A0B3E13}"/>
            </c:ext>
          </c:extLst>
        </c:ser>
        <c:ser>
          <c:idx val="8"/>
          <c:order val="8"/>
          <c:tx>
            <c:strRef>
              <c:f>Sheet11!$J$1:$J$2</c:f>
              <c:strCache>
                <c:ptCount val="1"/>
                <c:pt idx="0">
                  <c:v>SULF</c:v>
                </c:pt>
              </c:strCache>
            </c:strRef>
          </c:tx>
          <c:spPr>
            <a:ln w="28575" cap="rnd">
              <a:solidFill>
                <a:schemeClr val="accent3">
                  <a:lumMod val="60000"/>
                </a:schemeClr>
              </a:solidFill>
              <a:round/>
            </a:ln>
            <a:effectLst/>
          </c:spPr>
          <c:marker>
            <c:symbol val="none"/>
          </c:marker>
          <c:cat>
            <c:strRef>
              <c:f>Sheet11!$A$3:$A$25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Sheet11!$J$3:$J$25</c:f>
              <c:numCache>
                <c:formatCode>General</c:formatCode>
                <c:ptCount val="22"/>
                <c:pt idx="0">
                  <c:v>1464</c:v>
                </c:pt>
                <c:pt idx="1">
                  <c:v>1352</c:v>
                </c:pt>
                <c:pt idx="2">
                  <c:v>1387</c:v>
                </c:pt>
                <c:pt idx="3">
                  <c:v>1351</c:v>
                </c:pt>
                <c:pt idx="4">
                  <c:v>1205</c:v>
                </c:pt>
                <c:pt idx="5">
                  <c:v>1101</c:v>
                </c:pt>
                <c:pt idx="6">
                  <c:v>1113</c:v>
                </c:pt>
                <c:pt idx="7">
                  <c:v>1082</c:v>
                </c:pt>
                <c:pt idx="8">
                  <c:v>959</c:v>
                </c:pt>
                <c:pt idx="9">
                  <c:v>878</c:v>
                </c:pt>
                <c:pt idx="10">
                  <c:v>969</c:v>
                </c:pt>
                <c:pt idx="11">
                  <c:v>882</c:v>
                </c:pt>
                <c:pt idx="12">
                  <c:v>932</c:v>
                </c:pt>
                <c:pt idx="13">
                  <c:v>936</c:v>
                </c:pt>
                <c:pt idx="14">
                  <c:v>911</c:v>
                </c:pt>
                <c:pt idx="15">
                  <c:v>894</c:v>
                </c:pt>
                <c:pt idx="16">
                  <c:v>767</c:v>
                </c:pt>
                <c:pt idx="17">
                  <c:v>826</c:v>
                </c:pt>
                <c:pt idx="18">
                  <c:v>840</c:v>
                </c:pt>
                <c:pt idx="19">
                  <c:v>788</c:v>
                </c:pt>
                <c:pt idx="20">
                  <c:v>733</c:v>
                </c:pt>
                <c:pt idx="21">
                  <c:v>672</c:v>
                </c:pt>
              </c:numCache>
            </c:numRef>
          </c:val>
          <c:smooth val="0"/>
          <c:extLst>
            <c:ext xmlns:c16="http://schemas.microsoft.com/office/drawing/2014/chart" uri="{C3380CC4-5D6E-409C-BE32-E72D297353CC}">
              <c16:uniqueId val="{00000008-3D62-4FC7-B164-529C2A0B3E13}"/>
            </c:ext>
          </c:extLst>
        </c:ser>
        <c:ser>
          <c:idx val="9"/>
          <c:order val="9"/>
          <c:tx>
            <c:strRef>
              <c:f>Sheet11!$K$1:$K$2</c:f>
              <c:strCache>
                <c:ptCount val="1"/>
                <c:pt idx="0">
                  <c:v>TZD</c:v>
                </c:pt>
              </c:strCache>
            </c:strRef>
          </c:tx>
          <c:spPr>
            <a:ln w="28575" cap="rnd">
              <a:solidFill>
                <a:schemeClr val="accent4">
                  <a:lumMod val="60000"/>
                </a:schemeClr>
              </a:solidFill>
              <a:round/>
            </a:ln>
            <a:effectLst/>
          </c:spPr>
          <c:marker>
            <c:symbol val="none"/>
          </c:marker>
          <c:cat>
            <c:strRef>
              <c:f>Sheet11!$A$3:$A$25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Sheet11!$K$3:$K$25</c:f>
              <c:numCache>
                <c:formatCode>General</c:formatCode>
                <c:ptCount val="22"/>
                <c:pt idx="0">
                  <c:v>26</c:v>
                </c:pt>
                <c:pt idx="1">
                  <c:v>23</c:v>
                </c:pt>
                <c:pt idx="2">
                  <c:v>22</c:v>
                </c:pt>
                <c:pt idx="3">
                  <c:v>18</c:v>
                </c:pt>
                <c:pt idx="4">
                  <c:v>8</c:v>
                </c:pt>
                <c:pt idx="5">
                  <c:v>15</c:v>
                </c:pt>
                <c:pt idx="6">
                  <c:v>12</c:v>
                </c:pt>
                <c:pt idx="7">
                  <c:v>11</c:v>
                </c:pt>
                <c:pt idx="8">
                  <c:v>16</c:v>
                </c:pt>
                <c:pt idx="9">
                  <c:v>11</c:v>
                </c:pt>
                <c:pt idx="10">
                  <c:v>4</c:v>
                </c:pt>
                <c:pt idx="11">
                  <c:v>9</c:v>
                </c:pt>
                <c:pt idx="12">
                  <c:v>19</c:v>
                </c:pt>
                <c:pt idx="13">
                  <c:v>15</c:v>
                </c:pt>
                <c:pt idx="14">
                  <c:v>8</c:v>
                </c:pt>
                <c:pt idx="15">
                  <c:v>9</c:v>
                </c:pt>
                <c:pt idx="16">
                  <c:v>13</c:v>
                </c:pt>
                <c:pt idx="17">
                  <c:v>8</c:v>
                </c:pt>
                <c:pt idx="18">
                  <c:v>10</c:v>
                </c:pt>
                <c:pt idx="19">
                  <c:v>7</c:v>
                </c:pt>
                <c:pt idx="20">
                  <c:v>12</c:v>
                </c:pt>
                <c:pt idx="21">
                  <c:v>4</c:v>
                </c:pt>
              </c:numCache>
            </c:numRef>
          </c:val>
          <c:smooth val="0"/>
          <c:extLst>
            <c:ext xmlns:c16="http://schemas.microsoft.com/office/drawing/2014/chart" uri="{C3380CC4-5D6E-409C-BE32-E72D297353CC}">
              <c16:uniqueId val="{00000009-3D62-4FC7-B164-529C2A0B3E13}"/>
            </c:ext>
          </c:extLst>
        </c:ser>
        <c:dLbls>
          <c:showLegendKey val="0"/>
          <c:showVal val="0"/>
          <c:showCatName val="0"/>
          <c:showSerName val="0"/>
          <c:showPercent val="0"/>
          <c:showBubbleSize val="0"/>
        </c:dLbls>
        <c:smooth val="0"/>
        <c:axId val="856199792"/>
        <c:axId val="856196512"/>
      </c:lineChart>
      <c:catAx>
        <c:axId val="856199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r>
                  <a:rPr lang="en-AU" baseline="0"/>
                  <a:t> and quarter</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196512"/>
        <c:crosses val="autoZero"/>
        <c:auto val="1"/>
        <c:lblAlgn val="ctr"/>
        <c:lblOffset val="100"/>
        <c:noMultiLvlLbl val="0"/>
      </c:catAx>
      <c:valAx>
        <c:axId val="856196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initiating patients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1997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[LK graphs Copy of D1431 - Diabetes utilisation v2.xlsx]Sheet7!PivotTable3</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5401134967418689"/>
          <c:y val="0.123612560478133"/>
          <c:w val="0.62070555388226756"/>
          <c:h val="0.64725958953925944"/>
        </c:manualLayout>
      </c:layout>
      <c:lineChart>
        <c:grouping val="standard"/>
        <c:varyColors val="0"/>
        <c:ser>
          <c:idx val="0"/>
          <c:order val="0"/>
          <c:tx>
            <c:strRef>
              <c:f>Sheet7!$B$1:$B$2</c:f>
              <c:strCache>
                <c:ptCount val="1"/>
                <c:pt idx="0">
                  <c:v>DULAGLUTIDE</c:v>
                </c:pt>
              </c:strCache>
            </c:strRef>
          </c:tx>
          <c:spPr>
            <a:ln w="28575" cap="rnd">
              <a:solidFill>
                <a:schemeClr val="accent1"/>
              </a:solidFill>
              <a:round/>
            </a:ln>
            <a:effectLst/>
          </c:spPr>
          <c:marker>
            <c:symbol val="none"/>
          </c:marker>
          <c:cat>
            <c:strRef>
              <c:f>Sheet7!$A$3:$A$25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Sheet7!$B$3:$B$25</c:f>
              <c:numCache>
                <c:formatCode>General</c:formatCode>
                <c:ptCount val="22"/>
                <c:pt idx="5">
                  <c:v>1401</c:v>
                </c:pt>
                <c:pt idx="6">
                  <c:v>14766</c:v>
                </c:pt>
                <c:pt idx="7">
                  <c:v>35195</c:v>
                </c:pt>
                <c:pt idx="8">
                  <c:v>44736</c:v>
                </c:pt>
                <c:pt idx="9">
                  <c:v>61275</c:v>
                </c:pt>
                <c:pt idx="10">
                  <c:v>76458</c:v>
                </c:pt>
                <c:pt idx="11">
                  <c:v>96135</c:v>
                </c:pt>
                <c:pt idx="12">
                  <c:v>104016</c:v>
                </c:pt>
                <c:pt idx="13">
                  <c:v>110978</c:v>
                </c:pt>
                <c:pt idx="14">
                  <c:v>127710</c:v>
                </c:pt>
                <c:pt idx="15">
                  <c:v>138950</c:v>
                </c:pt>
                <c:pt idx="16">
                  <c:v>126925</c:v>
                </c:pt>
                <c:pt idx="17">
                  <c:v>155247</c:v>
                </c:pt>
                <c:pt idx="18">
                  <c:v>181125</c:v>
                </c:pt>
                <c:pt idx="19">
                  <c:v>193114</c:v>
                </c:pt>
                <c:pt idx="20">
                  <c:v>164176</c:v>
                </c:pt>
                <c:pt idx="21">
                  <c:v>225784</c:v>
                </c:pt>
              </c:numCache>
            </c:numRef>
          </c:val>
          <c:smooth val="0"/>
          <c:extLst>
            <c:ext xmlns:c16="http://schemas.microsoft.com/office/drawing/2014/chart" uri="{C3380CC4-5D6E-409C-BE32-E72D297353CC}">
              <c16:uniqueId val="{00000000-BEB8-4328-B2EB-884AB93E8132}"/>
            </c:ext>
          </c:extLst>
        </c:ser>
        <c:ser>
          <c:idx val="1"/>
          <c:order val="1"/>
          <c:tx>
            <c:strRef>
              <c:f>Sheet7!$C$1:$C$2</c:f>
              <c:strCache>
                <c:ptCount val="1"/>
                <c:pt idx="0">
                  <c:v>EXENATIDE</c:v>
                </c:pt>
              </c:strCache>
            </c:strRef>
          </c:tx>
          <c:spPr>
            <a:ln w="28575" cap="rnd">
              <a:solidFill>
                <a:schemeClr val="accent2"/>
              </a:solidFill>
              <a:round/>
            </a:ln>
            <a:effectLst/>
          </c:spPr>
          <c:marker>
            <c:symbol val="none"/>
          </c:marker>
          <c:cat>
            <c:strRef>
              <c:f>Sheet7!$A$3:$A$25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Sheet7!$C$3:$C$25</c:f>
              <c:numCache>
                <c:formatCode>General</c:formatCode>
                <c:ptCount val="22"/>
                <c:pt idx="0">
                  <c:v>79585</c:v>
                </c:pt>
                <c:pt idx="1">
                  <c:v>90076</c:v>
                </c:pt>
                <c:pt idx="2">
                  <c:v>95560</c:v>
                </c:pt>
                <c:pt idx="3">
                  <c:v>107115</c:v>
                </c:pt>
                <c:pt idx="4">
                  <c:v>96046</c:v>
                </c:pt>
                <c:pt idx="5">
                  <c:v>104108</c:v>
                </c:pt>
                <c:pt idx="6">
                  <c:v>99446</c:v>
                </c:pt>
                <c:pt idx="7">
                  <c:v>99660</c:v>
                </c:pt>
                <c:pt idx="8">
                  <c:v>79050</c:v>
                </c:pt>
                <c:pt idx="9">
                  <c:v>79523</c:v>
                </c:pt>
                <c:pt idx="10">
                  <c:v>76935</c:v>
                </c:pt>
                <c:pt idx="11">
                  <c:v>77933</c:v>
                </c:pt>
                <c:pt idx="12">
                  <c:v>67008</c:v>
                </c:pt>
                <c:pt idx="13">
                  <c:v>63636</c:v>
                </c:pt>
                <c:pt idx="14">
                  <c:v>64964</c:v>
                </c:pt>
                <c:pt idx="15">
                  <c:v>64023</c:v>
                </c:pt>
                <c:pt idx="16">
                  <c:v>49057</c:v>
                </c:pt>
                <c:pt idx="17">
                  <c:v>42649</c:v>
                </c:pt>
                <c:pt idx="18">
                  <c:v>32116</c:v>
                </c:pt>
                <c:pt idx="19">
                  <c:v>20945</c:v>
                </c:pt>
                <c:pt idx="20">
                  <c:v>11631</c:v>
                </c:pt>
                <c:pt idx="21">
                  <c:v>10905</c:v>
                </c:pt>
              </c:numCache>
            </c:numRef>
          </c:val>
          <c:smooth val="0"/>
          <c:extLst>
            <c:ext xmlns:c16="http://schemas.microsoft.com/office/drawing/2014/chart" uri="{C3380CC4-5D6E-409C-BE32-E72D297353CC}">
              <c16:uniqueId val="{00000001-BEB8-4328-B2EB-884AB93E8132}"/>
            </c:ext>
          </c:extLst>
        </c:ser>
        <c:ser>
          <c:idx val="2"/>
          <c:order val="2"/>
          <c:tx>
            <c:strRef>
              <c:f>Sheet7!$D$1:$D$2</c:f>
              <c:strCache>
                <c:ptCount val="1"/>
                <c:pt idx="0">
                  <c:v>SEMAGLUTIDE</c:v>
                </c:pt>
              </c:strCache>
            </c:strRef>
          </c:tx>
          <c:spPr>
            <a:ln w="28575" cap="rnd">
              <a:solidFill>
                <a:schemeClr val="accent3"/>
              </a:solidFill>
              <a:round/>
            </a:ln>
            <a:effectLst/>
          </c:spPr>
          <c:marker>
            <c:symbol val="none"/>
          </c:marker>
          <c:cat>
            <c:strRef>
              <c:f>Sheet7!$A$3:$A$25</c:f>
              <c:strCache>
                <c:ptCount val="22"/>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strCache>
            </c:strRef>
          </c:cat>
          <c:val>
            <c:numRef>
              <c:f>Sheet7!$D$3:$D$25</c:f>
              <c:numCache>
                <c:formatCode>General</c:formatCode>
                <c:ptCount val="22"/>
                <c:pt idx="14">
                  <c:v>10383</c:v>
                </c:pt>
                <c:pt idx="15">
                  <c:v>35921</c:v>
                </c:pt>
                <c:pt idx="16">
                  <c:v>54712</c:v>
                </c:pt>
                <c:pt idx="17">
                  <c:v>87520</c:v>
                </c:pt>
                <c:pt idx="18">
                  <c:v>132121</c:v>
                </c:pt>
                <c:pt idx="19">
                  <c:v>214752</c:v>
                </c:pt>
                <c:pt idx="20">
                  <c:v>260638</c:v>
                </c:pt>
                <c:pt idx="21">
                  <c:v>261093</c:v>
                </c:pt>
              </c:numCache>
            </c:numRef>
          </c:val>
          <c:smooth val="0"/>
          <c:extLst>
            <c:ext xmlns:c16="http://schemas.microsoft.com/office/drawing/2014/chart" uri="{C3380CC4-5D6E-409C-BE32-E72D297353CC}">
              <c16:uniqueId val="{00000002-BEB8-4328-B2EB-884AB93E8132}"/>
            </c:ext>
          </c:extLst>
        </c:ser>
        <c:dLbls>
          <c:showLegendKey val="0"/>
          <c:showVal val="0"/>
          <c:showCatName val="0"/>
          <c:showSerName val="0"/>
          <c:showPercent val="0"/>
          <c:showBubbleSize val="0"/>
        </c:dLbls>
        <c:smooth val="0"/>
        <c:axId val="678024592"/>
        <c:axId val="678025248"/>
      </c:lineChart>
      <c:catAx>
        <c:axId val="678024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r>
                  <a:rPr lang="en-AU" baseline="0"/>
                  <a:t> and quarter</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025248"/>
        <c:crosses val="autoZero"/>
        <c:auto val="1"/>
        <c:lblAlgn val="ctr"/>
        <c:lblOffset val="100"/>
        <c:noMultiLvlLbl val="0"/>
      </c:catAx>
      <c:valAx>
        <c:axId val="67802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scripts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0245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A869-2EC0-4E3F-88AD-EEDB4C4B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10640</Words>
  <Characters>60648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2024-05-07T04:51:00Z</dcterms:created>
  <dcterms:modified xsi:type="dcterms:W3CDTF">2024-05-07T04:52:00Z</dcterms:modified>
</cp:coreProperties>
</file>